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D16" w:rsidRPr="0001748B" w:rsidRDefault="00C71D16" w:rsidP="00C71D16">
      <w:pPr>
        <w:spacing w:line="240" w:lineRule="auto"/>
        <w:ind w:left="1416" w:hanging="1416"/>
        <w:rPr>
          <w:rFonts w:eastAsia="Calibri" w:cs="Calibri"/>
          <w:b/>
          <w:sz w:val="20"/>
          <w:szCs w:val="20"/>
        </w:rPr>
      </w:pPr>
    </w:p>
    <w:p w:rsidR="00C71D16" w:rsidRPr="0001748B" w:rsidRDefault="00C71D16" w:rsidP="00C71D16">
      <w:pPr>
        <w:spacing w:line="240" w:lineRule="auto"/>
        <w:ind w:left="1416" w:hanging="1416"/>
        <w:rPr>
          <w:rFonts w:eastAsia="Calibri" w:cs="Calibri"/>
          <w:b/>
          <w:sz w:val="20"/>
          <w:szCs w:val="20"/>
        </w:rPr>
      </w:pPr>
    </w:p>
    <w:p w:rsidR="00C71D16" w:rsidRPr="0001748B" w:rsidRDefault="00C71D16" w:rsidP="00C71D16">
      <w:pPr>
        <w:spacing w:line="240" w:lineRule="auto"/>
        <w:rPr>
          <w:rFonts w:eastAsia="Calibri" w:cs="Calibri"/>
          <w:b/>
          <w:sz w:val="20"/>
          <w:szCs w:val="20"/>
        </w:rPr>
      </w:pPr>
    </w:p>
    <w:p w:rsidR="00C71D16" w:rsidRPr="0001748B" w:rsidRDefault="00C71D16" w:rsidP="00C71D16">
      <w:pPr>
        <w:spacing w:line="240" w:lineRule="auto"/>
        <w:rPr>
          <w:rFonts w:eastAsia="Calibri" w:cs="Calibri"/>
          <w:b/>
          <w:sz w:val="20"/>
          <w:szCs w:val="20"/>
        </w:rPr>
      </w:pPr>
    </w:p>
    <w:p w:rsidR="00C71D16" w:rsidRPr="0001748B" w:rsidRDefault="00C71D16" w:rsidP="00C71D16">
      <w:pPr>
        <w:spacing w:line="240" w:lineRule="auto"/>
        <w:jc w:val="center"/>
        <w:rPr>
          <w:rFonts w:eastAsia="Calibri" w:cs="Calibri"/>
          <w:b/>
          <w:sz w:val="20"/>
          <w:szCs w:val="20"/>
        </w:rPr>
      </w:pPr>
    </w:p>
    <w:p w:rsidR="00C71D16" w:rsidRPr="0001748B" w:rsidRDefault="00C71D16" w:rsidP="00C71D16">
      <w:pPr>
        <w:spacing w:line="240" w:lineRule="auto"/>
        <w:jc w:val="center"/>
        <w:rPr>
          <w:rFonts w:eastAsia="Calibri" w:cs="Calibri"/>
          <w:b/>
          <w:sz w:val="20"/>
          <w:szCs w:val="20"/>
        </w:rPr>
      </w:pPr>
    </w:p>
    <w:p w:rsidR="00C71D16" w:rsidRPr="000826E2" w:rsidRDefault="00C71D16" w:rsidP="00C71D16">
      <w:pPr>
        <w:spacing w:line="240" w:lineRule="auto"/>
        <w:jc w:val="center"/>
        <w:rPr>
          <w:rFonts w:eastAsia="Calibri" w:cs="Calibri"/>
          <w:b/>
          <w:sz w:val="20"/>
          <w:szCs w:val="20"/>
        </w:rPr>
      </w:pPr>
      <w:r w:rsidRPr="0001748B">
        <w:rPr>
          <w:rFonts w:eastAsia="Calibri" w:cs="Calibri"/>
          <w:b/>
          <w:sz w:val="20"/>
          <w:szCs w:val="20"/>
        </w:rPr>
        <w:t>CORTE INTERAMERICA</w:t>
      </w:r>
      <w:bookmarkStart w:id="0" w:name="_GoBack"/>
      <w:bookmarkEnd w:id="0"/>
      <w:r w:rsidRPr="000826E2">
        <w:rPr>
          <w:rFonts w:eastAsia="Calibri" w:cs="Calibri"/>
          <w:b/>
          <w:sz w:val="20"/>
          <w:szCs w:val="20"/>
        </w:rPr>
        <w:t>NA DE DERECHOS HUMANOS</w:t>
      </w:r>
    </w:p>
    <w:p w:rsidR="00C71D16" w:rsidRPr="000826E2" w:rsidRDefault="00C71D16" w:rsidP="00C71D16">
      <w:pPr>
        <w:tabs>
          <w:tab w:val="left" w:pos="720"/>
        </w:tabs>
        <w:spacing w:line="240" w:lineRule="auto"/>
        <w:jc w:val="center"/>
        <w:rPr>
          <w:rFonts w:eastAsia="Calibri" w:cs="Verdana"/>
          <w:b/>
          <w:bCs/>
          <w:caps/>
          <w:snapToGrid w:val="0"/>
          <w:sz w:val="20"/>
          <w:szCs w:val="20"/>
          <w:lang w:eastAsia="es-ES"/>
        </w:rPr>
      </w:pPr>
    </w:p>
    <w:p w:rsidR="00C71D16" w:rsidRPr="000826E2" w:rsidRDefault="00C71D16" w:rsidP="00C71D16">
      <w:pPr>
        <w:spacing w:line="240" w:lineRule="auto"/>
        <w:jc w:val="center"/>
        <w:rPr>
          <w:rFonts w:eastAsia="Calibri" w:cs="Calibri"/>
          <w:b/>
          <w:sz w:val="20"/>
          <w:szCs w:val="20"/>
        </w:rPr>
      </w:pPr>
      <w:r w:rsidRPr="000826E2">
        <w:rPr>
          <w:rFonts w:eastAsia="Calibri" w:cs="Calibri"/>
          <w:b/>
          <w:sz w:val="20"/>
          <w:szCs w:val="20"/>
        </w:rPr>
        <w:t xml:space="preserve">CASO ORTIZ HERNÁNDEZ </w:t>
      </w:r>
      <w:r w:rsidR="00C67BD4" w:rsidRPr="000826E2">
        <w:rPr>
          <w:rFonts w:eastAsia="Calibri" w:cs="Verdana"/>
          <w:b/>
          <w:bCs/>
          <w:caps/>
          <w:snapToGrid w:val="0"/>
          <w:sz w:val="20"/>
          <w:szCs w:val="20"/>
          <w:lang w:eastAsia="es-ES"/>
        </w:rPr>
        <w:t>y otroS</w:t>
      </w:r>
      <w:r w:rsidR="00C67BD4" w:rsidRPr="000826E2">
        <w:rPr>
          <w:rFonts w:eastAsia="Calibri" w:cs="Calibri"/>
          <w:b/>
          <w:i/>
          <w:sz w:val="20"/>
          <w:szCs w:val="20"/>
        </w:rPr>
        <w:t xml:space="preserve"> </w:t>
      </w:r>
      <w:r w:rsidRPr="000826E2">
        <w:rPr>
          <w:rFonts w:eastAsia="Calibri" w:cs="Calibri"/>
          <w:b/>
          <w:i/>
          <w:sz w:val="20"/>
          <w:szCs w:val="20"/>
        </w:rPr>
        <w:t>VS</w:t>
      </w:r>
      <w:r w:rsidRPr="000826E2">
        <w:rPr>
          <w:rFonts w:eastAsia="Calibri" w:cs="Calibri"/>
          <w:b/>
          <w:sz w:val="20"/>
          <w:szCs w:val="20"/>
        </w:rPr>
        <w:t>. VENEZUELA</w:t>
      </w:r>
    </w:p>
    <w:p w:rsidR="00C71D16" w:rsidRPr="000826E2" w:rsidRDefault="00C71D16" w:rsidP="00C71D16">
      <w:pPr>
        <w:tabs>
          <w:tab w:val="left" w:pos="720"/>
        </w:tabs>
        <w:spacing w:line="240" w:lineRule="auto"/>
        <w:jc w:val="center"/>
        <w:rPr>
          <w:rFonts w:eastAsia="Calibri" w:cs="Verdana"/>
          <w:b/>
          <w:bCs/>
          <w:caps/>
          <w:snapToGrid w:val="0"/>
          <w:sz w:val="20"/>
          <w:szCs w:val="20"/>
          <w:lang w:eastAsia="es-ES"/>
        </w:rPr>
      </w:pPr>
    </w:p>
    <w:p w:rsidR="00C71D16" w:rsidRPr="000826E2" w:rsidRDefault="00C71D16" w:rsidP="00C71D16">
      <w:pPr>
        <w:tabs>
          <w:tab w:val="left" w:pos="720"/>
        </w:tabs>
        <w:spacing w:line="240" w:lineRule="auto"/>
        <w:jc w:val="center"/>
        <w:rPr>
          <w:rFonts w:eastAsia="Calibri" w:cs="Verdana"/>
          <w:b/>
          <w:bCs/>
          <w:snapToGrid w:val="0"/>
          <w:sz w:val="20"/>
          <w:szCs w:val="20"/>
          <w:lang w:eastAsia="es-ES"/>
        </w:rPr>
      </w:pPr>
      <w:r w:rsidRPr="000826E2">
        <w:rPr>
          <w:rFonts w:eastAsia="Calibri" w:cs="Verdana"/>
          <w:b/>
          <w:bCs/>
          <w:snapToGrid w:val="0"/>
          <w:sz w:val="20"/>
          <w:szCs w:val="20"/>
          <w:lang w:eastAsia="es-ES"/>
        </w:rPr>
        <w:t xml:space="preserve">SENTENCIA DE </w:t>
      </w:r>
      <w:r w:rsidR="000826E2" w:rsidRPr="000826E2">
        <w:rPr>
          <w:rFonts w:eastAsia="Calibri" w:cs="Verdana"/>
          <w:b/>
          <w:bCs/>
          <w:snapToGrid w:val="0"/>
          <w:sz w:val="20"/>
          <w:szCs w:val="20"/>
          <w:lang w:eastAsia="es-ES"/>
        </w:rPr>
        <w:t>22</w:t>
      </w:r>
      <w:r w:rsidRPr="000826E2">
        <w:rPr>
          <w:rFonts w:eastAsia="Calibri" w:cs="Verdana"/>
          <w:b/>
          <w:bCs/>
          <w:snapToGrid w:val="0"/>
          <w:sz w:val="20"/>
          <w:szCs w:val="20"/>
          <w:lang w:eastAsia="es-ES"/>
        </w:rPr>
        <w:t xml:space="preserve"> DE </w:t>
      </w:r>
      <w:r w:rsidR="00C67BD4" w:rsidRPr="000826E2">
        <w:rPr>
          <w:rFonts w:eastAsia="Calibri" w:cs="Verdana"/>
          <w:b/>
          <w:bCs/>
          <w:snapToGrid w:val="0"/>
          <w:sz w:val="20"/>
          <w:szCs w:val="20"/>
          <w:lang w:eastAsia="es-ES"/>
        </w:rPr>
        <w:t>AGOSTO</w:t>
      </w:r>
      <w:r w:rsidRPr="000826E2">
        <w:rPr>
          <w:rFonts w:eastAsia="Calibri" w:cs="Verdana"/>
          <w:b/>
          <w:bCs/>
          <w:snapToGrid w:val="0"/>
          <w:sz w:val="20"/>
          <w:szCs w:val="20"/>
          <w:lang w:eastAsia="es-ES"/>
        </w:rPr>
        <w:t xml:space="preserve"> DE 2017</w:t>
      </w:r>
    </w:p>
    <w:p w:rsidR="00C71D16" w:rsidRPr="000826E2" w:rsidRDefault="00C71D16" w:rsidP="00C71D16">
      <w:pPr>
        <w:tabs>
          <w:tab w:val="left" w:pos="720"/>
        </w:tabs>
        <w:spacing w:line="240" w:lineRule="auto"/>
        <w:jc w:val="center"/>
        <w:rPr>
          <w:rFonts w:eastAsia="Calibri" w:cs="Verdana"/>
          <w:b/>
          <w:bCs/>
          <w:caps/>
          <w:snapToGrid w:val="0"/>
          <w:sz w:val="20"/>
          <w:szCs w:val="20"/>
          <w:lang w:eastAsia="es-ES"/>
        </w:rPr>
      </w:pPr>
    </w:p>
    <w:p w:rsidR="00C71D16" w:rsidRPr="0001748B" w:rsidRDefault="00C71D16" w:rsidP="00C71D16">
      <w:pPr>
        <w:tabs>
          <w:tab w:val="left" w:pos="720"/>
        </w:tabs>
        <w:spacing w:line="240" w:lineRule="auto"/>
        <w:jc w:val="center"/>
        <w:rPr>
          <w:rFonts w:eastAsia="Calibri" w:cs="Verdana"/>
          <w:b/>
          <w:bCs/>
          <w:caps/>
          <w:snapToGrid w:val="0"/>
          <w:sz w:val="20"/>
          <w:szCs w:val="20"/>
          <w:lang w:eastAsia="es-ES"/>
        </w:rPr>
      </w:pPr>
      <w:r w:rsidRPr="000826E2">
        <w:rPr>
          <w:rFonts w:eastAsia="Calibri" w:cs="Verdana"/>
          <w:b/>
          <w:bCs/>
          <w:i/>
          <w:iCs/>
          <w:snapToGrid w:val="0"/>
          <w:sz w:val="20"/>
          <w:szCs w:val="20"/>
          <w:lang w:eastAsia="es-ES"/>
        </w:rPr>
        <w:t>(Fondo, Reparaciones y Costas)</w:t>
      </w:r>
    </w:p>
    <w:p w:rsidR="00C71D16" w:rsidRPr="0001748B" w:rsidRDefault="00C71D16" w:rsidP="00C71D16">
      <w:pPr>
        <w:spacing w:before="4" w:line="280" w:lineRule="exact"/>
        <w:rPr>
          <w:rFonts w:ascii="Calibri" w:eastAsia="Calibri" w:hAnsi="Calibri"/>
          <w:sz w:val="28"/>
          <w:szCs w:val="28"/>
        </w:rPr>
      </w:pPr>
    </w:p>
    <w:p w:rsidR="00C71D16" w:rsidRPr="0001748B" w:rsidRDefault="00C71D16" w:rsidP="00C71D16">
      <w:pPr>
        <w:spacing w:before="4" w:line="280" w:lineRule="exact"/>
        <w:rPr>
          <w:rFonts w:ascii="Calibri" w:eastAsia="Calibri" w:hAnsi="Calibri"/>
          <w:sz w:val="28"/>
          <w:szCs w:val="28"/>
        </w:rPr>
      </w:pPr>
    </w:p>
    <w:p w:rsidR="00C71D16" w:rsidRPr="0001748B" w:rsidRDefault="00C71D16" w:rsidP="00C71D16">
      <w:pPr>
        <w:spacing w:before="4" w:line="280" w:lineRule="exact"/>
        <w:rPr>
          <w:rFonts w:ascii="Calibri" w:eastAsia="Calibri" w:hAnsi="Calibri"/>
          <w:sz w:val="28"/>
          <w:szCs w:val="28"/>
        </w:rPr>
      </w:pPr>
    </w:p>
    <w:p w:rsidR="00C71D16" w:rsidRPr="0001748B" w:rsidRDefault="00C71D16" w:rsidP="00C71D16">
      <w:pPr>
        <w:spacing w:before="4" w:line="280" w:lineRule="exact"/>
        <w:rPr>
          <w:rFonts w:ascii="Calibri" w:eastAsia="Calibri" w:hAnsi="Calibri"/>
          <w:sz w:val="28"/>
          <w:szCs w:val="28"/>
        </w:rPr>
      </w:pPr>
    </w:p>
    <w:p w:rsidR="00C71D16" w:rsidRPr="000826E2" w:rsidRDefault="00C71D16" w:rsidP="00C71D16">
      <w:pPr>
        <w:tabs>
          <w:tab w:val="left" w:pos="720"/>
        </w:tabs>
        <w:spacing w:line="240" w:lineRule="auto"/>
        <w:rPr>
          <w:rFonts w:eastAsia="Verdana" w:cs="Verdana"/>
          <w:sz w:val="20"/>
          <w:szCs w:val="20"/>
        </w:rPr>
      </w:pPr>
      <w:r w:rsidRPr="0001748B">
        <w:rPr>
          <w:rFonts w:eastAsia="Verdana" w:cs="Verdana"/>
          <w:sz w:val="20"/>
          <w:szCs w:val="20"/>
        </w:rPr>
        <w:t xml:space="preserve">En el caso </w:t>
      </w:r>
      <w:r w:rsidRPr="0001748B">
        <w:rPr>
          <w:rFonts w:eastAsia="Verdana" w:cs="Verdana"/>
          <w:i/>
          <w:sz w:val="20"/>
          <w:szCs w:val="20"/>
        </w:rPr>
        <w:t>Ortiz Hern</w:t>
      </w:r>
      <w:r w:rsidRPr="000826E2">
        <w:rPr>
          <w:rFonts w:eastAsia="Verdana" w:cs="Verdana"/>
          <w:i/>
          <w:sz w:val="20"/>
          <w:szCs w:val="20"/>
        </w:rPr>
        <w:t>ández</w:t>
      </w:r>
      <w:r w:rsidR="00C67BD4" w:rsidRPr="000826E2">
        <w:rPr>
          <w:rFonts w:eastAsia="Verdana" w:cs="Verdana"/>
          <w:i/>
          <w:sz w:val="20"/>
          <w:szCs w:val="20"/>
        </w:rPr>
        <w:t xml:space="preserve"> y otros</w:t>
      </w:r>
      <w:r w:rsidRPr="000826E2">
        <w:rPr>
          <w:rFonts w:eastAsia="Verdana" w:cs="Verdana"/>
          <w:sz w:val="20"/>
          <w:szCs w:val="20"/>
        </w:rPr>
        <w:t>,</w:t>
      </w:r>
    </w:p>
    <w:p w:rsidR="00C71D16" w:rsidRPr="000826E2" w:rsidRDefault="00C71D16" w:rsidP="00C71D16">
      <w:pPr>
        <w:spacing w:before="4" w:line="240" w:lineRule="exact"/>
        <w:rPr>
          <w:rFonts w:ascii="Calibri" w:eastAsia="Calibri" w:hAnsi="Calibri"/>
        </w:rPr>
      </w:pPr>
    </w:p>
    <w:p w:rsidR="00C71D16" w:rsidRPr="000826E2" w:rsidRDefault="00C71D16" w:rsidP="00C71D16">
      <w:pPr>
        <w:tabs>
          <w:tab w:val="left" w:pos="720"/>
        </w:tabs>
        <w:spacing w:line="240" w:lineRule="auto"/>
        <w:rPr>
          <w:rFonts w:eastAsia="Calibri" w:cs="Verdana"/>
          <w:sz w:val="20"/>
          <w:szCs w:val="20"/>
        </w:rPr>
      </w:pPr>
      <w:r w:rsidRPr="000826E2">
        <w:rPr>
          <w:rFonts w:eastAsia="Calibri" w:cs="Verdana"/>
          <w:sz w:val="20"/>
          <w:szCs w:val="20"/>
        </w:rPr>
        <w:t>la Corte Interamericana de Derechos Humanos (en adelante “la Corte Interamericana”, “la Corte” o “este Tribunal”), integrada por los siguientes jueces</w:t>
      </w:r>
      <w:r w:rsidR="00663133" w:rsidRPr="000826E2">
        <w:rPr>
          <w:rStyle w:val="FootnoteReference"/>
          <w:rFonts w:eastAsia="Calibri" w:cs="Verdana"/>
          <w:sz w:val="20"/>
          <w:szCs w:val="20"/>
        </w:rPr>
        <w:footnoteReference w:customMarkFollows="1" w:id="1"/>
        <w:t>*</w:t>
      </w:r>
      <w:r w:rsidRPr="000826E2">
        <w:rPr>
          <w:rFonts w:eastAsia="Calibri" w:cs="Verdana"/>
          <w:sz w:val="20"/>
          <w:szCs w:val="20"/>
        </w:rPr>
        <w:t>:</w:t>
      </w:r>
    </w:p>
    <w:p w:rsidR="00C71D16" w:rsidRPr="000826E2" w:rsidRDefault="00C71D16" w:rsidP="00C71D16">
      <w:pPr>
        <w:tabs>
          <w:tab w:val="left" w:pos="720"/>
        </w:tabs>
        <w:spacing w:line="240" w:lineRule="auto"/>
        <w:rPr>
          <w:rFonts w:eastAsia="Calibri" w:cs="Verdana"/>
          <w:sz w:val="20"/>
          <w:szCs w:val="20"/>
        </w:rPr>
      </w:pPr>
    </w:p>
    <w:p w:rsidR="00C71D16" w:rsidRPr="000826E2" w:rsidRDefault="00C71D16" w:rsidP="00C71D16">
      <w:pPr>
        <w:tabs>
          <w:tab w:val="left" w:pos="720"/>
        </w:tabs>
        <w:spacing w:line="240" w:lineRule="auto"/>
        <w:rPr>
          <w:rFonts w:eastAsia="Calibri" w:cs="Verdana"/>
          <w:sz w:val="20"/>
          <w:szCs w:val="20"/>
        </w:rPr>
      </w:pPr>
      <w:r w:rsidRPr="000826E2">
        <w:rPr>
          <w:rFonts w:eastAsia="Calibri" w:cs="Verdana"/>
          <w:sz w:val="20"/>
          <w:szCs w:val="20"/>
        </w:rPr>
        <w:t xml:space="preserve">Eduardo Ferrer Mac-Gregor Poisot, </w:t>
      </w:r>
      <w:r w:rsidR="00C67BD4" w:rsidRPr="000826E2">
        <w:rPr>
          <w:rFonts w:eastAsia="Calibri" w:cs="Verdana"/>
          <w:sz w:val="20"/>
          <w:szCs w:val="20"/>
        </w:rPr>
        <w:t>P</w:t>
      </w:r>
      <w:r w:rsidRPr="000826E2">
        <w:rPr>
          <w:rFonts w:eastAsia="Calibri" w:cs="Verdana"/>
          <w:sz w:val="20"/>
          <w:szCs w:val="20"/>
        </w:rPr>
        <w:t>residente</w:t>
      </w:r>
      <w:r w:rsidR="00C67BD4" w:rsidRPr="000826E2">
        <w:rPr>
          <w:rFonts w:eastAsia="Calibri" w:cs="Verdana"/>
          <w:sz w:val="20"/>
          <w:szCs w:val="20"/>
        </w:rPr>
        <w:t xml:space="preserve"> en ejercicio</w:t>
      </w:r>
      <w:r w:rsidRPr="000826E2">
        <w:rPr>
          <w:rFonts w:eastAsia="Calibri" w:cs="Verdana"/>
          <w:sz w:val="20"/>
          <w:szCs w:val="20"/>
        </w:rPr>
        <w:t>;</w:t>
      </w:r>
    </w:p>
    <w:p w:rsidR="00C71D16" w:rsidRPr="000826E2" w:rsidRDefault="00C71D16" w:rsidP="00C71D16">
      <w:pPr>
        <w:tabs>
          <w:tab w:val="left" w:pos="720"/>
        </w:tabs>
        <w:spacing w:line="240" w:lineRule="auto"/>
        <w:rPr>
          <w:rFonts w:eastAsia="Calibri" w:cs="Verdana"/>
          <w:sz w:val="20"/>
          <w:szCs w:val="20"/>
        </w:rPr>
      </w:pPr>
      <w:r w:rsidRPr="000826E2">
        <w:rPr>
          <w:rFonts w:eastAsia="Calibri" w:cs="Verdana"/>
          <w:sz w:val="20"/>
          <w:szCs w:val="20"/>
        </w:rPr>
        <w:t>Eduardo Vio Grossi, Juez;</w:t>
      </w:r>
    </w:p>
    <w:p w:rsidR="00C71D16" w:rsidRPr="000826E2" w:rsidRDefault="00C71D16" w:rsidP="00C71D16">
      <w:pPr>
        <w:tabs>
          <w:tab w:val="left" w:pos="720"/>
        </w:tabs>
        <w:spacing w:line="240" w:lineRule="auto"/>
        <w:rPr>
          <w:rFonts w:eastAsia="Calibri" w:cs="Verdana"/>
          <w:sz w:val="20"/>
          <w:szCs w:val="20"/>
        </w:rPr>
      </w:pPr>
      <w:r w:rsidRPr="000826E2">
        <w:rPr>
          <w:rFonts w:eastAsia="Calibri" w:cs="Verdana"/>
          <w:sz w:val="20"/>
          <w:szCs w:val="20"/>
        </w:rPr>
        <w:t>Humberto Antonio Sierra Porto, Juez;</w:t>
      </w:r>
    </w:p>
    <w:p w:rsidR="00C71D16" w:rsidRPr="000826E2" w:rsidRDefault="00C71D16" w:rsidP="00C71D16">
      <w:pPr>
        <w:tabs>
          <w:tab w:val="left" w:pos="720"/>
        </w:tabs>
        <w:spacing w:line="240" w:lineRule="auto"/>
        <w:rPr>
          <w:rFonts w:eastAsia="Calibri" w:cs="Verdana"/>
          <w:sz w:val="20"/>
          <w:szCs w:val="20"/>
        </w:rPr>
      </w:pPr>
      <w:r w:rsidRPr="000826E2">
        <w:rPr>
          <w:rFonts w:eastAsia="Calibri" w:cs="Verdana"/>
          <w:sz w:val="20"/>
          <w:szCs w:val="20"/>
        </w:rPr>
        <w:t>Elizabeth Odio Benito, Jueza;</w:t>
      </w:r>
    </w:p>
    <w:p w:rsidR="00C71D16" w:rsidRPr="000826E2" w:rsidRDefault="00C71D16" w:rsidP="00C71D16">
      <w:pPr>
        <w:tabs>
          <w:tab w:val="left" w:pos="720"/>
        </w:tabs>
        <w:spacing w:line="240" w:lineRule="auto"/>
        <w:rPr>
          <w:rFonts w:eastAsia="Calibri" w:cs="Verdana"/>
          <w:sz w:val="20"/>
          <w:szCs w:val="20"/>
        </w:rPr>
      </w:pPr>
      <w:r w:rsidRPr="000826E2">
        <w:rPr>
          <w:rFonts w:eastAsia="Calibri" w:cs="Verdana"/>
          <w:sz w:val="20"/>
          <w:szCs w:val="20"/>
        </w:rPr>
        <w:t>Eugenio Raúl Zaffaroni, Juez, y</w:t>
      </w:r>
    </w:p>
    <w:p w:rsidR="00C71D16" w:rsidRPr="000826E2" w:rsidRDefault="00C71D16" w:rsidP="00C71D16">
      <w:pPr>
        <w:tabs>
          <w:tab w:val="left" w:pos="720"/>
        </w:tabs>
        <w:spacing w:line="240" w:lineRule="auto"/>
        <w:rPr>
          <w:rFonts w:eastAsia="Calibri" w:cs="Verdana"/>
          <w:sz w:val="20"/>
          <w:szCs w:val="20"/>
        </w:rPr>
      </w:pPr>
      <w:r w:rsidRPr="000826E2">
        <w:rPr>
          <w:rFonts w:eastAsia="Calibri" w:cs="Verdana"/>
          <w:sz w:val="20"/>
          <w:szCs w:val="20"/>
        </w:rPr>
        <w:t>L. Patricio Pazmiño Freire, Juez;</w:t>
      </w:r>
    </w:p>
    <w:p w:rsidR="00C71D16" w:rsidRPr="000826E2" w:rsidRDefault="00C71D16" w:rsidP="00C71D16">
      <w:pPr>
        <w:tabs>
          <w:tab w:val="left" w:pos="720"/>
        </w:tabs>
        <w:spacing w:line="240" w:lineRule="auto"/>
        <w:rPr>
          <w:rFonts w:eastAsia="Calibri" w:cs="Verdana"/>
          <w:sz w:val="20"/>
          <w:szCs w:val="20"/>
        </w:rPr>
      </w:pPr>
    </w:p>
    <w:p w:rsidR="00C71D16" w:rsidRPr="000826E2" w:rsidRDefault="00517376" w:rsidP="00C71D16">
      <w:pPr>
        <w:tabs>
          <w:tab w:val="left" w:pos="720"/>
        </w:tabs>
        <w:spacing w:line="240" w:lineRule="auto"/>
        <w:rPr>
          <w:rFonts w:eastAsia="Calibri" w:cs="Verdana"/>
          <w:sz w:val="20"/>
          <w:szCs w:val="20"/>
        </w:rPr>
      </w:pPr>
      <w:r w:rsidRPr="000826E2">
        <w:rPr>
          <w:rFonts w:eastAsia="Calibri" w:cs="Verdana"/>
          <w:sz w:val="20"/>
          <w:szCs w:val="20"/>
        </w:rPr>
        <w:t>presente</w:t>
      </w:r>
      <w:r w:rsidR="00C71D16" w:rsidRPr="000826E2">
        <w:rPr>
          <w:rFonts w:eastAsia="Calibri" w:cs="Verdana"/>
          <w:sz w:val="20"/>
          <w:szCs w:val="20"/>
        </w:rPr>
        <w:t xml:space="preserve"> además,</w:t>
      </w:r>
    </w:p>
    <w:p w:rsidR="00C71D16" w:rsidRPr="000826E2" w:rsidRDefault="00C71D16" w:rsidP="00C71D16">
      <w:pPr>
        <w:tabs>
          <w:tab w:val="left" w:pos="720"/>
        </w:tabs>
        <w:spacing w:line="240" w:lineRule="auto"/>
        <w:rPr>
          <w:rFonts w:eastAsia="Calibri" w:cs="Verdana"/>
          <w:sz w:val="20"/>
          <w:szCs w:val="20"/>
        </w:rPr>
      </w:pPr>
    </w:p>
    <w:p w:rsidR="000826E2" w:rsidRPr="0001748B" w:rsidRDefault="00C71D16" w:rsidP="000826E2">
      <w:pPr>
        <w:tabs>
          <w:tab w:val="left" w:pos="720"/>
        </w:tabs>
        <w:spacing w:line="240" w:lineRule="auto"/>
        <w:rPr>
          <w:rFonts w:eastAsia="Calibri" w:cs="Verdana"/>
          <w:sz w:val="20"/>
          <w:szCs w:val="20"/>
        </w:rPr>
      </w:pPr>
      <w:r w:rsidRPr="000826E2">
        <w:rPr>
          <w:rFonts w:eastAsia="Calibri" w:cs="Verdana"/>
          <w:sz w:val="20"/>
          <w:szCs w:val="20"/>
        </w:rPr>
        <w:t>Pablo Saavedra Alessandri, Secretario</w:t>
      </w:r>
      <w:r w:rsidR="00D87F4A">
        <w:rPr>
          <w:rStyle w:val="FootnoteReference"/>
          <w:rFonts w:eastAsia="Calibri" w:cs="Verdana"/>
          <w:sz w:val="20"/>
          <w:szCs w:val="20"/>
        </w:rPr>
        <w:footnoteReference w:customMarkFollows="1" w:id="2"/>
        <w:t>**</w:t>
      </w:r>
      <w:r w:rsidRPr="000826E2">
        <w:rPr>
          <w:rFonts w:eastAsia="Calibri" w:cs="Verdana"/>
          <w:sz w:val="20"/>
          <w:szCs w:val="20"/>
        </w:rPr>
        <w:t>,</w:t>
      </w:r>
    </w:p>
    <w:p w:rsidR="00C71D16" w:rsidRPr="0001748B" w:rsidRDefault="00C71D16" w:rsidP="00C71D16">
      <w:pPr>
        <w:tabs>
          <w:tab w:val="left" w:pos="720"/>
        </w:tabs>
        <w:spacing w:line="240" w:lineRule="auto"/>
        <w:rPr>
          <w:rFonts w:eastAsia="Calibri" w:cs="Verdana"/>
          <w:sz w:val="20"/>
          <w:szCs w:val="20"/>
        </w:rPr>
      </w:pPr>
    </w:p>
    <w:p w:rsidR="00C71D16" w:rsidRPr="0001748B" w:rsidRDefault="00C71D16" w:rsidP="00C71D16">
      <w:pPr>
        <w:tabs>
          <w:tab w:val="left" w:pos="720"/>
        </w:tabs>
        <w:spacing w:line="240" w:lineRule="auto"/>
        <w:rPr>
          <w:rFonts w:eastAsia="Calibri" w:cs="Verdana"/>
          <w:sz w:val="20"/>
          <w:szCs w:val="20"/>
        </w:rPr>
      </w:pPr>
      <w:r w:rsidRPr="0001748B">
        <w:rPr>
          <w:rFonts w:eastAsia="Calibri" w:cs="Verdana"/>
          <w:sz w:val="20"/>
          <w:szCs w:val="20"/>
        </w:rPr>
        <w:t>de conformidad con los artículos 62.3 y 63.1 de la Convención Americana sobre Derechos Humanos (en adelante “la Convención Americana” o “la Convención”) y con los artículos 31, 32, 42,</w:t>
      </w:r>
      <w:r w:rsidR="00816A8E">
        <w:rPr>
          <w:rFonts w:eastAsia="Calibri" w:cs="Verdana"/>
          <w:sz w:val="20"/>
          <w:szCs w:val="20"/>
        </w:rPr>
        <w:t xml:space="preserve"> 62,</w:t>
      </w:r>
      <w:r w:rsidRPr="0001748B">
        <w:rPr>
          <w:rFonts w:eastAsia="Calibri" w:cs="Verdana"/>
          <w:sz w:val="20"/>
          <w:szCs w:val="20"/>
        </w:rPr>
        <w:t xml:space="preserve"> 65 y 67 del Reglamento de la Corte (en adelante “el Reglamento” o “Reglamento de la Corte”), dicta la presente Sentencia, que se estructura en el siguiente orden:</w:t>
      </w:r>
    </w:p>
    <w:p w:rsidR="00C71D16" w:rsidRPr="0001748B" w:rsidRDefault="00C71D16" w:rsidP="00C71D16">
      <w:pPr>
        <w:spacing w:before="1" w:line="235" w:lineRule="exact"/>
        <w:ind w:left="100" w:right="-1085"/>
        <w:rPr>
          <w:rFonts w:eastAsia="Verdana" w:cs="Verdana"/>
          <w:position w:val="-1"/>
          <w:sz w:val="20"/>
          <w:szCs w:val="20"/>
        </w:rPr>
      </w:pPr>
    </w:p>
    <w:p w:rsidR="00C71D16" w:rsidRPr="0001748B" w:rsidRDefault="00C71D16" w:rsidP="00C71D16">
      <w:pPr>
        <w:spacing w:before="1" w:line="235" w:lineRule="exact"/>
        <w:ind w:left="100" w:right="-20"/>
        <w:rPr>
          <w:rFonts w:eastAsia="Verdana" w:cs="Verdana"/>
          <w:position w:val="-1"/>
          <w:sz w:val="20"/>
          <w:szCs w:val="20"/>
        </w:rPr>
      </w:pPr>
    </w:p>
    <w:p w:rsidR="00C71D16" w:rsidRPr="0001748B" w:rsidRDefault="00C71D16" w:rsidP="00C71D16">
      <w:pPr>
        <w:rPr>
          <w:rFonts w:eastAsia="Verdana" w:cs="Verdana"/>
          <w:position w:val="-1"/>
          <w:sz w:val="20"/>
          <w:szCs w:val="20"/>
        </w:rPr>
      </w:pPr>
      <w:r w:rsidRPr="0001748B">
        <w:rPr>
          <w:rFonts w:eastAsia="Verdana" w:cs="Verdana"/>
          <w:position w:val="-1"/>
          <w:sz w:val="20"/>
          <w:szCs w:val="20"/>
        </w:rPr>
        <w:br w:type="page"/>
      </w:r>
    </w:p>
    <w:sdt>
      <w:sdtPr>
        <w:rPr>
          <w:rFonts w:ascii="Verdana" w:eastAsia="Times New Roman" w:hAnsi="Verdana" w:cs="Times New Roman"/>
          <w:b w:val="0"/>
          <w:bCs w:val="0"/>
          <w:color w:val="auto"/>
          <w:sz w:val="16"/>
          <w:szCs w:val="16"/>
          <w:lang w:val="es-CR" w:eastAsia="es-CR"/>
        </w:rPr>
        <w:id w:val="-1797210866"/>
        <w:docPartObj>
          <w:docPartGallery w:val="Table of Contents"/>
          <w:docPartUnique/>
        </w:docPartObj>
      </w:sdtPr>
      <w:sdtEndPr/>
      <w:sdtContent>
        <w:p w:rsidR="00C71D16" w:rsidRPr="00FB7FE9" w:rsidRDefault="00C657BC" w:rsidP="00555BB5">
          <w:pPr>
            <w:pStyle w:val="TOCHeading"/>
            <w:spacing w:before="0" w:after="120" w:line="240" w:lineRule="auto"/>
            <w:rPr>
              <w:rFonts w:ascii="Verdana" w:hAnsi="Verdana"/>
              <w:color w:val="auto"/>
              <w:sz w:val="20"/>
              <w:szCs w:val="16"/>
              <w:lang w:val="es-CR"/>
            </w:rPr>
          </w:pPr>
          <w:r w:rsidRPr="00FB7FE9">
            <w:rPr>
              <w:rFonts w:ascii="Verdana" w:hAnsi="Verdana"/>
              <w:color w:val="auto"/>
              <w:sz w:val="20"/>
              <w:szCs w:val="16"/>
              <w:lang w:val="es-CR"/>
            </w:rPr>
            <w:t>TABLA DE CONTENIDO</w:t>
          </w:r>
        </w:p>
        <w:p w:rsidR="00F25332" w:rsidRPr="00555BB5" w:rsidRDefault="00F25332" w:rsidP="00555BB5">
          <w:pPr>
            <w:spacing w:after="120" w:line="240" w:lineRule="auto"/>
            <w:rPr>
              <w:sz w:val="16"/>
              <w:szCs w:val="16"/>
              <w:lang w:eastAsia="ja-JP"/>
            </w:rPr>
          </w:pPr>
        </w:p>
        <w:p w:rsidR="000F7796" w:rsidRPr="000F7796" w:rsidRDefault="00C71D16" w:rsidP="000F7796">
          <w:pPr>
            <w:pStyle w:val="TOC1"/>
            <w:tabs>
              <w:tab w:val="right" w:leader="dot" w:pos="10070"/>
            </w:tabs>
            <w:spacing w:after="120" w:line="240" w:lineRule="auto"/>
            <w:rPr>
              <w:rFonts w:eastAsiaTheme="minorEastAsia" w:cstheme="minorBidi"/>
              <w:noProof/>
              <w:sz w:val="16"/>
              <w:szCs w:val="16"/>
            </w:rPr>
          </w:pPr>
          <w:r w:rsidRPr="000F7796">
            <w:rPr>
              <w:sz w:val="16"/>
              <w:szCs w:val="16"/>
            </w:rPr>
            <w:fldChar w:fldCharType="begin"/>
          </w:r>
          <w:r w:rsidRPr="000F7796">
            <w:rPr>
              <w:sz w:val="16"/>
              <w:szCs w:val="16"/>
            </w:rPr>
            <w:instrText xml:space="preserve"> TOC \o "1-3" \h \z \u </w:instrText>
          </w:r>
          <w:r w:rsidRPr="000F7796">
            <w:rPr>
              <w:sz w:val="16"/>
              <w:szCs w:val="16"/>
            </w:rPr>
            <w:fldChar w:fldCharType="separate"/>
          </w:r>
          <w:hyperlink w:anchor="_Toc495658645" w:history="1">
            <w:r w:rsidR="000F7796" w:rsidRPr="000F7796">
              <w:rPr>
                <w:rStyle w:val="Hyperlink"/>
                <w:rFonts w:cs="Verdana"/>
                <w:b/>
                <w:bCs/>
                <w:caps/>
                <w:noProof/>
                <w:snapToGrid w:val="0"/>
                <w:sz w:val="16"/>
                <w:szCs w:val="16"/>
              </w:rPr>
              <w:t>I INTRODUCCIÓN DE LA CAUSA y OBJETO DE LA CONTROVERSIA</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_Toc495658645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5</w:t>
            </w:r>
            <w:r w:rsidR="000F7796" w:rsidRPr="000F7796">
              <w:rPr>
                <w:noProof/>
                <w:webHidden/>
                <w:sz w:val="16"/>
                <w:szCs w:val="16"/>
              </w:rPr>
              <w:fldChar w:fldCharType="end"/>
            </w:r>
          </w:hyperlink>
        </w:p>
        <w:p w:rsidR="000F7796" w:rsidRPr="000F7796" w:rsidRDefault="004E3A56" w:rsidP="000F7796">
          <w:pPr>
            <w:pStyle w:val="TOC1"/>
            <w:tabs>
              <w:tab w:val="right" w:leader="dot" w:pos="10070"/>
            </w:tabs>
            <w:spacing w:after="120" w:line="240" w:lineRule="auto"/>
            <w:rPr>
              <w:rFonts w:eastAsiaTheme="minorEastAsia" w:cstheme="minorBidi"/>
              <w:noProof/>
              <w:sz w:val="16"/>
              <w:szCs w:val="16"/>
            </w:rPr>
          </w:pPr>
          <w:hyperlink w:anchor="_Toc495658646" w:history="1">
            <w:r w:rsidR="000F7796" w:rsidRPr="000F7796">
              <w:rPr>
                <w:rStyle w:val="Hyperlink"/>
                <w:rFonts w:cs="Verdana"/>
                <w:b/>
                <w:bCs/>
                <w:caps/>
                <w:noProof/>
                <w:snapToGrid w:val="0"/>
                <w:sz w:val="16"/>
                <w:szCs w:val="16"/>
              </w:rPr>
              <w:t>II PROCEDIMIENTO ANTE LA CORTE</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_Toc495658646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7</w:t>
            </w:r>
            <w:r w:rsidR="000F7796" w:rsidRPr="000F7796">
              <w:rPr>
                <w:noProof/>
                <w:webHidden/>
                <w:sz w:val="16"/>
                <w:szCs w:val="16"/>
              </w:rPr>
              <w:fldChar w:fldCharType="end"/>
            </w:r>
          </w:hyperlink>
        </w:p>
        <w:p w:rsidR="000F7796" w:rsidRPr="000F7796" w:rsidRDefault="004E3A56" w:rsidP="000F7796">
          <w:pPr>
            <w:pStyle w:val="TOC1"/>
            <w:tabs>
              <w:tab w:val="right" w:leader="dot" w:pos="10070"/>
            </w:tabs>
            <w:spacing w:after="120" w:line="240" w:lineRule="auto"/>
            <w:rPr>
              <w:rFonts w:eastAsiaTheme="minorEastAsia" w:cstheme="minorBidi"/>
              <w:noProof/>
              <w:sz w:val="16"/>
              <w:szCs w:val="16"/>
            </w:rPr>
          </w:pPr>
          <w:hyperlink w:anchor="_Toc495658647" w:history="1">
            <w:r w:rsidR="000F7796" w:rsidRPr="000F7796">
              <w:rPr>
                <w:rStyle w:val="Hyperlink"/>
                <w:rFonts w:cs="Verdana"/>
                <w:b/>
                <w:bCs/>
                <w:caps/>
                <w:noProof/>
                <w:snapToGrid w:val="0"/>
                <w:sz w:val="16"/>
                <w:szCs w:val="16"/>
              </w:rPr>
              <w:t>III COMPETENCIA</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_Toc495658647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8</w:t>
            </w:r>
            <w:r w:rsidR="000F7796" w:rsidRPr="000F7796">
              <w:rPr>
                <w:noProof/>
                <w:webHidden/>
                <w:sz w:val="16"/>
                <w:szCs w:val="16"/>
              </w:rPr>
              <w:fldChar w:fldCharType="end"/>
            </w:r>
          </w:hyperlink>
        </w:p>
        <w:p w:rsidR="000F7796" w:rsidRPr="000F7796" w:rsidRDefault="004E3A56" w:rsidP="000F7796">
          <w:pPr>
            <w:pStyle w:val="TOC1"/>
            <w:tabs>
              <w:tab w:val="right" w:leader="dot" w:pos="10070"/>
            </w:tabs>
            <w:spacing w:after="120" w:line="240" w:lineRule="auto"/>
            <w:rPr>
              <w:rFonts w:eastAsiaTheme="minorEastAsia" w:cstheme="minorBidi"/>
              <w:noProof/>
              <w:sz w:val="16"/>
              <w:szCs w:val="16"/>
            </w:rPr>
          </w:pPr>
          <w:hyperlink w:anchor="_Toc495658648" w:history="1">
            <w:r w:rsidR="000F7796" w:rsidRPr="000F7796">
              <w:rPr>
                <w:rStyle w:val="Hyperlink"/>
                <w:rFonts w:cs="Verdana"/>
                <w:b/>
                <w:bCs/>
                <w:caps/>
                <w:noProof/>
                <w:snapToGrid w:val="0"/>
                <w:sz w:val="16"/>
                <w:szCs w:val="16"/>
              </w:rPr>
              <w:t>IV RECONOCIMIENTO DE RESPONSABILIDAD ESTATAL</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_Toc495658648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8</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49" w:history="1">
            <w:r w:rsidR="000F7796" w:rsidRPr="000F7796">
              <w:rPr>
                <w:rStyle w:val="Hyperlink"/>
                <w:rFonts w:eastAsia="MS Mincho"/>
                <w:b/>
                <w:bCs/>
                <w:i/>
                <w:noProof/>
                <w:sz w:val="16"/>
                <w:szCs w:val="16"/>
              </w:rPr>
              <w:t>A.</w:t>
            </w:r>
            <w:r w:rsidR="000F7796" w:rsidRPr="000F7796">
              <w:rPr>
                <w:rFonts w:eastAsiaTheme="minorEastAsia" w:cstheme="minorBidi"/>
                <w:noProof/>
                <w:sz w:val="16"/>
                <w:szCs w:val="16"/>
              </w:rPr>
              <w:tab/>
            </w:r>
            <w:r w:rsidR="000F7796" w:rsidRPr="000F7796">
              <w:rPr>
                <w:rStyle w:val="Hyperlink"/>
                <w:rFonts w:eastAsia="MS Mincho"/>
                <w:b/>
                <w:bCs/>
                <w:i/>
                <w:noProof/>
                <w:sz w:val="16"/>
                <w:szCs w:val="16"/>
              </w:rPr>
              <w:t>Reconocimiento de responsabilidad del Estado y observaciones de la Comisión y de las representantes</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_Toc495658649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8</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50" w:history="1">
            <w:r w:rsidR="000F7796" w:rsidRPr="000F7796">
              <w:rPr>
                <w:rStyle w:val="Hyperlink"/>
                <w:rFonts w:eastAsia="MS Mincho"/>
                <w:b/>
                <w:bCs/>
                <w:i/>
                <w:noProof/>
                <w:sz w:val="16"/>
                <w:szCs w:val="16"/>
              </w:rPr>
              <w:t>B.</w:t>
            </w:r>
            <w:r w:rsidR="000F7796" w:rsidRPr="000F7796">
              <w:rPr>
                <w:rFonts w:eastAsiaTheme="minorEastAsia" w:cstheme="minorBidi"/>
                <w:noProof/>
                <w:sz w:val="16"/>
                <w:szCs w:val="16"/>
              </w:rPr>
              <w:tab/>
            </w:r>
            <w:r w:rsidR="000F7796" w:rsidRPr="000F7796">
              <w:rPr>
                <w:rStyle w:val="Hyperlink"/>
                <w:rFonts w:eastAsia="MS Mincho"/>
                <w:b/>
                <w:bCs/>
                <w:i/>
                <w:noProof/>
                <w:sz w:val="16"/>
                <w:szCs w:val="16"/>
              </w:rPr>
              <w:t>Consideraciones de la Corte</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_Toc495658650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11</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51" w:history="1">
            <w:r w:rsidR="000F7796" w:rsidRPr="000F7796">
              <w:rPr>
                <w:rStyle w:val="Hyperlink"/>
                <w:i/>
                <w:noProof/>
                <w:sz w:val="16"/>
                <w:szCs w:val="16"/>
              </w:rPr>
              <w:t xml:space="preserve">B.1 </w:t>
            </w:r>
            <w:r w:rsidR="000F7796" w:rsidRPr="000F7796">
              <w:rPr>
                <w:rFonts w:eastAsiaTheme="minorEastAsia" w:cstheme="minorBidi"/>
                <w:noProof/>
                <w:sz w:val="16"/>
                <w:szCs w:val="16"/>
              </w:rPr>
              <w:tab/>
            </w:r>
            <w:r w:rsidR="000F7796" w:rsidRPr="000F7796">
              <w:rPr>
                <w:rStyle w:val="Hyperlink"/>
                <w:i/>
                <w:noProof/>
                <w:sz w:val="16"/>
                <w:szCs w:val="16"/>
              </w:rPr>
              <w:t>En cuanto a los hechos</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_Toc495658651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12</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52" w:history="1">
            <w:r w:rsidR="000F7796" w:rsidRPr="000F7796">
              <w:rPr>
                <w:rStyle w:val="Hyperlink"/>
                <w:i/>
                <w:noProof/>
                <w:sz w:val="16"/>
                <w:szCs w:val="16"/>
              </w:rPr>
              <w:t xml:space="preserve">B.2 </w:t>
            </w:r>
            <w:r w:rsidR="000F7796" w:rsidRPr="000F7796">
              <w:rPr>
                <w:rFonts w:eastAsiaTheme="minorEastAsia" w:cstheme="minorBidi"/>
                <w:noProof/>
                <w:sz w:val="16"/>
                <w:szCs w:val="16"/>
              </w:rPr>
              <w:tab/>
            </w:r>
            <w:r w:rsidR="000F7796" w:rsidRPr="000F7796">
              <w:rPr>
                <w:rStyle w:val="Hyperlink"/>
                <w:i/>
                <w:noProof/>
                <w:sz w:val="16"/>
                <w:szCs w:val="16"/>
              </w:rPr>
              <w:t>En cuanto a las pretensiones de derecho</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_Toc495658652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13</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53" w:history="1">
            <w:r w:rsidR="000F7796" w:rsidRPr="000F7796">
              <w:rPr>
                <w:rStyle w:val="Hyperlink"/>
                <w:i/>
                <w:noProof/>
                <w:sz w:val="16"/>
                <w:szCs w:val="16"/>
              </w:rPr>
              <w:t xml:space="preserve">B.3 </w:t>
            </w:r>
            <w:r w:rsidR="000F7796" w:rsidRPr="000F7796">
              <w:rPr>
                <w:rFonts w:eastAsiaTheme="minorEastAsia" w:cstheme="minorBidi"/>
                <w:noProof/>
                <w:sz w:val="16"/>
                <w:szCs w:val="16"/>
              </w:rPr>
              <w:tab/>
            </w:r>
            <w:r w:rsidR="000F7796" w:rsidRPr="000F7796">
              <w:rPr>
                <w:rStyle w:val="Hyperlink"/>
                <w:i/>
                <w:noProof/>
                <w:sz w:val="16"/>
                <w:szCs w:val="16"/>
              </w:rPr>
              <w:t>En cuanto a las reparaciones</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_Toc495658653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15</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54" w:history="1">
            <w:r w:rsidR="000F7796" w:rsidRPr="000F7796">
              <w:rPr>
                <w:rStyle w:val="Hyperlink"/>
                <w:i/>
                <w:noProof/>
                <w:sz w:val="16"/>
                <w:szCs w:val="16"/>
              </w:rPr>
              <w:t xml:space="preserve">B.4 </w:t>
            </w:r>
            <w:r w:rsidR="000F7796" w:rsidRPr="000F7796">
              <w:rPr>
                <w:rFonts w:eastAsiaTheme="minorEastAsia" w:cstheme="minorBidi"/>
                <w:noProof/>
                <w:sz w:val="16"/>
                <w:szCs w:val="16"/>
              </w:rPr>
              <w:tab/>
            </w:r>
            <w:r w:rsidR="000F7796" w:rsidRPr="000F7796">
              <w:rPr>
                <w:rStyle w:val="Hyperlink"/>
                <w:i/>
                <w:noProof/>
                <w:sz w:val="16"/>
                <w:szCs w:val="16"/>
              </w:rPr>
              <w:t>Valoración del alcance del reconocimiento parcial de responsabilidad</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_Toc495658654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15</w:t>
            </w:r>
            <w:r w:rsidR="000F7796" w:rsidRPr="000F7796">
              <w:rPr>
                <w:noProof/>
                <w:webHidden/>
                <w:sz w:val="16"/>
                <w:szCs w:val="16"/>
              </w:rPr>
              <w:fldChar w:fldCharType="end"/>
            </w:r>
          </w:hyperlink>
        </w:p>
        <w:p w:rsidR="000F7796" w:rsidRPr="000F7796" w:rsidRDefault="004E3A56" w:rsidP="000F7796">
          <w:pPr>
            <w:pStyle w:val="TOC1"/>
            <w:tabs>
              <w:tab w:val="right" w:leader="dot" w:pos="10070"/>
            </w:tabs>
            <w:spacing w:after="120" w:line="240" w:lineRule="auto"/>
            <w:rPr>
              <w:rFonts w:eastAsiaTheme="minorEastAsia" w:cstheme="minorBidi"/>
              <w:noProof/>
              <w:sz w:val="16"/>
              <w:szCs w:val="16"/>
            </w:rPr>
          </w:pPr>
          <w:hyperlink w:anchor="_Toc495658655" w:history="1">
            <w:r w:rsidR="000F7796" w:rsidRPr="000F7796">
              <w:rPr>
                <w:rStyle w:val="Hyperlink"/>
                <w:rFonts w:cs="Verdana"/>
                <w:b/>
                <w:bCs/>
                <w:caps/>
                <w:noProof/>
                <w:snapToGrid w:val="0"/>
                <w:sz w:val="16"/>
                <w:szCs w:val="16"/>
              </w:rPr>
              <w:t>V PRUEBA</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_Toc495658655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16</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56" w:history="1">
            <w:r w:rsidR="000F7796" w:rsidRPr="000F7796">
              <w:rPr>
                <w:rStyle w:val="Hyperlink"/>
                <w:rFonts w:eastAsia="MS Mincho"/>
                <w:b/>
                <w:bCs/>
                <w:i/>
                <w:noProof/>
                <w:sz w:val="16"/>
                <w:szCs w:val="16"/>
              </w:rPr>
              <w:t>A.</w:t>
            </w:r>
            <w:r w:rsidR="000F7796" w:rsidRPr="000F7796">
              <w:rPr>
                <w:rFonts w:eastAsiaTheme="minorEastAsia" w:cstheme="minorBidi"/>
                <w:noProof/>
                <w:sz w:val="16"/>
                <w:szCs w:val="16"/>
              </w:rPr>
              <w:tab/>
            </w:r>
            <w:r w:rsidR="000F7796" w:rsidRPr="000F7796">
              <w:rPr>
                <w:rStyle w:val="Hyperlink"/>
                <w:rFonts w:eastAsia="MS Mincho"/>
                <w:b/>
                <w:bCs/>
                <w:i/>
                <w:noProof/>
                <w:sz w:val="16"/>
                <w:szCs w:val="16"/>
              </w:rPr>
              <w:t>Prueba documental, testimonial y pericial</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_Toc495658656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16</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57" w:history="1">
            <w:r w:rsidR="000F7796" w:rsidRPr="000F7796">
              <w:rPr>
                <w:rStyle w:val="Hyperlink"/>
                <w:rFonts w:eastAsia="MS Mincho"/>
                <w:b/>
                <w:bCs/>
                <w:i/>
                <w:noProof/>
                <w:sz w:val="16"/>
                <w:szCs w:val="16"/>
              </w:rPr>
              <w:t xml:space="preserve">B. </w:t>
            </w:r>
            <w:r w:rsidR="000F7796" w:rsidRPr="000F7796">
              <w:rPr>
                <w:rFonts w:eastAsiaTheme="minorEastAsia" w:cstheme="minorBidi"/>
                <w:noProof/>
                <w:sz w:val="16"/>
                <w:szCs w:val="16"/>
              </w:rPr>
              <w:tab/>
            </w:r>
            <w:r w:rsidR="000F7796" w:rsidRPr="000F7796">
              <w:rPr>
                <w:rStyle w:val="Hyperlink"/>
                <w:rFonts w:eastAsia="MS Mincho"/>
                <w:b/>
                <w:bCs/>
                <w:i/>
                <w:noProof/>
                <w:sz w:val="16"/>
                <w:szCs w:val="16"/>
              </w:rPr>
              <w:t>Admisión de la prueba</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_Toc495658657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16</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58" w:history="1">
            <w:r w:rsidR="000F7796" w:rsidRPr="000F7796">
              <w:rPr>
                <w:rStyle w:val="Hyperlink"/>
                <w:i/>
                <w:noProof/>
                <w:sz w:val="16"/>
                <w:szCs w:val="16"/>
              </w:rPr>
              <w:t xml:space="preserve">B.1 </w:t>
            </w:r>
            <w:r w:rsidR="000F7796" w:rsidRPr="000F7796">
              <w:rPr>
                <w:rFonts w:eastAsiaTheme="minorEastAsia" w:cstheme="minorBidi"/>
                <w:noProof/>
                <w:sz w:val="16"/>
                <w:szCs w:val="16"/>
              </w:rPr>
              <w:tab/>
            </w:r>
            <w:r w:rsidR="000F7796" w:rsidRPr="000F7796">
              <w:rPr>
                <w:rStyle w:val="Hyperlink"/>
                <w:i/>
                <w:noProof/>
                <w:sz w:val="16"/>
                <w:szCs w:val="16"/>
              </w:rPr>
              <w:t>Admisión de la prueba documental</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_Toc495658658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16</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59" w:history="1">
            <w:r w:rsidR="000F7796" w:rsidRPr="000F7796">
              <w:rPr>
                <w:rStyle w:val="Hyperlink"/>
                <w:i/>
                <w:noProof/>
                <w:sz w:val="16"/>
                <w:szCs w:val="16"/>
              </w:rPr>
              <w:t xml:space="preserve">B.2 </w:t>
            </w:r>
            <w:r w:rsidR="000F7796" w:rsidRPr="000F7796">
              <w:rPr>
                <w:rFonts w:eastAsiaTheme="minorEastAsia" w:cstheme="minorBidi"/>
                <w:noProof/>
                <w:sz w:val="16"/>
                <w:szCs w:val="16"/>
              </w:rPr>
              <w:tab/>
            </w:r>
            <w:r w:rsidR="000F7796" w:rsidRPr="000F7796">
              <w:rPr>
                <w:rStyle w:val="Hyperlink"/>
                <w:i/>
                <w:noProof/>
                <w:sz w:val="16"/>
                <w:szCs w:val="16"/>
              </w:rPr>
              <w:t>Admisión de las declaraciones y de los dictámenes periciales</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_Toc495658659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17</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60" w:history="1">
            <w:r w:rsidR="000F7796" w:rsidRPr="000F7796">
              <w:rPr>
                <w:rStyle w:val="Hyperlink"/>
                <w:rFonts w:eastAsia="MS Mincho"/>
                <w:b/>
                <w:bCs/>
                <w:i/>
                <w:noProof/>
                <w:sz w:val="16"/>
                <w:szCs w:val="16"/>
              </w:rPr>
              <w:t xml:space="preserve">C. </w:t>
            </w:r>
            <w:r w:rsidR="000F7796" w:rsidRPr="000F7796">
              <w:rPr>
                <w:rFonts w:eastAsiaTheme="minorEastAsia" w:cstheme="minorBidi"/>
                <w:noProof/>
                <w:sz w:val="16"/>
                <w:szCs w:val="16"/>
              </w:rPr>
              <w:tab/>
            </w:r>
            <w:r w:rsidR="000F7796" w:rsidRPr="000F7796">
              <w:rPr>
                <w:rStyle w:val="Hyperlink"/>
                <w:rFonts w:eastAsia="MS Mincho"/>
                <w:b/>
                <w:bCs/>
                <w:i/>
                <w:noProof/>
                <w:sz w:val="16"/>
                <w:szCs w:val="16"/>
              </w:rPr>
              <w:t>Valoración de la prueba</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_Toc495658660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18</w:t>
            </w:r>
            <w:r w:rsidR="000F7796" w:rsidRPr="000F7796">
              <w:rPr>
                <w:noProof/>
                <w:webHidden/>
                <w:sz w:val="16"/>
                <w:szCs w:val="16"/>
              </w:rPr>
              <w:fldChar w:fldCharType="end"/>
            </w:r>
          </w:hyperlink>
        </w:p>
        <w:p w:rsidR="000F7796" w:rsidRPr="000F7796" w:rsidRDefault="004E3A56" w:rsidP="000F7796">
          <w:pPr>
            <w:pStyle w:val="TOC1"/>
            <w:tabs>
              <w:tab w:val="right" w:leader="dot" w:pos="10070"/>
            </w:tabs>
            <w:spacing w:after="120" w:line="240" w:lineRule="auto"/>
            <w:rPr>
              <w:rFonts w:eastAsiaTheme="minorEastAsia" w:cstheme="minorBidi"/>
              <w:noProof/>
              <w:sz w:val="16"/>
              <w:szCs w:val="16"/>
            </w:rPr>
          </w:pPr>
          <w:hyperlink w:anchor="_Toc495658661" w:history="1">
            <w:r w:rsidR="000F7796" w:rsidRPr="000F7796">
              <w:rPr>
                <w:rStyle w:val="Hyperlink"/>
                <w:rFonts w:cs="Verdana"/>
                <w:b/>
                <w:bCs/>
                <w:caps/>
                <w:noProof/>
                <w:snapToGrid w:val="0"/>
                <w:sz w:val="16"/>
                <w:szCs w:val="16"/>
              </w:rPr>
              <w:t>Vi HECHOS</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_Toc495658661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18</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62" w:history="1">
            <w:r w:rsidR="000F7796" w:rsidRPr="000F7796">
              <w:rPr>
                <w:rStyle w:val="Hyperlink"/>
                <w:rFonts w:eastAsia="Batang" w:cs="Arial"/>
                <w:b/>
                <w:i/>
                <w:noProof/>
                <w:sz w:val="16"/>
                <w:szCs w:val="16"/>
                <w:lang w:eastAsia="en-US"/>
              </w:rPr>
              <w:t>A.</w:t>
            </w:r>
            <w:r w:rsidR="000F7796" w:rsidRPr="000F7796">
              <w:rPr>
                <w:rFonts w:eastAsiaTheme="minorEastAsia" w:cstheme="minorBidi"/>
                <w:noProof/>
                <w:sz w:val="16"/>
                <w:szCs w:val="16"/>
              </w:rPr>
              <w:tab/>
            </w:r>
            <w:r w:rsidR="000F7796" w:rsidRPr="000F7796">
              <w:rPr>
                <w:rStyle w:val="Hyperlink"/>
                <w:rFonts w:eastAsia="Batang" w:cs="Arial"/>
                <w:b/>
                <w:i/>
                <w:noProof/>
                <w:sz w:val="16"/>
                <w:szCs w:val="16"/>
                <w:lang w:eastAsia="en-US"/>
              </w:rPr>
              <w:t>Sobre Johan Alexis Ortiz Hernández y su grupo familiar</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_Toc495658662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18</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63" w:history="1">
            <w:r w:rsidR="000F7796" w:rsidRPr="000F7796">
              <w:rPr>
                <w:rStyle w:val="Hyperlink"/>
                <w:rFonts w:eastAsia="Batang" w:cs="Arial"/>
                <w:b/>
                <w:i/>
                <w:noProof/>
                <w:sz w:val="16"/>
                <w:szCs w:val="16"/>
                <w:lang w:eastAsia="en-US"/>
              </w:rPr>
              <w:t>B.</w:t>
            </w:r>
            <w:r w:rsidR="000F7796" w:rsidRPr="000F7796">
              <w:rPr>
                <w:rFonts w:eastAsiaTheme="minorEastAsia" w:cstheme="minorBidi"/>
                <w:noProof/>
                <w:sz w:val="16"/>
                <w:szCs w:val="16"/>
              </w:rPr>
              <w:tab/>
            </w:r>
            <w:r w:rsidR="000F7796" w:rsidRPr="000F7796">
              <w:rPr>
                <w:rStyle w:val="Hyperlink"/>
                <w:rFonts w:eastAsia="Batang" w:cs="Arial"/>
                <w:b/>
                <w:i/>
                <w:noProof/>
                <w:sz w:val="16"/>
                <w:szCs w:val="16"/>
                <w:lang w:eastAsia="en-US"/>
              </w:rPr>
              <w:t>El “I Curso Anti-subversivo” y la práctica denominada “cancha anti-subversiva”</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_Toc495658663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19</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64" w:history="1">
            <w:r w:rsidR="000F7796" w:rsidRPr="000F7796">
              <w:rPr>
                <w:rStyle w:val="Hyperlink"/>
                <w:rFonts w:eastAsia="Batang" w:cs="Arial"/>
                <w:b/>
                <w:i/>
                <w:noProof/>
                <w:sz w:val="16"/>
                <w:szCs w:val="16"/>
                <w:lang w:eastAsia="en-US"/>
              </w:rPr>
              <w:t>C.</w:t>
            </w:r>
            <w:r w:rsidR="000F7796" w:rsidRPr="000F7796">
              <w:rPr>
                <w:rFonts w:eastAsiaTheme="minorEastAsia" w:cstheme="minorBidi"/>
                <w:noProof/>
                <w:sz w:val="16"/>
                <w:szCs w:val="16"/>
              </w:rPr>
              <w:tab/>
            </w:r>
            <w:r w:rsidR="000F7796" w:rsidRPr="000F7796">
              <w:rPr>
                <w:rStyle w:val="Hyperlink"/>
                <w:rFonts w:eastAsia="Batang" w:cs="Arial"/>
                <w:b/>
                <w:i/>
                <w:noProof/>
                <w:sz w:val="16"/>
                <w:szCs w:val="16"/>
                <w:lang w:eastAsia="en-US"/>
              </w:rPr>
              <w:t>Sobre lo ocurrido el 15 de febrero de 1998</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_Toc495658664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21</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65" w:history="1">
            <w:r w:rsidR="000F7796" w:rsidRPr="000F7796">
              <w:rPr>
                <w:rStyle w:val="Hyperlink"/>
                <w:rFonts w:eastAsia="Batang" w:cs="Arial"/>
                <w:b/>
                <w:i/>
                <w:noProof/>
                <w:sz w:val="16"/>
                <w:szCs w:val="16"/>
                <w:lang w:eastAsia="en-US"/>
              </w:rPr>
              <w:t>D.</w:t>
            </w:r>
            <w:r w:rsidR="000F7796" w:rsidRPr="000F7796">
              <w:rPr>
                <w:rFonts w:eastAsiaTheme="minorEastAsia" w:cstheme="minorBidi"/>
                <w:noProof/>
                <w:sz w:val="16"/>
                <w:szCs w:val="16"/>
              </w:rPr>
              <w:tab/>
            </w:r>
            <w:r w:rsidR="000F7796" w:rsidRPr="000F7796">
              <w:rPr>
                <w:rStyle w:val="Hyperlink"/>
                <w:rFonts w:eastAsia="Batang" w:cs="Arial"/>
                <w:b/>
                <w:i/>
                <w:noProof/>
                <w:sz w:val="16"/>
                <w:szCs w:val="16"/>
                <w:lang w:eastAsia="en-US"/>
              </w:rPr>
              <w:t>El traslado, la asistencia médica y la autopsia</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_Toc495658665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23</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66" w:history="1">
            <w:r w:rsidR="000F7796" w:rsidRPr="000F7796">
              <w:rPr>
                <w:rStyle w:val="Hyperlink"/>
                <w:rFonts w:eastAsia="Batang" w:cs="Arial"/>
                <w:b/>
                <w:i/>
                <w:noProof/>
                <w:sz w:val="16"/>
                <w:szCs w:val="16"/>
                <w:lang w:eastAsia="en-US"/>
              </w:rPr>
              <w:t>E.</w:t>
            </w:r>
            <w:r w:rsidR="000F7796" w:rsidRPr="000F7796">
              <w:rPr>
                <w:rFonts w:eastAsiaTheme="minorEastAsia" w:cstheme="minorBidi"/>
                <w:noProof/>
                <w:sz w:val="16"/>
                <w:szCs w:val="16"/>
              </w:rPr>
              <w:tab/>
            </w:r>
            <w:r w:rsidR="000F7796" w:rsidRPr="000F7796">
              <w:rPr>
                <w:rStyle w:val="Hyperlink"/>
                <w:rFonts w:eastAsia="Batang" w:cs="Arial"/>
                <w:b/>
                <w:i/>
                <w:noProof/>
                <w:sz w:val="16"/>
                <w:szCs w:val="16"/>
                <w:lang w:eastAsia="en-US"/>
              </w:rPr>
              <w:t>La comunicación a los padres y la entrega del cuerpo a su familia</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_Toc495658666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27</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67" w:history="1">
            <w:r w:rsidR="000F7796" w:rsidRPr="000F7796">
              <w:rPr>
                <w:rStyle w:val="Hyperlink"/>
                <w:rFonts w:eastAsia="Batang" w:cs="Arial"/>
                <w:b/>
                <w:i/>
                <w:noProof/>
                <w:sz w:val="16"/>
                <w:szCs w:val="16"/>
                <w:lang w:eastAsia="en-US"/>
              </w:rPr>
              <w:t>F.</w:t>
            </w:r>
            <w:r w:rsidR="000F7796" w:rsidRPr="000F7796">
              <w:rPr>
                <w:rFonts w:eastAsiaTheme="minorEastAsia" w:cstheme="minorBidi"/>
                <w:noProof/>
                <w:sz w:val="16"/>
                <w:szCs w:val="16"/>
              </w:rPr>
              <w:tab/>
            </w:r>
            <w:r w:rsidR="000F7796" w:rsidRPr="000F7796">
              <w:rPr>
                <w:rStyle w:val="Hyperlink"/>
                <w:rFonts w:eastAsia="Batang" w:cs="Arial"/>
                <w:b/>
                <w:i/>
                <w:noProof/>
                <w:sz w:val="16"/>
                <w:szCs w:val="16"/>
                <w:lang w:eastAsia="en-US"/>
              </w:rPr>
              <w:t>La investigación de los hechos en el fuero militar y en la jurisdicción ordinaria</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_Toc495658667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27</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68" w:history="1">
            <w:r w:rsidR="000F7796" w:rsidRPr="000F7796">
              <w:rPr>
                <w:rStyle w:val="Hyperlink"/>
                <w:rFonts w:eastAsia="Batang" w:cs="Arial"/>
                <w:b/>
                <w:i/>
                <w:noProof/>
                <w:sz w:val="16"/>
                <w:szCs w:val="16"/>
                <w:lang w:eastAsia="en-US"/>
              </w:rPr>
              <w:t>G.</w:t>
            </w:r>
            <w:r w:rsidR="000F7796" w:rsidRPr="000F7796">
              <w:rPr>
                <w:rFonts w:eastAsiaTheme="minorEastAsia" w:cstheme="minorBidi"/>
                <w:noProof/>
                <w:sz w:val="16"/>
                <w:szCs w:val="16"/>
              </w:rPr>
              <w:tab/>
            </w:r>
            <w:r w:rsidR="000F7796" w:rsidRPr="000F7796">
              <w:rPr>
                <w:rStyle w:val="Hyperlink"/>
                <w:rFonts w:eastAsia="Batang" w:cs="Arial"/>
                <w:b/>
                <w:i/>
                <w:noProof/>
                <w:sz w:val="16"/>
                <w:szCs w:val="16"/>
                <w:lang w:eastAsia="en-US"/>
              </w:rPr>
              <w:t>La intervención de los padres de Ortiz Hernández en la investigación</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_Toc495658668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32</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69" w:history="1">
            <w:r w:rsidR="000F7796" w:rsidRPr="000F7796">
              <w:rPr>
                <w:rStyle w:val="Hyperlink"/>
                <w:rFonts w:eastAsia="Batang" w:cs="Arial"/>
                <w:b/>
                <w:i/>
                <w:noProof/>
                <w:sz w:val="16"/>
                <w:szCs w:val="16"/>
                <w:lang w:eastAsia="en-US"/>
              </w:rPr>
              <w:t>H.</w:t>
            </w:r>
            <w:r w:rsidR="000F7796" w:rsidRPr="000F7796">
              <w:rPr>
                <w:rFonts w:eastAsiaTheme="minorEastAsia" w:cstheme="minorBidi"/>
                <w:noProof/>
                <w:sz w:val="16"/>
                <w:szCs w:val="16"/>
              </w:rPr>
              <w:tab/>
            </w:r>
            <w:r w:rsidR="000F7796" w:rsidRPr="000F7796">
              <w:rPr>
                <w:rStyle w:val="Hyperlink"/>
                <w:rFonts w:eastAsia="Batang" w:cs="Arial"/>
                <w:b/>
                <w:i/>
                <w:noProof/>
                <w:sz w:val="16"/>
                <w:szCs w:val="16"/>
                <w:lang w:eastAsia="en-US"/>
              </w:rPr>
              <w:t>Las amenazas y hostigamiento recibidos por los familiares de Ortiz Hernández</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_Toc495658669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33</w:t>
            </w:r>
            <w:r w:rsidR="000F7796" w:rsidRPr="000F7796">
              <w:rPr>
                <w:noProof/>
                <w:webHidden/>
                <w:sz w:val="16"/>
                <w:szCs w:val="16"/>
              </w:rPr>
              <w:fldChar w:fldCharType="end"/>
            </w:r>
          </w:hyperlink>
        </w:p>
        <w:p w:rsidR="000F7796" w:rsidRPr="000F7796" w:rsidRDefault="004E3A56" w:rsidP="000F7796">
          <w:pPr>
            <w:pStyle w:val="TOC1"/>
            <w:tabs>
              <w:tab w:val="right" w:leader="dot" w:pos="10070"/>
            </w:tabs>
            <w:spacing w:after="120" w:line="240" w:lineRule="auto"/>
            <w:rPr>
              <w:rFonts w:eastAsiaTheme="minorEastAsia" w:cstheme="minorBidi"/>
              <w:noProof/>
              <w:sz w:val="16"/>
              <w:szCs w:val="16"/>
            </w:rPr>
          </w:pPr>
          <w:hyperlink w:anchor="_Toc495658670" w:history="1">
            <w:r w:rsidR="000F7796" w:rsidRPr="000F7796">
              <w:rPr>
                <w:rStyle w:val="Hyperlink"/>
                <w:rFonts w:cs="Verdana"/>
                <w:b/>
                <w:bCs/>
                <w:caps/>
                <w:noProof/>
                <w:snapToGrid w:val="0"/>
                <w:sz w:val="16"/>
                <w:szCs w:val="16"/>
              </w:rPr>
              <w:t>VII fondo</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_Toc495658670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34</w:t>
            </w:r>
            <w:r w:rsidR="000F7796" w:rsidRPr="000F7796">
              <w:rPr>
                <w:noProof/>
                <w:webHidden/>
                <w:sz w:val="16"/>
                <w:szCs w:val="16"/>
              </w:rPr>
              <w:fldChar w:fldCharType="end"/>
            </w:r>
          </w:hyperlink>
        </w:p>
        <w:p w:rsidR="000F7796" w:rsidRPr="000F7796" w:rsidRDefault="004E3A56" w:rsidP="000F7796">
          <w:pPr>
            <w:pStyle w:val="TOC1"/>
            <w:tabs>
              <w:tab w:val="right" w:leader="dot" w:pos="10070"/>
            </w:tabs>
            <w:spacing w:after="120" w:line="240" w:lineRule="auto"/>
            <w:rPr>
              <w:rFonts w:eastAsiaTheme="minorEastAsia" w:cstheme="minorBidi"/>
              <w:noProof/>
              <w:sz w:val="16"/>
              <w:szCs w:val="16"/>
            </w:rPr>
          </w:pPr>
          <w:hyperlink w:anchor="_Toc495658671" w:history="1">
            <w:r w:rsidR="000F7796" w:rsidRPr="000F7796">
              <w:rPr>
                <w:rStyle w:val="Hyperlink"/>
                <w:rFonts w:cs="Arial"/>
                <w:b/>
                <w:bCs/>
                <w:caps/>
                <w:noProof/>
                <w:sz w:val="16"/>
                <w:szCs w:val="16"/>
                <w:lang w:eastAsia="en-US"/>
              </w:rPr>
              <w:t>VII-1 derechoS a la VIDA Y A LA INTEGRIDAD personal de johan alexis ortiz hernández en relación con la obligación de respetar y garantizar los derechos</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_Toc495658671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34</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72" w:history="1">
            <w:r w:rsidR="000F7796" w:rsidRPr="000F7796">
              <w:rPr>
                <w:rStyle w:val="Hyperlink"/>
                <w:rFonts w:eastAsia="MS Mincho" w:cs="Arial"/>
                <w:b/>
                <w:bCs/>
                <w:i/>
                <w:noProof/>
                <w:sz w:val="16"/>
                <w:szCs w:val="16"/>
                <w:lang w:eastAsia="en-US"/>
              </w:rPr>
              <w:t>A.</w:t>
            </w:r>
            <w:r w:rsidR="000F7796" w:rsidRPr="000F7796">
              <w:rPr>
                <w:rFonts w:eastAsiaTheme="minorEastAsia" w:cstheme="minorBidi"/>
                <w:noProof/>
                <w:sz w:val="16"/>
                <w:szCs w:val="16"/>
              </w:rPr>
              <w:tab/>
            </w:r>
            <w:r w:rsidR="000F7796" w:rsidRPr="000F7796">
              <w:rPr>
                <w:rStyle w:val="Hyperlink"/>
                <w:rFonts w:eastAsia="MS Mincho" w:cs="Arial"/>
                <w:b/>
                <w:bCs/>
                <w:i/>
                <w:noProof/>
                <w:sz w:val="16"/>
                <w:szCs w:val="16"/>
                <w:lang w:eastAsia="en-US"/>
              </w:rPr>
              <w:t>Argumentos de las partes y de la Comisión</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_Toc495658672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34</w:t>
            </w:r>
            <w:r w:rsidR="000F7796" w:rsidRPr="000F7796">
              <w:rPr>
                <w:noProof/>
                <w:webHidden/>
                <w:sz w:val="16"/>
                <w:szCs w:val="16"/>
              </w:rPr>
              <w:fldChar w:fldCharType="end"/>
            </w:r>
          </w:hyperlink>
        </w:p>
        <w:p w:rsidR="000F7796" w:rsidRPr="000F7796" w:rsidRDefault="004E3A56" w:rsidP="000F7796">
          <w:pPr>
            <w:pStyle w:val="TOC3"/>
            <w:rPr>
              <w:rFonts w:eastAsiaTheme="minorEastAsia" w:cstheme="minorBidi"/>
              <w:noProof/>
              <w:sz w:val="16"/>
              <w:szCs w:val="16"/>
            </w:rPr>
          </w:pPr>
          <w:hyperlink w:anchor="_Toc495658673" w:history="1">
            <w:r w:rsidR="000F7796" w:rsidRPr="000F7796">
              <w:rPr>
                <w:rStyle w:val="Hyperlink"/>
                <w:rFonts w:eastAsiaTheme="minorHAnsi"/>
                <w:i/>
                <w:noProof/>
                <w:sz w:val="16"/>
                <w:szCs w:val="16"/>
                <w:lang w:eastAsia="en-US"/>
              </w:rPr>
              <w:t>A.1</w:t>
            </w:r>
            <w:r w:rsidR="000F7796" w:rsidRPr="000F7796">
              <w:rPr>
                <w:rFonts w:eastAsiaTheme="minorEastAsia" w:cstheme="minorBidi"/>
                <w:noProof/>
                <w:sz w:val="16"/>
                <w:szCs w:val="16"/>
              </w:rPr>
              <w:tab/>
            </w:r>
            <w:r w:rsidR="000F7796" w:rsidRPr="000F7796">
              <w:rPr>
                <w:rStyle w:val="Hyperlink"/>
                <w:rFonts w:eastAsiaTheme="minorHAnsi"/>
                <w:i/>
                <w:noProof/>
                <w:sz w:val="16"/>
                <w:szCs w:val="16"/>
                <w:lang w:eastAsia="en-US"/>
              </w:rPr>
              <w:t>Argumentos sobre el derecho a la vida (artículo 4.1 de la Convención Americana)</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_Toc495658673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34</w:t>
            </w:r>
            <w:r w:rsidR="000F7796" w:rsidRPr="000F7796">
              <w:rPr>
                <w:noProof/>
                <w:webHidden/>
                <w:sz w:val="16"/>
                <w:szCs w:val="16"/>
              </w:rPr>
              <w:fldChar w:fldCharType="end"/>
            </w:r>
          </w:hyperlink>
        </w:p>
        <w:p w:rsidR="000F7796" w:rsidRPr="000F7796" w:rsidRDefault="004E3A56" w:rsidP="000F7796">
          <w:pPr>
            <w:pStyle w:val="TOC3"/>
            <w:rPr>
              <w:rFonts w:eastAsiaTheme="minorEastAsia" w:cstheme="minorBidi"/>
              <w:noProof/>
              <w:sz w:val="16"/>
              <w:szCs w:val="16"/>
            </w:rPr>
          </w:pPr>
          <w:hyperlink w:anchor="_Toc495658674" w:history="1">
            <w:r w:rsidR="000F7796" w:rsidRPr="000F7796">
              <w:rPr>
                <w:rStyle w:val="Hyperlink"/>
                <w:rFonts w:eastAsiaTheme="minorHAnsi"/>
                <w:i/>
                <w:noProof/>
                <w:sz w:val="16"/>
                <w:szCs w:val="16"/>
                <w:lang w:eastAsia="en-US"/>
              </w:rPr>
              <w:t>A.2</w:t>
            </w:r>
            <w:r w:rsidR="000F7796" w:rsidRPr="000F7796">
              <w:rPr>
                <w:rFonts w:eastAsiaTheme="minorEastAsia" w:cstheme="minorBidi"/>
                <w:noProof/>
                <w:sz w:val="16"/>
                <w:szCs w:val="16"/>
              </w:rPr>
              <w:tab/>
            </w:r>
            <w:r w:rsidR="000F7796" w:rsidRPr="000F7796">
              <w:rPr>
                <w:rStyle w:val="Hyperlink"/>
                <w:rFonts w:eastAsiaTheme="minorHAnsi"/>
                <w:i/>
                <w:noProof/>
                <w:sz w:val="16"/>
                <w:szCs w:val="16"/>
                <w:lang w:eastAsia="en-US"/>
              </w:rPr>
              <w:t>Argumentos sobre el derecho a la integridad personal en relación con la atención en salud (artículo 5.1 de la Convención Americana)</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_Toc495658674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36</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75" w:history="1">
            <w:r w:rsidR="000F7796" w:rsidRPr="000F7796">
              <w:rPr>
                <w:rStyle w:val="Hyperlink"/>
                <w:rFonts w:eastAsia="MS Mincho" w:cs="Arial"/>
                <w:b/>
                <w:bCs/>
                <w:i/>
                <w:noProof/>
                <w:sz w:val="16"/>
                <w:szCs w:val="16"/>
                <w:lang w:eastAsia="en-US"/>
              </w:rPr>
              <w:t>B.</w:t>
            </w:r>
            <w:r w:rsidR="000F7796" w:rsidRPr="000F7796">
              <w:rPr>
                <w:rFonts w:eastAsiaTheme="minorEastAsia" w:cstheme="minorBidi"/>
                <w:noProof/>
                <w:sz w:val="16"/>
                <w:szCs w:val="16"/>
              </w:rPr>
              <w:tab/>
            </w:r>
            <w:r w:rsidR="000F7796" w:rsidRPr="000F7796">
              <w:rPr>
                <w:rStyle w:val="Hyperlink"/>
                <w:rFonts w:eastAsia="MS Mincho" w:cs="Arial"/>
                <w:b/>
                <w:bCs/>
                <w:i/>
                <w:noProof/>
                <w:sz w:val="16"/>
                <w:szCs w:val="16"/>
                <w:lang w:eastAsia="en-US"/>
              </w:rPr>
              <w:t>Consideraciones de la Corte</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_Toc495658675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36</w:t>
            </w:r>
            <w:r w:rsidR="000F7796" w:rsidRPr="000F7796">
              <w:rPr>
                <w:noProof/>
                <w:webHidden/>
                <w:sz w:val="16"/>
                <w:szCs w:val="16"/>
              </w:rPr>
              <w:fldChar w:fldCharType="end"/>
            </w:r>
          </w:hyperlink>
        </w:p>
        <w:p w:rsidR="000F7796" w:rsidRPr="000F7796" w:rsidRDefault="004E3A56" w:rsidP="000F7796">
          <w:pPr>
            <w:pStyle w:val="TOC3"/>
            <w:rPr>
              <w:rFonts w:eastAsiaTheme="minorEastAsia" w:cstheme="minorBidi"/>
              <w:noProof/>
              <w:sz w:val="16"/>
              <w:szCs w:val="16"/>
            </w:rPr>
          </w:pPr>
          <w:hyperlink w:anchor="_Toc495658676" w:history="1">
            <w:r w:rsidR="000F7796" w:rsidRPr="000F7796">
              <w:rPr>
                <w:rStyle w:val="Hyperlink"/>
                <w:rFonts w:eastAsiaTheme="minorHAnsi"/>
                <w:i/>
                <w:noProof/>
                <w:sz w:val="16"/>
                <w:szCs w:val="16"/>
                <w:lang w:eastAsia="en-US"/>
              </w:rPr>
              <w:t xml:space="preserve">B.1 </w:t>
            </w:r>
            <w:r w:rsidR="000F7796" w:rsidRPr="000F7796">
              <w:rPr>
                <w:rFonts w:eastAsiaTheme="minorEastAsia" w:cstheme="minorBidi"/>
                <w:noProof/>
                <w:sz w:val="16"/>
                <w:szCs w:val="16"/>
              </w:rPr>
              <w:tab/>
            </w:r>
            <w:r w:rsidR="000F7796" w:rsidRPr="000F7796">
              <w:rPr>
                <w:rStyle w:val="Hyperlink"/>
                <w:rFonts w:eastAsiaTheme="minorHAnsi"/>
                <w:i/>
                <w:noProof/>
                <w:sz w:val="16"/>
                <w:szCs w:val="16"/>
                <w:lang w:eastAsia="en-US"/>
              </w:rPr>
              <w:t>El derecho a la vida y a la integridad personal</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_Toc495658676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36</w:t>
            </w:r>
            <w:r w:rsidR="000F7796" w:rsidRPr="000F7796">
              <w:rPr>
                <w:noProof/>
                <w:webHidden/>
                <w:sz w:val="16"/>
                <w:szCs w:val="16"/>
              </w:rPr>
              <w:fldChar w:fldCharType="end"/>
            </w:r>
          </w:hyperlink>
        </w:p>
        <w:p w:rsidR="000F7796" w:rsidRPr="000F7796" w:rsidRDefault="004E3A56" w:rsidP="000F7796">
          <w:pPr>
            <w:pStyle w:val="TOC3"/>
            <w:rPr>
              <w:rFonts w:eastAsiaTheme="minorEastAsia" w:cstheme="minorBidi"/>
              <w:noProof/>
              <w:sz w:val="16"/>
              <w:szCs w:val="16"/>
            </w:rPr>
          </w:pPr>
          <w:hyperlink w:anchor="_Toc495658677" w:history="1">
            <w:r w:rsidR="000F7796" w:rsidRPr="000F7796">
              <w:rPr>
                <w:rStyle w:val="Hyperlink"/>
                <w:rFonts w:eastAsiaTheme="minorHAnsi"/>
                <w:i/>
                <w:noProof/>
                <w:sz w:val="16"/>
                <w:szCs w:val="16"/>
                <w:lang w:eastAsia="en-US"/>
              </w:rPr>
              <w:t xml:space="preserve">B.2 </w:t>
            </w:r>
            <w:r w:rsidR="000F7796" w:rsidRPr="000F7796">
              <w:rPr>
                <w:rFonts w:eastAsiaTheme="minorEastAsia" w:cstheme="minorBidi"/>
                <w:noProof/>
                <w:sz w:val="16"/>
                <w:szCs w:val="16"/>
              </w:rPr>
              <w:tab/>
            </w:r>
            <w:r w:rsidR="000F7796" w:rsidRPr="000F7796">
              <w:rPr>
                <w:rStyle w:val="Hyperlink"/>
                <w:rFonts w:eastAsiaTheme="minorHAnsi"/>
                <w:i/>
                <w:noProof/>
                <w:sz w:val="16"/>
                <w:szCs w:val="16"/>
                <w:lang w:eastAsia="en-US"/>
              </w:rPr>
              <w:t>El derecho a la vida y a la integridad personal en el contexto militar</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_Toc495658677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37</w:t>
            </w:r>
            <w:r w:rsidR="000F7796" w:rsidRPr="000F7796">
              <w:rPr>
                <w:noProof/>
                <w:webHidden/>
                <w:sz w:val="16"/>
                <w:szCs w:val="16"/>
              </w:rPr>
              <w:fldChar w:fldCharType="end"/>
            </w:r>
          </w:hyperlink>
        </w:p>
        <w:p w:rsidR="000F7796" w:rsidRPr="000F7796" w:rsidRDefault="004E3A56" w:rsidP="000F7796">
          <w:pPr>
            <w:pStyle w:val="TOC3"/>
            <w:rPr>
              <w:rFonts w:eastAsiaTheme="minorEastAsia" w:cstheme="minorBidi"/>
              <w:noProof/>
              <w:sz w:val="16"/>
              <w:szCs w:val="16"/>
            </w:rPr>
          </w:pPr>
          <w:hyperlink w:anchor="_Toc495658678" w:history="1">
            <w:r w:rsidR="000F7796" w:rsidRPr="000F7796">
              <w:rPr>
                <w:rStyle w:val="Hyperlink"/>
                <w:rFonts w:eastAsiaTheme="minorHAnsi"/>
                <w:i/>
                <w:noProof/>
                <w:sz w:val="16"/>
                <w:szCs w:val="16"/>
                <w:lang w:eastAsia="en-US"/>
              </w:rPr>
              <w:t xml:space="preserve">B.3 </w:t>
            </w:r>
            <w:r w:rsidR="000F7796" w:rsidRPr="000F7796">
              <w:rPr>
                <w:rFonts w:eastAsiaTheme="minorEastAsia" w:cstheme="minorBidi"/>
                <w:noProof/>
                <w:sz w:val="16"/>
                <w:szCs w:val="16"/>
              </w:rPr>
              <w:tab/>
            </w:r>
            <w:r w:rsidR="000F7796" w:rsidRPr="000F7796">
              <w:rPr>
                <w:rStyle w:val="Hyperlink"/>
                <w:rFonts w:eastAsiaTheme="minorHAnsi"/>
                <w:i/>
                <w:noProof/>
                <w:sz w:val="16"/>
                <w:szCs w:val="16"/>
                <w:lang w:eastAsia="en-US"/>
              </w:rPr>
              <w:t>La atribución de responsabilidad por la violación del derecho a la vida y a la integridad personal en el caso en concreto</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_Toc495658678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38</w:t>
            </w:r>
            <w:r w:rsidR="000F7796" w:rsidRPr="000F7796">
              <w:rPr>
                <w:noProof/>
                <w:webHidden/>
                <w:sz w:val="16"/>
                <w:szCs w:val="16"/>
              </w:rPr>
              <w:fldChar w:fldCharType="end"/>
            </w:r>
          </w:hyperlink>
        </w:p>
        <w:p w:rsidR="000F7796" w:rsidRPr="000F7796" w:rsidRDefault="004E3A56" w:rsidP="000F7796">
          <w:pPr>
            <w:pStyle w:val="TOC3"/>
            <w:rPr>
              <w:rFonts w:eastAsiaTheme="minorEastAsia" w:cstheme="minorBidi"/>
              <w:noProof/>
              <w:sz w:val="16"/>
              <w:szCs w:val="16"/>
            </w:rPr>
          </w:pPr>
          <w:hyperlink w:anchor="_Toc495658679" w:history="1">
            <w:r w:rsidR="000F7796" w:rsidRPr="000F7796">
              <w:rPr>
                <w:rStyle w:val="Hyperlink"/>
                <w:rFonts w:eastAsiaTheme="minorHAnsi"/>
                <w:i/>
                <w:noProof/>
                <w:sz w:val="16"/>
                <w:szCs w:val="16"/>
                <w:lang w:eastAsia="en-US"/>
              </w:rPr>
              <w:t>i)</w:t>
            </w:r>
            <w:r w:rsidR="000F7796" w:rsidRPr="000F7796">
              <w:rPr>
                <w:rFonts w:eastAsiaTheme="minorEastAsia" w:cstheme="minorBidi"/>
                <w:noProof/>
                <w:sz w:val="16"/>
                <w:szCs w:val="16"/>
              </w:rPr>
              <w:tab/>
            </w:r>
            <w:r w:rsidR="000F7796" w:rsidRPr="000F7796">
              <w:rPr>
                <w:rStyle w:val="Hyperlink"/>
                <w:rFonts w:eastAsiaTheme="minorHAnsi"/>
                <w:i/>
                <w:noProof/>
                <w:sz w:val="16"/>
                <w:szCs w:val="16"/>
                <w:lang w:eastAsia="en-US"/>
              </w:rPr>
              <w:t>La regulación, planificación y puesta en práctica del entrenamiento</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_Toc495658679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39</w:t>
            </w:r>
            <w:r w:rsidR="000F7796" w:rsidRPr="000F7796">
              <w:rPr>
                <w:noProof/>
                <w:webHidden/>
                <w:sz w:val="16"/>
                <w:szCs w:val="16"/>
              </w:rPr>
              <w:fldChar w:fldCharType="end"/>
            </w:r>
          </w:hyperlink>
        </w:p>
        <w:p w:rsidR="000F7796" w:rsidRPr="000F7796" w:rsidRDefault="004E3A56" w:rsidP="000F7796">
          <w:pPr>
            <w:pStyle w:val="TOC3"/>
            <w:rPr>
              <w:rFonts w:eastAsiaTheme="minorEastAsia" w:cstheme="minorBidi"/>
              <w:noProof/>
              <w:sz w:val="16"/>
              <w:szCs w:val="16"/>
            </w:rPr>
          </w:pPr>
          <w:hyperlink w:anchor="_Toc495658680" w:history="1">
            <w:r w:rsidR="000F7796" w:rsidRPr="000F7796">
              <w:rPr>
                <w:rStyle w:val="Hyperlink"/>
                <w:rFonts w:eastAsiaTheme="minorHAnsi"/>
                <w:i/>
                <w:noProof/>
                <w:sz w:val="16"/>
                <w:szCs w:val="16"/>
                <w:lang w:eastAsia="en-US"/>
              </w:rPr>
              <w:t>ii)</w:t>
            </w:r>
            <w:r w:rsidR="000F7796" w:rsidRPr="000F7796">
              <w:rPr>
                <w:rFonts w:eastAsiaTheme="minorEastAsia" w:cstheme="minorBidi"/>
                <w:noProof/>
                <w:sz w:val="16"/>
                <w:szCs w:val="16"/>
              </w:rPr>
              <w:tab/>
            </w:r>
            <w:r w:rsidR="000F7796" w:rsidRPr="000F7796">
              <w:rPr>
                <w:rStyle w:val="Hyperlink"/>
                <w:rFonts w:eastAsiaTheme="minorHAnsi"/>
                <w:i/>
                <w:noProof/>
                <w:sz w:val="16"/>
                <w:szCs w:val="16"/>
                <w:lang w:eastAsia="en-US"/>
              </w:rPr>
              <w:t>La atención médica oportuna y adecuada</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_Toc495658680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41</w:t>
            </w:r>
            <w:r w:rsidR="000F7796" w:rsidRPr="000F7796">
              <w:rPr>
                <w:noProof/>
                <w:webHidden/>
                <w:sz w:val="16"/>
                <w:szCs w:val="16"/>
              </w:rPr>
              <w:fldChar w:fldCharType="end"/>
            </w:r>
          </w:hyperlink>
        </w:p>
        <w:p w:rsidR="000F7796" w:rsidRPr="000F7796" w:rsidRDefault="004E3A56" w:rsidP="000F7796">
          <w:pPr>
            <w:pStyle w:val="TOC3"/>
            <w:rPr>
              <w:rFonts w:eastAsiaTheme="minorEastAsia" w:cstheme="minorBidi"/>
              <w:noProof/>
              <w:sz w:val="16"/>
              <w:szCs w:val="16"/>
            </w:rPr>
          </w:pPr>
          <w:hyperlink w:anchor="_Toc495658681" w:history="1">
            <w:r w:rsidR="000F7796" w:rsidRPr="000F7796">
              <w:rPr>
                <w:rStyle w:val="Hyperlink"/>
                <w:rFonts w:eastAsiaTheme="minorHAnsi"/>
                <w:i/>
                <w:noProof/>
                <w:sz w:val="16"/>
                <w:szCs w:val="16"/>
                <w:lang w:eastAsia="en-US"/>
              </w:rPr>
              <w:t xml:space="preserve">iii) </w:t>
            </w:r>
            <w:r w:rsidR="000F7796" w:rsidRPr="000F7796">
              <w:rPr>
                <w:rFonts w:eastAsiaTheme="minorEastAsia" w:cstheme="minorBidi"/>
                <w:noProof/>
                <w:sz w:val="16"/>
                <w:szCs w:val="16"/>
              </w:rPr>
              <w:tab/>
            </w:r>
            <w:r w:rsidR="000F7796" w:rsidRPr="000F7796">
              <w:rPr>
                <w:rStyle w:val="Hyperlink"/>
                <w:rFonts w:eastAsiaTheme="minorHAnsi"/>
                <w:i/>
                <w:noProof/>
                <w:sz w:val="16"/>
                <w:szCs w:val="16"/>
                <w:lang w:eastAsia="en-US"/>
              </w:rPr>
              <w:t>La privación arbitraria de la vida</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_Toc495658681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43</w:t>
            </w:r>
            <w:r w:rsidR="000F7796" w:rsidRPr="000F7796">
              <w:rPr>
                <w:noProof/>
                <w:webHidden/>
                <w:sz w:val="16"/>
                <w:szCs w:val="16"/>
              </w:rPr>
              <w:fldChar w:fldCharType="end"/>
            </w:r>
          </w:hyperlink>
        </w:p>
        <w:p w:rsidR="000F7796" w:rsidRPr="000F7796" w:rsidRDefault="004E3A56" w:rsidP="000F7796">
          <w:pPr>
            <w:pStyle w:val="TOC3"/>
            <w:rPr>
              <w:rFonts w:eastAsiaTheme="minorEastAsia" w:cstheme="minorBidi"/>
              <w:noProof/>
              <w:sz w:val="16"/>
              <w:szCs w:val="16"/>
            </w:rPr>
          </w:pPr>
          <w:hyperlink w:anchor="_Toc495658682" w:history="1">
            <w:r w:rsidR="000F7796" w:rsidRPr="000F7796">
              <w:rPr>
                <w:rStyle w:val="Hyperlink"/>
                <w:rFonts w:eastAsiaTheme="minorHAnsi"/>
                <w:i/>
                <w:noProof/>
                <w:sz w:val="16"/>
                <w:szCs w:val="16"/>
                <w:lang w:eastAsia="en-US"/>
              </w:rPr>
              <w:t>B.4</w:t>
            </w:r>
            <w:r w:rsidR="000F7796" w:rsidRPr="000F7796">
              <w:rPr>
                <w:rFonts w:eastAsiaTheme="minorEastAsia" w:cstheme="minorBidi"/>
                <w:noProof/>
                <w:sz w:val="16"/>
                <w:szCs w:val="16"/>
              </w:rPr>
              <w:tab/>
            </w:r>
            <w:r w:rsidR="000F7796" w:rsidRPr="000F7796">
              <w:rPr>
                <w:rStyle w:val="Hyperlink"/>
                <w:rFonts w:eastAsiaTheme="minorHAnsi"/>
                <w:i/>
                <w:noProof/>
                <w:sz w:val="16"/>
                <w:szCs w:val="16"/>
                <w:lang w:eastAsia="en-US"/>
              </w:rPr>
              <w:t>Conclusión</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_Toc495658682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46</w:t>
            </w:r>
            <w:r w:rsidR="000F7796" w:rsidRPr="000F7796">
              <w:rPr>
                <w:noProof/>
                <w:webHidden/>
                <w:sz w:val="16"/>
                <w:szCs w:val="16"/>
              </w:rPr>
              <w:fldChar w:fldCharType="end"/>
            </w:r>
          </w:hyperlink>
        </w:p>
        <w:p w:rsidR="000F7796" w:rsidRPr="000F7796" w:rsidRDefault="004E3A56" w:rsidP="000F7796">
          <w:pPr>
            <w:pStyle w:val="TOC1"/>
            <w:tabs>
              <w:tab w:val="right" w:leader="dot" w:pos="10070"/>
            </w:tabs>
            <w:spacing w:after="120" w:line="240" w:lineRule="auto"/>
            <w:rPr>
              <w:rFonts w:eastAsiaTheme="minorEastAsia" w:cstheme="minorBidi"/>
              <w:noProof/>
              <w:sz w:val="16"/>
              <w:szCs w:val="16"/>
            </w:rPr>
          </w:pPr>
          <w:hyperlink w:anchor="_Toc495658683" w:history="1">
            <w:r w:rsidR="000F7796" w:rsidRPr="000F7796">
              <w:rPr>
                <w:rStyle w:val="Hyperlink"/>
                <w:rFonts w:cs="Arial"/>
                <w:b/>
                <w:bCs/>
                <w:caps/>
                <w:noProof/>
                <w:sz w:val="16"/>
                <w:szCs w:val="16"/>
                <w:lang w:eastAsia="en-US"/>
              </w:rPr>
              <w:t>VII-2 derechoS a las garantías judiciales y protección judicial RESPECTO de Zaida Hernández de Arellano y Edgar Humberto Ortiz Ruiz en relación con la obligación de respetar y garantizar los derechos y de adoptar disposiciones de derecho interno</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_Toc495658683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47</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84" w:history="1">
            <w:r w:rsidR="000F7796" w:rsidRPr="000F7796">
              <w:rPr>
                <w:rStyle w:val="Hyperlink"/>
                <w:rFonts w:eastAsia="MS Mincho" w:cs="Arial"/>
                <w:b/>
                <w:bCs/>
                <w:i/>
                <w:noProof/>
                <w:sz w:val="16"/>
                <w:szCs w:val="16"/>
                <w:lang w:eastAsia="en-US"/>
              </w:rPr>
              <w:t xml:space="preserve">A. </w:t>
            </w:r>
            <w:r w:rsidR="000F7796" w:rsidRPr="000F7796">
              <w:rPr>
                <w:rFonts w:eastAsiaTheme="minorEastAsia" w:cstheme="minorBidi"/>
                <w:noProof/>
                <w:sz w:val="16"/>
                <w:szCs w:val="16"/>
              </w:rPr>
              <w:tab/>
            </w:r>
            <w:r w:rsidR="000F7796" w:rsidRPr="000F7796">
              <w:rPr>
                <w:rStyle w:val="Hyperlink"/>
                <w:rFonts w:eastAsia="MS Mincho" w:cs="Arial"/>
                <w:b/>
                <w:bCs/>
                <w:i/>
                <w:noProof/>
                <w:sz w:val="16"/>
                <w:szCs w:val="16"/>
                <w:lang w:eastAsia="en-US"/>
              </w:rPr>
              <w:t>Argumentos de las partes y de la Comisión</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_Toc495658684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47</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85" w:history="1">
            <w:r w:rsidR="000F7796" w:rsidRPr="000F7796">
              <w:rPr>
                <w:rStyle w:val="Hyperlink"/>
                <w:i/>
                <w:noProof/>
                <w:sz w:val="16"/>
                <w:szCs w:val="16"/>
              </w:rPr>
              <w:t xml:space="preserve">A.1 </w:t>
            </w:r>
            <w:r w:rsidR="000F7796" w:rsidRPr="000F7796">
              <w:rPr>
                <w:rFonts w:eastAsiaTheme="minorEastAsia" w:cstheme="minorBidi"/>
                <w:noProof/>
                <w:sz w:val="16"/>
                <w:szCs w:val="16"/>
              </w:rPr>
              <w:tab/>
            </w:r>
            <w:r w:rsidR="000F7796" w:rsidRPr="000F7796">
              <w:rPr>
                <w:rStyle w:val="Hyperlink"/>
                <w:i/>
                <w:noProof/>
                <w:sz w:val="16"/>
                <w:szCs w:val="16"/>
              </w:rPr>
              <w:t>Alegatos</w:t>
            </w:r>
            <w:r w:rsidR="000F7796" w:rsidRPr="000F7796">
              <w:rPr>
                <w:rStyle w:val="Hyperlink"/>
                <w:rFonts w:eastAsiaTheme="minorHAnsi"/>
                <w:i/>
                <w:noProof/>
                <w:sz w:val="16"/>
                <w:szCs w:val="16"/>
                <w:lang w:eastAsia="en-US"/>
              </w:rPr>
              <w:t xml:space="preserve"> en relación con la incompatibilidad del fuero militar para juzgar violaciones de derechos humanos</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_Toc495658685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47</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86" w:history="1">
            <w:r w:rsidR="000F7796" w:rsidRPr="000F7796">
              <w:rPr>
                <w:rStyle w:val="Hyperlink"/>
                <w:i/>
                <w:noProof/>
                <w:sz w:val="16"/>
                <w:szCs w:val="16"/>
              </w:rPr>
              <w:t xml:space="preserve">A.2 </w:t>
            </w:r>
            <w:r w:rsidR="000F7796" w:rsidRPr="000F7796">
              <w:rPr>
                <w:rFonts w:eastAsiaTheme="minorEastAsia" w:cstheme="minorBidi"/>
                <w:noProof/>
                <w:sz w:val="16"/>
                <w:szCs w:val="16"/>
              </w:rPr>
              <w:tab/>
            </w:r>
            <w:r w:rsidR="000F7796" w:rsidRPr="000F7796">
              <w:rPr>
                <w:rStyle w:val="Hyperlink"/>
                <w:i/>
                <w:noProof/>
                <w:sz w:val="16"/>
                <w:szCs w:val="16"/>
              </w:rPr>
              <w:t>Alegatos</w:t>
            </w:r>
            <w:r w:rsidR="000F7796" w:rsidRPr="000F7796">
              <w:rPr>
                <w:rStyle w:val="Hyperlink"/>
                <w:rFonts w:eastAsiaTheme="minorHAnsi"/>
                <w:i/>
                <w:noProof/>
                <w:sz w:val="16"/>
                <w:szCs w:val="16"/>
                <w:lang w:eastAsia="en-US"/>
              </w:rPr>
              <w:t xml:space="preserve"> en relación con el deber de debida diligencia y plazo razonable</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_Toc495658686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47</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87" w:history="1">
            <w:r w:rsidR="000F7796" w:rsidRPr="000F7796">
              <w:rPr>
                <w:rStyle w:val="Hyperlink"/>
                <w:rFonts w:eastAsia="MS Mincho" w:cs="Arial"/>
                <w:b/>
                <w:bCs/>
                <w:i/>
                <w:noProof/>
                <w:sz w:val="16"/>
                <w:szCs w:val="16"/>
                <w:lang w:eastAsia="en-US"/>
              </w:rPr>
              <w:t xml:space="preserve">B. </w:t>
            </w:r>
            <w:r w:rsidR="000F7796" w:rsidRPr="000F7796">
              <w:rPr>
                <w:rFonts w:eastAsiaTheme="minorEastAsia" w:cstheme="minorBidi"/>
                <w:noProof/>
                <w:sz w:val="16"/>
                <w:szCs w:val="16"/>
              </w:rPr>
              <w:tab/>
            </w:r>
            <w:r w:rsidR="000F7796" w:rsidRPr="000F7796">
              <w:rPr>
                <w:rStyle w:val="Hyperlink"/>
                <w:rFonts w:eastAsia="MS Mincho" w:cs="Arial"/>
                <w:b/>
                <w:bCs/>
                <w:i/>
                <w:noProof/>
                <w:sz w:val="16"/>
                <w:szCs w:val="16"/>
                <w:lang w:eastAsia="en-US"/>
              </w:rPr>
              <w:t>Consideraciones de la Corte</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_Toc495658687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48</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88" w:history="1">
            <w:r w:rsidR="000F7796" w:rsidRPr="000F7796">
              <w:rPr>
                <w:rStyle w:val="Hyperlink"/>
                <w:rFonts w:eastAsiaTheme="minorHAnsi"/>
                <w:i/>
                <w:noProof/>
                <w:sz w:val="16"/>
                <w:szCs w:val="16"/>
                <w:lang w:eastAsia="en-US"/>
              </w:rPr>
              <w:t xml:space="preserve">B.1 </w:t>
            </w:r>
            <w:r w:rsidR="000F7796" w:rsidRPr="000F7796">
              <w:rPr>
                <w:rFonts w:eastAsiaTheme="minorEastAsia" w:cstheme="minorBidi"/>
                <w:noProof/>
                <w:sz w:val="16"/>
                <w:szCs w:val="16"/>
              </w:rPr>
              <w:tab/>
            </w:r>
            <w:r w:rsidR="000F7796" w:rsidRPr="000F7796">
              <w:rPr>
                <w:rStyle w:val="Hyperlink"/>
                <w:rFonts w:eastAsiaTheme="minorHAnsi"/>
                <w:i/>
                <w:noProof/>
                <w:sz w:val="16"/>
                <w:szCs w:val="16"/>
                <w:lang w:eastAsia="en-US"/>
              </w:rPr>
              <w:t>Incompatibilidad del fuero militar para juzgar violaciones de derechos humanos</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_Toc495658688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50</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89" w:history="1">
            <w:r w:rsidR="000F7796" w:rsidRPr="000F7796">
              <w:rPr>
                <w:rStyle w:val="Hyperlink"/>
                <w:rFonts w:eastAsiaTheme="minorHAnsi"/>
                <w:i/>
                <w:noProof/>
                <w:sz w:val="16"/>
                <w:szCs w:val="16"/>
                <w:lang w:eastAsia="en-US"/>
              </w:rPr>
              <w:t xml:space="preserve">B.2 </w:t>
            </w:r>
            <w:r w:rsidR="000F7796" w:rsidRPr="000F7796">
              <w:rPr>
                <w:rFonts w:eastAsiaTheme="minorEastAsia" w:cstheme="minorBidi"/>
                <w:noProof/>
                <w:sz w:val="16"/>
                <w:szCs w:val="16"/>
              </w:rPr>
              <w:tab/>
            </w:r>
            <w:r w:rsidR="000F7796" w:rsidRPr="000F7796">
              <w:rPr>
                <w:rStyle w:val="Hyperlink"/>
                <w:rFonts w:eastAsiaTheme="minorHAnsi"/>
                <w:i/>
                <w:noProof/>
                <w:sz w:val="16"/>
                <w:szCs w:val="16"/>
                <w:lang w:eastAsia="en-US"/>
              </w:rPr>
              <w:t>Debida diligencia en la investigación</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_Toc495658689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52</w:t>
            </w:r>
            <w:r w:rsidR="000F7796" w:rsidRPr="000F7796">
              <w:rPr>
                <w:noProof/>
                <w:webHidden/>
                <w:sz w:val="16"/>
                <w:szCs w:val="16"/>
              </w:rPr>
              <w:fldChar w:fldCharType="end"/>
            </w:r>
          </w:hyperlink>
        </w:p>
        <w:p w:rsidR="000F7796" w:rsidRPr="000F7796" w:rsidRDefault="004E3A56" w:rsidP="000F7796">
          <w:pPr>
            <w:pStyle w:val="TOC1"/>
            <w:tabs>
              <w:tab w:val="right" w:leader="dot" w:pos="10070"/>
            </w:tabs>
            <w:spacing w:after="120" w:line="240" w:lineRule="auto"/>
            <w:rPr>
              <w:rFonts w:eastAsiaTheme="minorEastAsia" w:cstheme="minorBidi"/>
              <w:noProof/>
              <w:sz w:val="16"/>
              <w:szCs w:val="16"/>
            </w:rPr>
          </w:pPr>
          <w:hyperlink w:anchor="_Toc495658690" w:history="1">
            <w:r w:rsidR="000F7796" w:rsidRPr="000F7796">
              <w:rPr>
                <w:rStyle w:val="Hyperlink"/>
                <w:rFonts w:cs="Arial"/>
                <w:b/>
                <w:bCs/>
                <w:caps/>
                <w:noProof/>
                <w:sz w:val="16"/>
                <w:szCs w:val="16"/>
                <w:lang w:eastAsia="en-US"/>
              </w:rPr>
              <w:t>VII-3 derecho A LA INTEGRIDAD personal DE LOS FAMILIARES en relación con la obligación de respetar los derechos</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_Toc495658690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57</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91" w:history="1">
            <w:r w:rsidR="000F7796" w:rsidRPr="000F7796">
              <w:rPr>
                <w:rStyle w:val="Hyperlink"/>
                <w:rFonts w:eastAsia="MS Mincho" w:cs="Arial"/>
                <w:b/>
                <w:bCs/>
                <w:i/>
                <w:noProof/>
                <w:sz w:val="16"/>
                <w:szCs w:val="16"/>
                <w:lang w:eastAsia="en-US"/>
              </w:rPr>
              <w:t>A.</w:t>
            </w:r>
            <w:r w:rsidR="000F7796" w:rsidRPr="000F7796">
              <w:rPr>
                <w:rFonts w:eastAsiaTheme="minorEastAsia" w:cstheme="minorBidi"/>
                <w:noProof/>
                <w:sz w:val="16"/>
                <w:szCs w:val="16"/>
              </w:rPr>
              <w:tab/>
            </w:r>
            <w:r w:rsidR="000F7796" w:rsidRPr="000F7796">
              <w:rPr>
                <w:rStyle w:val="Hyperlink"/>
                <w:rFonts w:eastAsia="MS Mincho" w:cs="Arial"/>
                <w:b/>
                <w:bCs/>
                <w:i/>
                <w:noProof/>
                <w:sz w:val="16"/>
                <w:szCs w:val="16"/>
                <w:lang w:eastAsia="en-US"/>
              </w:rPr>
              <w:t>Argumentos de las partes y de la Comisión</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_Toc495658691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57</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92" w:history="1">
            <w:r w:rsidR="000F7796" w:rsidRPr="000F7796">
              <w:rPr>
                <w:rStyle w:val="Hyperlink"/>
                <w:rFonts w:eastAsia="MS Mincho" w:cs="Arial"/>
                <w:b/>
                <w:bCs/>
                <w:i/>
                <w:noProof/>
                <w:sz w:val="16"/>
                <w:szCs w:val="16"/>
                <w:lang w:eastAsia="en-US"/>
              </w:rPr>
              <w:t>B.</w:t>
            </w:r>
            <w:r w:rsidR="000F7796" w:rsidRPr="000F7796">
              <w:rPr>
                <w:rFonts w:eastAsiaTheme="minorEastAsia" w:cstheme="minorBidi"/>
                <w:noProof/>
                <w:sz w:val="16"/>
                <w:szCs w:val="16"/>
              </w:rPr>
              <w:tab/>
            </w:r>
            <w:r w:rsidR="000F7796" w:rsidRPr="000F7796">
              <w:rPr>
                <w:rStyle w:val="Hyperlink"/>
                <w:rFonts w:eastAsia="MS Mincho" w:cs="Arial"/>
                <w:b/>
                <w:bCs/>
                <w:i/>
                <w:noProof/>
                <w:sz w:val="16"/>
                <w:szCs w:val="16"/>
                <w:lang w:eastAsia="en-US"/>
              </w:rPr>
              <w:t>Consideraciones de la Corte</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_Toc495658692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58</w:t>
            </w:r>
            <w:r w:rsidR="000F7796" w:rsidRPr="000F7796">
              <w:rPr>
                <w:noProof/>
                <w:webHidden/>
                <w:sz w:val="16"/>
                <w:szCs w:val="16"/>
              </w:rPr>
              <w:fldChar w:fldCharType="end"/>
            </w:r>
          </w:hyperlink>
        </w:p>
        <w:p w:rsidR="000F7796" w:rsidRPr="000F7796" w:rsidRDefault="004E3A56" w:rsidP="000F7796">
          <w:pPr>
            <w:pStyle w:val="TOC1"/>
            <w:tabs>
              <w:tab w:val="right" w:leader="dot" w:pos="10070"/>
            </w:tabs>
            <w:spacing w:after="120" w:line="240" w:lineRule="auto"/>
            <w:rPr>
              <w:rFonts w:eastAsiaTheme="minorEastAsia" w:cstheme="minorBidi"/>
              <w:noProof/>
              <w:sz w:val="16"/>
              <w:szCs w:val="16"/>
            </w:rPr>
          </w:pPr>
          <w:hyperlink w:anchor="_Toc495658693" w:history="1">
            <w:r w:rsidR="000F7796" w:rsidRPr="000F7796">
              <w:rPr>
                <w:rStyle w:val="Hyperlink"/>
                <w:rFonts w:cs="Verdana"/>
                <w:b/>
                <w:bCs/>
                <w:caps/>
                <w:noProof/>
                <w:snapToGrid w:val="0"/>
                <w:sz w:val="16"/>
                <w:szCs w:val="16"/>
              </w:rPr>
              <w:t>VIII REPARACIONES (</w:t>
            </w:r>
            <w:r w:rsidR="000F7796" w:rsidRPr="000F7796">
              <w:rPr>
                <w:rStyle w:val="Hyperlink"/>
                <w:rFonts w:cs="Verdana"/>
                <w:b/>
                <w:bCs/>
                <w:noProof/>
                <w:snapToGrid w:val="0"/>
                <w:sz w:val="16"/>
                <w:szCs w:val="16"/>
              </w:rPr>
              <w:t>Aplicación del artículo 63.1 de la Convención Americana</w:t>
            </w:r>
            <w:r w:rsidR="000F7796" w:rsidRPr="000F7796">
              <w:rPr>
                <w:rStyle w:val="Hyperlink"/>
                <w:rFonts w:cs="Verdana"/>
                <w:b/>
                <w:bCs/>
                <w:caps/>
                <w:noProof/>
                <w:snapToGrid w:val="0"/>
                <w:sz w:val="16"/>
                <w:szCs w:val="16"/>
              </w:rPr>
              <w:t>)</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_Toc495658693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59</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94" w:history="1">
            <w:r w:rsidR="000F7796" w:rsidRPr="000F7796">
              <w:rPr>
                <w:rStyle w:val="Hyperlink"/>
                <w:rFonts w:eastAsia="MS Mincho"/>
                <w:b/>
                <w:bCs/>
                <w:i/>
                <w:noProof/>
                <w:sz w:val="16"/>
                <w:szCs w:val="16"/>
              </w:rPr>
              <w:t>A.</w:t>
            </w:r>
            <w:r w:rsidR="000F7796" w:rsidRPr="000F7796">
              <w:rPr>
                <w:rFonts w:eastAsiaTheme="minorEastAsia" w:cstheme="minorBidi"/>
                <w:noProof/>
                <w:sz w:val="16"/>
                <w:szCs w:val="16"/>
              </w:rPr>
              <w:tab/>
            </w:r>
            <w:r w:rsidR="000F7796" w:rsidRPr="000F7796">
              <w:rPr>
                <w:rStyle w:val="Hyperlink"/>
                <w:rFonts w:eastAsia="MS Mincho"/>
                <w:b/>
                <w:bCs/>
                <w:i/>
                <w:noProof/>
                <w:sz w:val="16"/>
                <w:szCs w:val="16"/>
              </w:rPr>
              <w:t>Parte Lesionada</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_Toc495658694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60</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95" w:history="1">
            <w:r w:rsidR="000F7796" w:rsidRPr="000F7796">
              <w:rPr>
                <w:rStyle w:val="Hyperlink"/>
                <w:rFonts w:eastAsia="MS Mincho"/>
                <w:b/>
                <w:bCs/>
                <w:i/>
                <w:noProof/>
                <w:sz w:val="16"/>
                <w:szCs w:val="16"/>
              </w:rPr>
              <w:t>B.</w:t>
            </w:r>
            <w:r w:rsidR="000F7796" w:rsidRPr="000F7796">
              <w:rPr>
                <w:rFonts w:eastAsiaTheme="minorEastAsia" w:cstheme="minorBidi"/>
                <w:noProof/>
                <w:sz w:val="16"/>
                <w:szCs w:val="16"/>
              </w:rPr>
              <w:tab/>
            </w:r>
            <w:r w:rsidR="000F7796" w:rsidRPr="000F7796">
              <w:rPr>
                <w:rStyle w:val="Hyperlink"/>
                <w:rFonts w:eastAsia="MS Mincho"/>
                <w:b/>
                <w:bCs/>
                <w:i/>
                <w:noProof/>
                <w:sz w:val="16"/>
                <w:szCs w:val="16"/>
              </w:rPr>
              <w:t>Obligación de investigar los hechos e identificar, juzgar y, en su caso, sancionar a los responsables</w:t>
            </w:r>
            <w:r w:rsidR="000F7796" w:rsidRPr="000F7796">
              <w:rPr>
                <w:noProof/>
                <w:webHidden/>
                <w:sz w:val="16"/>
                <w:szCs w:val="16"/>
              </w:rPr>
              <w:tab/>
            </w:r>
            <w:r w:rsidR="000F7796">
              <w:rPr>
                <w:noProof/>
                <w:webHidden/>
                <w:sz w:val="16"/>
                <w:szCs w:val="16"/>
              </w:rPr>
              <w:tab/>
            </w:r>
            <w:r w:rsid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_Toc495658695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60</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96" w:history="1">
            <w:r w:rsidR="000F7796" w:rsidRPr="000F7796">
              <w:rPr>
                <w:rStyle w:val="Hyperlink"/>
                <w:rFonts w:eastAsia="MS Mincho"/>
                <w:b/>
                <w:bCs/>
                <w:i/>
                <w:noProof/>
                <w:sz w:val="16"/>
                <w:szCs w:val="16"/>
              </w:rPr>
              <w:t>C.</w:t>
            </w:r>
            <w:r w:rsidR="000F7796" w:rsidRPr="000F7796">
              <w:rPr>
                <w:rFonts w:eastAsiaTheme="minorEastAsia" w:cstheme="minorBidi"/>
                <w:noProof/>
                <w:sz w:val="16"/>
                <w:szCs w:val="16"/>
              </w:rPr>
              <w:tab/>
            </w:r>
            <w:r w:rsidR="000F7796" w:rsidRPr="000F7796">
              <w:rPr>
                <w:rStyle w:val="Hyperlink"/>
                <w:rFonts w:eastAsia="MS Mincho"/>
                <w:b/>
                <w:bCs/>
                <w:i/>
                <w:noProof/>
                <w:sz w:val="16"/>
                <w:szCs w:val="16"/>
              </w:rPr>
              <w:t>Medidas de rehabilitación, satisfacción y garantías de no repetición</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_Toc495658696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62</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97" w:history="1">
            <w:r w:rsidR="000F7796" w:rsidRPr="000F7796">
              <w:rPr>
                <w:rStyle w:val="Hyperlink"/>
                <w:i/>
                <w:noProof/>
                <w:sz w:val="16"/>
                <w:szCs w:val="16"/>
              </w:rPr>
              <w:t xml:space="preserve">C.1 </w:t>
            </w:r>
            <w:r w:rsidR="000F7796" w:rsidRPr="000F7796">
              <w:rPr>
                <w:rFonts w:eastAsiaTheme="minorEastAsia" w:cstheme="minorBidi"/>
                <w:noProof/>
                <w:sz w:val="16"/>
                <w:szCs w:val="16"/>
              </w:rPr>
              <w:tab/>
            </w:r>
            <w:r w:rsidR="000F7796" w:rsidRPr="000F7796">
              <w:rPr>
                <w:rStyle w:val="Hyperlink"/>
                <w:i/>
                <w:noProof/>
                <w:sz w:val="16"/>
                <w:szCs w:val="16"/>
              </w:rPr>
              <w:t>Rehabilitación</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_Toc495658697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62</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98" w:history="1">
            <w:r w:rsidR="000F7796" w:rsidRPr="000F7796">
              <w:rPr>
                <w:rStyle w:val="Hyperlink"/>
                <w:i/>
                <w:noProof/>
                <w:sz w:val="16"/>
                <w:szCs w:val="16"/>
              </w:rPr>
              <w:t xml:space="preserve">C.2 </w:t>
            </w:r>
            <w:r w:rsidR="000F7796" w:rsidRPr="000F7796">
              <w:rPr>
                <w:rFonts w:eastAsiaTheme="minorEastAsia" w:cstheme="minorBidi"/>
                <w:noProof/>
                <w:sz w:val="16"/>
                <w:szCs w:val="16"/>
              </w:rPr>
              <w:tab/>
            </w:r>
            <w:r w:rsidR="000F7796" w:rsidRPr="000F7796">
              <w:rPr>
                <w:rStyle w:val="Hyperlink"/>
                <w:i/>
                <w:noProof/>
                <w:sz w:val="16"/>
                <w:szCs w:val="16"/>
              </w:rPr>
              <w:t>Satisfacción</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_Toc495658698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63</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699" w:history="1">
            <w:r w:rsidR="000F7796" w:rsidRPr="000F7796">
              <w:rPr>
                <w:rStyle w:val="Hyperlink"/>
                <w:i/>
                <w:noProof/>
                <w:sz w:val="16"/>
                <w:szCs w:val="16"/>
              </w:rPr>
              <w:t xml:space="preserve">C.3 </w:t>
            </w:r>
            <w:r w:rsidR="000F7796" w:rsidRPr="000F7796">
              <w:rPr>
                <w:rFonts w:eastAsiaTheme="minorEastAsia" w:cstheme="minorBidi"/>
                <w:noProof/>
                <w:sz w:val="16"/>
                <w:szCs w:val="16"/>
              </w:rPr>
              <w:tab/>
            </w:r>
            <w:r w:rsidR="000F7796" w:rsidRPr="000F7796">
              <w:rPr>
                <w:rStyle w:val="Hyperlink"/>
                <w:i/>
                <w:noProof/>
                <w:sz w:val="16"/>
                <w:szCs w:val="16"/>
              </w:rPr>
              <w:t>Garantías de no repetición</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_Toc495658699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65</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700" w:history="1">
            <w:r w:rsidR="000F7796" w:rsidRPr="000F7796">
              <w:rPr>
                <w:rStyle w:val="Hyperlink"/>
                <w:i/>
                <w:noProof/>
                <w:sz w:val="16"/>
                <w:szCs w:val="16"/>
              </w:rPr>
              <w:t xml:space="preserve">C.4 </w:t>
            </w:r>
            <w:r w:rsidR="000F7796" w:rsidRPr="000F7796">
              <w:rPr>
                <w:rFonts w:eastAsiaTheme="minorEastAsia" w:cstheme="minorBidi"/>
                <w:noProof/>
                <w:sz w:val="16"/>
                <w:szCs w:val="16"/>
              </w:rPr>
              <w:tab/>
            </w:r>
            <w:r w:rsidR="000F7796" w:rsidRPr="000F7796">
              <w:rPr>
                <w:rStyle w:val="Hyperlink"/>
                <w:i/>
                <w:noProof/>
                <w:sz w:val="16"/>
                <w:szCs w:val="16"/>
              </w:rPr>
              <w:t>Otras medidas solicitadas</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_Toc495658700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66</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701" w:history="1">
            <w:r w:rsidR="000F7796" w:rsidRPr="000F7796">
              <w:rPr>
                <w:rStyle w:val="Hyperlink"/>
                <w:rFonts w:eastAsia="MS Mincho"/>
                <w:b/>
                <w:bCs/>
                <w:i/>
                <w:noProof/>
                <w:sz w:val="16"/>
                <w:szCs w:val="16"/>
              </w:rPr>
              <w:t>D.</w:t>
            </w:r>
            <w:r w:rsidR="000F7796" w:rsidRPr="000F7796">
              <w:rPr>
                <w:rFonts w:eastAsiaTheme="minorEastAsia" w:cstheme="minorBidi"/>
                <w:noProof/>
                <w:sz w:val="16"/>
                <w:szCs w:val="16"/>
              </w:rPr>
              <w:tab/>
            </w:r>
            <w:r w:rsidR="000F7796" w:rsidRPr="000F7796">
              <w:rPr>
                <w:rStyle w:val="Hyperlink"/>
                <w:rFonts w:eastAsia="MS Mincho"/>
                <w:b/>
                <w:bCs/>
                <w:i/>
                <w:noProof/>
                <w:sz w:val="16"/>
                <w:szCs w:val="16"/>
              </w:rPr>
              <w:t>Indemnizaciones compensatorias</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_Toc495658701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68</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702" w:history="1">
            <w:r w:rsidR="000F7796" w:rsidRPr="000F7796">
              <w:rPr>
                <w:rStyle w:val="Hyperlink"/>
                <w:i/>
                <w:noProof/>
                <w:sz w:val="16"/>
                <w:szCs w:val="16"/>
              </w:rPr>
              <w:t>D.1</w:t>
            </w:r>
            <w:r w:rsidR="000F7796" w:rsidRPr="000F7796">
              <w:rPr>
                <w:rFonts w:eastAsiaTheme="minorEastAsia" w:cstheme="minorBidi"/>
                <w:noProof/>
                <w:sz w:val="16"/>
                <w:szCs w:val="16"/>
              </w:rPr>
              <w:tab/>
            </w:r>
            <w:r w:rsidR="000F7796" w:rsidRPr="000F7796">
              <w:rPr>
                <w:rStyle w:val="Hyperlink"/>
                <w:i/>
                <w:noProof/>
                <w:sz w:val="16"/>
                <w:szCs w:val="16"/>
              </w:rPr>
              <w:t>Daño material</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_Toc495658702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69</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703" w:history="1">
            <w:r w:rsidR="000F7796" w:rsidRPr="000F7796">
              <w:rPr>
                <w:rStyle w:val="Hyperlink"/>
                <w:i/>
                <w:noProof/>
                <w:sz w:val="16"/>
                <w:szCs w:val="16"/>
              </w:rPr>
              <w:t>D.2</w:t>
            </w:r>
            <w:r w:rsidR="000F7796" w:rsidRPr="000F7796">
              <w:rPr>
                <w:rFonts w:eastAsiaTheme="minorEastAsia" w:cstheme="minorBidi"/>
                <w:noProof/>
                <w:sz w:val="16"/>
                <w:szCs w:val="16"/>
              </w:rPr>
              <w:tab/>
            </w:r>
            <w:r w:rsidR="000F7796" w:rsidRPr="000F7796">
              <w:rPr>
                <w:rStyle w:val="Hyperlink"/>
                <w:i/>
                <w:noProof/>
                <w:sz w:val="16"/>
                <w:szCs w:val="16"/>
              </w:rPr>
              <w:t>Daño inmaterial</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_Toc495658703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72</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704" w:history="1">
            <w:r w:rsidR="000F7796" w:rsidRPr="000F7796">
              <w:rPr>
                <w:rStyle w:val="Hyperlink"/>
                <w:rFonts w:eastAsia="MS Mincho"/>
                <w:b/>
                <w:bCs/>
                <w:i/>
                <w:noProof/>
                <w:sz w:val="16"/>
                <w:szCs w:val="16"/>
              </w:rPr>
              <w:t>E.</w:t>
            </w:r>
            <w:r w:rsidR="000F7796" w:rsidRPr="000F7796">
              <w:rPr>
                <w:rFonts w:eastAsiaTheme="minorEastAsia" w:cstheme="minorBidi"/>
                <w:noProof/>
                <w:sz w:val="16"/>
                <w:szCs w:val="16"/>
              </w:rPr>
              <w:tab/>
            </w:r>
            <w:r w:rsidR="000F7796" w:rsidRPr="000F7796">
              <w:rPr>
                <w:rStyle w:val="Hyperlink"/>
                <w:rFonts w:eastAsia="MS Mincho"/>
                <w:b/>
                <w:bCs/>
                <w:i/>
                <w:noProof/>
                <w:sz w:val="16"/>
                <w:szCs w:val="16"/>
              </w:rPr>
              <w:t>Costas y Gastos</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_Toc495658704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74</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705" w:history="1">
            <w:r w:rsidR="000F7796" w:rsidRPr="000F7796">
              <w:rPr>
                <w:rStyle w:val="Hyperlink"/>
                <w:rFonts w:eastAsia="MS Mincho"/>
                <w:b/>
                <w:bCs/>
                <w:i/>
                <w:noProof/>
                <w:sz w:val="16"/>
                <w:szCs w:val="16"/>
              </w:rPr>
              <w:t>F.</w:t>
            </w:r>
            <w:r w:rsidR="000F7796" w:rsidRPr="000F7796">
              <w:rPr>
                <w:rFonts w:eastAsiaTheme="minorEastAsia" w:cstheme="minorBidi"/>
                <w:noProof/>
                <w:sz w:val="16"/>
                <w:szCs w:val="16"/>
              </w:rPr>
              <w:tab/>
            </w:r>
            <w:r w:rsidR="000F7796" w:rsidRPr="000F7796">
              <w:rPr>
                <w:rStyle w:val="Hyperlink"/>
                <w:rFonts w:eastAsia="MS Mincho"/>
                <w:b/>
                <w:bCs/>
                <w:i/>
                <w:noProof/>
                <w:sz w:val="16"/>
                <w:szCs w:val="16"/>
              </w:rPr>
              <w:t>Reintegro de los gastos al Fondo de Asistencia Legal de Víctimas</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_Toc495658705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75</w:t>
            </w:r>
            <w:r w:rsidR="000F7796" w:rsidRPr="000F7796">
              <w:rPr>
                <w:noProof/>
                <w:webHidden/>
                <w:sz w:val="16"/>
                <w:szCs w:val="16"/>
              </w:rPr>
              <w:fldChar w:fldCharType="end"/>
            </w:r>
          </w:hyperlink>
        </w:p>
        <w:p w:rsidR="000F7796" w:rsidRPr="000F7796" w:rsidRDefault="004E3A56" w:rsidP="000F7796">
          <w:pPr>
            <w:pStyle w:val="TOC2"/>
            <w:spacing w:after="120" w:line="240" w:lineRule="auto"/>
            <w:rPr>
              <w:rFonts w:eastAsiaTheme="minorEastAsia" w:cstheme="minorBidi"/>
              <w:noProof/>
              <w:sz w:val="16"/>
              <w:szCs w:val="16"/>
            </w:rPr>
          </w:pPr>
          <w:hyperlink w:anchor="_Toc495658706" w:history="1">
            <w:r w:rsidR="000F7796" w:rsidRPr="000F7796">
              <w:rPr>
                <w:rStyle w:val="Hyperlink"/>
                <w:rFonts w:eastAsia="MS Mincho"/>
                <w:b/>
                <w:bCs/>
                <w:i/>
                <w:noProof/>
                <w:sz w:val="16"/>
                <w:szCs w:val="16"/>
              </w:rPr>
              <w:t>G.</w:t>
            </w:r>
            <w:r w:rsidR="000F7796" w:rsidRPr="000F7796">
              <w:rPr>
                <w:rFonts w:eastAsiaTheme="minorEastAsia" w:cstheme="minorBidi"/>
                <w:noProof/>
                <w:sz w:val="16"/>
                <w:szCs w:val="16"/>
              </w:rPr>
              <w:tab/>
            </w:r>
            <w:r w:rsidR="000F7796" w:rsidRPr="000F7796">
              <w:rPr>
                <w:rStyle w:val="Hyperlink"/>
                <w:rFonts w:eastAsia="MS Mincho"/>
                <w:b/>
                <w:bCs/>
                <w:i/>
                <w:noProof/>
                <w:sz w:val="16"/>
                <w:szCs w:val="16"/>
              </w:rPr>
              <w:t>Modalidad de cumplimiento de los pagos ordenados</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_Toc495658706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76</w:t>
            </w:r>
            <w:r w:rsidR="000F7796" w:rsidRPr="000F7796">
              <w:rPr>
                <w:noProof/>
                <w:webHidden/>
                <w:sz w:val="16"/>
                <w:szCs w:val="16"/>
              </w:rPr>
              <w:fldChar w:fldCharType="end"/>
            </w:r>
          </w:hyperlink>
        </w:p>
        <w:p w:rsidR="000F7796" w:rsidRPr="000F7796" w:rsidRDefault="004E3A56" w:rsidP="000F7796">
          <w:pPr>
            <w:pStyle w:val="TOC1"/>
            <w:tabs>
              <w:tab w:val="right" w:leader="dot" w:pos="10070"/>
            </w:tabs>
            <w:spacing w:after="120" w:line="240" w:lineRule="auto"/>
            <w:rPr>
              <w:rFonts w:eastAsiaTheme="minorEastAsia" w:cstheme="minorBidi"/>
              <w:noProof/>
              <w:sz w:val="16"/>
              <w:szCs w:val="16"/>
            </w:rPr>
          </w:pPr>
          <w:hyperlink w:anchor="_Toc495658707" w:history="1">
            <w:r w:rsidR="000F7796" w:rsidRPr="000F7796">
              <w:rPr>
                <w:rStyle w:val="Hyperlink"/>
                <w:rFonts w:cs="Verdana"/>
                <w:b/>
                <w:bCs/>
                <w:caps/>
                <w:noProof/>
                <w:snapToGrid w:val="0"/>
                <w:sz w:val="16"/>
                <w:szCs w:val="16"/>
              </w:rPr>
              <w:t>IX PUNTOS RESOLUTIVOS</w:t>
            </w:r>
            <w:r w:rsidR="000F7796" w:rsidRPr="000F7796">
              <w:rPr>
                <w:noProof/>
                <w:webHidden/>
                <w:sz w:val="16"/>
                <w:szCs w:val="16"/>
              </w:rPr>
              <w:tab/>
            </w:r>
            <w:r w:rsidR="000F7796" w:rsidRPr="000F7796">
              <w:rPr>
                <w:noProof/>
                <w:webHidden/>
                <w:sz w:val="16"/>
                <w:szCs w:val="16"/>
              </w:rPr>
              <w:fldChar w:fldCharType="begin"/>
            </w:r>
            <w:r w:rsidR="000F7796" w:rsidRPr="000F7796">
              <w:rPr>
                <w:noProof/>
                <w:webHidden/>
                <w:sz w:val="16"/>
                <w:szCs w:val="16"/>
              </w:rPr>
              <w:instrText xml:space="preserve"> PAGEREF _Toc495658707 \h </w:instrText>
            </w:r>
            <w:r w:rsidR="000F7796" w:rsidRPr="000F7796">
              <w:rPr>
                <w:noProof/>
                <w:webHidden/>
                <w:sz w:val="16"/>
                <w:szCs w:val="16"/>
              </w:rPr>
            </w:r>
            <w:r w:rsidR="000F7796" w:rsidRPr="000F7796">
              <w:rPr>
                <w:noProof/>
                <w:webHidden/>
                <w:sz w:val="16"/>
                <w:szCs w:val="16"/>
              </w:rPr>
              <w:fldChar w:fldCharType="separate"/>
            </w:r>
            <w:r w:rsidR="000F7796" w:rsidRPr="000F7796">
              <w:rPr>
                <w:noProof/>
                <w:webHidden/>
                <w:sz w:val="16"/>
                <w:szCs w:val="16"/>
              </w:rPr>
              <w:t>77</w:t>
            </w:r>
            <w:r w:rsidR="000F7796" w:rsidRPr="000F7796">
              <w:rPr>
                <w:noProof/>
                <w:webHidden/>
                <w:sz w:val="16"/>
                <w:szCs w:val="16"/>
              </w:rPr>
              <w:fldChar w:fldCharType="end"/>
            </w:r>
          </w:hyperlink>
        </w:p>
        <w:p w:rsidR="00C71D16" w:rsidRPr="000F7796" w:rsidRDefault="00C71D16" w:rsidP="000F7796">
          <w:pPr>
            <w:spacing w:after="120" w:line="240" w:lineRule="auto"/>
            <w:rPr>
              <w:sz w:val="16"/>
              <w:szCs w:val="16"/>
            </w:rPr>
          </w:pPr>
          <w:r w:rsidRPr="000F7796">
            <w:rPr>
              <w:b/>
              <w:bCs/>
              <w:sz w:val="16"/>
              <w:szCs w:val="16"/>
            </w:rPr>
            <w:fldChar w:fldCharType="end"/>
          </w:r>
        </w:p>
      </w:sdtContent>
    </w:sdt>
    <w:p w:rsidR="00C71D16" w:rsidRPr="0001748B" w:rsidRDefault="00C71D16" w:rsidP="00D97B96">
      <w:pPr>
        <w:widowControl/>
        <w:adjustRightInd/>
        <w:spacing w:after="200" w:line="276" w:lineRule="auto"/>
        <w:jc w:val="left"/>
        <w:textAlignment w:val="auto"/>
        <w:rPr>
          <w:rFonts w:eastAsia="Verdana" w:cs="Verdana"/>
          <w:position w:val="-1"/>
          <w:sz w:val="20"/>
          <w:szCs w:val="20"/>
        </w:rPr>
      </w:pPr>
      <w:r w:rsidRPr="0001748B">
        <w:rPr>
          <w:rFonts w:eastAsia="Verdana" w:cs="Verdana"/>
          <w:position w:val="-1"/>
          <w:sz w:val="20"/>
          <w:szCs w:val="20"/>
        </w:rPr>
        <w:br w:type="page"/>
      </w:r>
    </w:p>
    <w:p w:rsidR="00C71D16" w:rsidRPr="0001748B" w:rsidRDefault="00C71D16" w:rsidP="00C71D16">
      <w:pPr>
        <w:keepNext/>
        <w:keepLines/>
        <w:tabs>
          <w:tab w:val="left" w:pos="851"/>
        </w:tabs>
        <w:spacing w:line="240" w:lineRule="auto"/>
        <w:jc w:val="center"/>
        <w:outlineLvl w:val="0"/>
        <w:rPr>
          <w:rFonts w:cs="Verdana"/>
          <w:b/>
          <w:bCs/>
          <w:caps/>
          <w:snapToGrid w:val="0"/>
          <w:sz w:val="20"/>
          <w:szCs w:val="20"/>
        </w:rPr>
      </w:pPr>
      <w:bookmarkStart w:id="1" w:name="_Toc373093233"/>
      <w:bookmarkStart w:id="2" w:name="_Toc373350045"/>
      <w:bookmarkStart w:id="3" w:name="_Toc375560891"/>
      <w:bookmarkStart w:id="4" w:name="_Toc401931877"/>
      <w:bookmarkStart w:id="5" w:name="_Toc428369976"/>
      <w:bookmarkStart w:id="6" w:name="_Toc459158092"/>
      <w:bookmarkStart w:id="7" w:name="_Toc470180032"/>
      <w:bookmarkStart w:id="8" w:name="_Toc495658645"/>
      <w:r w:rsidRPr="0001748B">
        <w:rPr>
          <w:rFonts w:cs="Verdana"/>
          <w:b/>
          <w:bCs/>
          <w:caps/>
          <w:snapToGrid w:val="0"/>
          <w:sz w:val="20"/>
          <w:szCs w:val="20"/>
        </w:rPr>
        <w:lastRenderedPageBreak/>
        <w:t>I</w:t>
      </w:r>
      <w:bookmarkStart w:id="9" w:name="_Toc375062709"/>
      <w:bookmarkStart w:id="10" w:name="_Toc375140859"/>
      <w:bookmarkStart w:id="11" w:name="_Toc375504818"/>
      <w:bookmarkStart w:id="12" w:name="_Toc375560892"/>
      <w:bookmarkEnd w:id="1"/>
      <w:bookmarkEnd w:id="2"/>
      <w:bookmarkEnd w:id="3"/>
      <w:r w:rsidRPr="0001748B">
        <w:rPr>
          <w:rFonts w:cs="Verdana"/>
          <w:b/>
          <w:bCs/>
          <w:caps/>
          <w:snapToGrid w:val="0"/>
          <w:sz w:val="20"/>
          <w:szCs w:val="20"/>
        </w:rPr>
        <w:br/>
        <w:t>INTRODUCCIÓN DE LA CAUSA y OBJETO DE LA CONTROVERSIA</w:t>
      </w:r>
      <w:bookmarkEnd w:id="4"/>
      <w:bookmarkEnd w:id="5"/>
      <w:bookmarkEnd w:id="6"/>
      <w:bookmarkEnd w:id="7"/>
      <w:bookmarkEnd w:id="8"/>
      <w:bookmarkEnd w:id="9"/>
      <w:bookmarkEnd w:id="10"/>
      <w:bookmarkEnd w:id="11"/>
      <w:bookmarkEnd w:id="12"/>
    </w:p>
    <w:p w:rsidR="00C71D16" w:rsidRPr="0001748B" w:rsidRDefault="00C71D16" w:rsidP="00C71D16">
      <w:pPr>
        <w:spacing w:before="4" w:line="240" w:lineRule="exact"/>
        <w:rPr>
          <w:rFonts w:ascii="Calibri" w:eastAsia="Calibri" w:hAnsi="Calibri"/>
        </w:rPr>
      </w:pPr>
    </w:p>
    <w:p w:rsidR="00C71D16" w:rsidRPr="0094587A" w:rsidRDefault="00C71D16" w:rsidP="00C71D16">
      <w:pPr>
        <w:numPr>
          <w:ilvl w:val="0"/>
          <w:numId w:val="1"/>
        </w:numPr>
        <w:tabs>
          <w:tab w:val="left" w:pos="567"/>
          <w:tab w:val="num" w:pos="12305"/>
        </w:tabs>
        <w:spacing w:line="240" w:lineRule="auto"/>
        <w:ind w:left="0" w:firstLine="0"/>
        <w:rPr>
          <w:sz w:val="16"/>
          <w:szCs w:val="16"/>
        </w:rPr>
      </w:pPr>
      <w:r w:rsidRPr="0001748B">
        <w:rPr>
          <w:i/>
          <w:sz w:val="20"/>
          <w:szCs w:val="20"/>
        </w:rPr>
        <w:t>El caso sometido a la Corte</w:t>
      </w:r>
      <w:r w:rsidRPr="0001748B">
        <w:rPr>
          <w:sz w:val="20"/>
          <w:szCs w:val="20"/>
        </w:rPr>
        <w:t xml:space="preserve">. – El 13 de mayo de 2015 la Comisión Interamericana de Derechos </w:t>
      </w:r>
      <w:r w:rsidR="00816A8E">
        <w:rPr>
          <w:sz w:val="20"/>
          <w:szCs w:val="20"/>
        </w:rPr>
        <w:t>H</w:t>
      </w:r>
      <w:r w:rsidRPr="0001748B">
        <w:rPr>
          <w:sz w:val="20"/>
          <w:szCs w:val="20"/>
        </w:rPr>
        <w:t xml:space="preserve">umanos (en adelante “la Comisión Interamericana” o “la Comisión”) sometió a la jurisdicción de la Corte el caso </w:t>
      </w:r>
      <w:r w:rsidRPr="0001748B">
        <w:rPr>
          <w:i/>
          <w:sz w:val="20"/>
          <w:szCs w:val="20"/>
        </w:rPr>
        <w:t>“Johan Alexis Ortiz Hernández”</w:t>
      </w:r>
      <w:r w:rsidRPr="0001748B">
        <w:rPr>
          <w:sz w:val="20"/>
          <w:szCs w:val="20"/>
        </w:rPr>
        <w:t xml:space="preserve"> contra la República Bolivariana de Venezuela (en adelante “el Estado de Venezuela”, “el Estado venezolano” o “Venezuela”). De acuerdo con lo indicado por la Comisión, el caso </w:t>
      </w:r>
      <w:r w:rsidRPr="0001748B">
        <w:rPr>
          <w:sz w:val="20"/>
          <w:szCs w:val="20"/>
          <w:shd w:val="clear" w:color="auto" w:fill="FFFFFF"/>
        </w:rPr>
        <w:t>se relaciona con la alegada responsabilidad internacional del Estado de Venezuela por la muerte de Johan Alexis Ortiz Hernández el 15 de febrero de 1998 en las instalaciones de los Comandos Rurales de Caño Negro. El joven Johan Alexis Ortiz Hernández era estudiante de la Escuela de Formación de Guardias Nacionales de Cordero (ESGUARNAC) y, de acuerdo a la Comisión, habría muerto como consecuencia de disparos de arma de fuego, en el contexto de una “práctica de fogueo” realizada con balas reales al interior de la instalación militar como requisito para completar su formación como funcionario de la referida institución. De acuerdo a lo alegado, el Estado no habría dado respuesta de manera adecuada ni oportuna a las lesiones sufridas por Johan Alexis Ortiz Hernández, al no contar con personal médico especializado ni con una ambulancia que le permitiera recibir atención mientras era trasladado hasta un centro médico. Según la Comisión, las supuestas graves omisiones e irregularidades incurridas en l</w:t>
      </w:r>
      <w:r w:rsidRPr="0094587A">
        <w:rPr>
          <w:sz w:val="20"/>
          <w:szCs w:val="20"/>
          <w:shd w:val="clear" w:color="auto" w:fill="FFFFFF"/>
        </w:rPr>
        <w:t>a investigación, así como la falta de debida diligencia, constituyeron factores de impunidad que habrían obstaculizado la determinación de la verdad y la eventual sanc</w:t>
      </w:r>
      <w:r w:rsidRPr="006734A3">
        <w:rPr>
          <w:sz w:val="20"/>
          <w:szCs w:val="20"/>
          <w:shd w:val="clear" w:color="auto" w:fill="FFFFFF"/>
        </w:rPr>
        <w:t>ión a los responsables.</w:t>
      </w:r>
      <w:r w:rsidRPr="009E2AF9">
        <w:rPr>
          <w:sz w:val="18"/>
          <w:szCs w:val="18"/>
          <w:shd w:val="clear" w:color="auto" w:fill="FFFFFF"/>
        </w:rPr>
        <w:t xml:space="preserve"> </w:t>
      </w:r>
      <w:r w:rsidR="00B24C87" w:rsidRPr="008031E5">
        <w:rPr>
          <w:sz w:val="20"/>
          <w:szCs w:val="20"/>
          <w:shd w:val="clear" w:color="auto" w:fill="FFFFFF"/>
        </w:rPr>
        <w:t>Las presuntas víctimas en este caso, además de Johan Alexis Ortiz Hernández, son:</w:t>
      </w:r>
      <w:r w:rsidR="00B24C87" w:rsidRPr="008031E5">
        <w:rPr>
          <w:sz w:val="16"/>
          <w:szCs w:val="16"/>
          <w:shd w:val="clear" w:color="auto" w:fill="FFFFFF"/>
        </w:rPr>
        <w:t xml:space="preserve"> </w:t>
      </w:r>
      <w:r w:rsidR="00B24C87" w:rsidRPr="008031E5">
        <w:rPr>
          <w:sz w:val="20"/>
          <w:szCs w:val="20"/>
        </w:rPr>
        <w:t>Zaida Hernández de Arellano</w:t>
      </w:r>
      <w:r w:rsidR="008A4A15" w:rsidRPr="008031E5">
        <w:rPr>
          <w:sz w:val="20"/>
          <w:szCs w:val="20"/>
          <w:vertAlign w:val="superscript"/>
        </w:rPr>
        <w:footnoteReference w:id="3"/>
      </w:r>
      <w:r w:rsidR="00531A23">
        <w:rPr>
          <w:sz w:val="20"/>
          <w:szCs w:val="20"/>
        </w:rPr>
        <w:t xml:space="preserve">, </w:t>
      </w:r>
      <w:r w:rsidR="00B24C87" w:rsidRPr="0094587A">
        <w:rPr>
          <w:sz w:val="20"/>
          <w:szCs w:val="20"/>
        </w:rPr>
        <w:t xml:space="preserve">Edgar </w:t>
      </w:r>
      <w:r w:rsidR="0019303A" w:rsidRPr="008031E5">
        <w:rPr>
          <w:sz w:val="20"/>
          <w:szCs w:val="20"/>
        </w:rPr>
        <w:t xml:space="preserve">Humberto </w:t>
      </w:r>
      <w:r w:rsidR="00B24C87" w:rsidRPr="0094587A">
        <w:rPr>
          <w:sz w:val="20"/>
          <w:szCs w:val="20"/>
        </w:rPr>
        <w:t>Ortiz Ruiz</w:t>
      </w:r>
      <w:r w:rsidR="00531A23">
        <w:rPr>
          <w:sz w:val="20"/>
          <w:szCs w:val="20"/>
        </w:rPr>
        <w:t>,</w:t>
      </w:r>
      <w:r w:rsidR="00531A23" w:rsidRPr="00531A23">
        <w:rPr>
          <w:sz w:val="20"/>
          <w:szCs w:val="20"/>
        </w:rPr>
        <w:t xml:space="preserve"> </w:t>
      </w:r>
      <w:r w:rsidR="00531A23">
        <w:rPr>
          <w:sz w:val="20"/>
          <w:szCs w:val="20"/>
        </w:rPr>
        <w:t>Saúl Arellano Mora,</w:t>
      </w:r>
      <w:r w:rsidR="00B24C87" w:rsidRPr="0094587A">
        <w:rPr>
          <w:sz w:val="20"/>
          <w:szCs w:val="20"/>
        </w:rPr>
        <w:t xml:space="preserve"> Maritza González </w:t>
      </w:r>
      <w:r w:rsidR="00111ADF" w:rsidRPr="008031E5">
        <w:rPr>
          <w:sz w:val="20"/>
          <w:szCs w:val="20"/>
        </w:rPr>
        <w:t>Cordero</w:t>
      </w:r>
      <w:r w:rsidR="00531A23">
        <w:rPr>
          <w:sz w:val="20"/>
          <w:szCs w:val="20"/>
        </w:rPr>
        <w:t>,</w:t>
      </w:r>
      <w:r w:rsidR="00B24C87" w:rsidRPr="0094587A">
        <w:rPr>
          <w:sz w:val="20"/>
          <w:szCs w:val="20"/>
        </w:rPr>
        <w:t xml:space="preserve"> Jeckson</w:t>
      </w:r>
      <w:r w:rsidR="00111ADF" w:rsidRPr="008031E5">
        <w:rPr>
          <w:sz w:val="20"/>
          <w:szCs w:val="20"/>
        </w:rPr>
        <w:t xml:space="preserve"> Edgardo</w:t>
      </w:r>
      <w:r w:rsidR="00B24C87" w:rsidRPr="0094587A">
        <w:rPr>
          <w:sz w:val="20"/>
          <w:szCs w:val="20"/>
        </w:rPr>
        <w:t xml:space="preserve"> Ortiz González</w:t>
      </w:r>
      <w:r w:rsidR="00531A23">
        <w:rPr>
          <w:sz w:val="20"/>
          <w:szCs w:val="20"/>
        </w:rPr>
        <w:t>,</w:t>
      </w:r>
      <w:r w:rsidR="00B24C87" w:rsidRPr="0094587A">
        <w:rPr>
          <w:sz w:val="20"/>
          <w:szCs w:val="20"/>
        </w:rPr>
        <w:t xml:space="preserve"> Gre</w:t>
      </w:r>
      <w:r w:rsidR="004E7CE9" w:rsidRPr="0094587A">
        <w:rPr>
          <w:sz w:val="20"/>
          <w:szCs w:val="20"/>
        </w:rPr>
        <w:t>ys</w:t>
      </w:r>
      <w:r w:rsidR="00B24C87" w:rsidRPr="0094587A">
        <w:rPr>
          <w:sz w:val="20"/>
          <w:szCs w:val="20"/>
        </w:rPr>
        <w:t>s</w:t>
      </w:r>
      <w:r w:rsidR="004E7CE9" w:rsidRPr="0094587A">
        <w:rPr>
          <w:sz w:val="20"/>
          <w:szCs w:val="20"/>
        </w:rPr>
        <w:t>i</w:t>
      </w:r>
      <w:r w:rsidR="00111ADF" w:rsidRPr="008031E5">
        <w:rPr>
          <w:sz w:val="20"/>
          <w:szCs w:val="20"/>
        </w:rPr>
        <w:t xml:space="preserve"> Maried</w:t>
      </w:r>
      <w:r w:rsidR="00B24C87" w:rsidRPr="0094587A">
        <w:rPr>
          <w:sz w:val="20"/>
          <w:szCs w:val="20"/>
        </w:rPr>
        <w:t xml:space="preserve"> Ortiz González</w:t>
      </w:r>
      <w:r w:rsidR="00531A23">
        <w:rPr>
          <w:sz w:val="20"/>
          <w:szCs w:val="20"/>
        </w:rPr>
        <w:t>,</w:t>
      </w:r>
      <w:r w:rsidR="00B24C87" w:rsidRPr="0094587A">
        <w:rPr>
          <w:sz w:val="20"/>
          <w:szCs w:val="20"/>
        </w:rPr>
        <w:t xml:space="preserve"> Gregory </w:t>
      </w:r>
      <w:r w:rsidR="00111ADF" w:rsidRPr="008031E5">
        <w:rPr>
          <w:sz w:val="20"/>
          <w:szCs w:val="20"/>
        </w:rPr>
        <w:t xml:space="preserve">Leonardo </w:t>
      </w:r>
      <w:r w:rsidR="00B24C87" w:rsidRPr="0094587A">
        <w:rPr>
          <w:sz w:val="20"/>
          <w:szCs w:val="20"/>
        </w:rPr>
        <w:t>Ortiz González</w:t>
      </w:r>
      <w:r w:rsidR="00531A23">
        <w:rPr>
          <w:sz w:val="20"/>
          <w:szCs w:val="20"/>
        </w:rPr>
        <w:t>,</w:t>
      </w:r>
      <w:r w:rsidR="00B24C87" w:rsidRPr="0094587A">
        <w:rPr>
          <w:sz w:val="20"/>
          <w:szCs w:val="20"/>
        </w:rPr>
        <w:t xml:space="preserve"> Zaida </w:t>
      </w:r>
      <w:r w:rsidR="00111ADF" w:rsidRPr="008031E5">
        <w:rPr>
          <w:sz w:val="20"/>
          <w:szCs w:val="20"/>
        </w:rPr>
        <w:t xml:space="preserve">Dariana </w:t>
      </w:r>
      <w:r w:rsidR="00B24C87" w:rsidRPr="0094587A">
        <w:rPr>
          <w:sz w:val="20"/>
          <w:szCs w:val="20"/>
        </w:rPr>
        <w:t xml:space="preserve">Arellano Hernández y Saúl </w:t>
      </w:r>
      <w:r w:rsidR="00111ADF" w:rsidRPr="008031E5">
        <w:rPr>
          <w:sz w:val="20"/>
          <w:szCs w:val="20"/>
        </w:rPr>
        <w:t xml:space="preserve">Johan </w:t>
      </w:r>
      <w:r w:rsidR="00B24C87" w:rsidRPr="0094587A">
        <w:rPr>
          <w:sz w:val="20"/>
          <w:szCs w:val="20"/>
        </w:rPr>
        <w:t>Arellano Hernández.</w:t>
      </w:r>
    </w:p>
    <w:p w:rsidR="00C71D16" w:rsidRPr="0001748B" w:rsidRDefault="00C71D16" w:rsidP="00C71D16">
      <w:pPr>
        <w:tabs>
          <w:tab w:val="left" w:pos="567"/>
        </w:tabs>
        <w:spacing w:line="240" w:lineRule="auto"/>
        <w:rPr>
          <w:sz w:val="20"/>
          <w:szCs w:val="20"/>
        </w:rPr>
      </w:pPr>
    </w:p>
    <w:p w:rsidR="00C71D16" w:rsidRPr="0001748B" w:rsidRDefault="00C71D16" w:rsidP="00C71D16">
      <w:pPr>
        <w:numPr>
          <w:ilvl w:val="0"/>
          <w:numId w:val="1"/>
        </w:numPr>
        <w:tabs>
          <w:tab w:val="left" w:pos="567"/>
          <w:tab w:val="num" w:pos="12305"/>
        </w:tabs>
        <w:spacing w:line="240" w:lineRule="auto"/>
        <w:ind w:left="0" w:firstLine="0"/>
        <w:rPr>
          <w:sz w:val="20"/>
          <w:szCs w:val="20"/>
        </w:rPr>
      </w:pPr>
      <w:r w:rsidRPr="0001748B">
        <w:rPr>
          <w:i/>
          <w:sz w:val="20"/>
          <w:szCs w:val="20"/>
        </w:rPr>
        <w:t xml:space="preserve">Trámite ante la Comisión. </w:t>
      </w:r>
      <w:r w:rsidRPr="0001748B">
        <w:rPr>
          <w:sz w:val="20"/>
          <w:szCs w:val="20"/>
        </w:rPr>
        <w:t>– El trámite ante la Comisión fue el siguiente:</w:t>
      </w:r>
    </w:p>
    <w:p w:rsidR="00C71D16" w:rsidRPr="0001748B" w:rsidRDefault="00C71D16" w:rsidP="00C71D16">
      <w:pPr>
        <w:rPr>
          <w:sz w:val="20"/>
          <w:szCs w:val="20"/>
        </w:rPr>
      </w:pPr>
    </w:p>
    <w:p w:rsidR="00C71D16" w:rsidRPr="0001748B" w:rsidRDefault="00C71D16" w:rsidP="00C71D16">
      <w:pPr>
        <w:numPr>
          <w:ilvl w:val="0"/>
          <w:numId w:val="18"/>
        </w:numPr>
        <w:adjustRightInd/>
        <w:spacing w:after="200" w:line="240" w:lineRule="auto"/>
        <w:ind w:left="818" w:right="144"/>
        <w:contextualSpacing/>
        <w:textAlignment w:val="auto"/>
        <w:rPr>
          <w:sz w:val="20"/>
          <w:szCs w:val="20"/>
        </w:rPr>
      </w:pPr>
      <w:r w:rsidRPr="0001748B">
        <w:rPr>
          <w:i/>
          <w:sz w:val="20"/>
          <w:szCs w:val="20"/>
        </w:rPr>
        <w:t>Petición</w:t>
      </w:r>
      <w:r w:rsidRPr="0001748B">
        <w:rPr>
          <w:sz w:val="20"/>
          <w:szCs w:val="20"/>
        </w:rPr>
        <w:t>. – El 15 de marzo de 2000 el señor Edgar Humberto Ortiz Ruiz y la señora Zaida Hernández de Arellano (en adelante “los peticionarios”), presentaron la petición inicial ante la Comisión.</w:t>
      </w:r>
    </w:p>
    <w:p w:rsidR="00C71D16" w:rsidRPr="0001748B" w:rsidRDefault="00C71D16" w:rsidP="00C71D16">
      <w:pPr>
        <w:spacing w:line="240" w:lineRule="auto"/>
        <w:ind w:left="818" w:right="144"/>
        <w:contextualSpacing/>
        <w:rPr>
          <w:sz w:val="20"/>
          <w:szCs w:val="20"/>
        </w:rPr>
      </w:pPr>
    </w:p>
    <w:p w:rsidR="00C71D16" w:rsidRPr="0001748B" w:rsidRDefault="00C71D16" w:rsidP="00C71D16">
      <w:pPr>
        <w:numPr>
          <w:ilvl w:val="0"/>
          <w:numId w:val="18"/>
        </w:numPr>
        <w:adjustRightInd/>
        <w:spacing w:after="200" w:line="240" w:lineRule="auto"/>
        <w:ind w:left="818" w:right="144"/>
        <w:contextualSpacing/>
        <w:textAlignment w:val="auto"/>
        <w:rPr>
          <w:sz w:val="20"/>
          <w:szCs w:val="20"/>
        </w:rPr>
      </w:pPr>
      <w:r w:rsidRPr="0001748B">
        <w:rPr>
          <w:i/>
          <w:sz w:val="20"/>
          <w:szCs w:val="20"/>
        </w:rPr>
        <w:t>Informe de admisibilidad</w:t>
      </w:r>
      <w:r w:rsidRPr="0001748B">
        <w:rPr>
          <w:sz w:val="20"/>
          <w:szCs w:val="20"/>
        </w:rPr>
        <w:t>. – El 25 de febrero de 2005 la Comisión aprobó el informe de admisibilidad No. 22/05 en el que concluyó que la petición era admisible</w:t>
      </w:r>
      <w:r w:rsidRPr="008031E5">
        <w:rPr>
          <w:rStyle w:val="FootnoteReference"/>
          <w:sz w:val="20"/>
          <w:szCs w:val="20"/>
        </w:rPr>
        <w:footnoteReference w:id="4"/>
      </w:r>
      <w:r w:rsidRPr="0001748B">
        <w:rPr>
          <w:sz w:val="20"/>
          <w:szCs w:val="20"/>
        </w:rPr>
        <w:t>.</w:t>
      </w:r>
    </w:p>
    <w:p w:rsidR="00C71D16" w:rsidRPr="0001748B" w:rsidRDefault="00C71D16" w:rsidP="00C71D16">
      <w:pPr>
        <w:spacing w:line="240" w:lineRule="auto"/>
        <w:ind w:left="818" w:right="144"/>
        <w:contextualSpacing/>
        <w:rPr>
          <w:sz w:val="20"/>
          <w:szCs w:val="20"/>
        </w:rPr>
      </w:pPr>
    </w:p>
    <w:p w:rsidR="00C71D16" w:rsidRPr="0001748B" w:rsidRDefault="00C71D16" w:rsidP="00C71D16">
      <w:pPr>
        <w:numPr>
          <w:ilvl w:val="0"/>
          <w:numId w:val="18"/>
        </w:numPr>
        <w:adjustRightInd/>
        <w:spacing w:after="200" w:line="240" w:lineRule="auto"/>
        <w:ind w:left="818" w:right="144"/>
        <w:contextualSpacing/>
        <w:textAlignment w:val="auto"/>
        <w:rPr>
          <w:sz w:val="20"/>
          <w:szCs w:val="20"/>
        </w:rPr>
      </w:pPr>
      <w:r w:rsidRPr="0001748B">
        <w:rPr>
          <w:i/>
          <w:sz w:val="20"/>
          <w:szCs w:val="20"/>
        </w:rPr>
        <w:t>Designación de Defensoras Públicas Interamericanas</w:t>
      </w:r>
      <w:r w:rsidRPr="0001748B">
        <w:rPr>
          <w:sz w:val="20"/>
          <w:szCs w:val="20"/>
        </w:rPr>
        <w:t xml:space="preserve">. – El 6 de enero de 2014 la Comisión informó a los peticionarios sobre la posibilidad de contar con representación legal gratuita en la etapa de fondo del caso ante la Comisión. Los peticionarios autorizaron a la </w:t>
      </w:r>
      <w:r w:rsidRPr="0001748B">
        <w:rPr>
          <w:rFonts w:eastAsia="Calibri" w:cs="Verdana"/>
          <w:snapToGrid w:val="0"/>
          <w:sz w:val="20"/>
          <w:szCs w:val="20"/>
          <w:lang w:eastAsia="es-ES"/>
        </w:rPr>
        <w:t>Asociación Interamericana de Defensorías Públicas (en adelante “AIDEF”)</w:t>
      </w:r>
      <w:r w:rsidRPr="0001748B">
        <w:rPr>
          <w:sz w:val="20"/>
          <w:szCs w:val="20"/>
        </w:rPr>
        <w:t xml:space="preserve"> para asumir la representación el 24 de enero de 2014. El 14 de marzo de 2014 </w:t>
      </w:r>
      <w:r w:rsidRPr="0001748B">
        <w:rPr>
          <w:rFonts w:eastAsia="Calibri" w:cs="Verdana"/>
          <w:snapToGrid w:val="0"/>
          <w:sz w:val="20"/>
          <w:szCs w:val="20"/>
          <w:lang w:eastAsia="es-ES"/>
        </w:rPr>
        <w:t xml:space="preserve">la AIDEF comunicó que </w:t>
      </w:r>
      <w:r w:rsidRPr="0001748B">
        <w:rPr>
          <w:sz w:val="20"/>
          <w:szCs w:val="20"/>
        </w:rPr>
        <w:t xml:space="preserve">las señoras Gustava Soledad Aguilar Moraga y Johanny Elizabeth Castillo Sabarí </w:t>
      </w:r>
      <w:r w:rsidRPr="0001748B">
        <w:rPr>
          <w:rFonts w:eastAsia="Calibri" w:cs="Verdana"/>
          <w:snapToGrid w:val="0"/>
          <w:sz w:val="20"/>
          <w:szCs w:val="20"/>
          <w:lang w:eastAsia="es-ES"/>
        </w:rPr>
        <w:t>habían sido designadas como defensoras públicas interamericanas para ejercer la representación legal de las presuntas víctimas en este caso (en adelante “las representantes”)</w:t>
      </w:r>
      <w:r w:rsidRPr="0001748B">
        <w:rPr>
          <w:sz w:val="20"/>
          <w:szCs w:val="20"/>
        </w:rPr>
        <w:t>.</w:t>
      </w:r>
    </w:p>
    <w:p w:rsidR="00C71D16" w:rsidRPr="0001748B" w:rsidRDefault="00C71D16" w:rsidP="00C71D16">
      <w:pPr>
        <w:spacing w:line="240" w:lineRule="auto"/>
        <w:ind w:left="818" w:right="144"/>
        <w:contextualSpacing/>
        <w:rPr>
          <w:sz w:val="20"/>
          <w:szCs w:val="20"/>
        </w:rPr>
      </w:pPr>
    </w:p>
    <w:p w:rsidR="00C71D16" w:rsidRPr="0001748B" w:rsidRDefault="00C71D16" w:rsidP="00C71D16">
      <w:pPr>
        <w:numPr>
          <w:ilvl w:val="0"/>
          <w:numId w:val="18"/>
        </w:numPr>
        <w:adjustRightInd/>
        <w:spacing w:after="200" w:line="240" w:lineRule="auto"/>
        <w:ind w:left="818" w:right="144"/>
        <w:contextualSpacing/>
        <w:textAlignment w:val="auto"/>
        <w:rPr>
          <w:sz w:val="20"/>
          <w:szCs w:val="20"/>
        </w:rPr>
      </w:pPr>
      <w:r w:rsidRPr="0001748B">
        <w:rPr>
          <w:i/>
          <w:sz w:val="20"/>
          <w:szCs w:val="20"/>
        </w:rPr>
        <w:t>Informe de fondo</w:t>
      </w:r>
      <w:r w:rsidRPr="0001748B">
        <w:rPr>
          <w:sz w:val="20"/>
          <w:szCs w:val="20"/>
        </w:rPr>
        <w:t>. – El 29 de enero de 2015 la Comisión aprobó el informe de fondo No. 2/15, de conformidad con el artículo 50 de la Convención (en adelante también “el informe de fondo” o “el informe No. 2/15”), en el cual llegó a una serie de conclusiones, y formuló varias recomendaciones al Estado:</w:t>
      </w:r>
    </w:p>
    <w:p w:rsidR="00C71D16" w:rsidRPr="0001748B" w:rsidRDefault="00C71D16" w:rsidP="00C71D16">
      <w:pPr>
        <w:pStyle w:val="ListParagraph"/>
        <w:numPr>
          <w:ilvl w:val="0"/>
          <w:numId w:val="19"/>
        </w:numPr>
        <w:adjustRightInd/>
        <w:spacing w:line="240" w:lineRule="auto"/>
        <w:ind w:left="1900" w:right="148"/>
        <w:contextualSpacing/>
        <w:textAlignment w:val="auto"/>
        <w:rPr>
          <w:i/>
          <w:sz w:val="20"/>
          <w:szCs w:val="20"/>
        </w:rPr>
      </w:pPr>
      <w:r w:rsidRPr="0001748B">
        <w:rPr>
          <w:i/>
          <w:sz w:val="20"/>
          <w:szCs w:val="20"/>
        </w:rPr>
        <w:lastRenderedPageBreak/>
        <w:t xml:space="preserve">Conclusiones. – </w:t>
      </w:r>
      <w:r w:rsidRPr="0001748B">
        <w:rPr>
          <w:sz w:val="20"/>
          <w:szCs w:val="20"/>
        </w:rPr>
        <w:t>La Comisión concluyó que el Estado de Venezuela era responsable por la violación de los siguientes derechos:</w:t>
      </w:r>
    </w:p>
    <w:p w:rsidR="00251117" w:rsidRPr="0001748B" w:rsidRDefault="00251117" w:rsidP="00251117">
      <w:pPr>
        <w:pStyle w:val="ListParagraph"/>
        <w:adjustRightInd/>
        <w:spacing w:line="240" w:lineRule="auto"/>
        <w:ind w:left="1900" w:right="148"/>
        <w:contextualSpacing/>
        <w:textAlignment w:val="auto"/>
        <w:rPr>
          <w:i/>
          <w:sz w:val="20"/>
          <w:szCs w:val="20"/>
        </w:rPr>
      </w:pPr>
    </w:p>
    <w:p w:rsidR="00C71D16" w:rsidRPr="0001748B" w:rsidRDefault="00C71D16" w:rsidP="00C71D16">
      <w:pPr>
        <w:pStyle w:val="ListParagraph"/>
        <w:widowControl/>
        <w:numPr>
          <w:ilvl w:val="0"/>
          <w:numId w:val="20"/>
        </w:numPr>
        <w:autoSpaceDE w:val="0"/>
        <w:autoSpaceDN w:val="0"/>
        <w:spacing w:after="120" w:line="240" w:lineRule="auto"/>
        <w:ind w:left="2404" w:hanging="357"/>
        <w:textAlignment w:val="auto"/>
        <w:rPr>
          <w:sz w:val="16"/>
          <w:szCs w:val="16"/>
        </w:rPr>
      </w:pPr>
      <w:r w:rsidRPr="0001748B">
        <w:rPr>
          <w:sz w:val="16"/>
          <w:szCs w:val="16"/>
        </w:rPr>
        <w:t>a la vida e integridad personal establecidos en los artículos 4 y 5.1 de la Convención Americana, en relación con el artículo 1.1 del mismo instrumento, en perjuicio de Johan Alexis Ortiz Hernández;</w:t>
      </w:r>
    </w:p>
    <w:p w:rsidR="00C71D16" w:rsidRPr="0001748B" w:rsidRDefault="00C71D16" w:rsidP="00C71D16">
      <w:pPr>
        <w:pStyle w:val="ListParagraph"/>
        <w:widowControl/>
        <w:numPr>
          <w:ilvl w:val="0"/>
          <w:numId w:val="20"/>
        </w:numPr>
        <w:autoSpaceDE w:val="0"/>
        <w:autoSpaceDN w:val="0"/>
        <w:spacing w:after="120" w:line="240" w:lineRule="auto"/>
        <w:ind w:left="2404" w:hanging="357"/>
        <w:textAlignment w:val="auto"/>
        <w:rPr>
          <w:sz w:val="16"/>
          <w:szCs w:val="16"/>
        </w:rPr>
      </w:pPr>
      <w:r w:rsidRPr="0001748B">
        <w:rPr>
          <w:sz w:val="16"/>
          <w:szCs w:val="16"/>
        </w:rPr>
        <w:t>a las garantías judiciales y protección judicial, consagrados en los artículos 8 y 25 de la Convención Americana, en relación con los artículos 1.1 y 2 del mismo instrumento, así como de las obligaciones contenidas en los artículos 1, 6 y 8 de la Convención Interamericana para Prevenir y Sancionar la Tortura, en perjuicio de Edgar Humberto Ortiz Ruiz (padre) y Zaida Hernández Hernández (madre), y</w:t>
      </w:r>
    </w:p>
    <w:p w:rsidR="00C71D16" w:rsidRPr="0001748B" w:rsidRDefault="00C71D16" w:rsidP="00C71D16">
      <w:pPr>
        <w:pStyle w:val="ListParagraph"/>
        <w:widowControl/>
        <w:numPr>
          <w:ilvl w:val="0"/>
          <w:numId w:val="20"/>
        </w:numPr>
        <w:autoSpaceDE w:val="0"/>
        <w:autoSpaceDN w:val="0"/>
        <w:spacing w:line="240" w:lineRule="auto"/>
        <w:ind w:left="2404" w:hanging="357"/>
        <w:textAlignment w:val="auto"/>
        <w:rPr>
          <w:sz w:val="16"/>
          <w:szCs w:val="16"/>
        </w:rPr>
      </w:pPr>
      <w:r w:rsidRPr="0001748B">
        <w:rPr>
          <w:sz w:val="16"/>
          <w:szCs w:val="16"/>
        </w:rPr>
        <w:t>a la integridad personal, consagrado en el artículo 5 de la Convención Americana, en perjuicio de Zaida Hernández Hernández (madre), Edgar Humberto Ortiz Ruiz (padre), Maritza González Cordero, Saúl Arellano Mora, Jeckson Edgardo Ortiz González (hermano), Gre</w:t>
      </w:r>
      <w:r w:rsidR="004E7CE9" w:rsidRPr="0001748B">
        <w:rPr>
          <w:sz w:val="16"/>
          <w:szCs w:val="16"/>
        </w:rPr>
        <w:t>[yssi]</w:t>
      </w:r>
      <w:r w:rsidRPr="0001748B">
        <w:rPr>
          <w:sz w:val="16"/>
          <w:szCs w:val="16"/>
        </w:rPr>
        <w:t xml:space="preserve"> Maried Ortiz González (hermana), Gregory Leonardo Ortiz González (hermano), [Z]aida Dariana Arellano Hernández (hermana) y </w:t>
      </w:r>
      <w:r w:rsidR="00DE376F" w:rsidRPr="0001748B">
        <w:rPr>
          <w:sz w:val="16"/>
          <w:szCs w:val="16"/>
        </w:rPr>
        <w:t>Sa</w:t>
      </w:r>
      <w:r w:rsidR="004F18B1">
        <w:rPr>
          <w:sz w:val="16"/>
          <w:szCs w:val="16"/>
        </w:rPr>
        <w:t>[</w:t>
      </w:r>
      <w:r w:rsidR="00DE376F" w:rsidRPr="0001748B">
        <w:rPr>
          <w:sz w:val="16"/>
          <w:szCs w:val="16"/>
        </w:rPr>
        <w:t>ú</w:t>
      </w:r>
      <w:r w:rsidR="004F18B1">
        <w:rPr>
          <w:sz w:val="16"/>
          <w:szCs w:val="16"/>
        </w:rPr>
        <w:t>]</w:t>
      </w:r>
      <w:r w:rsidR="00DE376F" w:rsidRPr="0001748B">
        <w:rPr>
          <w:sz w:val="16"/>
          <w:szCs w:val="16"/>
        </w:rPr>
        <w:t>l</w:t>
      </w:r>
      <w:r w:rsidRPr="0001748B">
        <w:rPr>
          <w:sz w:val="16"/>
          <w:szCs w:val="16"/>
        </w:rPr>
        <w:t xml:space="preserve"> Johan Arellano Hernández (hermano).</w:t>
      </w:r>
    </w:p>
    <w:p w:rsidR="00C71D16" w:rsidRPr="0001748B" w:rsidRDefault="00C71D16" w:rsidP="00125C44">
      <w:pPr>
        <w:pStyle w:val="ListParagraph"/>
        <w:spacing w:line="240" w:lineRule="auto"/>
        <w:ind w:left="1788"/>
        <w:rPr>
          <w:i/>
          <w:sz w:val="20"/>
          <w:szCs w:val="20"/>
        </w:rPr>
      </w:pPr>
    </w:p>
    <w:p w:rsidR="00C71D16" w:rsidRPr="0001748B" w:rsidRDefault="00C71D16" w:rsidP="00B07D99">
      <w:pPr>
        <w:pStyle w:val="ListParagraph"/>
        <w:numPr>
          <w:ilvl w:val="0"/>
          <w:numId w:val="19"/>
        </w:numPr>
        <w:adjustRightInd/>
        <w:spacing w:line="240" w:lineRule="auto"/>
        <w:ind w:left="1900" w:right="148"/>
        <w:contextualSpacing/>
        <w:textAlignment w:val="auto"/>
        <w:rPr>
          <w:i/>
          <w:sz w:val="20"/>
          <w:szCs w:val="20"/>
        </w:rPr>
      </w:pPr>
      <w:r w:rsidRPr="0001748B">
        <w:rPr>
          <w:i/>
          <w:sz w:val="20"/>
          <w:szCs w:val="20"/>
        </w:rPr>
        <w:t>Recomendaciones</w:t>
      </w:r>
      <w:r w:rsidRPr="0001748B">
        <w:rPr>
          <w:sz w:val="20"/>
          <w:szCs w:val="20"/>
        </w:rPr>
        <w:t>. – En consecuencia, la Comisión hizo al Estado una serie de recomendaciones:</w:t>
      </w:r>
    </w:p>
    <w:p w:rsidR="00C71D16" w:rsidRPr="0001748B" w:rsidRDefault="00C71D16" w:rsidP="00125C44">
      <w:pPr>
        <w:pStyle w:val="ListParagraph"/>
        <w:spacing w:line="240" w:lineRule="auto"/>
        <w:ind w:left="1788"/>
        <w:rPr>
          <w:i/>
          <w:sz w:val="20"/>
          <w:szCs w:val="20"/>
        </w:rPr>
      </w:pPr>
    </w:p>
    <w:p w:rsidR="00C71D16" w:rsidRPr="0001748B" w:rsidRDefault="00C71D16" w:rsidP="00931E8F">
      <w:pPr>
        <w:pStyle w:val="ListParagraph"/>
        <w:widowControl/>
        <w:numPr>
          <w:ilvl w:val="0"/>
          <w:numId w:val="41"/>
        </w:numPr>
        <w:autoSpaceDE w:val="0"/>
        <w:autoSpaceDN w:val="0"/>
        <w:spacing w:after="120" w:line="240" w:lineRule="auto"/>
        <w:ind w:left="2404" w:hanging="357"/>
        <w:textAlignment w:val="auto"/>
        <w:rPr>
          <w:sz w:val="16"/>
          <w:szCs w:val="16"/>
        </w:rPr>
      </w:pPr>
      <w:r w:rsidRPr="0001748B">
        <w:rPr>
          <w:sz w:val="16"/>
          <w:szCs w:val="16"/>
        </w:rPr>
        <w:t>[r]ealizar una investigación completa, imparcial y efectiva de las violaciones de derechos humanos declaradas en el […] informe, con el objeto de es</w:t>
      </w:r>
      <w:r w:rsidR="006A6D60">
        <w:rPr>
          <w:sz w:val="16"/>
          <w:szCs w:val="16"/>
        </w:rPr>
        <w:t>t</w:t>
      </w:r>
      <w:r w:rsidRPr="0001748B">
        <w:rPr>
          <w:sz w:val="16"/>
          <w:szCs w:val="16"/>
        </w:rPr>
        <w:t>a</w:t>
      </w:r>
      <w:r w:rsidR="006A6D60">
        <w:rPr>
          <w:sz w:val="16"/>
          <w:szCs w:val="16"/>
        </w:rPr>
        <w:t>ble</w:t>
      </w:r>
      <w:r w:rsidRPr="0001748B">
        <w:rPr>
          <w:sz w:val="16"/>
          <w:szCs w:val="16"/>
        </w:rPr>
        <w:t>cer y sancionar la responsabilidad intelectual y material de los hechos descritos;</w:t>
      </w:r>
    </w:p>
    <w:p w:rsidR="00C71D16" w:rsidRPr="0001748B" w:rsidRDefault="00C71D16" w:rsidP="008031E5">
      <w:pPr>
        <w:pStyle w:val="ListParagraph"/>
        <w:widowControl/>
        <w:numPr>
          <w:ilvl w:val="0"/>
          <w:numId w:val="41"/>
        </w:numPr>
        <w:autoSpaceDE w:val="0"/>
        <w:autoSpaceDN w:val="0"/>
        <w:spacing w:after="120" w:line="240" w:lineRule="auto"/>
        <w:ind w:left="2404" w:hanging="357"/>
        <w:textAlignment w:val="auto"/>
        <w:rPr>
          <w:sz w:val="16"/>
          <w:szCs w:val="16"/>
        </w:rPr>
      </w:pPr>
      <w:r w:rsidRPr="0001748B">
        <w:rPr>
          <w:sz w:val="16"/>
          <w:szCs w:val="16"/>
        </w:rPr>
        <w:t>[d]isponer de las medidas administrativas disciplinarias o penales correspondientes frente a las acciones u omisiones de los funcionarios estatales que contribuyeron a la denegación de justicia e impunidad en la que se encuentran los hechos del caso;</w:t>
      </w:r>
    </w:p>
    <w:p w:rsidR="00C71D16" w:rsidRPr="0001748B" w:rsidRDefault="00C71D16" w:rsidP="008031E5">
      <w:pPr>
        <w:pStyle w:val="ListParagraph"/>
        <w:widowControl/>
        <w:numPr>
          <w:ilvl w:val="0"/>
          <w:numId w:val="41"/>
        </w:numPr>
        <w:autoSpaceDE w:val="0"/>
        <w:autoSpaceDN w:val="0"/>
        <w:spacing w:after="120" w:line="240" w:lineRule="auto"/>
        <w:ind w:left="2404" w:hanging="357"/>
        <w:textAlignment w:val="auto"/>
        <w:rPr>
          <w:sz w:val="16"/>
          <w:szCs w:val="16"/>
        </w:rPr>
      </w:pPr>
      <w:r w:rsidRPr="0001748B">
        <w:rPr>
          <w:sz w:val="16"/>
          <w:szCs w:val="16"/>
        </w:rPr>
        <w:t xml:space="preserve">[r]eparar adecuadamente las violaciones de derechos humanos declaradas en el […] informe </w:t>
      </w:r>
      <w:r w:rsidR="00325ED7">
        <w:rPr>
          <w:sz w:val="16"/>
          <w:szCs w:val="16"/>
        </w:rPr>
        <w:t xml:space="preserve">tanto </w:t>
      </w:r>
      <w:r w:rsidRPr="0001748B">
        <w:rPr>
          <w:sz w:val="16"/>
          <w:szCs w:val="16"/>
        </w:rPr>
        <w:t>en el aspecto material como moral</w:t>
      </w:r>
      <w:r w:rsidR="00325ED7">
        <w:rPr>
          <w:sz w:val="16"/>
          <w:szCs w:val="16"/>
        </w:rPr>
        <w:t>,</w:t>
      </w:r>
      <w:r w:rsidRPr="0001748B">
        <w:rPr>
          <w:sz w:val="16"/>
          <w:szCs w:val="16"/>
        </w:rPr>
        <w:t xml:space="preserve"> y</w:t>
      </w:r>
    </w:p>
    <w:p w:rsidR="00C71D16" w:rsidRPr="0001748B" w:rsidRDefault="00C71D16" w:rsidP="008031E5">
      <w:pPr>
        <w:pStyle w:val="ListParagraph"/>
        <w:widowControl/>
        <w:numPr>
          <w:ilvl w:val="0"/>
          <w:numId w:val="41"/>
        </w:numPr>
        <w:autoSpaceDE w:val="0"/>
        <w:autoSpaceDN w:val="0"/>
        <w:spacing w:line="240" w:lineRule="auto"/>
        <w:ind w:left="2404" w:hanging="357"/>
        <w:textAlignment w:val="auto"/>
        <w:rPr>
          <w:sz w:val="16"/>
          <w:szCs w:val="16"/>
        </w:rPr>
      </w:pPr>
      <w:r w:rsidRPr="0001748B">
        <w:rPr>
          <w:sz w:val="16"/>
          <w:szCs w:val="16"/>
        </w:rPr>
        <w:t>[d]esarrollar las medidas necesarias para asegurar que los derechos humanos de los estudiantes de la Escuela de Formación de Guardias Nacionales sean protegidos debidamente en los cursos de capacitación y procesos de formación.</w:t>
      </w:r>
    </w:p>
    <w:p w:rsidR="00C71D16" w:rsidRPr="0001748B" w:rsidRDefault="00C71D16" w:rsidP="00251117">
      <w:pPr>
        <w:pStyle w:val="ListParagraph"/>
        <w:spacing w:line="240" w:lineRule="auto"/>
        <w:ind w:left="1788"/>
        <w:rPr>
          <w:i/>
          <w:sz w:val="20"/>
          <w:szCs w:val="20"/>
        </w:rPr>
      </w:pPr>
    </w:p>
    <w:p w:rsidR="00C71D16" w:rsidRPr="0001748B" w:rsidRDefault="00C71D16" w:rsidP="00251117">
      <w:pPr>
        <w:pStyle w:val="ListParagraph"/>
        <w:numPr>
          <w:ilvl w:val="0"/>
          <w:numId w:val="19"/>
        </w:numPr>
        <w:adjustRightInd/>
        <w:spacing w:line="240" w:lineRule="auto"/>
        <w:ind w:left="1900" w:right="148"/>
        <w:contextualSpacing/>
        <w:textAlignment w:val="auto"/>
        <w:rPr>
          <w:i/>
          <w:sz w:val="20"/>
          <w:szCs w:val="20"/>
        </w:rPr>
      </w:pPr>
      <w:r w:rsidRPr="0001748B">
        <w:rPr>
          <w:i/>
          <w:sz w:val="20"/>
          <w:szCs w:val="20"/>
        </w:rPr>
        <w:t xml:space="preserve">Notificación al Estado. – </w:t>
      </w:r>
      <w:r w:rsidRPr="0001748B">
        <w:rPr>
          <w:sz w:val="20"/>
          <w:szCs w:val="20"/>
        </w:rPr>
        <w:t>El informe de fondo fue notificado al Estado el 13 de febrero de 2015 otorgándole un plazo de dos meses para informar sobre el cumplimiento de las recomendaciones.</w:t>
      </w:r>
    </w:p>
    <w:p w:rsidR="00C71D16" w:rsidRPr="0001748B" w:rsidRDefault="00C71D16" w:rsidP="00C71D16">
      <w:pPr>
        <w:pStyle w:val="ListParagraph"/>
        <w:spacing w:line="240" w:lineRule="auto"/>
        <w:ind w:left="1900" w:right="148"/>
        <w:rPr>
          <w:i/>
          <w:sz w:val="20"/>
          <w:szCs w:val="20"/>
        </w:rPr>
      </w:pPr>
    </w:p>
    <w:p w:rsidR="00C71D16" w:rsidRPr="0001748B" w:rsidRDefault="00C71D16" w:rsidP="00C71D16">
      <w:pPr>
        <w:numPr>
          <w:ilvl w:val="0"/>
          <w:numId w:val="18"/>
        </w:numPr>
        <w:adjustRightInd/>
        <w:spacing w:after="200" w:line="240" w:lineRule="auto"/>
        <w:ind w:left="818" w:right="144"/>
        <w:contextualSpacing/>
        <w:textAlignment w:val="auto"/>
        <w:rPr>
          <w:sz w:val="20"/>
          <w:szCs w:val="20"/>
        </w:rPr>
      </w:pPr>
      <w:r w:rsidRPr="0001748B">
        <w:rPr>
          <w:i/>
          <w:sz w:val="20"/>
          <w:szCs w:val="20"/>
        </w:rPr>
        <w:t>Informe sobre las recomendaciones de la Comisión.</w:t>
      </w:r>
      <w:r w:rsidRPr="0001748B">
        <w:rPr>
          <w:sz w:val="20"/>
          <w:szCs w:val="20"/>
        </w:rPr>
        <w:t xml:space="preserve"> – El Estado venezolano no dio respuesta alguna al informe de fondo de la Comisión.</w:t>
      </w:r>
    </w:p>
    <w:p w:rsidR="00C71D16" w:rsidRPr="0001748B" w:rsidRDefault="00C71D16" w:rsidP="00C71D16">
      <w:pPr>
        <w:spacing w:line="240" w:lineRule="auto"/>
        <w:ind w:left="818" w:right="144"/>
        <w:contextualSpacing/>
        <w:rPr>
          <w:sz w:val="20"/>
          <w:szCs w:val="20"/>
        </w:rPr>
      </w:pPr>
    </w:p>
    <w:p w:rsidR="00C71D16" w:rsidRPr="0001748B" w:rsidRDefault="00C71D16" w:rsidP="00125C44">
      <w:pPr>
        <w:numPr>
          <w:ilvl w:val="0"/>
          <w:numId w:val="18"/>
        </w:numPr>
        <w:adjustRightInd/>
        <w:spacing w:line="240" w:lineRule="auto"/>
        <w:ind w:left="818" w:right="144"/>
        <w:textAlignment w:val="auto"/>
        <w:rPr>
          <w:sz w:val="20"/>
          <w:szCs w:val="20"/>
        </w:rPr>
      </w:pPr>
      <w:r w:rsidRPr="0001748B">
        <w:rPr>
          <w:i/>
          <w:sz w:val="20"/>
          <w:szCs w:val="20"/>
        </w:rPr>
        <w:t xml:space="preserve">Sometimiento a la Corte. </w:t>
      </w:r>
      <w:r w:rsidRPr="0001748B">
        <w:rPr>
          <w:sz w:val="20"/>
          <w:szCs w:val="20"/>
        </w:rPr>
        <w:t>– El 13 de mayo de 2015 la Comisión sometió a la jurisdicción de la Corte Interamericana la totalidad de los hechos y violaciones de derechos humanos descritos en el informe de fondo “por la necesidad de obtención de justicia para los familiares de la [presunta] víctima”</w:t>
      </w:r>
      <w:r w:rsidRPr="008031E5">
        <w:rPr>
          <w:rStyle w:val="FootnoteReference"/>
          <w:sz w:val="20"/>
          <w:szCs w:val="20"/>
        </w:rPr>
        <w:footnoteReference w:id="5"/>
      </w:r>
      <w:r w:rsidRPr="0001748B">
        <w:rPr>
          <w:sz w:val="20"/>
          <w:szCs w:val="20"/>
        </w:rPr>
        <w:t>.</w:t>
      </w:r>
    </w:p>
    <w:p w:rsidR="00C71D16" w:rsidRPr="0001748B" w:rsidRDefault="00C71D16" w:rsidP="00125C44">
      <w:pPr>
        <w:spacing w:line="240" w:lineRule="auto"/>
        <w:rPr>
          <w:sz w:val="20"/>
          <w:szCs w:val="20"/>
        </w:rPr>
      </w:pPr>
    </w:p>
    <w:p w:rsidR="00C71D16" w:rsidRDefault="00C71D16" w:rsidP="004A4292">
      <w:pPr>
        <w:numPr>
          <w:ilvl w:val="0"/>
          <w:numId w:val="1"/>
        </w:numPr>
        <w:tabs>
          <w:tab w:val="left" w:pos="567"/>
          <w:tab w:val="num" w:pos="12305"/>
        </w:tabs>
        <w:spacing w:line="240" w:lineRule="auto"/>
        <w:ind w:left="0" w:firstLine="0"/>
        <w:rPr>
          <w:sz w:val="20"/>
          <w:szCs w:val="20"/>
        </w:rPr>
      </w:pPr>
      <w:r w:rsidRPr="0001748B">
        <w:rPr>
          <w:i/>
          <w:sz w:val="20"/>
          <w:szCs w:val="20"/>
        </w:rPr>
        <w:t xml:space="preserve">Solicitudes de la Comisión Interamericana. </w:t>
      </w:r>
      <w:r w:rsidRPr="0001748B">
        <w:rPr>
          <w:sz w:val="20"/>
          <w:szCs w:val="20"/>
        </w:rPr>
        <w:t>– Con base en lo anterior, la Comisión solicitó a la Corte que declarara la responsabilidad internacional del Estado por las mismas violaciones señaladas en su informe de fondo (</w:t>
      </w:r>
      <w:r w:rsidRPr="0001748B">
        <w:rPr>
          <w:i/>
          <w:sz w:val="20"/>
          <w:szCs w:val="20"/>
        </w:rPr>
        <w:t xml:space="preserve">supra </w:t>
      </w:r>
      <w:r w:rsidRPr="0001748B">
        <w:rPr>
          <w:sz w:val="20"/>
          <w:szCs w:val="20"/>
        </w:rPr>
        <w:t xml:space="preserve">párr. 2.d.a). Asimismo, la Comisión solicitó a la Corte que ordenara al Estado medidas de reparación, las cuales se detallan y analizan en el Capítulo </w:t>
      </w:r>
      <w:r w:rsidR="003602C6" w:rsidRPr="0001748B">
        <w:rPr>
          <w:sz w:val="20"/>
          <w:szCs w:val="20"/>
        </w:rPr>
        <w:t xml:space="preserve">VIII </w:t>
      </w:r>
      <w:r w:rsidRPr="0001748B">
        <w:rPr>
          <w:sz w:val="20"/>
          <w:szCs w:val="20"/>
        </w:rPr>
        <w:t>de la presente Sentencia.</w:t>
      </w:r>
    </w:p>
    <w:p w:rsidR="00350817" w:rsidRPr="0001748B" w:rsidRDefault="00350817" w:rsidP="00350817">
      <w:pPr>
        <w:tabs>
          <w:tab w:val="left" w:pos="567"/>
        </w:tabs>
        <w:spacing w:line="240" w:lineRule="auto"/>
        <w:rPr>
          <w:sz w:val="20"/>
          <w:szCs w:val="20"/>
        </w:rPr>
      </w:pPr>
    </w:p>
    <w:p w:rsidR="00C71D16" w:rsidRPr="0001748B" w:rsidRDefault="00C71D16" w:rsidP="00C71D16">
      <w:pPr>
        <w:keepNext/>
        <w:keepLines/>
        <w:tabs>
          <w:tab w:val="left" w:pos="851"/>
        </w:tabs>
        <w:spacing w:line="240" w:lineRule="auto"/>
        <w:jc w:val="center"/>
        <w:outlineLvl w:val="0"/>
        <w:rPr>
          <w:rFonts w:cs="Verdana"/>
          <w:b/>
          <w:bCs/>
          <w:caps/>
          <w:snapToGrid w:val="0"/>
          <w:sz w:val="20"/>
          <w:szCs w:val="20"/>
        </w:rPr>
      </w:pPr>
      <w:bookmarkStart w:id="13" w:name="_Toc372568229"/>
      <w:bookmarkStart w:id="14" w:name="_Toc373093235"/>
      <w:bookmarkStart w:id="15" w:name="_Toc373350047"/>
      <w:bookmarkStart w:id="16" w:name="_Toc375560893"/>
      <w:bookmarkStart w:id="17" w:name="_Toc401931878"/>
      <w:bookmarkStart w:id="18" w:name="_Toc428369977"/>
      <w:bookmarkStart w:id="19" w:name="_Toc459158093"/>
      <w:bookmarkStart w:id="20" w:name="_Toc470180033"/>
      <w:bookmarkStart w:id="21" w:name="_Toc495658646"/>
      <w:r w:rsidRPr="0001748B">
        <w:rPr>
          <w:rFonts w:cs="Verdana"/>
          <w:b/>
          <w:bCs/>
          <w:caps/>
          <w:snapToGrid w:val="0"/>
          <w:sz w:val="20"/>
          <w:szCs w:val="20"/>
        </w:rPr>
        <w:lastRenderedPageBreak/>
        <w:t>II</w:t>
      </w:r>
      <w:bookmarkStart w:id="22" w:name="_Toc375062711"/>
      <w:bookmarkStart w:id="23" w:name="_Toc375140861"/>
      <w:bookmarkStart w:id="24" w:name="_Toc375504820"/>
      <w:bookmarkStart w:id="25" w:name="_Toc375560894"/>
      <w:bookmarkEnd w:id="13"/>
      <w:bookmarkEnd w:id="14"/>
      <w:bookmarkEnd w:id="15"/>
      <w:bookmarkEnd w:id="16"/>
      <w:r w:rsidRPr="0001748B">
        <w:rPr>
          <w:rFonts w:cs="Verdana"/>
          <w:b/>
          <w:bCs/>
          <w:caps/>
          <w:snapToGrid w:val="0"/>
          <w:sz w:val="20"/>
          <w:szCs w:val="20"/>
        </w:rPr>
        <w:br/>
        <w:t>PROCEDIMIENTO ANTE LA CORTE</w:t>
      </w:r>
      <w:bookmarkEnd w:id="17"/>
      <w:bookmarkEnd w:id="18"/>
      <w:bookmarkEnd w:id="19"/>
      <w:bookmarkEnd w:id="20"/>
      <w:bookmarkEnd w:id="21"/>
      <w:bookmarkEnd w:id="22"/>
      <w:bookmarkEnd w:id="23"/>
      <w:bookmarkEnd w:id="24"/>
      <w:bookmarkEnd w:id="25"/>
    </w:p>
    <w:p w:rsidR="00C71D16" w:rsidRPr="0001748B" w:rsidRDefault="00C71D16" w:rsidP="00C71D16">
      <w:pPr>
        <w:autoSpaceDE w:val="0"/>
        <w:autoSpaceDN w:val="0"/>
        <w:spacing w:line="240" w:lineRule="auto"/>
        <w:rPr>
          <w:rFonts w:eastAsia="Calibri" w:cs="Verdana"/>
          <w:snapToGrid w:val="0"/>
          <w:sz w:val="20"/>
          <w:szCs w:val="20"/>
          <w:lang w:eastAsia="es-ES"/>
        </w:rPr>
      </w:pPr>
    </w:p>
    <w:p w:rsidR="00C71D16" w:rsidRPr="0001748B" w:rsidRDefault="00C71D16" w:rsidP="00C71D16">
      <w:pPr>
        <w:numPr>
          <w:ilvl w:val="0"/>
          <w:numId w:val="1"/>
        </w:numPr>
        <w:tabs>
          <w:tab w:val="left" w:pos="567"/>
          <w:tab w:val="num" w:pos="12305"/>
        </w:tabs>
        <w:autoSpaceDE w:val="0"/>
        <w:autoSpaceDN w:val="0"/>
        <w:spacing w:line="240" w:lineRule="auto"/>
        <w:ind w:left="0" w:firstLine="0"/>
        <w:rPr>
          <w:rFonts w:eastAsia="Verdana" w:cs="Verdana"/>
          <w:sz w:val="20"/>
          <w:szCs w:val="20"/>
        </w:rPr>
      </w:pPr>
      <w:r w:rsidRPr="0001748B">
        <w:rPr>
          <w:rFonts w:eastAsia="Verdana" w:cs="Verdana"/>
          <w:i/>
          <w:sz w:val="20"/>
          <w:szCs w:val="20"/>
        </w:rPr>
        <w:t xml:space="preserve">Notificación a las representantes y al Estado. – </w:t>
      </w:r>
      <w:r w:rsidRPr="0001748B">
        <w:rPr>
          <w:rFonts w:eastAsia="Verdana" w:cs="Verdana"/>
          <w:sz w:val="20"/>
          <w:szCs w:val="20"/>
        </w:rPr>
        <w:t>El sometimiento del caso por parte de la Comisión fue notificado a las defensoras públicas interamericanas que actúan en representación de las presuntas víctimas</w:t>
      </w:r>
      <w:r w:rsidRPr="0001748B">
        <w:rPr>
          <w:rStyle w:val="FootnoteReference"/>
          <w:rFonts w:eastAsia="Verdana" w:cs="Verdana"/>
          <w:sz w:val="20"/>
          <w:szCs w:val="20"/>
        </w:rPr>
        <w:footnoteReference w:id="6"/>
      </w:r>
      <w:r w:rsidRPr="0001748B">
        <w:rPr>
          <w:rFonts w:eastAsia="Verdana" w:cs="Verdana"/>
          <w:sz w:val="20"/>
          <w:szCs w:val="20"/>
        </w:rPr>
        <w:t xml:space="preserve"> el 30 de julio de 2015 y al Estado el 31 de julio de 2015.</w:t>
      </w:r>
    </w:p>
    <w:p w:rsidR="00C71D16" w:rsidRPr="0001748B" w:rsidRDefault="00C71D16" w:rsidP="00C71D16">
      <w:pPr>
        <w:tabs>
          <w:tab w:val="left" w:pos="567"/>
        </w:tabs>
        <w:autoSpaceDE w:val="0"/>
        <w:autoSpaceDN w:val="0"/>
        <w:spacing w:line="240" w:lineRule="auto"/>
        <w:rPr>
          <w:sz w:val="20"/>
          <w:szCs w:val="20"/>
        </w:rPr>
      </w:pPr>
    </w:p>
    <w:p w:rsidR="00C71D16" w:rsidRPr="0001748B" w:rsidRDefault="00C71D16" w:rsidP="00C71D16">
      <w:pPr>
        <w:numPr>
          <w:ilvl w:val="0"/>
          <w:numId w:val="1"/>
        </w:numPr>
        <w:tabs>
          <w:tab w:val="left" w:pos="567"/>
          <w:tab w:val="num" w:pos="12305"/>
        </w:tabs>
        <w:spacing w:line="240" w:lineRule="auto"/>
        <w:ind w:left="0" w:firstLine="0"/>
        <w:rPr>
          <w:rFonts w:eastAsia="Verdana" w:cs="Verdana"/>
          <w:sz w:val="20"/>
          <w:szCs w:val="20"/>
          <w:u w:val="single"/>
        </w:rPr>
      </w:pPr>
      <w:r w:rsidRPr="0001748B">
        <w:rPr>
          <w:rFonts w:eastAsia="Verdana" w:cs="Verdana"/>
          <w:i/>
          <w:sz w:val="20"/>
          <w:szCs w:val="20"/>
        </w:rPr>
        <w:t xml:space="preserve">Escrito de solicitudes, argumentos y pruebas. – </w:t>
      </w:r>
      <w:r w:rsidRPr="0001748B">
        <w:rPr>
          <w:rFonts w:eastAsia="Verdana" w:cs="Verdana"/>
          <w:sz w:val="20"/>
          <w:szCs w:val="20"/>
        </w:rPr>
        <w:t xml:space="preserve">El 5 de octubre de 2015 las </w:t>
      </w:r>
      <w:r w:rsidRPr="0001748B">
        <w:rPr>
          <w:rFonts w:eastAsia="Calibri" w:cs="Arial"/>
          <w:sz w:val="20"/>
          <w:szCs w:val="20"/>
        </w:rPr>
        <w:t>representantes</w:t>
      </w:r>
      <w:r w:rsidRPr="0001748B">
        <w:rPr>
          <w:rFonts w:eastAsia="Verdana" w:cs="Verdana"/>
          <w:sz w:val="20"/>
          <w:szCs w:val="20"/>
        </w:rPr>
        <w:t xml:space="preserve"> de las presuntas víctimas presentaron ante la Corte su escrito de solicitudes, argumentos y pruebas (en adelante “escrito de solicitudes y argumentos”). Las representantes coincidieron sustancialmente con los alegatos de la Comisión y solicitaron a la Corte que declarara la responsabilidad internacional del Estado por la violación de los mismos artículos alegados por la Comisión. Asimismo, las defensoras interamericanas hicieron solicitudes respecto a la utilización del Fondo de Asistencia Legal de Víctimas de la Corte Interamericana (en adelante el “Fondo de Asistencia de la Corte” o el “Fondo”) “tanto para el abordaje específico de [la] defensa en el proceso internacional, como para los gastos que demande [su] intervención”. Finalmente, solicitaron a la Corte que ordenara al Estado la adopción de diversas medidas de reparación.</w:t>
      </w:r>
    </w:p>
    <w:p w:rsidR="00C71D16" w:rsidRPr="0001748B" w:rsidRDefault="00C71D16" w:rsidP="00C71D16">
      <w:pPr>
        <w:spacing w:before="4" w:line="240" w:lineRule="auto"/>
        <w:rPr>
          <w:sz w:val="20"/>
          <w:szCs w:val="20"/>
        </w:rPr>
      </w:pPr>
    </w:p>
    <w:p w:rsidR="00C71D16" w:rsidRPr="0001748B" w:rsidRDefault="00C71D16" w:rsidP="00C71D16">
      <w:pPr>
        <w:numPr>
          <w:ilvl w:val="0"/>
          <w:numId w:val="1"/>
        </w:numPr>
        <w:tabs>
          <w:tab w:val="left" w:pos="567"/>
          <w:tab w:val="num" w:pos="12305"/>
        </w:tabs>
        <w:spacing w:line="240" w:lineRule="auto"/>
        <w:ind w:left="0" w:firstLine="0"/>
        <w:rPr>
          <w:rFonts w:eastAsia="Verdana" w:cs="Verdana"/>
          <w:i/>
          <w:sz w:val="20"/>
          <w:szCs w:val="20"/>
        </w:rPr>
      </w:pPr>
      <w:r w:rsidRPr="0001748B">
        <w:rPr>
          <w:rFonts w:eastAsia="Verdana" w:cs="Verdana"/>
          <w:i/>
          <w:sz w:val="20"/>
          <w:szCs w:val="20"/>
        </w:rPr>
        <w:t xml:space="preserve">Escrito de contestación. – </w:t>
      </w:r>
      <w:r w:rsidRPr="0001748B">
        <w:rPr>
          <w:rFonts w:eastAsia="Verdana" w:cs="Verdana"/>
          <w:sz w:val="20"/>
          <w:szCs w:val="20"/>
        </w:rPr>
        <w:t xml:space="preserve">El </w:t>
      </w:r>
      <w:r w:rsidRPr="0001748B">
        <w:rPr>
          <w:rFonts w:eastAsia="Calibri" w:cs="Arial"/>
          <w:sz w:val="20"/>
          <w:szCs w:val="20"/>
        </w:rPr>
        <w:t xml:space="preserve">12 de enero de 2016 </w:t>
      </w:r>
      <w:r w:rsidRPr="0001748B">
        <w:rPr>
          <w:rFonts w:eastAsia="Verdana" w:cs="Verdana"/>
          <w:sz w:val="20"/>
          <w:szCs w:val="20"/>
        </w:rPr>
        <w:t>el Estado</w:t>
      </w:r>
      <w:r w:rsidRPr="0001748B">
        <w:rPr>
          <w:rFonts w:eastAsia="Verdana" w:cs="Verdana"/>
          <w:sz w:val="20"/>
          <w:szCs w:val="20"/>
          <w:vertAlign w:val="superscript"/>
        </w:rPr>
        <w:footnoteReference w:id="7"/>
      </w:r>
      <w:r w:rsidRPr="0001748B">
        <w:rPr>
          <w:rFonts w:eastAsia="Verdana" w:cs="Verdana"/>
          <w:sz w:val="20"/>
          <w:szCs w:val="20"/>
        </w:rPr>
        <w:t xml:space="preserve"> presentó ante la Corte su </w:t>
      </w:r>
      <w:r w:rsidRPr="0001748B">
        <w:rPr>
          <w:rFonts w:eastAsia="Calibri" w:cs="Arial"/>
          <w:sz w:val="20"/>
          <w:szCs w:val="20"/>
        </w:rPr>
        <w:t>escrito</w:t>
      </w:r>
      <w:r w:rsidRPr="0001748B">
        <w:rPr>
          <w:rFonts w:eastAsia="Verdana" w:cs="Verdana"/>
          <w:sz w:val="20"/>
          <w:szCs w:val="20"/>
        </w:rPr>
        <w:t xml:space="preserve"> de contestación al sometimiento e informe de fondo de la Comisión Interamericana de Derechos Humanos y al escrito de solicitudes, argumentos y pruebas de la</w:t>
      </w:r>
      <w:r w:rsidR="00124BC5">
        <w:rPr>
          <w:rFonts w:eastAsia="Verdana" w:cs="Verdana"/>
          <w:sz w:val="20"/>
          <w:szCs w:val="20"/>
        </w:rPr>
        <w:t>s</w:t>
      </w:r>
      <w:r w:rsidRPr="0001748B">
        <w:rPr>
          <w:rFonts w:eastAsia="Verdana" w:cs="Verdana"/>
          <w:sz w:val="20"/>
          <w:szCs w:val="20"/>
        </w:rPr>
        <w:t xml:space="preserve"> representante</w:t>
      </w:r>
      <w:r w:rsidR="00124BC5">
        <w:rPr>
          <w:rFonts w:eastAsia="Verdana" w:cs="Verdana"/>
          <w:sz w:val="20"/>
          <w:szCs w:val="20"/>
        </w:rPr>
        <w:t>s</w:t>
      </w:r>
      <w:r w:rsidRPr="0001748B">
        <w:rPr>
          <w:rFonts w:eastAsia="Verdana" w:cs="Verdana"/>
          <w:sz w:val="20"/>
          <w:szCs w:val="20"/>
        </w:rPr>
        <w:t xml:space="preserve"> (en adelante “escrito de contestación”). En dicho escrito el Estado interpuso como excepción preliminar la alegada “falta de agotamiento de los recursos de la jurisdicción interna”.</w:t>
      </w:r>
    </w:p>
    <w:p w:rsidR="00C71D16" w:rsidRPr="0001748B" w:rsidRDefault="00C71D16" w:rsidP="00C71D16">
      <w:pPr>
        <w:spacing w:before="4" w:line="240" w:lineRule="auto"/>
        <w:rPr>
          <w:rFonts w:eastAsia="Verdana" w:cs="Verdana"/>
          <w:sz w:val="20"/>
          <w:szCs w:val="20"/>
        </w:rPr>
      </w:pPr>
    </w:p>
    <w:p w:rsidR="00C71D16" w:rsidRPr="0001748B" w:rsidRDefault="00C71D16" w:rsidP="00C71D16">
      <w:pPr>
        <w:numPr>
          <w:ilvl w:val="0"/>
          <w:numId w:val="1"/>
        </w:numPr>
        <w:tabs>
          <w:tab w:val="left" w:pos="567"/>
          <w:tab w:val="num" w:pos="12305"/>
        </w:tabs>
        <w:spacing w:line="240" w:lineRule="auto"/>
        <w:ind w:left="0" w:firstLine="0"/>
        <w:rPr>
          <w:rFonts w:eastAsia="Verdana" w:cs="Verdana"/>
          <w:sz w:val="20"/>
          <w:szCs w:val="20"/>
        </w:rPr>
      </w:pPr>
      <w:r w:rsidRPr="0001748B">
        <w:rPr>
          <w:rFonts w:eastAsia="Verdana" w:cs="Verdana"/>
          <w:i/>
          <w:sz w:val="20"/>
          <w:szCs w:val="20"/>
        </w:rPr>
        <w:t xml:space="preserve">Observaciones a la excepción preliminar. – </w:t>
      </w:r>
      <w:r w:rsidRPr="0001748B">
        <w:rPr>
          <w:rFonts w:eastAsia="Verdana" w:cs="Verdana"/>
          <w:sz w:val="20"/>
          <w:szCs w:val="20"/>
        </w:rPr>
        <w:t xml:space="preserve">El 28 de marzo de 2016 las representantes y la Comisión Interamericana presentaron, respectivamente, sus </w:t>
      </w:r>
      <w:r w:rsidRPr="0001748B">
        <w:rPr>
          <w:rFonts w:cs="Verdana"/>
          <w:sz w:val="20"/>
          <w:szCs w:val="20"/>
          <w:lang w:eastAsia="es-ES"/>
        </w:rPr>
        <w:t>observaciones</w:t>
      </w:r>
      <w:r w:rsidRPr="0001748B">
        <w:rPr>
          <w:rFonts w:eastAsia="Verdana" w:cs="Verdana"/>
          <w:sz w:val="20"/>
          <w:szCs w:val="20"/>
        </w:rPr>
        <w:t xml:space="preserve"> a la excepción preliminar opuesta por el Estado.</w:t>
      </w:r>
    </w:p>
    <w:p w:rsidR="00C71D16" w:rsidRPr="0001748B" w:rsidRDefault="00C71D16" w:rsidP="00C71D16">
      <w:pPr>
        <w:autoSpaceDE w:val="0"/>
        <w:autoSpaceDN w:val="0"/>
        <w:spacing w:line="240" w:lineRule="auto"/>
        <w:rPr>
          <w:rFonts w:eastAsia="Verdana" w:cs="Verdana"/>
          <w:sz w:val="20"/>
          <w:szCs w:val="20"/>
        </w:rPr>
      </w:pPr>
    </w:p>
    <w:p w:rsidR="00C71D16" w:rsidRPr="0001748B" w:rsidRDefault="00C71D16" w:rsidP="00C71D16">
      <w:pPr>
        <w:numPr>
          <w:ilvl w:val="0"/>
          <w:numId w:val="1"/>
        </w:numPr>
        <w:tabs>
          <w:tab w:val="left" w:pos="567"/>
          <w:tab w:val="num" w:pos="12305"/>
        </w:tabs>
        <w:spacing w:line="240" w:lineRule="auto"/>
        <w:ind w:left="0" w:firstLine="0"/>
        <w:rPr>
          <w:rFonts w:eastAsia="Verdana" w:cs="Verdana"/>
          <w:sz w:val="20"/>
          <w:szCs w:val="20"/>
        </w:rPr>
      </w:pPr>
      <w:r w:rsidRPr="0001748B">
        <w:rPr>
          <w:rFonts w:eastAsia="Verdana" w:cs="Verdana"/>
          <w:i/>
          <w:position w:val="-1"/>
          <w:sz w:val="20"/>
          <w:szCs w:val="20"/>
        </w:rPr>
        <w:t xml:space="preserve">Audiencia Pública - </w:t>
      </w:r>
      <w:r w:rsidRPr="0001748B">
        <w:rPr>
          <w:rFonts w:eastAsia="Verdana" w:cs="Verdana"/>
          <w:position w:val="-1"/>
          <w:sz w:val="20"/>
          <w:szCs w:val="20"/>
        </w:rPr>
        <w:t>Mediante Resolución de 20 de diciembre de 2016</w:t>
      </w:r>
      <w:r w:rsidRPr="0001748B">
        <w:rPr>
          <w:rFonts w:eastAsia="Verdana" w:cs="Verdana"/>
          <w:position w:val="-1"/>
          <w:sz w:val="20"/>
          <w:szCs w:val="20"/>
          <w:vertAlign w:val="superscript"/>
        </w:rPr>
        <w:footnoteReference w:id="8"/>
      </w:r>
      <w:r w:rsidR="001511C8">
        <w:rPr>
          <w:rFonts w:eastAsia="Verdana" w:cs="Verdana"/>
          <w:position w:val="-1"/>
          <w:sz w:val="20"/>
          <w:szCs w:val="20"/>
        </w:rPr>
        <w:t>,</w:t>
      </w:r>
      <w:r w:rsidRPr="0001748B">
        <w:rPr>
          <w:rFonts w:eastAsia="Verdana" w:cs="Verdana"/>
          <w:position w:val="-1"/>
          <w:sz w:val="20"/>
          <w:szCs w:val="20"/>
        </w:rPr>
        <w:t xml:space="preserve"> el Presidente convocó a las partes y a la Comisión Interamericana a una audiencia pública para recibir sus alegatos y observaciones finales orales sobre la excepción preliminar y eventuales fondo, reparaciones y costas, así como para recibir las declaraciones </w:t>
      </w:r>
      <w:r w:rsidRPr="0001748B">
        <w:rPr>
          <w:rFonts w:eastAsia="Verdana" w:cs="Verdana"/>
          <w:sz w:val="20"/>
          <w:szCs w:val="20"/>
        </w:rPr>
        <w:t xml:space="preserve">de dos presuntas víctimas, de </w:t>
      </w:r>
      <w:r w:rsidRPr="0001748B">
        <w:rPr>
          <w:rFonts w:eastAsia="Verdana" w:cs="Verdana"/>
          <w:position w:val="-1"/>
          <w:sz w:val="20"/>
          <w:szCs w:val="20"/>
        </w:rPr>
        <w:t>una testigo propuesta por el Estado y de una perit</w:t>
      </w:r>
      <w:r w:rsidR="003F5BB4">
        <w:rPr>
          <w:rFonts w:eastAsia="Verdana" w:cs="Verdana"/>
          <w:position w:val="-1"/>
          <w:sz w:val="20"/>
          <w:szCs w:val="20"/>
        </w:rPr>
        <w:t>a</w:t>
      </w:r>
      <w:r w:rsidRPr="0001748B">
        <w:rPr>
          <w:rFonts w:eastAsia="Verdana" w:cs="Verdana"/>
          <w:position w:val="-1"/>
          <w:sz w:val="20"/>
          <w:szCs w:val="20"/>
        </w:rPr>
        <w:t xml:space="preserve"> ofrecida por las representantes. Asimismo, el Presidente declaró procedente la aplicación del Fondo de Asistencia de la Corte para cubrir los gastos que ocasione la representación de las presuntas víctimas por parte de las defensoras interamericanas. </w:t>
      </w:r>
      <w:r w:rsidRPr="0001748B">
        <w:rPr>
          <w:rFonts w:eastAsia="Verdana" w:cs="Verdana"/>
          <w:sz w:val="20"/>
          <w:szCs w:val="20"/>
        </w:rPr>
        <w:t>La audiencia pública fue celebrada el 9 de febrero de 2017, durante el 117° Período Ordinario de Sesiones de la Corte, llevado a cabo en su sede</w:t>
      </w:r>
      <w:r w:rsidRPr="0001748B">
        <w:rPr>
          <w:rFonts w:eastAsia="Verdana" w:cs="Verdana"/>
          <w:sz w:val="20"/>
          <w:szCs w:val="20"/>
          <w:vertAlign w:val="superscript"/>
        </w:rPr>
        <w:footnoteReference w:id="9"/>
      </w:r>
      <w:r w:rsidRPr="0001748B">
        <w:rPr>
          <w:rFonts w:eastAsia="Verdana" w:cs="Verdana"/>
          <w:sz w:val="20"/>
          <w:szCs w:val="20"/>
        </w:rPr>
        <w:t xml:space="preserve">. En la audiencia se recibió la declaración de las presuntas </w:t>
      </w:r>
      <w:r w:rsidRPr="0001748B">
        <w:rPr>
          <w:rFonts w:eastAsia="Verdana" w:cs="Verdana"/>
          <w:sz w:val="20"/>
          <w:szCs w:val="20"/>
        </w:rPr>
        <w:lastRenderedPageBreak/>
        <w:t>víctimas Edgar Humberto Ortiz Ruiz y Zaida Hernández de Arellano, de la testigo Mar</w:t>
      </w:r>
      <w:r w:rsidR="00437328" w:rsidRPr="0001748B">
        <w:rPr>
          <w:rFonts w:eastAsia="Verdana" w:cs="Verdana"/>
          <w:sz w:val="20"/>
          <w:szCs w:val="20"/>
        </w:rPr>
        <w:t>e</w:t>
      </w:r>
      <w:r w:rsidRPr="0001748B">
        <w:rPr>
          <w:rFonts w:eastAsia="Verdana" w:cs="Verdana"/>
          <w:sz w:val="20"/>
          <w:szCs w:val="20"/>
        </w:rPr>
        <w:t>l</w:t>
      </w:r>
      <w:r w:rsidR="00437328" w:rsidRPr="0001748B">
        <w:rPr>
          <w:rFonts w:eastAsia="Verdana" w:cs="Verdana"/>
          <w:sz w:val="20"/>
          <w:szCs w:val="20"/>
        </w:rPr>
        <w:t>v</w:t>
      </w:r>
      <w:r w:rsidRPr="0001748B">
        <w:rPr>
          <w:rFonts w:eastAsia="Verdana" w:cs="Verdana"/>
          <w:sz w:val="20"/>
          <w:szCs w:val="20"/>
        </w:rPr>
        <w:t>is M</w:t>
      </w:r>
      <w:r w:rsidR="00437328" w:rsidRPr="0001748B">
        <w:rPr>
          <w:rFonts w:eastAsia="Verdana" w:cs="Verdana"/>
          <w:sz w:val="20"/>
          <w:szCs w:val="20"/>
        </w:rPr>
        <w:t>ej</w:t>
      </w:r>
      <w:r w:rsidRPr="0001748B">
        <w:rPr>
          <w:rFonts w:eastAsia="Verdana" w:cs="Verdana"/>
          <w:sz w:val="20"/>
          <w:szCs w:val="20"/>
        </w:rPr>
        <w:t>ía Molina y de la perit</w:t>
      </w:r>
      <w:r w:rsidR="00C87EDD">
        <w:rPr>
          <w:rFonts w:eastAsia="Verdana" w:cs="Verdana"/>
          <w:sz w:val="20"/>
          <w:szCs w:val="20"/>
        </w:rPr>
        <w:t>a</w:t>
      </w:r>
      <w:r w:rsidRPr="0001748B">
        <w:rPr>
          <w:rFonts w:eastAsia="Verdana" w:cs="Verdana"/>
          <w:sz w:val="20"/>
          <w:szCs w:val="20"/>
        </w:rPr>
        <w:t xml:space="preserve"> Ana Cecilia Rincón Bracho.</w:t>
      </w:r>
      <w:r w:rsidRPr="0001748B">
        <w:rPr>
          <w:sz w:val="20"/>
          <w:szCs w:val="20"/>
          <w:lang w:eastAsia="es-ES"/>
        </w:rPr>
        <w:t xml:space="preserve"> Asimismo, el Estado realizó un reconocimiento de responsabilidad internacional, de conformidad con el artículo 62 del Reglamento de esta Corte. </w:t>
      </w:r>
      <w:r w:rsidRPr="0001748B">
        <w:rPr>
          <w:rFonts w:eastAsia="Verdana" w:cs="Verdana"/>
          <w:position w:val="-1"/>
          <w:sz w:val="20"/>
          <w:szCs w:val="20"/>
        </w:rPr>
        <w:t>Las declaraciones solicitadas ante fedatario público fueron recibidas los días 31 de enero, 1, 3 y 6 de febrero de 2017</w:t>
      </w:r>
      <w:r w:rsidRPr="008031E5">
        <w:rPr>
          <w:rStyle w:val="FootnoteReference"/>
          <w:rFonts w:eastAsia="Verdana" w:cs="Verdana"/>
          <w:position w:val="-1"/>
          <w:sz w:val="20"/>
          <w:szCs w:val="20"/>
        </w:rPr>
        <w:footnoteReference w:id="10"/>
      </w:r>
      <w:r w:rsidRPr="0001748B">
        <w:rPr>
          <w:rFonts w:eastAsia="Verdana" w:cs="Verdana"/>
          <w:position w:val="-1"/>
          <w:sz w:val="20"/>
          <w:szCs w:val="20"/>
        </w:rPr>
        <w:t>.</w:t>
      </w:r>
    </w:p>
    <w:p w:rsidR="00C71D16" w:rsidRPr="0001748B" w:rsidRDefault="00C71D16" w:rsidP="00C71D16">
      <w:pPr>
        <w:autoSpaceDE w:val="0"/>
        <w:autoSpaceDN w:val="0"/>
        <w:spacing w:line="240" w:lineRule="auto"/>
        <w:rPr>
          <w:rFonts w:eastAsia="Verdana" w:cs="Verdana"/>
          <w:sz w:val="20"/>
          <w:szCs w:val="20"/>
        </w:rPr>
      </w:pPr>
    </w:p>
    <w:p w:rsidR="00C71D16" w:rsidRPr="0001748B" w:rsidRDefault="00C71D16" w:rsidP="00C71D16">
      <w:pPr>
        <w:numPr>
          <w:ilvl w:val="0"/>
          <w:numId w:val="1"/>
        </w:numPr>
        <w:tabs>
          <w:tab w:val="left" w:pos="567"/>
          <w:tab w:val="num" w:pos="12305"/>
        </w:tabs>
        <w:spacing w:line="240" w:lineRule="auto"/>
        <w:ind w:left="0" w:firstLine="0"/>
        <w:rPr>
          <w:rFonts w:cs="Verdana"/>
          <w:snapToGrid w:val="0"/>
          <w:sz w:val="20"/>
          <w:szCs w:val="20"/>
          <w:lang w:eastAsia="es-ES"/>
        </w:rPr>
      </w:pPr>
      <w:bookmarkStart w:id="26" w:name="_Ref354147731"/>
      <w:r w:rsidRPr="0001748B">
        <w:rPr>
          <w:rFonts w:cs="Verdana"/>
          <w:i/>
          <w:sz w:val="20"/>
          <w:szCs w:val="20"/>
        </w:rPr>
        <w:t xml:space="preserve">Alegatos y observaciones finales escritos. </w:t>
      </w:r>
      <w:bookmarkEnd w:id="26"/>
      <w:r w:rsidRPr="0001748B">
        <w:rPr>
          <w:rFonts w:cs="Verdana"/>
          <w:i/>
          <w:sz w:val="20"/>
          <w:szCs w:val="20"/>
        </w:rPr>
        <w:t xml:space="preserve">- </w:t>
      </w:r>
      <w:r w:rsidRPr="0001748B">
        <w:rPr>
          <w:rFonts w:cs="Verdana"/>
          <w:snapToGrid w:val="0"/>
          <w:sz w:val="20"/>
          <w:szCs w:val="20"/>
          <w:lang w:eastAsia="es-ES"/>
        </w:rPr>
        <w:t xml:space="preserve">El 10 de marzo de 2017, las representantes y el Estado remitieron sus </w:t>
      </w:r>
      <w:r w:rsidR="00A05D73">
        <w:rPr>
          <w:rFonts w:cs="Verdana"/>
          <w:snapToGrid w:val="0"/>
          <w:sz w:val="20"/>
          <w:szCs w:val="20"/>
          <w:lang w:eastAsia="es-ES"/>
        </w:rPr>
        <w:t xml:space="preserve">respectivos </w:t>
      </w:r>
      <w:r w:rsidRPr="0001748B">
        <w:rPr>
          <w:rFonts w:cs="Verdana"/>
          <w:snapToGrid w:val="0"/>
          <w:sz w:val="20"/>
          <w:szCs w:val="20"/>
          <w:lang w:eastAsia="es-ES"/>
        </w:rPr>
        <w:t>alegatos finales escritos, así como determinados anexos, y la Comisión presentó sus observaciones finales escritas.</w:t>
      </w:r>
    </w:p>
    <w:p w:rsidR="00C71D16" w:rsidRPr="0001748B" w:rsidRDefault="00C71D16" w:rsidP="00C71D16">
      <w:pPr>
        <w:autoSpaceDE w:val="0"/>
        <w:autoSpaceDN w:val="0"/>
        <w:spacing w:line="240" w:lineRule="auto"/>
        <w:rPr>
          <w:rFonts w:eastAsia="Batang"/>
          <w:sz w:val="20"/>
        </w:rPr>
      </w:pPr>
    </w:p>
    <w:p w:rsidR="00C71D16" w:rsidRPr="0001748B" w:rsidRDefault="00C71D16" w:rsidP="00C71D16">
      <w:pPr>
        <w:numPr>
          <w:ilvl w:val="0"/>
          <w:numId w:val="1"/>
        </w:numPr>
        <w:tabs>
          <w:tab w:val="left" w:pos="567"/>
          <w:tab w:val="num" w:pos="12305"/>
        </w:tabs>
        <w:spacing w:line="240" w:lineRule="auto"/>
        <w:ind w:left="0" w:firstLine="0"/>
        <w:rPr>
          <w:rFonts w:cs="Verdana"/>
          <w:snapToGrid w:val="0"/>
          <w:sz w:val="20"/>
          <w:szCs w:val="20"/>
          <w:lang w:eastAsia="es-ES"/>
        </w:rPr>
      </w:pPr>
      <w:bookmarkStart w:id="27" w:name="_Ref313990861"/>
      <w:r w:rsidRPr="0001748B">
        <w:rPr>
          <w:rFonts w:cs="Verdana"/>
          <w:i/>
          <w:snapToGrid w:val="0"/>
          <w:sz w:val="20"/>
          <w:szCs w:val="20"/>
          <w:lang w:eastAsia="es-ES"/>
        </w:rPr>
        <w:t xml:space="preserve">Observaciones de las partes y </w:t>
      </w:r>
      <w:r w:rsidR="00A05D73">
        <w:rPr>
          <w:rFonts w:cs="Verdana"/>
          <w:i/>
          <w:snapToGrid w:val="0"/>
          <w:sz w:val="20"/>
          <w:szCs w:val="20"/>
          <w:lang w:eastAsia="es-ES"/>
        </w:rPr>
        <w:t xml:space="preserve">de </w:t>
      </w:r>
      <w:r w:rsidRPr="0001748B">
        <w:rPr>
          <w:rFonts w:cs="Verdana"/>
          <w:i/>
          <w:snapToGrid w:val="0"/>
          <w:sz w:val="20"/>
          <w:szCs w:val="20"/>
          <w:lang w:eastAsia="es-ES"/>
        </w:rPr>
        <w:t xml:space="preserve">la Comisión. – </w:t>
      </w:r>
      <w:r w:rsidRPr="0001748B">
        <w:rPr>
          <w:rFonts w:cs="Verdana"/>
          <w:snapToGrid w:val="0"/>
          <w:sz w:val="20"/>
          <w:szCs w:val="20"/>
          <w:lang w:eastAsia="es-ES"/>
        </w:rPr>
        <w:t xml:space="preserve">El Presidente otorgó un plazo a las partes y a la Comisión para que presentaran las observaciones que estimaran pertinentes a los anexos remitidos por el Estado y </w:t>
      </w:r>
      <w:r w:rsidR="00A05D73">
        <w:rPr>
          <w:rFonts w:cs="Verdana"/>
          <w:snapToGrid w:val="0"/>
          <w:sz w:val="20"/>
          <w:szCs w:val="20"/>
          <w:lang w:eastAsia="es-ES"/>
        </w:rPr>
        <w:t xml:space="preserve">por </w:t>
      </w:r>
      <w:r w:rsidRPr="0001748B">
        <w:rPr>
          <w:rFonts w:cs="Verdana"/>
          <w:snapToGrid w:val="0"/>
          <w:sz w:val="20"/>
          <w:szCs w:val="20"/>
          <w:lang w:eastAsia="es-ES"/>
        </w:rPr>
        <w:t xml:space="preserve">las representantes junto con sus </w:t>
      </w:r>
      <w:r w:rsidR="00A05D73">
        <w:rPr>
          <w:rFonts w:cs="Verdana"/>
          <w:snapToGrid w:val="0"/>
          <w:sz w:val="20"/>
          <w:szCs w:val="20"/>
          <w:lang w:eastAsia="es-ES"/>
        </w:rPr>
        <w:t xml:space="preserve">respectivos </w:t>
      </w:r>
      <w:r w:rsidRPr="0001748B">
        <w:rPr>
          <w:rFonts w:cs="Verdana"/>
          <w:snapToGrid w:val="0"/>
          <w:sz w:val="20"/>
          <w:szCs w:val="20"/>
          <w:lang w:eastAsia="es-ES"/>
        </w:rPr>
        <w:t xml:space="preserve">alegatos finales escritos. </w:t>
      </w:r>
      <w:bookmarkStart w:id="28" w:name="_Ref303582878"/>
      <w:bookmarkEnd w:id="27"/>
      <w:r w:rsidRPr="0001748B">
        <w:rPr>
          <w:rFonts w:cs="Verdana"/>
          <w:snapToGrid w:val="0"/>
          <w:sz w:val="20"/>
          <w:szCs w:val="20"/>
          <w:lang w:eastAsia="es-ES"/>
        </w:rPr>
        <w:t xml:space="preserve">El </w:t>
      </w:r>
      <w:r w:rsidR="00E66570" w:rsidRPr="0001748B">
        <w:rPr>
          <w:rFonts w:cs="Verdana"/>
          <w:snapToGrid w:val="0"/>
          <w:sz w:val="20"/>
          <w:szCs w:val="20"/>
          <w:lang w:eastAsia="es-ES"/>
        </w:rPr>
        <w:t>27 de marzo</w:t>
      </w:r>
      <w:r w:rsidR="005C5D39">
        <w:rPr>
          <w:rFonts w:cs="Verdana"/>
          <w:snapToGrid w:val="0"/>
          <w:sz w:val="20"/>
          <w:szCs w:val="20"/>
          <w:lang w:eastAsia="es-ES"/>
        </w:rPr>
        <w:t xml:space="preserve"> de 2017</w:t>
      </w:r>
      <w:r w:rsidR="00E66570" w:rsidRPr="0001748B">
        <w:rPr>
          <w:rFonts w:cs="Verdana"/>
          <w:snapToGrid w:val="0"/>
          <w:sz w:val="20"/>
          <w:szCs w:val="20"/>
          <w:lang w:eastAsia="es-ES"/>
        </w:rPr>
        <w:t xml:space="preserve"> </w:t>
      </w:r>
      <w:r w:rsidRPr="0001748B">
        <w:rPr>
          <w:rFonts w:cs="Verdana"/>
          <w:snapToGrid w:val="0"/>
          <w:sz w:val="20"/>
          <w:szCs w:val="20"/>
          <w:lang w:eastAsia="es-ES"/>
        </w:rPr>
        <w:t xml:space="preserve">las representantes </w:t>
      </w:r>
      <w:r w:rsidR="00E66570" w:rsidRPr="0001748B">
        <w:rPr>
          <w:sz w:val="20"/>
          <w:szCs w:val="20"/>
        </w:rPr>
        <w:t>formularon observaciones sobre los alegatos finales escritos del Estado</w:t>
      </w:r>
      <w:r w:rsidR="00546B75" w:rsidRPr="0001748B">
        <w:rPr>
          <w:sz w:val="20"/>
          <w:szCs w:val="20"/>
        </w:rPr>
        <w:t xml:space="preserve"> </w:t>
      </w:r>
      <w:r w:rsidR="00E66570" w:rsidRPr="0001748B">
        <w:rPr>
          <w:sz w:val="20"/>
          <w:szCs w:val="20"/>
        </w:rPr>
        <w:t xml:space="preserve">y no se pronunciaron respecto del anexo que fue remitido junto con dicho escrito. </w:t>
      </w:r>
      <w:r w:rsidR="000E6C1E">
        <w:rPr>
          <w:sz w:val="20"/>
          <w:szCs w:val="20"/>
        </w:rPr>
        <w:t>L</w:t>
      </w:r>
      <w:r w:rsidR="00E66570" w:rsidRPr="0001748B">
        <w:rPr>
          <w:sz w:val="20"/>
          <w:szCs w:val="20"/>
        </w:rPr>
        <w:t xml:space="preserve">a Comisión </w:t>
      </w:r>
      <w:r w:rsidR="000E6C1E">
        <w:rPr>
          <w:sz w:val="20"/>
          <w:szCs w:val="20"/>
        </w:rPr>
        <w:t>y</w:t>
      </w:r>
      <w:r w:rsidR="000E6C1E" w:rsidRPr="0001748B">
        <w:rPr>
          <w:sz w:val="20"/>
          <w:szCs w:val="20"/>
        </w:rPr>
        <w:t xml:space="preserve"> </w:t>
      </w:r>
      <w:r w:rsidR="00E66570" w:rsidRPr="0001748B">
        <w:rPr>
          <w:sz w:val="20"/>
          <w:szCs w:val="20"/>
        </w:rPr>
        <w:t xml:space="preserve">el Estado </w:t>
      </w:r>
      <w:r w:rsidR="000E6C1E">
        <w:rPr>
          <w:sz w:val="20"/>
          <w:szCs w:val="20"/>
        </w:rPr>
        <w:t xml:space="preserve">no </w:t>
      </w:r>
      <w:r w:rsidR="00E66570" w:rsidRPr="0001748B">
        <w:rPr>
          <w:sz w:val="20"/>
          <w:szCs w:val="20"/>
        </w:rPr>
        <w:t>presentaron observaciones.</w:t>
      </w:r>
      <w:bookmarkEnd w:id="28"/>
      <w:r w:rsidR="00ED40FC" w:rsidRPr="0001748B">
        <w:rPr>
          <w:rFonts w:cs="Verdana"/>
          <w:snapToGrid w:val="0"/>
          <w:sz w:val="20"/>
          <w:szCs w:val="20"/>
          <w:lang w:eastAsia="es-ES"/>
        </w:rPr>
        <w:t xml:space="preserve"> </w:t>
      </w:r>
      <w:r w:rsidR="00ED40FC" w:rsidRPr="00125C44">
        <w:rPr>
          <w:rFonts w:cs="Verdana"/>
          <w:snapToGrid w:val="0"/>
          <w:sz w:val="20"/>
          <w:szCs w:val="20"/>
          <w:lang w:eastAsia="es-ES"/>
        </w:rPr>
        <w:t>El</w:t>
      </w:r>
      <w:r w:rsidR="00ED40FC" w:rsidRPr="0001748B">
        <w:rPr>
          <w:rFonts w:eastAsia="Calibri" w:cs="Verdana"/>
          <w:snapToGrid w:val="0"/>
          <w:sz w:val="20"/>
          <w:szCs w:val="20"/>
          <w:lang w:eastAsia="es-ES"/>
        </w:rPr>
        <w:t xml:space="preserve"> 17 de abril de 2017 el Estado solicitó se declarara inadmisible las observaciones a los alegatos finales del Estado presentadas por las representantes. Tomando en cuenta que el Estado formuló, por primera vez, sus argumentos sobre las reparaciones al presentar su escrito de alegatos finales</w:t>
      </w:r>
      <w:r w:rsidR="005365DC" w:rsidRPr="0001748B">
        <w:rPr>
          <w:rFonts w:eastAsia="Calibri" w:cs="Verdana"/>
          <w:snapToGrid w:val="0"/>
          <w:sz w:val="20"/>
          <w:szCs w:val="20"/>
          <w:lang w:eastAsia="es-ES"/>
        </w:rPr>
        <w:t xml:space="preserve"> y</w:t>
      </w:r>
      <w:r w:rsidR="00ED40FC" w:rsidRPr="0001748B">
        <w:rPr>
          <w:rFonts w:eastAsia="Calibri" w:cs="Verdana"/>
          <w:snapToGrid w:val="0"/>
          <w:sz w:val="20"/>
          <w:szCs w:val="20"/>
          <w:lang w:eastAsia="es-ES"/>
        </w:rPr>
        <w:t xml:space="preserve"> en aras de asegurar el derecho de defensa de las partes, la Corte considera pertinente admitir </w:t>
      </w:r>
      <w:r w:rsidR="005365DC" w:rsidRPr="0001748B">
        <w:rPr>
          <w:rFonts w:eastAsia="Calibri" w:cs="Verdana"/>
          <w:snapToGrid w:val="0"/>
          <w:sz w:val="20"/>
          <w:szCs w:val="20"/>
          <w:lang w:eastAsia="es-ES"/>
        </w:rPr>
        <w:t xml:space="preserve">en esta oportunidad </w:t>
      </w:r>
      <w:r w:rsidR="00ED40FC" w:rsidRPr="0001748B">
        <w:rPr>
          <w:rFonts w:eastAsia="Calibri" w:cs="Verdana"/>
          <w:snapToGrid w:val="0"/>
          <w:sz w:val="20"/>
          <w:szCs w:val="20"/>
          <w:lang w:eastAsia="es-ES"/>
        </w:rPr>
        <w:t>tanto los alegatos formulados p</w:t>
      </w:r>
      <w:r w:rsidR="005365DC" w:rsidRPr="0001748B">
        <w:rPr>
          <w:rFonts w:eastAsia="Calibri" w:cs="Verdana"/>
          <w:snapToGrid w:val="0"/>
          <w:sz w:val="20"/>
          <w:szCs w:val="20"/>
          <w:lang w:eastAsia="es-ES"/>
        </w:rPr>
        <w:t>o</w:t>
      </w:r>
      <w:r w:rsidR="00ED40FC" w:rsidRPr="0001748B">
        <w:rPr>
          <w:rFonts w:eastAsia="Calibri" w:cs="Verdana"/>
          <w:snapToGrid w:val="0"/>
          <w:sz w:val="20"/>
          <w:szCs w:val="20"/>
          <w:lang w:eastAsia="es-ES"/>
        </w:rPr>
        <w:t>r el Estado como las observaciones de las representantes en torno a las reparaciones.</w:t>
      </w:r>
    </w:p>
    <w:p w:rsidR="00ED40FC" w:rsidRPr="0001748B" w:rsidRDefault="00ED40FC" w:rsidP="00C71D16">
      <w:pPr>
        <w:tabs>
          <w:tab w:val="left" w:pos="567"/>
          <w:tab w:val="left" w:pos="1134"/>
          <w:tab w:val="num" w:pos="6042"/>
        </w:tabs>
        <w:autoSpaceDE w:val="0"/>
        <w:autoSpaceDN w:val="0"/>
        <w:spacing w:line="240" w:lineRule="auto"/>
        <w:rPr>
          <w:rFonts w:eastAsia="Calibri" w:cs="Verdana"/>
          <w:snapToGrid w:val="0"/>
          <w:sz w:val="20"/>
          <w:szCs w:val="20"/>
          <w:lang w:eastAsia="es-ES"/>
        </w:rPr>
      </w:pPr>
    </w:p>
    <w:p w:rsidR="00C71D16" w:rsidRPr="000466F2" w:rsidRDefault="00C71D16" w:rsidP="00C71D16">
      <w:pPr>
        <w:numPr>
          <w:ilvl w:val="0"/>
          <w:numId w:val="1"/>
        </w:numPr>
        <w:tabs>
          <w:tab w:val="left" w:pos="567"/>
          <w:tab w:val="num" w:pos="12305"/>
        </w:tabs>
        <w:spacing w:line="240" w:lineRule="auto"/>
        <w:ind w:left="0" w:firstLine="0"/>
        <w:rPr>
          <w:rFonts w:cs="Verdana"/>
          <w:snapToGrid w:val="0"/>
          <w:sz w:val="20"/>
          <w:szCs w:val="20"/>
          <w:lang w:eastAsia="es-ES"/>
        </w:rPr>
      </w:pPr>
      <w:r w:rsidRPr="0001748B">
        <w:rPr>
          <w:rFonts w:cs="Verdana"/>
          <w:i/>
          <w:snapToGrid w:val="0"/>
          <w:sz w:val="20"/>
          <w:szCs w:val="20"/>
          <w:lang w:eastAsia="es-ES"/>
        </w:rPr>
        <w:t>Erogaciones en aplicación del Fondo de Asistencia.</w:t>
      </w:r>
      <w:r w:rsidRPr="0001748B">
        <w:rPr>
          <w:rFonts w:cs="Verdana"/>
          <w:snapToGrid w:val="0"/>
          <w:sz w:val="20"/>
          <w:szCs w:val="20"/>
          <w:lang w:eastAsia="es-ES"/>
        </w:rPr>
        <w:t xml:space="preserve"> </w:t>
      </w:r>
      <w:r w:rsidRPr="0001748B">
        <w:rPr>
          <w:rFonts w:cs="Verdana"/>
          <w:iCs/>
          <w:snapToGrid w:val="0"/>
          <w:sz w:val="20"/>
          <w:szCs w:val="20"/>
          <w:lang w:eastAsia="es-ES"/>
        </w:rPr>
        <w:t>–</w:t>
      </w:r>
      <w:r w:rsidRPr="0001748B">
        <w:rPr>
          <w:rFonts w:cs="Verdana"/>
          <w:snapToGrid w:val="0"/>
          <w:sz w:val="20"/>
          <w:szCs w:val="20"/>
          <w:lang w:eastAsia="es-ES"/>
        </w:rPr>
        <w:t xml:space="preserve"> El </w:t>
      </w:r>
      <w:r w:rsidR="00ED40FC" w:rsidRPr="00125C44">
        <w:rPr>
          <w:rFonts w:cs="Verdana"/>
          <w:snapToGrid w:val="0"/>
          <w:sz w:val="20"/>
          <w:szCs w:val="20"/>
          <w:lang w:eastAsia="es-ES"/>
        </w:rPr>
        <w:t xml:space="preserve">11 </w:t>
      </w:r>
      <w:r w:rsidRPr="00125C44">
        <w:rPr>
          <w:rFonts w:cs="Verdana"/>
          <w:snapToGrid w:val="0"/>
          <w:sz w:val="20"/>
          <w:szCs w:val="20"/>
          <w:lang w:eastAsia="es-ES"/>
        </w:rPr>
        <w:t xml:space="preserve">de </w:t>
      </w:r>
      <w:r w:rsidR="00ED40FC" w:rsidRPr="0001748B">
        <w:rPr>
          <w:rFonts w:cs="Verdana"/>
          <w:snapToGrid w:val="0"/>
          <w:sz w:val="20"/>
          <w:szCs w:val="20"/>
          <w:lang w:eastAsia="es-ES"/>
        </w:rPr>
        <w:t xml:space="preserve">abril </w:t>
      </w:r>
      <w:r w:rsidRPr="0001748B">
        <w:rPr>
          <w:rFonts w:cs="Verdana"/>
          <w:snapToGrid w:val="0"/>
          <w:sz w:val="20"/>
          <w:szCs w:val="20"/>
          <w:lang w:eastAsia="es-ES"/>
        </w:rPr>
        <w:t xml:space="preserve">de 2017 la Secretaría, siguiendo instrucciones del Presidente de la Corte, remitió información al Estado sobre las erogaciones efectuadas en aplicación del Fondo de Asistencia Legal de Víctimas en el presente caso y, según lo dispuesto en el artículo 5 del Reglamento de la Corte sobre el Funcionamiento del referido Fondo, le otorgó un plazo </w:t>
      </w:r>
      <w:r w:rsidRPr="000466F2">
        <w:rPr>
          <w:rFonts w:cs="Verdana"/>
          <w:snapToGrid w:val="0"/>
          <w:sz w:val="20"/>
          <w:szCs w:val="20"/>
          <w:lang w:eastAsia="es-ES"/>
        </w:rPr>
        <w:t xml:space="preserve">para presentar las observaciones que estimara pertinentes. </w:t>
      </w:r>
      <w:r w:rsidRPr="00125C44">
        <w:rPr>
          <w:rFonts w:cs="Verdana"/>
          <w:snapToGrid w:val="0"/>
          <w:sz w:val="20"/>
          <w:szCs w:val="20"/>
          <w:lang w:eastAsia="es-ES"/>
        </w:rPr>
        <w:t xml:space="preserve">El Estado </w:t>
      </w:r>
      <w:r w:rsidR="000466F2" w:rsidRPr="00125C44">
        <w:rPr>
          <w:rFonts w:cs="Verdana"/>
          <w:snapToGrid w:val="0"/>
          <w:sz w:val="20"/>
          <w:szCs w:val="20"/>
          <w:lang w:eastAsia="es-ES"/>
        </w:rPr>
        <w:t>presentó sus observaciones el 21 de abril de 2017.</w:t>
      </w:r>
    </w:p>
    <w:p w:rsidR="00C71D16" w:rsidRPr="0001748B" w:rsidRDefault="00C71D16" w:rsidP="00C71D16">
      <w:pPr>
        <w:tabs>
          <w:tab w:val="left" w:pos="567"/>
          <w:tab w:val="left" w:pos="1134"/>
          <w:tab w:val="num" w:pos="6042"/>
        </w:tabs>
        <w:autoSpaceDE w:val="0"/>
        <w:autoSpaceDN w:val="0"/>
        <w:spacing w:line="240" w:lineRule="auto"/>
        <w:rPr>
          <w:rFonts w:eastAsia="Calibri" w:cs="Verdana"/>
          <w:snapToGrid w:val="0"/>
          <w:sz w:val="20"/>
          <w:szCs w:val="20"/>
          <w:lang w:eastAsia="es-ES"/>
        </w:rPr>
      </w:pPr>
    </w:p>
    <w:p w:rsidR="00C71D16" w:rsidRPr="00240B46" w:rsidRDefault="00C71D16" w:rsidP="00C71D16">
      <w:pPr>
        <w:numPr>
          <w:ilvl w:val="0"/>
          <w:numId w:val="1"/>
        </w:numPr>
        <w:tabs>
          <w:tab w:val="left" w:pos="567"/>
          <w:tab w:val="num" w:pos="12305"/>
        </w:tabs>
        <w:spacing w:line="240" w:lineRule="auto"/>
        <w:ind w:left="0" w:firstLine="0"/>
        <w:rPr>
          <w:rFonts w:cs="Verdana"/>
          <w:snapToGrid w:val="0"/>
          <w:sz w:val="20"/>
          <w:szCs w:val="20"/>
          <w:lang w:eastAsia="es-ES"/>
        </w:rPr>
      </w:pPr>
      <w:r w:rsidRPr="0001748B">
        <w:rPr>
          <w:rFonts w:cs="Verdana"/>
          <w:i/>
          <w:snapToGrid w:val="0"/>
          <w:sz w:val="20"/>
          <w:szCs w:val="20"/>
          <w:lang w:eastAsia="es-ES"/>
        </w:rPr>
        <w:t>Deliberación</w:t>
      </w:r>
      <w:r w:rsidRPr="0001748B">
        <w:rPr>
          <w:rFonts w:cs="Verdana"/>
          <w:i/>
          <w:iCs/>
          <w:snapToGrid w:val="0"/>
          <w:sz w:val="20"/>
          <w:szCs w:val="20"/>
          <w:lang w:eastAsia="es-ES"/>
        </w:rPr>
        <w:t xml:space="preserve"> del presente caso. - </w:t>
      </w:r>
      <w:r w:rsidRPr="0001748B">
        <w:rPr>
          <w:rFonts w:cs="Verdana"/>
          <w:snapToGrid w:val="0"/>
          <w:sz w:val="20"/>
          <w:szCs w:val="20"/>
          <w:lang w:eastAsia="es-ES"/>
        </w:rPr>
        <w:t>La Corte inició la deliberación de la presente Sentenc</w:t>
      </w:r>
      <w:r w:rsidRPr="00240B46">
        <w:rPr>
          <w:rFonts w:cs="Verdana"/>
          <w:snapToGrid w:val="0"/>
          <w:sz w:val="20"/>
          <w:szCs w:val="20"/>
          <w:lang w:eastAsia="es-ES"/>
        </w:rPr>
        <w:t xml:space="preserve">ia el </w:t>
      </w:r>
      <w:r w:rsidR="00A96756" w:rsidRPr="00240B46">
        <w:rPr>
          <w:rFonts w:cs="Verdana"/>
          <w:snapToGrid w:val="0"/>
          <w:sz w:val="20"/>
          <w:szCs w:val="20"/>
          <w:lang w:eastAsia="es-ES"/>
        </w:rPr>
        <w:t>21</w:t>
      </w:r>
      <w:r w:rsidRPr="00240B46">
        <w:rPr>
          <w:rFonts w:cs="Verdana"/>
          <w:snapToGrid w:val="0"/>
          <w:sz w:val="20"/>
          <w:szCs w:val="20"/>
          <w:lang w:eastAsia="es-ES"/>
        </w:rPr>
        <w:t xml:space="preserve"> de </w:t>
      </w:r>
      <w:r w:rsidR="00A96756" w:rsidRPr="00240B46">
        <w:rPr>
          <w:rFonts w:cs="Verdana"/>
          <w:snapToGrid w:val="0"/>
          <w:sz w:val="20"/>
          <w:szCs w:val="20"/>
          <w:lang w:eastAsia="es-ES"/>
        </w:rPr>
        <w:t>agosto</w:t>
      </w:r>
      <w:r w:rsidRPr="00240B46">
        <w:rPr>
          <w:rFonts w:cs="Verdana"/>
          <w:snapToGrid w:val="0"/>
          <w:sz w:val="20"/>
          <w:szCs w:val="20"/>
          <w:lang w:eastAsia="es-ES"/>
        </w:rPr>
        <w:t xml:space="preserve"> de 2017.</w:t>
      </w:r>
    </w:p>
    <w:p w:rsidR="00C71D16" w:rsidRPr="0001748B" w:rsidRDefault="00C71D16" w:rsidP="008031E5">
      <w:pPr>
        <w:spacing w:line="240" w:lineRule="auto"/>
        <w:rPr>
          <w:rFonts w:eastAsia="Verdana" w:cs="Verdana"/>
          <w:sz w:val="20"/>
          <w:szCs w:val="20"/>
        </w:rPr>
      </w:pPr>
    </w:p>
    <w:p w:rsidR="00C71D16" w:rsidRPr="0001748B" w:rsidRDefault="00C71D16" w:rsidP="00C71D16">
      <w:pPr>
        <w:keepNext/>
        <w:keepLines/>
        <w:tabs>
          <w:tab w:val="left" w:pos="851"/>
        </w:tabs>
        <w:spacing w:line="240" w:lineRule="auto"/>
        <w:jc w:val="center"/>
        <w:outlineLvl w:val="0"/>
        <w:rPr>
          <w:rFonts w:cs="Verdana"/>
          <w:b/>
          <w:bCs/>
          <w:caps/>
          <w:snapToGrid w:val="0"/>
          <w:sz w:val="20"/>
          <w:szCs w:val="20"/>
        </w:rPr>
      </w:pPr>
      <w:bookmarkStart w:id="29" w:name="_Toc470180034"/>
      <w:bookmarkStart w:id="30" w:name="_Toc495658647"/>
      <w:r w:rsidRPr="0001748B">
        <w:rPr>
          <w:rFonts w:cs="Verdana"/>
          <w:b/>
          <w:bCs/>
          <w:caps/>
          <w:snapToGrid w:val="0"/>
          <w:sz w:val="20"/>
          <w:szCs w:val="20"/>
        </w:rPr>
        <w:t>III</w:t>
      </w:r>
      <w:r w:rsidRPr="0001748B">
        <w:rPr>
          <w:rFonts w:cs="Verdana"/>
          <w:b/>
          <w:bCs/>
          <w:caps/>
          <w:snapToGrid w:val="0"/>
          <w:sz w:val="20"/>
          <w:szCs w:val="20"/>
        </w:rPr>
        <w:br/>
        <w:t>COMPETENCIA</w:t>
      </w:r>
      <w:bookmarkEnd w:id="29"/>
      <w:bookmarkEnd w:id="30"/>
    </w:p>
    <w:p w:rsidR="00C71D16" w:rsidRPr="008031E5" w:rsidRDefault="00C71D16" w:rsidP="00C71D16">
      <w:pPr>
        <w:spacing w:before="5" w:line="240" w:lineRule="auto"/>
        <w:rPr>
          <w:sz w:val="20"/>
          <w:szCs w:val="20"/>
        </w:rPr>
      </w:pPr>
    </w:p>
    <w:p w:rsidR="00C71D16" w:rsidRPr="0001748B" w:rsidRDefault="00C71D16" w:rsidP="00C71D16">
      <w:pPr>
        <w:numPr>
          <w:ilvl w:val="0"/>
          <w:numId w:val="1"/>
        </w:numPr>
        <w:tabs>
          <w:tab w:val="left" w:pos="567"/>
          <w:tab w:val="num" w:pos="12305"/>
        </w:tabs>
        <w:spacing w:line="240" w:lineRule="auto"/>
        <w:ind w:left="0" w:firstLine="0"/>
        <w:rPr>
          <w:sz w:val="20"/>
        </w:rPr>
      </w:pPr>
      <w:r w:rsidRPr="0001748B">
        <w:rPr>
          <w:sz w:val="20"/>
        </w:rPr>
        <w:t xml:space="preserve">Venezuela es Estado Parte en la Convención Americana desde el 9 de agosto de 1977 y reconoció la competencia contenciosa de la Corte el 24 de junio de 1981. Por su parte, el 10 de septiembre de 2012 Venezuela denunció la Convención Americana, la cual entró en vigor el 10 de septiembre de 2013. De acuerdo con el artículo 78.2 de la Convención, la Corte es competente para conocer del presente caso, en los términos del </w:t>
      </w:r>
      <w:r w:rsidRPr="0001748B">
        <w:rPr>
          <w:rFonts w:cs="Verdana"/>
          <w:snapToGrid w:val="0"/>
          <w:sz w:val="20"/>
          <w:szCs w:val="20"/>
          <w:lang w:eastAsia="es-ES"/>
        </w:rPr>
        <w:t>artículo</w:t>
      </w:r>
      <w:r w:rsidRPr="0001748B">
        <w:rPr>
          <w:sz w:val="20"/>
        </w:rPr>
        <w:t xml:space="preserve"> 62.3 de la Convención Americana, tomando en cuenta que los hechos analizados son anteriores a la entrada en vigor de la denuncia de la Convención.</w:t>
      </w:r>
    </w:p>
    <w:p w:rsidR="00C71D16" w:rsidRPr="0001748B" w:rsidRDefault="00C71D16" w:rsidP="00866198">
      <w:pPr>
        <w:tabs>
          <w:tab w:val="left" w:pos="720"/>
          <w:tab w:val="num" w:pos="5057"/>
        </w:tabs>
        <w:spacing w:line="240" w:lineRule="auto"/>
        <w:ind w:right="-90"/>
        <w:rPr>
          <w:rFonts w:eastAsia="Calibri" w:cs="Verdana"/>
          <w:sz w:val="20"/>
          <w:szCs w:val="20"/>
        </w:rPr>
      </w:pPr>
    </w:p>
    <w:p w:rsidR="00C71D16" w:rsidRPr="0001748B" w:rsidRDefault="00C71D16" w:rsidP="00866198">
      <w:pPr>
        <w:keepNext/>
        <w:keepLines/>
        <w:tabs>
          <w:tab w:val="left" w:pos="851"/>
        </w:tabs>
        <w:spacing w:line="240" w:lineRule="auto"/>
        <w:jc w:val="center"/>
        <w:outlineLvl w:val="0"/>
        <w:rPr>
          <w:rFonts w:cs="Verdana"/>
          <w:b/>
          <w:bCs/>
          <w:caps/>
          <w:snapToGrid w:val="0"/>
          <w:sz w:val="20"/>
          <w:szCs w:val="20"/>
        </w:rPr>
      </w:pPr>
      <w:bookmarkStart w:id="31" w:name="_Toc375062713"/>
      <w:bookmarkStart w:id="32" w:name="_Toc375140863"/>
      <w:bookmarkStart w:id="33" w:name="_Toc375504822"/>
      <w:bookmarkStart w:id="34" w:name="_Toc375560896"/>
      <w:bookmarkStart w:id="35" w:name="_Toc428369979"/>
      <w:bookmarkStart w:id="36" w:name="_Toc459158095"/>
      <w:bookmarkStart w:id="37" w:name="_Toc401931881"/>
      <w:bookmarkStart w:id="38" w:name="_Toc470180035"/>
      <w:bookmarkStart w:id="39" w:name="_Toc495658648"/>
      <w:r w:rsidRPr="0001748B">
        <w:rPr>
          <w:rFonts w:cs="Verdana"/>
          <w:b/>
          <w:bCs/>
          <w:caps/>
          <w:snapToGrid w:val="0"/>
          <w:sz w:val="20"/>
          <w:szCs w:val="20"/>
        </w:rPr>
        <w:t>IV</w:t>
      </w:r>
      <w:r w:rsidRPr="0001748B">
        <w:rPr>
          <w:rFonts w:cs="Verdana"/>
          <w:b/>
          <w:bCs/>
          <w:caps/>
          <w:snapToGrid w:val="0"/>
          <w:sz w:val="20"/>
          <w:szCs w:val="20"/>
        </w:rPr>
        <w:br/>
      </w:r>
      <w:bookmarkEnd w:id="31"/>
      <w:bookmarkEnd w:id="32"/>
      <w:bookmarkEnd w:id="33"/>
      <w:bookmarkEnd w:id="34"/>
      <w:bookmarkEnd w:id="35"/>
      <w:bookmarkEnd w:id="36"/>
      <w:bookmarkEnd w:id="37"/>
      <w:bookmarkEnd w:id="38"/>
      <w:r w:rsidRPr="0001748B">
        <w:rPr>
          <w:rFonts w:cs="Verdana"/>
          <w:b/>
          <w:bCs/>
          <w:caps/>
          <w:snapToGrid w:val="0"/>
          <w:sz w:val="20"/>
          <w:szCs w:val="20"/>
        </w:rPr>
        <w:t>RECONOCIMIENTO DE RESPONSABILIDAD ESTATAL</w:t>
      </w:r>
      <w:bookmarkEnd w:id="39"/>
    </w:p>
    <w:p w:rsidR="00C71D16" w:rsidRPr="0001748B" w:rsidRDefault="00C71D16" w:rsidP="00866198">
      <w:pPr>
        <w:spacing w:line="240" w:lineRule="auto"/>
        <w:rPr>
          <w:sz w:val="20"/>
          <w:szCs w:val="20"/>
        </w:rPr>
      </w:pPr>
    </w:p>
    <w:p w:rsidR="00866198" w:rsidRPr="00125C44" w:rsidRDefault="00F53937" w:rsidP="00125C44">
      <w:pPr>
        <w:keepNext/>
        <w:keepLines/>
        <w:tabs>
          <w:tab w:val="left" w:pos="1134"/>
        </w:tabs>
        <w:spacing w:line="240" w:lineRule="auto"/>
        <w:ind w:left="567" w:firstLine="1"/>
        <w:outlineLvl w:val="1"/>
        <w:rPr>
          <w:rFonts w:eastAsia="MS Mincho"/>
          <w:b/>
          <w:bCs/>
          <w:i/>
          <w:sz w:val="20"/>
          <w:szCs w:val="20"/>
        </w:rPr>
      </w:pPr>
      <w:bookmarkStart w:id="40" w:name="_Toc495658649"/>
      <w:r w:rsidRPr="0001748B">
        <w:rPr>
          <w:rFonts w:eastAsia="MS Mincho"/>
          <w:b/>
          <w:bCs/>
          <w:i/>
          <w:sz w:val="20"/>
          <w:szCs w:val="20"/>
        </w:rPr>
        <w:t>A.</w:t>
      </w:r>
      <w:r w:rsidRPr="0001748B">
        <w:rPr>
          <w:rFonts w:eastAsia="MS Mincho"/>
          <w:b/>
          <w:bCs/>
          <w:i/>
          <w:sz w:val="20"/>
          <w:szCs w:val="20"/>
        </w:rPr>
        <w:tab/>
      </w:r>
      <w:r w:rsidR="00866198" w:rsidRPr="00125C44">
        <w:rPr>
          <w:rFonts w:eastAsia="MS Mincho"/>
          <w:b/>
          <w:bCs/>
          <w:i/>
          <w:sz w:val="20"/>
          <w:szCs w:val="20"/>
        </w:rPr>
        <w:t>Reconocimiento de responsabilidad del Estado y observaciones de la Comisión y de las representantes</w:t>
      </w:r>
      <w:bookmarkEnd w:id="40"/>
    </w:p>
    <w:p w:rsidR="00866198" w:rsidRPr="0001748B" w:rsidRDefault="00866198" w:rsidP="00866198">
      <w:pPr>
        <w:widowControl/>
        <w:autoSpaceDE w:val="0"/>
        <w:autoSpaceDN w:val="0"/>
        <w:spacing w:line="240" w:lineRule="auto"/>
        <w:textAlignment w:val="auto"/>
        <w:rPr>
          <w:rFonts w:eastAsia="Calibri" w:cs="Verdana"/>
          <w:snapToGrid w:val="0"/>
          <w:sz w:val="20"/>
          <w:szCs w:val="20"/>
          <w:lang w:eastAsia="es-ES"/>
        </w:rPr>
      </w:pPr>
    </w:p>
    <w:p w:rsidR="00866198" w:rsidRPr="0001748B" w:rsidRDefault="00866198" w:rsidP="00866198">
      <w:pPr>
        <w:numPr>
          <w:ilvl w:val="0"/>
          <w:numId w:val="1"/>
        </w:numPr>
        <w:tabs>
          <w:tab w:val="left" w:pos="567"/>
          <w:tab w:val="num" w:pos="12305"/>
        </w:tabs>
        <w:spacing w:line="240" w:lineRule="auto"/>
        <w:ind w:left="0" w:firstLine="0"/>
        <w:rPr>
          <w:rFonts w:eastAsia="Batang"/>
          <w:sz w:val="20"/>
          <w:lang w:eastAsia="en-US"/>
        </w:rPr>
      </w:pPr>
      <w:r w:rsidRPr="0001748B">
        <w:rPr>
          <w:rFonts w:eastAsia="Batang"/>
          <w:sz w:val="20"/>
          <w:szCs w:val="20"/>
          <w:lang w:eastAsia="en-US"/>
        </w:rPr>
        <w:lastRenderedPageBreak/>
        <w:t xml:space="preserve">El </w:t>
      </w:r>
      <w:r w:rsidRPr="0001748B">
        <w:rPr>
          <w:rFonts w:eastAsia="Batang"/>
          <w:b/>
          <w:i/>
          <w:sz w:val="20"/>
          <w:szCs w:val="20"/>
          <w:lang w:eastAsia="en-US"/>
        </w:rPr>
        <w:t>Estado</w:t>
      </w:r>
      <w:r w:rsidRPr="0001748B">
        <w:rPr>
          <w:rFonts w:eastAsia="Batang"/>
          <w:sz w:val="20"/>
          <w:szCs w:val="20"/>
          <w:lang w:eastAsia="en-US"/>
        </w:rPr>
        <w:t xml:space="preserve"> declaró ante la Corte Interamericana</w:t>
      </w:r>
      <w:r w:rsidR="009C61F2">
        <w:rPr>
          <w:rFonts w:eastAsia="Batang"/>
          <w:sz w:val="20"/>
          <w:szCs w:val="20"/>
          <w:lang w:eastAsia="en-US"/>
        </w:rPr>
        <w:t>,</w:t>
      </w:r>
      <w:r w:rsidRPr="0001748B">
        <w:rPr>
          <w:rFonts w:eastAsia="Batang"/>
          <w:sz w:val="20"/>
          <w:szCs w:val="20"/>
          <w:lang w:eastAsia="en-US"/>
        </w:rPr>
        <w:t xml:space="preserve"> en la audiencia pública del presente caso que, de conformidad con el artículo 62 del Reglamento de la Corte, </w:t>
      </w:r>
      <w:r w:rsidRPr="0001748B">
        <w:rPr>
          <w:rFonts w:eastAsia="Batang"/>
          <w:sz w:val="20"/>
          <w:lang w:eastAsia="en-US"/>
        </w:rPr>
        <w:t>reconocía la responsabilidad internacional del Estado, generada por la violación del derecho a la vida, consagrado en el artículo 4 de la Convención Americana, en perjuicio del joven Johan Alexis Ortiz</w:t>
      </w:r>
      <w:r w:rsidR="0009152F">
        <w:rPr>
          <w:rFonts w:eastAsia="Batang"/>
          <w:sz w:val="20"/>
          <w:lang w:eastAsia="en-US"/>
        </w:rPr>
        <w:t xml:space="preserve"> Hernández</w:t>
      </w:r>
      <w:r w:rsidRPr="0001748B">
        <w:rPr>
          <w:rFonts w:eastAsia="Batang"/>
          <w:sz w:val="20"/>
          <w:lang w:eastAsia="en-US"/>
        </w:rPr>
        <w:t>. Resaltó que “[s]e trata de una muerte arbitraria, lamentable y, sobre todo, completamente injustificada”. En particular, señaló que el Estado venezolano considera inaceptable que las autoridades de la época, hayan desatendido las regulaciones existentes para el desarrollo de este tipo de prácticas militares, incrementando ilegítimamente el riesgo, que de por sí caracteriza los ejercicios de esta naturaleza. De igual forma, el Estado reconoció su responsabilidad internacional, derivada de la violación de los derechos a las garantías judiciales y a la protección judicial, previstos en los artículos 8 y 25 de la Convención Americana, en perjuicio del señor Edgar Humberto Ortiz Ruiz y de la señora Zaida Hernández, “como consecuencia de la demora excesiva del proceso judicial destinado a establecer responsabilidades por la muerte del joven Johan Alexis Ortiz”. Al respecto, afirmó que “la deficiente actuación de los órganos inicialmente llamados a conocer el presente caso, al amparo de la derogada constitución del año 1961, condujo a que el proceso judicial se complejizara y en consecuencia se extendiera más allá de un plazo razonable”. Precisó que, actualmente, dicho caso es conocido por la jurisdicción penal ordinaria, en cumplimiento del mandato previsto en el artículo 29 de la Constitución, que establece que todos los casos de violación de derechos humanos, son competencia de esa jurisdicción, a diferencia de lo que ocurría durante el siglo XX, cuando casos como el de este joven, eran investigados confidencialmente por la jurisdicción militar. Además, el Estado reconoció la responsabilidad internacional que se desprende de la violación del derecho a la integridad personal, prevista en el artículo 5.1 de la Convención Americana, en perjuicio de los familiares de Johan Alexis Ortiz</w:t>
      </w:r>
      <w:r w:rsidR="006A042A">
        <w:rPr>
          <w:rFonts w:eastAsia="Batang"/>
          <w:sz w:val="20"/>
          <w:lang w:eastAsia="en-US"/>
        </w:rPr>
        <w:t xml:space="preserve"> Hernández</w:t>
      </w:r>
      <w:r w:rsidRPr="0001748B">
        <w:rPr>
          <w:rFonts w:eastAsia="Batang"/>
          <w:sz w:val="20"/>
          <w:lang w:eastAsia="en-US"/>
        </w:rPr>
        <w:t>, identificados en el informe de fondo de la Comisión Interamericana. No obstante, aclaró que el presente reconocimiento de responsabilidad no incluye la alegada responsabilidad del Estado, que se desprendería de la supuesta falta de investigación oportuna y adecuada de las denuncias de violación a la integridad personal, en los términos previstos en los artículos 1, 6 y 8 de la Convención Interamericana para Prevenir y Sancionar la Tortura. Al respecto, indicó que</w:t>
      </w:r>
      <w:r w:rsidR="00FB4059">
        <w:rPr>
          <w:rFonts w:eastAsia="Batang"/>
          <w:sz w:val="20"/>
          <w:lang w:eastAsia="en-US"/>
        </w:rPr>
        <w:t>,</w:t>
      </w:r>
      <w:r w:rsidRPr="0001748B">
        <w:rPr>
          <w:rFonts w:eastAsia="Batang"/>
          <w:sz w:val="20"/>
          <w:lang w:eastAsia="en-US"/>
        </w:rPr>
        <w:t xml:space="preserve"> más allá de los señalamientos realizados por el padre de la víctima, no existe en el expediente elementos que permitan sostener la hipótesis de la tortura</w:t>
      </w:r>
      <w:r w:rsidRPr="0001748B">
        <w:rPr>
          <w:rFonts w:eastAsia="Batang"/>
          <w:sz w:val="20"/>
          <w:vertAlign w:val="superscript"/>
          <w:lang w:eastAsia="en-US"/>
        </w:rPr>
        <w:footnoteReference w:id="11"/>
      </w:r>
      <w:r w:rsidRPr="0001748B">
        <w:rPr>
          <w:rFonts w:eastAsia="Batang"/>
          <w:sz w:val="20"/>
          <w:lang w:eastAsia="en-US"/>
        </w:rPr>
        <w:t>. En virtud de lo anterior, solicitó a esta Corte declarar que no existe violación a la integridad personal en los términos previstos en los artículos 1, 6 y 8 de la Convención Interamericana para Prevenir y Sancionar la Tortura.</w:t>
      </w:r>
    </w:p>
    <w:p w:rsidR="00866198" w:rsidRPr="0001748B" w:rsidRDefault="00866198" w:rsidP="00866198">
      <w:pPr>
        <w:widowControl/>
        <w:autoSpaceDE w:val="0"/>
        <w:autoSpaceDN w:val="0"/>
        <w:spacing w:line="240" w:lineRule="auto"/>
        <w:textAlignment w:val="auto"/>
        <w:rPr>
          <w:rFonts w:eastAsia="Batang"/>
          <w:sz w:val="20"/>
          <w:lang w:eastAsia="en-US"/>
        </w:rPr>
      </w:pPr>
    </w:p>
    <w:p w:rsidR="00866198" w:rsidRPr="0001748B" w:rsidRDefault="00866198" w:rsidP="00866198">
      <w:pPr>
        <w:numPr>
          <w:ilvl w:val="0"/>
          <w:numId w:val="1"/>
        </w:numPr>
        <w:tabs>
          <w:tab w:val="left" w:pos="567"/>
          <w:tab w:val="num" w:pos="12305"/>
        </w:tabs>
        <w:spacing w:line="240" w:lineRule="auto"/>
        <w:ind w:left="0" w:firstLine="0"/>
        <w:rPr>
          <w:rFonts w:eastAsia="Calibri" w:cs="Verdana"/>
          <w:snapToGrid w:val="0"/>
          <w:sz w:val="20"/>
          <w:szCs w:val="20"/>
          <w:lang w:eastAsia="es-ES"/>
        </w:rPr>
      </w:pPr>
      <w:r w:rsidRPr="0001748B">
        <w:rPr>
          <w:rFonts w:eastAsia="Calibri" w:cs="Verdana"/>
          <w:snapToGrid w:val="0"/>
          <w:sz w:val="20"/>
          <w:szCs w:val="20"/>
          <w:lang w:eastAsia="es-ES"/>
        </w:rPr>
        <w:t xml:space="preserve">Respecto a las reparaciones, el Estado solicitó a la Corte que procediera a fijar las </w:t>
      </w:r>
      <w:r w:rsidRPr="0001748B">
        <w:rPr>
          <w:rFonts w:eastAsia="Batang"/>
          <w:sz w:val="20"/>
          <w:szCs w:val="20"/>
          <w:lang w:eastAsia="en-US"/>
        </w:rPr>
        <w:t>reparaciones</w:t>
      </w:r>
      <w:r w:rsidRPr="0001748B">
        <w:rPr>
          <w:rFonts w:eastAsia="Calibri" w:cs="Verdana"/>
          <w:snapToGrid w:val="0"/>
          <w:sz w:val="20"/>
          <w:szCs w:val="20"/>
          <w:lang w:eastAsia="es-ES"/>
        </w:rPr>
        <w:t xml:space="preserve"> correspondientes, de conformidad con su jurisprudencia en esta materia y tomando en cuenta lo acreditado en el expediente del presente caso. El Estado precisó que “procederá de conformidad con su práctica reciente a brindar medidas y atención integral a las víctimas del presente caso, con el objeto de dar respuesta a sus necesidades socioeconómicas, haciendo uso para ello de todo el sistema de protección social que ha sido construido por el gobierno venezolano”. Asimismo, sostuvo que han sido adoptadas las medidas correspondientes a los fines de fortalecer el respeto a los derechos humanos de los estudiantes de la </w:t>
      </w:r>
      <w:r w:rsidR="00EE3B20">
        <w:rPr>
          <w:rFonts w:eastAsia="Calibri" w:cs="Verdana"/>
          <w:snapToGrid w:val="0"/>
          <w:sz w:val="20"/>
          <w:szCs w:val="20"/>
          <w:lang w:eastAsia="es-ES"/>
        </w:rPr>
        <w:t>E</w:t>
      </w:r>
      <w:r w:rsidRPr="0001748B">
        <w:rPr>
          <w:rFonts w:eastAsia="Calibri" w:cs="Verdana"/>
          <w:snapToGrid w:val="0"/>
          <w:sz w:val="20"/>
          <w:szCs w:val="20"/>
          <w:lang w:eastAsia="es-ES"/>
        </w:rPr>
        <w:t xml:space="preserve">scuela de </w:t>
      </w:r>
      <w:r w:rsidR="00EE3B20">
        <w:rPr>
          <w:rFonts w:eastAsia="Calibri" w:cs="Verdana"/>
          <w:snapToGrid w:val="0"/>
          <w:sz w:val="20"/>
          <w:szCs w:val="20"/>
          <w:lang w:eastAsia="es-ES"/>
        </w:rPr>
        <w:t>F</w:t>
      </w:r>
      <w:r w:rsidRPr="0001748B">
        <w:rPr>
          <w:rFonts w:eastAsia="Calibri" w:cs="Verdana"/>
          <w:snapToGrid w:val="0"/>
          <w:sz w:val="20"/>
          <w:szCs w:val="20"/>
          <w:lang w:eastAsia="es-ES"/>
        </w:rPr>
        <w:t xml:space="preserve">ormación de Guardias Nacionales, durante todos los procesos de entrenamiento y capacitación. Como parte de las medidas adoptadas se ha incluido de manera expresa y categórica en el instructivo que regula la ejecución del ejercicio de orden abierto, mejor conocido como “cancha de infiltración”, la obligación de hacer uso de municiones de fogueo durante la ejecución de los mencionados ejercicios de entrenamiento. Igualmente, han sido reforzadas las medidas de seguridad y de </w:t>
      </w:r>
      <w:r w:rsidRPr="0001748B">
        <w:rPr>
          <w:rFonts w:eastAsia="Calibri" w:cs="Verdana"/>
          <w:snapToGrid w:val="0"/>
          <w:sz w:val="20"/>
          <w:szCs w:val="20"/>
          <w:lang w:eastAsia="es-ES"/>
        </w:rPr>
        <w:lastRenderedPageBreak/>
        <w:t>prevención ante posibles emergencias en los señalados ejercicios. Finalmente, señaló que procederá</w:t>
      </w:r>
      <w:r w:rsidR="009F4E9F">
        <w:rPr>
          <w:rFonts w:eastAsia="Calibri" w:cs="Verdana"/>
          <w:snapToGrid w:val="0"/>
          <w:sz w:val="20"/>
          <w:szCs w:val="20"/>
          <w:lang w:eastAsia="es-ES"/>
        </w:rPr>
        <w:t>,</w:t>
      </w:r>
      <w:r w:rsidRPr="0001748B">
        <w:rPr>
          <w:rFonts w:eastAsia="Calibri" w:cs="Verdana"/>
          <w:snapToGrid w:val="0"/>
          <w:sz w:val="20"/>
          <w:szCs w:val="20"/>
          <w:lang w:eastAsia="es-ES"/>
        </w:rPr>
        <w:t xml:space="preserve"> como medida de satisfacción</w:t>
      </w:r>
      <w:r w:rsidR="009F4E9F">
        <w:rPr>
          <w:rFonts w:eastAsia="Calibri" w:cs="Verdana"/>
          <w:snapToGrid w:val="0"/>
          <w:sz w:val="20"/>
          <w:szCs w:val="20"/>
          <w:lang w:eastAsia="es-ES"/>
        </w:rPr>
        <w:t>,</w:t>
      </w:r>
      <w:r w:rsidRPr="0001748B">
        <w:rPr>
          <w:rFonts w:eastAsia="Calibri" w:cs="Verdana"/>
          <w:snapToGrid w:val="0"/>
          <w:sz w:val="20"/>
          <w:szCs w:val="20"/>
          <w:lang w:eastAsia="es-ES"/>
        </w:rPr>
        <w:t xml:space="preserve"> a bautizar con el nombre de Johan Alexis Ortiz</w:t>
      </w:r>
      <w:r w:rsidR="0009152F">
        <w:rPr>
          <w:rFonts w:eastAsia="Calibri" w:cs="Verdana"/>
          <w:snapToGrid w:val="0"/>
          <w:sz w:val="20"/>
          <w:szCs w:val="20"/>
          <w:lang w:eastAsia="es-ES"/>
        </w:rPr>
        <w:t xml:space="preserve"> </w:t>
      </w:r>
      <w:r w:rsidR="0009152F">
        <w:rPr>
          <w:rFonts w:eastAsia="Batang"/>
          <w:sz w:val="20"/>
          <w:lang w:eastAsia="en-US"/>
        </w:rPr>
        <w:t>Hernández</w:t>
      </w:r>
      <w:r w:rsidRPr="0001748B">
        <w:rPr>
          <w:rFonts w:eastAsia="Calibri" w:cs="Verdana"/>
          <w:snapToGrid w:val="0"/>
          <w:sz w:val="20"/>
          <w:szCs w:val="20"/>
          <w:lang w:eastAsia="es-ES"/>
        </w:rPr>
        <w:t xml:space="preserve"> una promoción de egresados de la Escuela de Formación de la Guardia Nacional Bolivariana.</w:t>
      </w:r>
    </w:p>
    <w:p w:rsidR="00866198" w:rsidRPr="0001748B" w:rsidRDefault="00866198" w:rsidP="00866198">
      <w:pPr>
        <w:widowControl/>
        <w:autoSpaceDE w:val="0"/>
        <w:autoSpaceDN w:val="0"/>
        <w:spacing w:line="240" w:lineRule="auto"/>
        <w:textAlignment w:val="auto"/>
        <w:rPr>
          <w:rFonts w:eastAsia="Calibri" w:cs="Verdana"/>
          <w:snapToGrid w:val="0"/>
          <w:sz w:val="20"/>
          <w:szCs w:val="20"/>
          <w:lang w:eastAsia="es-ES"/>
        </w:rPr>
      </w:pPr>
    </w:p>
    <w:p w:rsidR="00866198" w:rsidRPr="0001748B" w:rsidRDefault="00866198" w:rsidP="00866198">
      <w:pPr>
        <w:numPr>
          <w:ilvl w:val="0"/>
          <w:numId w:val="1"/>
        </w:numPr>
        <w:tabs>
          <w:tab w:val="left" w:pos="567"/>
          <w:tab w:val="num" w:pos="1569"/>
          <w:tab w:val="num" w:pos="12305"/>
        </w:tabs>
        <w:spacing w:line="240" w:lineRule="auto"/>
        <w:ind w:left="0" w:firstLine="0"/>
        <w:rPr>
          <w:rFonts w:eastAsia="Calibri" w:cs="Verdana"/>
          <w:snapToGrid w:val="0"/>
          <w:sz w:val="20"/>
          <w:szCs w:val="20"/>
          <w:lang w:eastAsia="es-ES"/>
        </w:rPr>
      </w:pPr>
      <w:r w:rsidRPr="0001748B">
        <w:rPr>
          <w:rFonts w:eastAsia="Batang"/>
          <w:sz w:val="20"/>
          <w:szCs w:val="20"/>
          <w:lang w:eastAsia="en-US"/>
        </w:rPr>
        <w:t>Asimismo</w:t>
      </w:r>
      <w:r w:rsidRPr="0001748B">
        <w:rPr>
          <w:rFonts w:eastAsia="Calibri" w:cs="Verdana"/>
          <w:snapToGrid w:val="0"/>
          <w:sz w:val="20"/>
          <w:szCs w:val="20"/>
          <w:lang w:eastAsia="es-ES"/>
        </w:rPr>
        <w:t>, es de destacar que</w:t>
      </w:r>
      <w:r w:rsidR="00A27D29">
        <w:rPr>
          <w:rFonts w:eastAsia="Calibri" w:cs="Verdana"/>
          <w:snapToGrid w:val="0"/>
          <w:sz w:val="20"/>
          <w:szCs w:val="20"/>
          <w:lang w:eastAsia="es-ES"/>
        </w:rPr>
        <w:t>,</w:t>
      </w:r>
      <w:r w:rsidRPr="0001748B">
        <w:rPr>
          <w:rFonts w:eastAsia="Calibri" w:cs="Verdana"/>
          <w:snapToGrid w:val="0"/>
          <w:sz w:val="20"/>
          <w:szCs w:val="20"/>
          <w:lang w:eastAsia="es-ES"/>
        </w:rPr>
        <w:t xml:space="preserve"> en el transcurso de la audiencia pública</w:t>
      </w:r>
      <w:r w:rsidR="00A27D29">
        <w:rPr>
          <w:rFonts w:eastAsia="Calibri" w:cs="Verdana"/>
          <w:snapToGrid w:val="0"/>
          <w:sz w:val="20"/>
          <w:szCs w:val="20"/>
          <w:lang w:eastAsia="es-ES"/>
        </w:rPr>
        <w:t>,</w:t>
      </w:r>
      <w:r w:rsidRPr="0001748B">
        <w:rPr>
          <w:rFonts w:eastAsia="Calibri" w:cs="Verdana"/>
          <w:snapToGrid w:val="0"/>
          <w:sz w:val="20"/>
          <w:szCs w:val="20"/>
          <w:lang w:eastAsia="es-ES"/>
        </w:rPr>
        <w:t xml:space="preserve"> el Estado realizó la siguiente declaración dirigida directamente a los padres del joven Ortiz Hernández:</w:t>
      </w:r>
    </w:p>
    <w:p w:rsidR="00866198" w:rsidRPr="0001748B" w:rsidRDefault="00866198" w:rsidP="00866198">
      <w:pPr>
        <w:widowControl/>
        <w:autoSpaceDE w:val="0"/>
        <w:autoSpaceDN w:val="0"/>
        <w:spacing w:line="240" w:lineRule="auto"/>
        <w:textAlignment w:val="auto"/>
        <w:rPr>
          <w:rFonts w:eastAsia="Calibri" w:cs="Verdana"/>
          <w:snapToGrid w:val="0"/>
          <w:sz w:val="20"/>
          <w:szCs w:val="20"/>
          <w:lang w:eastAsia="es-ES"/>
        </w:rPr>
      </w:pPr>
    </w:p>
    <w:p w:rsidR="00866198" w:rsidRPr="0001748B" w:rsidRDefault="00866198" w:rsidP="00212A0C">
      <w:pPr>
        <w:widowControl/>
        <w:autoSpaceDE w:val="0"/>
        <w:autoSpaceDN w:val="0"/>
        <w:spacing w:line="240" w:lineRule="auto"/>
        <w:ind w:left="567" w:right="616"/>
        <w:textAlignment w:val="auto"/>
        <w:rPr>
          <w:rFonts w:eastAsia="Calibri" w:cs="Verdana"/>
          <w:snapToGrid w:val="0"/>
          <w:sz w:val="16"/>
          <w:szCs w:val="16"/>
          <w:lang w:eastAsia="es-ES"/>
        </w:rPr>
      </w:pPr>
      <w:r w:rsidRPr="0001748B">
        <w:rPr>
          <w:rFonts w:eastAsia="Calibri" w:cs="Verdana"/>
          <w:snapToGrid w:val="0"/>
          <w:sz w:val="16"/>
          <w:szCs w:val="16"/>
          <w:lang w:eastAsia="es-ES"/>
        </w:rPr>
        <w:t>Señora Hernández, señor Ortiz: en nombre del Estado venezolano y en el mío propio, les pido perdón por la actuación de los agentes estatales que causaron la muerte de su hijo Johan Alexis Ortiz, el 15 de febrero de 1998. Lamentamos profundamente los hechos que dieron lugar a su sensible fallecimiento. Por ello, […] quisiéramos en esta audiencia, rendir un sencillo pero sentido homenaje, con un minuto de silencio a ese humilde y valiente joven, que aspiraba a ingresar a las fuerzas armadas para servir a su patria, defender nuestra soberanía y proteger a nuestro pueblo.</w:t>
      </w:r>
    </w:p>
    <w:p w:rsidR="00866198" w:rsidRPr="0001748B" w:rsidRDefault="00866198" w:rsidP="00212A0C">
      <w:pPr>
        <w:widowControl/>
        <w:autoSpaceDE w:val="0"/>
        <w:autoSpaceDN w:val="0"/>
        <w:spacing w:line="240" w:lineRule="auto"/>
        <w:ind w:left="567" w:right="616"/>
        <w:textAlignment w:val="auto"/>
        <w:rPr>
          <w:rFonts w:eastAsia="Calibri" w:cs="Verdana"/>
          <w:snapToGrid w:val="0"/>
          <w:sz w:val="16"/>
          <w:szCs w:val="16"/>
          <w:lang w:eastAsia="es-ES"/>
        </w:rPr>
      </w:pPr>
    </w:p>
    <w:p w:rsidR="00866198" w:rsidRPr="0001748B" w:rsidRDefault="00866198" w:rsidP="00212A0C">
      <w:pPr>
        <w:widowControl/>
        <w:autoSpaceDE w:val="0"/>
        <w:autoSpaceDN w:val="0"/>
        <w:spacing w:line="240" w:lineRule="auto"/>
        <w:ind w:left="567" w:right="616"/>
        <w:textAlignment w:val="auto"/>
        <w:rPr>
          <w:rFonts w:eastAsia="Calibri" w:cs="Verdana"/>
          <w:snapToGrid w:val="0"/>
          <w:sz w:val="16"/>
          <w:szCs w:val="16"/>
          <w:lang w:eastAsia="es-ES"/>
        </w:rPr>
      </w:pPr>
      <w:r w:rsidRPr="0001748B">
        <w:rPr>
          <w:rFonts w:eastAsia="Calibri" w:cs="Verdana"/>
          <w:snapToGrid w:val="0"/>
          <w:sz w:val="16"/>
          <w:szCs w:val="16"/>
          <w:lang w:eastAsia="es-ES"/>
        </w:rPr>
        <w:t>[…]</w:t>
      </w:r>
    </w:p>
    <w:p w:rsidR="00866198" w:rsidRPr="0001748B" w:rsidRDefault="00866198" w:rsidP="00212A0C">
      <w:pPr>
        <w:widowControl/>
        <w:autoSpaceDE w:val="0"/>
        <w:autoSpaceDN w:val="0"/>
        <w:spacing w:line="240" w:lineRule="auto"/>
        <w:ind w:left="567" w:right="616"/>
        <w:textAlignment w:val="auto"/>
        <w:rPr>
          <w:rFonts w:eastAsia="Calibri" w:cs="Verdana"/>
          <w:snapToGrid w:val="0"/>
          <w:sz w:val="16"/>
          <w:szCs w:val="16"/>
          <w:lang w:eastAsia="es-ES"/>
        </w:rPr>
      </w:pPr>
    </w:p>
    <w:p w:rsidR="00866198" w:rsidRPr="0001748B" w:rsidRDefault="00866198" w:rsidP="00212A0C">
      <w:pPr>
        <w:widowControl/>
        <w:autoSpaceDE w:val="0"/>
        <w:autoSpaceDN w:val="0"/>
        <w:spacing w:line="240" w:lineRule="auto"/>
        <w:ind w:left="567" w:right="616"/>
        <w:textAlignment w:val="auto"/>
        <w:rPr>
          <w:rFonts w:eastAsia="Calibri" w:cs="Verdana"/>
          <w:snapToGrid w:val="0"/>
          <w:sz w:val="16"/>
          <w:szCs w:val="16"/>
          <w:lang w:eastAsia="es-ES"/>
        </w:rPr>
      </w:pPr>
      <w:r w:rsidRPr="0001748B">
        <w:rPr>
          <w:rFonts w:eastAsia="Calibri" w:cs="Verdana"/>
          <w:snapToGrid w:val="0"/>
          <w:sz w:val="16"/>
          <w:szCs w:val="16"/>
          <w:lang w:eastAsia="es-ES"/>
        </w:rPr>
        <w:t>El Estado lamenta profundamente que la investigación adelantada por la justicia se haya demorado más allá de lo razonable. Y que, hasta este momento, no exista una sentencia definitivamente firme que establezca responsabilidad por tan grave hecho. Durante prácticamente 19 años, los padres de Johan Alexis Ortiz han estado persistiendo en la búsqueda de la justicia, llevando a cuesta una profunda angustia y dolor. Son ellos, ejemplo de la constancia que caracteriza a un padre y a una madre en procura de la respuesta institucional frente a la repentina e injustificada perdida de un ser querido.</w:t>
      </w:r>
    </w:p>
    <w:p w:rsidR="00866198" w:rsidRPr="0001748B" w:rsidRDefault="00866198" w:rsidP="00212A0C">
      <w:pPr>
        <w:widowControl/>
        <w:autoSpaceDE w:val="0"/>
        <w:autoSpaceDN w:val="0"/>
        <w:spacing w:line="240" w:lineRule="auto"/>
        <w:ind w:left="567" w:right="616"/>
        <w:textAlignment w:val="auto"/>
        <w:rPr>
          <w:rFonts w:eastAsia="Calibri" w:cs="Verdana"/>
          <w:snapToGrid w:val="0"/>
          <w:sz w:val="16"/>
          <w:szCs w:val="16"/>
          <w:lang w:eastAsia="es-ES"/>
        </w:rPr>
      </w:pPr>
    </w:p>
    <w:p w:rsidR="00866198" w:rsidRPr="0001748B" w:rsidRDefault="00866198" w:rsidP="00212A0C">
      <w:pPr>
        <w:widowControl/>
        <w:autoSpaceDE w:val="0"/>
        <w:autoSpaceDN w:val="0"/>
        <w:spacing w:line="240" w:lineRule="auto"/>
        <w:ind w:left="567" w:right="616"/>
        <w:textAlignment w:val="auto"/>
        <w:rPr>
          <w:rFonts w:eastAsia="Calibri" w:cs="Verdana"/>
          <w:snapToGrid w:val="0"/>
          <w:sz w:val="16"/>
          <w:szCs w:val="16"/>
          <w:lang w:eastAsia="es-ES"/>
        </w:rPr>
      </w:pPr>
      <w:r w:rsidRPr="0001748B">
        <w:rPr>
          <w:rFonts w:eastAsia="Calibri" w:cs="Verdana"/>
          <w:snapToGrid w:val="0"/>
          <w:sz w:val="16"/>
          <w:szCs w:val="16"/>
          <w:lang w:eastAsia="es-ES"/>
        </w:rPr>
        <w:t>En esta audiencia, les ratifico que el Estado venezolano no cesará hasta que los responsables de la muerte de Johan Alexis Ortiz, sean debidamente sancionados de conformidad con el marco jurídico vigente en nuestro país.</w:t>
      </w:r>
    </w:p>
    <w:p w:rsidR="00866198" w:rsidRPr="0001748B" w:rsidRDefault="00866198" w:rsidP="00866198">
      <w:pPr>
        <w:widowControl/>
        <w:autoSpaceDE w:val="0"/>
        <w:autoSpaceDN w:val="0"/>
        <w:spacing w:line="240" w:lineRule="auto"/>
        <w:textAlignment w:val="auto"/>
        <w:rPr>
          <w:rFonts w:eastAsia="Calibri" w:cs="Verdana"/>
          <w:snapToGrid w:val="0"/>
          <w:sz w:val="20"/>
          <w:szCs w:val="20"/>
          <w:lang w:eastAsia="es-ES"/>
        </w:rPr>
      </w:pPr>
    </w:p>
    <w:p w:rsidR="00866198" w:rsidRPr="0001748B" w:rsidRDefault="00866198" w:rsidP="00866198">
      <w:pPr>
        <w:numPr>
          <w:ilvl w:val="0"/>
          <w:numId w:val="1"/>
        </w:numPr>
        <w:tabs>
          <w:tab w:val="left" w:pos="567"/>
          <w:tab w:val="num" w:pos="1569"/>
          <w:tab w:val="num" w:pos="12305"/>
        </w:tabs>
        <w:spacing w:line="240" w:lineRule="auto"/>
        <w:ind w:left="0" w:firstLine="0"/>
        <w:rPr>
          <w:rFonts w:eastAsia="Batang"/>
          <w:sz w:val="20"/>
          <w:lang w:eastAsia="en-US"/>
        </w:rPr>
      </w:pPr>
      <w:r w:rsidRPr="0001748B">
        <w:rPr>
          <w:rFonts w:eastAsia="Batang"/>
          <w:sz w:val="20"/>
          <w:lang w:eastAsia="en-US"/>
        </w:rPr>
        <w:t>En sus alegatos finales, el Estado además de confirmar su reconocimien</w:t>
      </w:r>
      <w:r w:rsidR="00B06409" w:rsidRPr="0001748B">
        <w:rPr>
          <w:rFonts w:eastAsia="Batang"/>
          <w:sz w:val="20"/>
          <w:lang w:eastAsia="en-US"/>
        </w:rPr>
        <w:t>to parcial de responsabilidad, precisó que éste se basaba en los hechos contenidos en el informe de fondo de la Comisión</w:t>
      </w:r>
      <w:r w:rsidR="00A52153" w:rsidRPr="0001748B">
        <w:rPr>
          <w:rFonts w:eastAsia="Batang"/>
          <w:sz w:val="20"/>
          <w:lang w:eastAsia="en-US"/>
        </w:rPr>
        <w:t xml:space="preserve"> y comprendía las violaciones </w:t>
      </w:r>
      <w:r w:rsidR="00E72132" w:rsidRPr="0001748B">
        <w:rPr>
          <w:rFonts w:eastAsia="Batang"/>
          <w:sz w:val="20"/>
          <w:lang w:eastAsia="en-US"/>
        </w:rPr>
        <w:t>de</w:t>
      </w:r>
      <w:r w:rsidR="00A52153" w:rsidRPr="0001748B">
        <w:rPr>
          <w:rFonts w:eastAsia="Batang"/>
          <w:sz w:val="20"/>
          <w:lang w:eastAsia="en-US"/>
        </w:rPr>
        <w:t>l derecho a la vida de Johan Alexis Ortiz</w:t>
      </w:r>
      <w:r w:rsidR="00F7501F">
        <w:rPr>
          <w:rFonts w:eastAsia="Batang"/>
          <w:sz w:val="20"/>
          <w:lang w:eastAsia="en-US"/>
        </w:rPr>
        <w:t xml:space="preserve"> Hernández</w:t>
      </w:r>
      <w:r w:rsidR="00A52153" w:rsidRPr="0001748B">
        <w:rPr>
          <w:rFonts w:eastAsia="Batang"/>
          <w:sz w:val="20"/>
          <w:lang w:eastAsia="en-US"/>
        </w:rPr>
        <w:t>; del derecho a las garantías judiciales y a la protección judicial en relación con las obligaciones contenidas en los artículos 1.1 y 2 de la Convención en perjuicio de sus padres “como consecuencia de la demora excesiva del proceso judicial destinado a establecer responsabilidades por la muerte”, y del derecho a la integridad personal en perjuicio de todos los familiares identificados en el informe de fondo</w:t>
      </w:r>
      <w:r w:rsidRPr="0001748B">
        <w:rPr>
          <w:rFonts w:eastAsia="Batang"/>
          <w:sz w:val="20"/>
          <w:lang w:eastAsia="en-US"/>
        </w:rPr>
        <w:t>.</w:t>
      </w:r>
      <w:r w:rsidR="00A52153" w:rsidRPr="0001748B">
        <w:rPr>
          <w:rFonts w:eastAsia="Batang"/>
          <w:sz w:val="20"/>
          <w:lang w:eastAsia="en-US"/>
        </w:rPr>
        <w:t xml:space="preserve"> Además, el Estado reiteró que su reconocimiento no incluye “la alegada responsabilidad que se desprendería de la supuesta falta de investigación oportuna y adecuada de las denuncias de violación a la integridad personal, en los términos previstos en el artículo 5.1 de la Convención Americana y los artículos 1, 6 y 8 de la Convención Interamericana para Prevenir y Sancionar la Tortura”</w:t>
      </w:r>
      <w:r w:rsidR="00737070" w:rsidRPr="0001748B">
        <w:rPr>
          <w:rFonts w:eastAsia="Batang"/>
          <w:sz w:val="20"/>
          <w:lang w:eastAsia="en-US"/>
        </w:rPr>
        <w:t>, por lo que solicitó a la Corte que declarara que no existe violación a dichas disposiciones</w:t>
      </w:r>
      <w:r w:rsidR="00A52153" w:rsidRPr="0001748B">
        <w:rPr>
          <w:rFonts w:eastAsia="Batang"/>
          <w:sz w:val="20"/>
          <w:lang w:eastAsia="en-US"/>
        </w:rPr>
        <w:t>.</w:t>
      </w:r>
    </w:p>
    <w:p w:rsidR="00866198" w:rsidRPr="0001748B" w:rsidRDefault="00866198" w:rsidP="00866198">
      <w:pPr>
        <w:widowControl/>
        <w:autoSpaceDE w:val="0"/>
        <w:autoSpaceDN w:val="0"/>
        <w:spacing w:line="240" w:lineRule="auto"/>
        <w:textAlignment w:val="auto"/>
        <w:rPr>
          <w:rFonts w:eastAsia="Batang"/>
          <w:sz w:val="20"/>
          <w:lang w:eastAsia="en-US"/>
        </w:rPr>
      </w:pPr>
    </w:p>
    <w:p w:rsidR="00866198" w:rsidRPr="0001748B" w:rsidRDefault="00866198" w:rsidP="00866198">
      <w:pPr>
        <w:numPr>
          <w:ilvl w:val="0"/>
          <w:numId w:val="1"/>
        </w:numPr>
        <w:tabs>
          <w:tab w:val="left" w:pos="567"/>
          <w:tab w:val="num" w:pos="1569"/>
          <w:tab w:val="num" w:pos="12305"/>
        </w:tabs>
        <w:spacing w:line="240" w:lineRule="auto"/>
        <w:ind w:left="0" w:firstLine="0"/>
        <w:rPr>
          <w:rFonts w:eastAsia="Calibri" w:cs="Verdana"/>
          <w:snapToGrid w:val="0"/>
          <w:sz w:val="20"/>
          <w:szCs w:val="20"/>
          <w:lang w:eastAsia="es-ES"/>
        </w:rPr>
      </w:pPr>
      <w:r w:rsidRPr="0001748B">
        <w:rPr>
          <w:rFonts w:eastAsia="Calibri" w:cs="Verdana"/>
          <w:snapToGrid w:val="0"/>
          <w:sz w:val="20"/>
          <w:szCs w:val="20"/>
          <w:lang w:eastAsia="es-ES"/>
        </w:rPr>
        <w:t xml:space="preserve">La </w:t>
      </w:r>
      <w:r w:rsidRPr="0001748B">
        <w:rPr>
          <w:rFonts w:eastAsia="Calibri" w:cs="Verdana"/>
          <w:b/>
          <w:i/>
          <w:snapToGrid w:val="0"/>
          <w:sz w:val="20"/>
          <w:szCs w:val="20"/>
          <w:lang w:eastAsia="es-ES"/>
        </w:rPr>
        <w:t>Comisión</w:t>
      </w:r>
      <w:r w:rsidRPr="0001748B">
        <w:rPr>
          <w:rFonts w:eastAsia="Calibri" w:cs="Verdana"/>
          <w:snapToGrid w:val="0"/>
          <w:sz w:val="20"/>
          <w:szCs w:val="20"/>
          <w:lang w:eastAsia="es-ES"/>
        </w:rPr>
        <w:t xml:space="preserve"> expresó su satisfacción por el reconocimiento de responsabilidad formulado por el Estado de Venezuela, en relación con: i) la violación del derecho a la vida y a la integridad personal establecidos en los artículos 4 y 5 de la Convención Americana, en perjuicio de Johan Alexis Ortiz Hernández; ii) la violación de los derechos a las garantías judiciales y protección judicial, consagrados en los artículos 8 y 25 de la Convención Americana, en relación con Edgar Humberto Ortiz Ruiz y Zaida Hernández Hernández, y iii) la violación al derecho a la integridad personal, </w:t>
      </w:r>
      <w:r w:rsidR="002E67B7">
        <w:rPr>
          <w:rFonts w:eastAsia="Calibri" w:cs="Verdana"/>
          <w:snapToGrid w:val="0"/>
          <w:sz w:val="20"/>
          <w:szCs w:val="20"/>
          <w:lang w:eastAsia="es-ES"/>
        </w:rPr>
        <w:t>reconocida</w:t>
      </w:r>
      <w:r w:rsidR="002E67B7" w:rsidRPr="0001748B">
        <w:rPr>
          <w:rFonts w:eastAsia="Calibri" w:cs="Verdana"/>
          <w:snapToGrid w:val="0"/>
          <w:sz w:val="20"/>
          <w:szCs w:val="20"/>
          <w:lang w:eastAsia="es-ES"/>
        </w:rPr>
        <w:t xml:space="preserve"> </w:t>
      </w:r>
      <w:r w:rsidRPr="0001748B">
        <w:rPr>
          <w:rFonts w:eastAsia="Calibri" w:cs="Verdana"/>
          <w:snapToGrid w:val="0"/>
          <w:sz w:val="20"/>
          <w:szCs w:val="20"/>
          <w:lang w:eastAsia="es-ES"/>
        </w:rPr>
        <w:t>en el artículo 5 de la Convención Americana, en relación con los familiares de Johan Alexis Ortiz Hernández, todos en los términos en que se estableció en el informe de fondo del caso aprobado por la Comisión Interamericana.</w:t>
      </w:r>
    </w:p>
    <w:p w:rsidR="00866198" w:rsidRPr="0001748B" w:rsidRDefault="00866198" w:rsidP="00866198">
      <w:pPr>
        <w:widowControl/>
        <w:autoSpaceDE w:val="0"/>
        <w:autoSpaceDN w:val="0"/>
        <w:spacing w:line="240" w:lineRule="auto"/>
        <w:textAlignment w:val="auto"/>
        <w:rPr>
          <w:rFonts w:eastAsia="Calibri" w:cs="Verdana"/>
          <w:snapToGrid w:val="0"/>
          <w:sz w:val="20"/>
          <w:szCs w:val="20"/>
          <w:lang w:eastAsia="es-ES"/>
        </w:rPr>
      </w:pPr>
    </w:p>
    <w:p w:rsidR="00866198" w:rsidRPr="0001748B" w:rsidRDefault="00866198" w:rsidP="00866198">
      <w:pPr>
        <w:widowControl/>
        <w:numPr>
          <w:ilvl w:val="0"/>
          <w:numId w:val="1"/>
        </w:numPr>
        <w:tabs>
          <w:tab w:val="left" w:pos="567"/>
          <w:tab w:val="num" w:pos="1569"/>
          <w:tab w:val="num" w:pos="12305"/>
        </w:tabs>
        <w:autoSpaceDE w:val="0"/>
        <w:autoSpaceDN w:val="0"/>
        <w:spacing w:line="240" w:lineRule="auto"/>
        <w:ind w:left="0" w:firstLine="0"/>
        <w:textAlignment w:val="auto"/>
        <w:rPr>
          <w:rFonts w:eastAsia="Calibri" w:cs="Verdana"/>
          <w:snapToGrid w:val="0"/>
          <w:sz w:val="20"/>
          <w:szCs w:val="20"/>
          <w:lang w:eastAsia="es-ES"/>
        </w:rPr>
      </w:pPr>
      <w:r w:rsidRPr="0001748B">
        <w:rPr>
          <w:rFonts w:eastAsia="Calibri" w:cs="Verdana"/>
          <w:snapToGrid w:val="0"/>
          <w:sz w:val="20"/>
          <w:szCs w:val="20"/>
          <w:lang w:eastAsia="es-ES"/>
        </w:rPr>
        <w:t xml:space="preserve">En sus observaciones finales escritas, la Comisión </w:t>
      </w:r>
      <w:r w:rsidR="00A14352" w:rsidRPr="0001748B">
        <w:rPr>
          <w:rFonts w:eastAsia="Calibri" w:cs="Verdana"/>
          <w:snapToGrid w:val="0"/>
          <w:sz w:val="20"/>
          <w:szCs w:val="20"/>
          <w:lang w:eastAsia="es-ES"/>
        </w:rPr>
        <w:t>reiteró su satisfacción por</w:t>
      </w:r>
      <w:r w:rsidRPr="0001748B">
        <w:rPr>
          <w:rFonts w:eastAsia="Calibri" w:cs="Verdana"/>
          <w:snapToGrid w:val="0"/>
          <w:sz w:val="20"/>
          <w:szCs w:val="20"/>
          <w:lang w:eastAsia="es-ES"/>
        </w:rPr>
        <w:t xml:space="preserve"> la declaración realizada por el Estado venezolano en la audiencia, la cual constituye </w:t>
      </w:r>
      <w:r w:rsidR="00A14352" w:rsidRPr="0001748B">
        <w:rPr>
          <w:rFonts w:eastAsia="Calibri" w:cs="Verdana"/>
          <w:snapToGrid w:val="0"/>
          <w:sz w:val="20"/>
          <w:szCs w:val="20"/>
          <w:lang w:eastAsia="es-ES"/>
        </w:rPr>
        <w:t>un</w:t>
      </w:r>
      <w:r w:rsidRPr="0001748B">
        <w:rPr>
          <w:rFonts w:eastAsia="Calibri" w:cs="Verdana"/>
          <w:snapToGrid w:val="0"/>
          <w:sz w:val="20"/>
          <w:szCs w:val="20"/>
          <w:lang w:eastAsia="es-ES"/>
        </w:rPr>
        <w:t xml:space="preserve"> paso</w:t>
      </w:r>
      <w:r w:rsidR="00A14352" w:rsidRPr="0001748B">
        <w:rPr>
          <w:rFonts w:eastAsia="Calibri" w:cs="Verdana"/>
          <w:snapToGrid w:val="0"/>
          <w:sz w:val="20"/>
          <w:szCs w:val="20"/>
          <w:lang w:eastAsia="es-ES"/>
        </w:rPr>
        <w:t xml:space="preserve"> constructivo en el marco del presente proceso internacional</w:t>
      </w:r>
      <w:r w:rsidRPr="0001748B">
        <w:rPr>
          <w:rFonts w:eastAsia="Calibri" w:cs="Verdana"/>
          <w:snapToGrid w:val="0"/>
          <w:sz w:val="20"/>
          <w:szCs w:val="20"/>
          <w:lang w:eastAsia="es-ES"/>
        </w:rPr>
        <w:t xml:space="preserve">. </w:t>
      </w:r>
      <w:r w:rsidR="005E5FA0" w:rsidRPr="0001748B">
        <w:rPr>
          <w:rFonts w:eastAsia="Calibri" w:cs="Verdana"/>
          <w:snapToGrid w:val="0"/>
          <w:sz w:val="20"/>
          <w:szCs w:val="20"/>
          <w:lang w:eastAsia="es-ES"/>
        </w:rPr>
        <w:t>La Comisión</w:t>
      </w:r>
      <w:r w:rsidR="00A31391" w:rsidRPr="0001748B">
        <w:rPr>
          <w:rFonts w:eastAsia="Calibri" w:cs="Verdana"/>
          <w:snapToGrid w:val="0"/>
          <w:sz w:val="20"/>
          <w:szCs w:val="20"/>
          <w:lang w:eastAsia="es-ES"/>
        </w:rPr>
        <w:t xml:space="preserve"> consideró, no obstante, que era pertinente presentar algunas observaciones en cuanto al alcance que se debe otorgar a dicho reconocimiento. En lo que se refiere al derecho a la vida,</w:t>
      </w:r>
      <w:r w:rsidR="005E5FA0" w:rsidRPr="0001748B">
        <w:rPr>
          <w:rFonts w:eastAsia="Calibri" w:cs="Verdana"/>
          <w:snapToGrid w:val="0"/>
          <w:sz w:val="20"/>
          <w:szCs w:val="20"/>
          <w:lang w:eastAsia="es-ES"/>
        </w:rPr>
        <w:t xml:space="preserve"> consideró que ha cesado la controversia sobre la atribución de responsabilidad directa del Estado por la muerte de la víctima</w:t>
      </w:r>
      <w:r w:rsidR="002E6797" w:rsidRPr="0001748B">
        <w:rPr>
          <w:rFonts w:eastAsia="Calibri" w:cs="Verdana"/>
          <w:snapToGrid w:val="0"/>
          <w:sz w:val="20"/>
          <w:szCs w:val="20"/>
          <w:lang w:eastAsia="es-ES"/>
        </w:rPr>
        <w:t xml:space="preserve"> y destacó el hecho de </w:t>
      </w:r>
      <w:r w:rsidR="002E6797" w:rsidRPr="0001748B">
        <w:rPr>
          <w:rFonts w:eastAsia="Calibri" w:cs="Verdana"/>
          <w:snapToGrid w:val="0"/>
          <w:sz w:val="20"/>
          <w:szCs w:val="20"/>
          <w:lang w:eastAsia="es-ES"/>
        </w:rPr>
        <w:lastRenderedPageBreak/>
        <w:t>que el Estado se haya referido a la utilización de balas reales</w:t>
      </w:r>
      <w:r w:rsidR="005B21BB" w:rsidRPr="0001748B">
        <w:rPr>
          <w:rFonts w:eastAsia="Calibri" w:cs="Verdana"/>
          <w:snapToGrid w:val="0"/>
          <w:sz w:val="20"/>
          <w:szCs w:val="20"/>
          <w:lang w:eastAsia="es-ES"/>
        </w:rPr>
        <w:t xml:space="preserve"> en la práctica militar</w:t>
      </w:r>
      <w:r w:rsidR="005E5FA0" w:rsidRPr="0001748B">
        <w:rPr>
          <w:rFonts w:eastAsia="Calibri" w:cs="Verdana"/>
          <w:snapToGrid w:val="0"/>
          <w:sz w:val="20"/>
          <w:szCs w:val="20"/>
          <w:lang w:eastAsia="es-ES"/>
        </w:rPr>
        <w:t xml:space="preserve">. </w:t>
      </w:r>
      <w:r w:rsidR="00A31391" w:rsidRPr="0001748B">
        <w:rPr>
          <w:rFonts w:eastAsia="Calibri" w:cs="Verdana"/>
          <w:snapToGrid w:val="0"/>
          <w:sz w:val="20"/>
          <w:szCs w:val="20"/>
          <w:lang w:eastAsia="es-ES"/>
        </w:rPr>
        <w:t>En cuanto a los derechos a las garantías y protección judicial</w:t>
      </w:r>
      <w:r w:rsidR="006D3A9A">
        <w:rPr>
          <w:rFonts w:eastAsia="Calibri" w:cs="Verdana"/>
          <w:snapToGrid w:val="0"/>
          <w:sz w:val="20"/>
          <w:szCs w:val="20"/>
          <w:lang w:eastAsia="es-ES"/>
        </w:rPr>
        <w:t>es</w:t>
      </w:r>
      <w:r w:rsidR="00A31391" w:rsidRPr="0001748B">
        <w:rPr>
          <w:rFonts w:eastAsia="Calibri" w:cs="Verdana"/>
          <w:snapToGrid w:val="0"/>
          <w:sz w:val="20"/>
          <w:szCs w:val="20"/>
          <w:lang w:eastAsia="es-ES"/>
        </w:rPr>
        <w:t>,</w:t>
      </w:r>
      <w:r w:rsidR="002F2BA6" w:rsidRPr="0001748B">
        <w:rPr>
          <w:rFonts w:eastAsia="Calibri" w:cs="Verdana"/>
          <w:snapToGrid w:val="0"/>
          <w:sz w:val="20"/>
          <w:szCs w:val="20"/>
          <w:lang w:eastAsia="es-ES"/>
        </w:rPr>
        <w:t xml:space="preserve"> la Comisión entendió que, si bien el Estado se refirió el conocimiento de la primera etapa de la investigación por las autoridades militares y al incumplimiento de la garantía de plazo razonable, debía darse al reconocimiento un alcance general en relación con todos los obstáculos identificados en el presente caso en el acceso a la justicia tanto en el proceso ante las autoridades militares como en la jurisdicción ordinaria.</w:t>
      </w:r>
      <w:r w:rsidR="00D300F6" w:rsidRPr="0001748B">
        <w:rPr>
          <w:rFonts w:eastAsia="Calibri" w:cs="Verdana"/>
          <w:snapToGrid w:val="0"/>
          <w:sz w:val="20"/>
          <w:szCs w:val="20"/>
          <w:lang w:eastAsia="es-ES"/>
        </w:rPr>
        <w:t xml:space="preserve"> En esta línea, sostuvo que el reconocimiento de responsabilidad debe abarcar la falta de esclarecimiento de los hechos con base en los criterios desarrollados sobre el deber de debida diligencia en casos de uso de la fuerza letal</w:t>
      </w:r>
      <w:r w:rsidR="002E6797" w:rsidRPr="0001748B">
        <w:rPr>
          <w:rFonts w:eastAsia="Calibri" w:cs="Verdana"/>
          <w:snapToGrid w:val="0"/>
          <w:sz w:val="20"/>
          <w:szCs w:val="20"/>
          <w:lang w:eastAsia="es-ES"/>
        </w:rPr>
        <w:t xml:space="preserve"> y la necesidad de determinar la veracidad y el esclarecimiento de las distintas versiones sobre la privación de la vida</w:t>
      </w:r>
      <w:r w:rsidR="00D300F6" w:rsidRPr="0001748B">
        <w:rPr>
          <w:rFonts w:eastAsia="Calibri" w:cs="Verdana"/>
          <w:snapToGrid w:val="0"/>
          <w:sz w:val="20"/>
          <w:szCs w:val="20"/>
          <w:lang w:eastAsia="es-ES"/>
        </w:rPr>
        <w:t>.</w:t>
      </w:r>
      <w:r w:rsidR="00A31391" w:rsidRPr="0001748B">
        <w:rPr>
          <w:rFonts w:eastAsia="Calibri" w:cs="Verdana"/>
          <w:snapToGrid w:val="0"/>
          <w:sz w:val="20"/>
          <w:szCs w:val="20"/>
          <w:lang w:eastAsia="es-ES"/>
        </w:rPr>
        <w:t xml:space="preserve"> </w:t>
      </w:r>
      <w:r w:rsidR="0034647B" w:rsidRPr="0001748B">
        <w:rPr>
          <w:rFonts w:eastAsia="Calibri" w:cs="Verdana"/>
          <w:snapToGrid w:val="0"/>
          <w:sz w:val="20"/>
          <w:szCs w:val="20"/>
          <w:lang w:eastAsia="es-ES"/>
        </w:rPr>
        <w:t xml:space="preserve">En esta línea, la Comisión consideró que el hecho de que las autoridades internas sólo se hayan enfocado en investigar la versión sobre lo ocurrido a Johan Alexis el día de su muerte que apunta a la ocurrencia de un hecho accidental, aunado a una serie de omisiones e inconsistencias verificadas en la investigación, es uno de los factores que ha contribuido a la impunidad en el presente caso. Al respecto, la Comisión puntualizó que las incongruencias que surgen de la evidencia disponible en relación con la tesis oficial del hecho accidental generan serias dudas sobre su verosimilitud, lo cual haría parte de su responsabilidad </w:t>
      </w:r>
      <w:r w:rsidR="006D3A9A">
        <w:rPr>
          <w:rFonts w:eastAsia="Calibri" w:cs="Verdana"/>
          <w:snapToGrid w:val="0"/>
          <w:sz w:val="20"/>
          <w:szCs w:val="20"/>
          <w:lang w:eastAsia="es-ES"/>
        </w:rPr>
        <w:t>por</w:t>
      </w:r>
      <w:r w:rsidR="006D3A9A" w:rsidRPr="0001748B">
        <w:rPr>
          <w:rFonts w:eastAsia="Calibri" w:cs="Verdana"/>
          <w:snapToGrid w:val="0"/>
          <w:sz w:val="20"/>
          <w:szCs w:val="20"/>
          <w:lang w:eastAsia="es-ES"/>
        </w:rPr>
        <w:t xml:space="preserve"> </w:t>
      </w:r>
      <w:r w:rsidR="0034647B" w:rsidRPr="0001748B">
        <w:rPr>
          <w:rFonts w:eastAsia="Calibri" w:cs="Verdana"/>
          <w:snapToGrid w:val="0"/>
          <w:sz w:val="20"/>
          <w:szCs w:val="20"/>
          <w:lang w:eastAsia="es-ES"/>
        </w:rPr>
        <w:t xml:space="preserve">las violaciones </w:t>
      </w:r>
      <w:r w:rsidR="006D3A9A">
        <w:rPr>
          <w:rFonts w:eastAsia="Calibri" w:cs="Verdana"/>
          <w:snapToGrid w:val="0"/>
          <w:sz w:val="20"/>
          <w:szCs w:val="20"/>
          <w:lang w:eastAsia="es-ES"/>
        </w:rPr>
        <w:t>a</w:t>
      </w:r>
      <w:r w:rsidR="006D3A9A" w:rsidRPr="0001748B">
        <w:rPr>
          <w:rFonts w:eastAsia="Calibri" w:cs="Verdana"/>
          <w:snapToGrid w:val="0"/>
          <w:sz w:val="20"/>
          <w:szCs w:val="20"/>
          <w:lang w:eastAsia="es-ES"/>
        </w:rPr>
        <w:t xml:space="preserve"> </w:t>
      </w:r>
      <w:r w:rsidR="0034647B" w:rsidRPr="0001748B">
        <w:rPr>
          <w:rFonts w:eastAsia="Calibri" w:cs="Verdana"/>
          <w:snapToGrid w:val="0"/>
          <w:sz w:val="20"/>
          <w:szCs w:val="20"/>
          <w:lang w:eastAsia="es-ES"/>
        </w:rPr>
        <w:t xml:space="preserve">los derechos a las garantías y protección judiciales. Finalmente, sostuvo que había cesado la controversia en cuanto a la violación </w:t>
      </w:r>
      <w:r w:rsidR="0004209C">
        <w:rPr>
          <w:rFonts w:eastAsia="Calibri" w:cs="Verdana"/>
          <w:snapToGrid w:val="0"/>
          <w:sz w:val="20"/>
          <w:szCs w:val="20"/>
          <w:lang w:eastAsia="es-ES"/>
        </w:rPr>
        <w:t>del</w:t>
      </w:r>
      <w:r w:rsidR="0004209C" w:rsidRPr="0001748B">
        <w:rPr>
          <w:rFonts w:eastAsia="Calibri" w:cs="Verdana"/>
          <w:snapToGrid w:val="0"/>
          <w:sz w:val="20"/>
          <w:szCs w:val="20"/>
          <w:lang w:eastAsia="es-ES"/>
        </w:rPr>
        <w:t xml:space="preserve"> </w:t>
      </w:r>
      <w:r w:rsidR="0034647B" w:rsidRPr="0001748B">
        <w:rPr>
          <w:rFonts w:eastAsia="Calibri" w:cs="Verdana"/>
          <w:snapToGrid w:val="0"/>
          <w:sz w:val="20"/>
          <w:szCs w:val="20"/>
          <w:lang w:eastAsia="es-ES"/>
        </w:rPr>
        <w:t>derecho a la integridad personal de los familiares.</w:t>
      </w:r>
      <w:r w:rsidR="00393492" w:rsidRPr="0001748B">
        <w:rPr>
          <w:rFonts w:eastAsia="Calibri" w:cs="Verdana"/>
          <w:snapToGrid w:val="0"/>
          <w:sz w:val="20"/>
          <w:szCs w:val="20"/>
          <w:lang w:eastAsia="es-ES"/>
        </w:rPr>
        <w:t xml:space="preserve"> Adicionalmente, l</w:t>
      </w:r>
      <w:r w:rsidRPr="0001748B">
        <w:rPr>
          <w:rFonts w:eastAsia="Calibri" w:cs="Verdana"/>
          <w:snapToGrid w:val="0"/>
          <w:sz w:val="20"/>
          <w:szCs w:val="20"/>
          <w:lang w:eastAsia="es-ES"/>
        </w:rPr>
        <w:t>a Comisión reconoció tanto el compromiso asumido por el Estado de dar cumplimiento con las medidas de reparación que se ordenen en el caso</w:t>
      </w:r>
      <w:r w:rsidR="00F72CCF">
        <w:rPr>
          <w:rFonts w:eastAsia="Calibri" w:cs="Verdana"/>
          <w:snapToGrid w:val="0"/>
          <w:sz w:val="20"/>
          <w:szCs w:val="20"/>
          <w:lang w:eastAsia="es-ES"/>
        </w:rPr>
        <w:t>,</w:t>
      </w:r>
      <w:r w:rsidRPr="0001748B">
        <w:rPr>
          <w:rFonts w:eastAsia="Calibri" w:cs="Verdana"/>
          <w:snapToGrid w:val="0"/>
          <w:sz w:val="20"/>
          <w:szCs w:val="20"/>
          <w:lang w:eastAsia="es-ES"/>
        </w:rPr>
        <w:t xml:space="preserve"> como el ofrecimiento expreso de medidas simbólicas en memoria de Johan Alexis Ortiz Hernández. Asimismo, solicitó a la Corte que </w:t>
      </w:r>
      <w:r w:rsidR="00393492" w:rsidRPr="0001748B">
        <w:rPr>
          <w:rFonts w:eastAsia="Calibri" w:cs="Verdana"/>
          <w:snapToGrid w:val="0"/>
          <w:sz w:val="20"/>
          <w:szCs w:val="20"/>
          <w:lang w:eastAsia="es-ES"/>
        </w:rPr>
        <w:t>dictara las reparaciones conforme a todos los componentes de una reparación integral.</w:t>
      </w:r>
    </w:p>
    <w:p w:rsidR="00866198" w:rsidRPr="0001748B" w:rsidRDefault="00866198" w:rsidP="00866198">
      <w:pPr>
        <w:widowControl/>
        <w:autoSpaceDE w:val="0"/>
        <w:autoSpaceDN w:val="0"/>
        <w:spacing w:line="240" w:lineRule="auto"/>
        <w:textAlignment w:val="auto"/>
        <w:rPr>
          <w:rFonts w:eastAsia="Calibri" w:cs="Verdana"/>
          <w:snapToGrid w:val="0"/>
          <w:sz w:val="20"/>
          <w:szCs w:val="20"/>
          <w:lang w:eastAsia="es-ES"/>
        </w:rPr>
      </w:pPr>
    </w:p>
    <w:p w:rsidR="00866198" w:rsidRPr="0001748B" w:rsidRDefault="00866198" w:rsidP="00866198">
      <w:pPr>
        <w:numPr>
          <w:ilvl w:val="0"/>
          <w:numId w:val="1"/>
        </w:numPr>
        <w:tabs>
          <w:tab w:val="left" w:pos="567"/>
          <w:tab w:val="num" w:pos="1569"/>
          <w:tab w:val="num" w:pos="12305"/>
        </w:tabs>
        <w:spacing w:line="240" w:lineRule="auto"/>
        <w:ind w:left="0" w:firstLine="0"/>
        <w:rPr>
          <w:rFonts w:eastAsia="Calibri" w:cs="Verdana"/>
          <w:snapToGrid w:val="0"/>
          <w:sz w:val="20"/>
          <w:szCs w:val="20"/>
          <w:lang w:eastAsia="es-ES"/>
        </w:rPr>
      </w:pPr>
      <w:r w:rsidRPr="0001748B">
        <w:rPr>
          <w:rFonts w:eastAsia="Calibri" w:cs="Verdana"/>
          <w:snapToGrid w:val="0"/>
          <w:sz w:val="20"/>
          <w:szCs w:val="20"/>
          <w:lang w:eastAsia="es-ES"/>
        </w:rPr>
        <w:t xml:space="preserve">Las </w:t>
      </w:r>
      <w:r w:rsidRPr="0001748B">
        <w:rPr>
          <w:rFonts w:eastAsia="Calibri" w:cs="Verdana"/>
          <w:b/>
          <w:i/>
          <w:snapToGrid w:val="0"/>
          <w:sz w:val="20"/>
          <w:szCs w:val="20"/>
          <w:lang w:eastAsia="es-ES"/>
        </w:rPr>
        <w:t>representantes</w:t>
      </w:r>
      <w:r w:rsidRPr="0001748B">
        <w:rPr>
          <w:rFonts w:eastAsia="Calibri" w:cs="Verdana"/>
          <w:snapToGrid w:val="0"/>
          <w:sz w:val="20"/>
          <w:szCs w:val="20"/>
          <w:lang w:eastAsia="es-ES"/>
        </w:rPr>
        <w:t xml:space="preserve"> señalaron que </w:t>
      </w:r>
      <w:r w:rsidR="00A41219" w:rsidRPr="0001748B">
        <w:rPr>
          <w:rFonts w:eastAsia="Calibri" w:cs="Verdana"/>
          <w:snapToGrid w:val="0"/>
          <w:sz w:val="20"/>
          <w:szCs w:val="20"/>
          <w:lang w:eastAsia="es-ES"/>
        </w:rPr>
        <w:t>consideraban pertinente realizar algunas precisiones respecto al alcance del reconocimiento de responsabilidad del Estado. En particular, se refirieron a los siguientes aspectos: la muerte de Johan Alexis Ortiz</w:t>
      </w:r>
      <w:r w:rsidR="00011497">
        <w:rPr>
          <w:rFonts w:eastAsia="Calibri" w:cs="Verdana"/>
          <w:snapToGrid w:val="0"/>
          <w:sz w:val="20"/>
          <w:szCs w:val="20"/>
          <w:lang w:eastAsia="es-ES"/>
        </w:rPr>
        <w:t xml:space="preserve"> Hernández</w:t>
      </w:r>
      <w:r w:rsidR="00A41219" w:rsidRPr="0001748B">
        <w:rPr>
          <w:rFonts w:eastAsia="Calibri" w:cs="Verdana"/>
          <w:snapToGrid w:val="0"/>
          <w:sz w:val="20"/>
          <w:szCs w:val="20"/>
          <w:lang w:eastAsia="es-ES"/>
        </w:rPr>
        <w:t xml:space="preserve"> se produjo con balas reales no fragmentadas; no se aplicaron las medidas de seguridad y de manejo estricto de emergencia en la práctica militar en la que resultó herido; Johan Alexis no recibió atención médica especializada oportuna; las balas que impactaron su cuerpo provinieron de arma de fuego </w:t>
      </w:r>
      <w:r w:rsidR="00E1208D">
        <w:rPr>
          <w:rFonts w:eastAsia="Calibri" w:cs="Verdana"/>
          <w:snapToGrid w:val="0"/>
          <w:sz w:val="20"/>
          <w:szCs w:val="20"/>
          <w:lang w:eastAsia="es-ES"/>
        </w:rPr>
        <w:t xml:space="preserve">de </w:t>
      </w:r>
      <w:r w:rsidR="00A41219" w:rsidRPr="0001748B">
        <w:rPr>
          <w:rFonts w:eastAsia="Calibri" w:cs="Verdana"/>
          <w:snapToGrid w:val="0"/>
          <w:sz w:val="20"/>
          <w:szCs w:val="20"/>
          <w:lang w:eastAsia="es-ES"/>
        </w:rPr>
        <w:t xml:space="preserve">cañón corto; la falta de debida diligencia en la investigación de los hechos </w:t>
      </w:r>
      <w:r w:rsidR="00F776E2" w:rsidRPr="0001748B">
        <w:rPr>
          <w:rFonts w:eastAsia="Calibri" w:cs="Verdana"/>
          <w:snapToGrid w:val="0"/>
          <w:sz w:val="20"/>
          <w:szCs w:val="20"/>
          <w:lang w:eastAsia="es-ES"/>
        </w:rPr>
        <w:t xml:space="preserve">por no haberse </w:t>
      </w:r>
      <w:r w:rsidR="00A41219" w:rsidRPr="0001748B">
        <w:rPr>
          <w:rFonts w:eastAsia="Calibri" w:cs="Verdana"/>
          <w:snapToGrid w:val="0"/>
          <w:sz w:val="20"/>
          <w:szCs w:val="20"/>
          <w:lang w:eastAsia="es-ES"/>
        </w:rPr>
        <w:t>investigado las diferentes versiones sobre los hechos; la intención de los padres de conocer la verdad de lo acontecido y que se juzgaran en el ámbito interno a los verdaderos responsables del fallecimiento de Johan Alexis</w:t>
      </w:r>
      <w:r w:rsidR="00E1208D">
        <w:rPr>
          <w:rFonts w:eastAsia="Calibri" w:cs="Verdana"/>
          <w:snapToGrid w:val="0"/>
          <w:sz w:val="20"/>
          <w:szCs w:val="20"/>
          <w:lang w:eastAsia="es-ES"/>
        </w:rPr>
        <w:t>, y</w:t>
      </w:r>
      <w:r w:rsidR="00143471">
        <w:rPr>
          <w:rFonts w:eastAsia="Calibri" w:cs="Verdana"/>
          <w:snapToGrid w:val="0"/>
          <w:sz w:val="20"/>
          <w:szCs w:val="20"/>
          <w:lang w:eastAsia="es-ES"/>
        </w:rPr>
        <w:t xml:space="preserve"> </w:t>
      </w:r>
      <w:r w:rsidR="00A41219" w:rsidRPr="0001748B">
        <w:rPr>
          <w:rFonts w:eastAsia="Calibri" w:cs="Verdana"/>
          <w:snapToGrid w:val="0"/>
          <w:sz w:val="20"/>
          <w:szCs w:val="20"/>
          <w:lang w:eastAsia="es-ES"/>
        </w:rPr>
        <w:t>el daño moral causado a sus familiares.</w:t>
      </w:r>
      <w:r w:rsidRPr="0001748B">
        <w:rPr>
          <w:rFonts w:eastAsia="Calibri" w:cs="Verdana"/>
          <w:snapToGrid w:val="0"/>
          <w:sz w:val="20"/>
          <w:szCs w:val="20"/>
          <w:lang w:eastAsia="es-ES"/>
        </w:rPr>
        <w:t xml:space="preserve"> Asimismo, en la audiencia aclararon que, en razón de la prueba recibida, no iban a sostener el alegato relativo a los supuestos signos de tortura en el cuerpo de Johan Alexis</w:t>
      </w:r>
      <w:r w:rsidR="0009152F">
        <w:rPr>
          <w:rFonts w:eastAsia="Calibri" w:cs="Verdana"/>
          <w:snapToGrid w:val="0"/>
          <w:sz w:val="20"/>
          <w:szCs w:val="20"/>
          <w:lang w:eastAsia="es-ES"/>
        </w:rPr>
        <w:t xml:space="preserve"> Ortiz </w:t>
      </w:r>
      <w:r w:rsidR="0009152F">
        <w:rPr>
          <w:rFonts w:eastAsia="Batang"/>
          <w:sz w:val="20"/>
          <w:lang w:eastAsia="en-US"/>
        </w:rPr>
        <w:t>Hernández</w:t>
      </w:r>
      <w:r w:rsidR="00A41219" w:rsidRPr="0001748B">
        <w:rPr>
          <w:rFonts w:eastAsia="Calibri" w:cs="Verdana"/>
          <w:snapToGrid w:val="0"/>
          <w:sz w:val="20"/>
          <w:szCs w:val="20"/>
          <w:lang w:eastAsia="es-ES"/>
        </w:rPr>
        <w:t>, lo cual fue reiterado en sus alegatos finales escritos</w:t>
      </w:r>
      <w:r w:rsidRPr="0001748B">
        <w:rPr>
          <w:rFonts w:eastAsia="Calibri" w:cs="Verdana"/>
          <w:snapToGrid w:val="0"/>
          <w:sz w:val="20"/>
          <w:szCs w:val="20"/>
          <w:lang w:eastAsia="es-ES"/>
        </w:rPr>
        <w:t>.</w:t>
      </w:r>
    </w:p>
    <w:p w:rsidR="00866198" w:rsidRPr="0001748B" w:rsidRDefault="00866198" w:rsidP="00866198">
      <w:pPr>
        <w:widowControl/>
        <w:tabs>
          <w:tab w:val="left" w:pos="2355"/>
        </w:tabs>
        <w:autoSpaceDE w:val="0"/>
        <w:autoSpaceDN w:val="0"/>
        <w:spacing w:line="240" w:lineRule="auto"/>
        <w:textAlignment w:val="auto"/>
        <w:rPr>
          <w:rFonts w:eastAsia="Calibri" w:cs="Verdana"/>
          <w:i/>
          <w:snapToGrid w:val="0"/>
          <w:sz w:val="20"/>
          <w:szCs w:val="20"/>
          <w:lang w:eastAsia="es-ES"/>
        </w:rPr>
      </w:pPr>
    </w:p>
    <w:p w:rsidR="00866198" w:rsidRPr="00125C44" w:rsidRDefault="00F53937" w:rsidP="00125C44">
      <w:pPr>
        <w:keepNext/>
        <w:keepLines/>
        <w:tabs>
          <w:tab w:val="left" w:pos="1134"/>
        </w:tabs>
        <w:spacing w:line="240" w:lineRule="auto"/>
        <w:ind w:left="567" w:firstLine="1"/>
        <w:outlineLvl w:val="1"/>
        <w:rPr>
          <w:rFonts w:eastAsia="MS Mincho"/>
          <w:b/>
          <w:bCs/>
          <w:i/>
          <w:sz w:val="20"/>
          <w:szCs w:val="20"/>
        </w:rPr>
      </w:pPr>
      <w:bookmarkStart w:id="41" w:name="_Toc495658650"/>
      <w:r w:rsidRPr="0001748B">
        <w:rPr>
          <w:rFonts w:eastAsia="MS Mincho"/>
          <w:b/>
          <w:bCs/>
          <w:i/>
          <w:sz w:val="20"/>
          <w:szCs w:val="20"/>
        </w:rPr>
        <w:t>B.</w:t>
      </w:r>
      <w:r w:rsidRPr="0001748B">
        <w:rPr>
          <w:rFonts w:eastAsia="MS Mincho"/>
          <w:b/>
          <w:bCs/>
          <w:i/>
          <w:sz w:val="20"/>
          <w:szCs w:val="20"/>
        </w:rPr>
        <w:tab/>
      </w:r>
      <w:r w:rsidR="00866198" w:rsidRPr="00125C44">
        <w:rPr>
          <w:rFonts w:eastAsia="MS Mincho"/>
          <w:b/>
          <w:bCs/>
          <w:i/>
          <w:sz w:val="20"/>
          <w:szCs w:val="20"/>
        </w:rPr>
        <w:t>Consideraciones de la Corte</w:t>
      </w:r>
      <w:bookmarkEnd w:id="41"/>
    </w:p>
    <w:p w:rsidR="00866198" w:rsidRPr="0001748B" w:rsidRDefault="00866198" w:rsidP="00866198">
      <w:pPr>
        <w:widowControl/>
        <w:autoSpaceDE w:val="0"/>
        <w:autoSpaceDN w:val="0"/>
        <w:spacing w:line="240" w:lineRule="auto"/>
        <w:textAlignment w:val="auto"/>
        <w:rPr>
          <w:rFonts w:eastAsia="Batang"/>
          <w:sz w:val="20"/>
          <w:lang w:eastAsia="en-US"/>
        </w:rPr>
      </w:pPr>
    </w:p>
    <w:p w:rsidR="00866198" w:rsidRPr="0001748B" w:rsidRDefault="00866198" w:rsidP="00866198">
      <w:pPr>
        <w:numPr>
          <w:ilvl w:val="0"/>
          <w:numId w:val="1"/>
        </w:numPr>
        <w:tabs>
          <w:tab w:val="left" w:pos="567"/>
          <w:tab w:val="num" w:pos="1569"/>
          <w:tab w:val="num" w:pos="12305"/>
        </w:tabs>
        <w:spacing w:line="240" w:lineRule="auto"/>
        <w:ind w:left="0" w:firstLine="0"/>
        <w:rPr>
          <w:rFonts w:eastAsia="Calibri" w:cs="Verdana"/>
          <w:snapToGrid w:val="0"/>
          <w:sz w:val="20"/>
          <w:szCs w:val="20"/>
          <w:lang w:eastAsia="es-ES"/>
        </w:rPr>
      </w:pPr>
      <w:r w:rsidRPr="0001748B">
        <w:rPr>
          <w:rFonts w:eastAsia="Calibri" w:cs="Verdana"/>
          <w:snapToGrid w:val="0"/>
          <w:sz w:val="20"/>
          <w:szCs w:val="20"/>
          <w:lang w:eastAsia="es-ES"/>
        </w:rPr>
        <w:t xml:space="preserve">La Corte destaca la buena voluntad del Estado, expresada en este caso tanto en su manifestación de disculpas públicas como en su reconocimiento parcial de responsabilidad, el cual fue realizado, por primera vez, </w:t>
      </w:r>
      <w:r w:rsidR="00631B30" w:rsidRPr="0001748B">
        <w:rPr>
          <w:rFonts w:eastAsia="Calibri" w:cs="Verdana"/>
          <w:snapToGrid w:val="0"/>
          <w:sz w:val="20"/>
          <w:szCs w:val="20"/>
          <w:lang w:eastAsia="es-ES"/>
        </w:rPr>
        <w:t xml:space="preserve">en la audiencia pública </w:t>
      </w:r>
      <w:r w:rsidRPr="0001748B">
        <w:rPr>
          <w:rFonts w:eastAsia="Calibri" w:cs="Verdana"/>
          <w:snapToGrid w:val="0"/>
          <w:sz w:val="20"/>
          <w:szCs w:val="20"/>
          <w:lang w:eastAsia="es-ES"/>
        </w:rPr>
        <w:t xml:space="preserve">ante este Tribunal. Asimismo, la Corte considera que este reconocimiento parcial de responsabilidad reivindica la búsqueda de justicia por parte de los familiares del señor Ortiz Hernández, quienes </w:t>
      </w:r>
      <w:r w:rsidR="004B3C43" w:rsidRPr="0001748B">
        <w:rPr>
          <w:rFonts w:eastAsia="Calibri" w:cs="Verdana"/>
          <w:snapToGrid w:val="0"/>
          <w:sz w:val="20"/>
          <w:szCs w:val="20"/>
          <w:lang w:eastAsia="es-ES"/>
        </w:rPr>
        <w:t>continúan</w:t>
      </w:r>
      <w:r w:rsidRPr="0001748B">
        <w:rPr>
          <w:rFonts w:eastAsia="Calibri" w:cs="Verdana"/>
          <w:snapToGrid w:val="0"/>
          <w:sz w:val="20"/>
          <w:szCs w:val="20"/>
          <w:lang w:eastAsia="es-ES"/>
        </w:rPr>
        <w:t xml:space="preserve"> lucha</w:t>
      </w:r>
      <w:r w:rsidR="004B3C43" w:rsidRPr="0001748B">
        <w:rPr>
          <w:rFonts w:eastAsia="Calibri" w:cs="Verdana"/>
          <w:snapToGrid w:val="0"/>
          <w:sz w:val="20"/>
          <w:szCs w:val="20"/>
          <w:lang w:eastAsia="es-ES"/>
        </w:rPr>
        <w:t>n</w:t>
      </w:r>
      <w:r w:rsidRPr="0001748B">
        <w:rPr>
          <w:rFonts w:eastAsia="Calibri" w:cs="Verdana"/>
          <w:snapToGrid w:val="0"/>
          <w:sz w:val="20"/>
          <w:szCs w:val="20"/>
          <w:lang w:eastAsia="es-ES"/>
        </w:rPr>
        <w:t xml:space="preserve">do por el esclarecimiento de lo ocurrido </w:t>
      </w:r>
      <w:r w:rsidR="00DA7D4F">
        <w:rPr>
          <w:rFonts w:eastAsia="Calibri" w:cs="Verdana"/>
          <w:snapToGrid w:val="0"/>
          <w:sz w:val="20"/>
          <w:szCs w:val="20"/>
          <w:lang w:eastAsia="es-ES"/>
        </w:rPr>
        <w:t>desde hace</w:t>
      </w:r>
      <w:r w:rsidR="00DA7D4F" w:rsidRPr="0001748B">
        <w:rPr>
          <w:rFonts w:eastAsia="Calibri" w:cs="Verdana"/>
          <w:snapToGrid w:val="0"/>
          <w:sz w:val="20"/>
          <w:szCs w:val="20"/>
          <w:lang w:eastAsia="es-ES"/>
        </w:rPr>
        <w:t xml:space="preserve"> </w:t>
      </w:r>
      <w:r w:rsidRPr="0001748B">
        <w:rPr>
          <w:rFonts w:eastAsia="Calibri" w:cs="Verdana"/>
          <w:snapToGrid w:val="0"/>
          <w:sz w:val="20"/>
          <w:szCs w:val="20"/>
          <w:lang w:eastAsia="es-ES"/>
        </w:rPr>
        <w:t>más de 19 años.</w:t>
      </w:r>
    </w:p>
    <w:p w:rsidR="00866198" w:rsidRPr="0001748B" w:rsidRDefault="00866198" w:rsidP="00866198">
      <w:pPr>
        <w:widowControl/>
        <w:autoSpaceDE w:val="0"/>
        <w:autoSpaceDN w:val="0"/>
        <w:spacing w:line="240" w:lineRule="auto"/>
        <w:textAlignment w:val="auto"/>
        <w:rPr>
          <w:rFonts w:eastAsia="Calibri" w:cs="Verdana"/>
          <w:snapToGrid w:val="0"/>
          <w:sz w:val="20"/>
          <w:szCs w:val="20"/>
          <w:lang w:eastAsia="es-ES"/>
        </w:rPr>
      </w:pPr>
    </w:p>
    <w:p w:rsidR="00866198" w:rsidRPr="007C02F1" w:rsidRDefault="00866198" w:rsidP="00866198">
      <w:pPr>
        <w:numPr>
          <w:ilvl w:val="0"/>
          <w:numId w:val="1"/>
        </w:numPr>
        <w:tabs>
          <w:tab w:val="left" w:pos="567"/>
          <w:tab w:val="num" w:pos="1569"/>
          <w:tab w:val="num" w:pos="12305"/>
        </w:tabs>
        <w:spacing w:line="240" w:lineRule="auto"/>
        <w:ind w:left="0" w:firstLine="0"/>
        <w:rPr>
          <w:rFonts w:eastAsia="Times" w:cs="Verdana"/>
          <w:snapToGrid w:val="0"/>
          <w:sz w:val="20"/>
          <w:szCs w:val="20"/>
          <w:lang w:eastAsia="es-ES"/>
        </w:rPr>
      </w:pPr>
      <w:r w:rsidRPr="0001748B">
        <w:rPr>
          <w:rFonts w:eastAsia="Calibri" w:cs="Verdana"/>
          <w:snapToGrid w:val="0"/>
          <w:sz w:val="20"/>
          <w:szCs w:val="20"/>
          <w:lang w:eastAsia="es-ES"/>
        </w:rPr>
        <w:t>Sin perjuicio de lo anterior, de conformidad con los artículos 62</w:t>
      </w:r>
      <w:r w:rsidRPr="0001748B">
        <w:rPr>
          <w:rFonts w:eastAsia="Calibri" w:cs="Verdana"/>
          <w:snapToGrid w:val="0"/>
          <w:sz w:val="20"/>
          <w:szCs w:val="20"/>
          <w:vertAlign w:val="superscript"/>
          <w:lang w:eastAsia="es-ES"/>
        </w:rPr>
        <w:footnoteReference w:id="12"/>
      </w:r>
      <w:r w:rsidRPr="0001748B">
        <w:rPr>
          <w:rFonts w:eastAsia="Calibri" w:cs="Verdana"/>
          <w:snapToGrid w:val="0"/>
          <w:sz w:val="20"/>
          <w:szCs w:val="20"/>
          <w:lang w:eastAsia="es-ES"/>
        </w:rPr>
        <w:t xml:space="preserve"> y 64</w:t>
      </w:r>
      <w:r w:rsidRPr="0001748B">
        <w:rPr>
          <w:rFonts w:eastAsia="Calibri" w:cs="Verdana"/>
          <w:snapToGrid w:val="0"/>
          <w:sz w:val="20"/>
          <w:szCs w:val="20"/>
          <w:vertAlign w:val="superscript"/>
          <w:lang w:eastAsia="es-ES"/>
        </w:rPr>
        <w:footnoteReference w:id="13"/>
      </w:r>
      <w:r w:rsidRPr="0001748B">
        <w:rPr>
          <w:rFonts w:eastAsia="Calibri" w:cs="Verdana"/>
          <w:snapToGrid w:val="0"/>
          <w:sz w:val="20"/>
          <w:szCs w:val="20"/>
          <w:lang w:eastAsia="es-ES"/>
        </w:rPr>
        <w:t xml:space="preserve"> del Reglamento y en </w:t>
      </w:r>
      <w:r w:rsidRPr="0001748B">
        <w:rPr>
          <w:rFonts w:eastAsia="Calibri" w:cs="Verdana"/>
          <w:snapToGrid w:val="0"/>
          <w:sz w:val="20"/>
          <w:szCs w:val="20"/>
          <w:lang w:eastAsia="es-ES"/>
        </w:rPr>
        <w:lastRenderedPageBreak/>
        <w:t>ejercicio de sus poderes de tutela judicial internacional de derechos humanos, cuestión de orden público internacional que trasciende la voluntad de las partes, incumbe al Tribunal velar porque los actos de allanamiento resulten aceptables para los fines que busca cumplir el sistema interamericano. En esta tarea no se limita únicamente a tomar nota del reconocimiento efectuado por el Estado, o a verificar las condiciones formales de los mencionados actos, sino que los debe confrontar con la naturaleza y gravedad de las violaciones alegadas, las exigencias e interés de la justicia, las circunstancias particulares del caso concreto y la actitud y posición de las partes</w:t>
      </w:r>
      <w:r w:rsidRPr="0001748B">
        <w:rPr>
          <w:rFonts w:eastAsia="Calibri" w:cs="Verdana"/>
          <w:snapToGrid w:val="0"/>
          <w:sz w:val="20"/>
          <w:szCs w:val="20"/>
          <w:vertAlign w:val="superscript"/>
          <w:lang w:eastAsia="es-ES"/>
        </w:rPr>
        <w:footnoteReference w:id="14"/>
      </w:r>
      <w:r w:rsidRPr="0001748B">
        <w:rPr>
          <w:rFonts w:eastAsia="Calibri" w:cs="Verdana"/>
          <w:snapToGrid w:val="0"/>
          <w:sz w:val="20"/>
          <w:szCs w:val="20"/>
          <w:lang w:eastAsia="es-ES"/>
        </w:rPr>
        <w:t>, de manera tal que pueda precisar, en cuanto sea posible y en el ejercicio de su competencia, la verdad de lo acontecido</w:t>
      </w:r>
      <w:r w:rsidRPr="0001748B">
        <w:rPr>
          <w:rFonts w:eastAsia="Calibri" w:cs="Verdana"/>
          <w:snapToGrid w:val="0"/>
          <w:sz w:val="20"/>
          <w:szCs w:val="20"/>
          <w:vertAlign w:val="superscript"/>
          <w:lang w:eastAsia="es-ES"/>
        </w:rPr>
        <w:footnoteReference w:id="15"/>
      </w:r>
      <w:r w:rsidRPr="0001748B">
        <w:rPr>
          <w:rFonts w:eastAsia="Calibri" w:cs="Verdana"/>
          <w:snapToGrid w:val="0"/>
          <w:sz w:val="20"/>
          <w:szCs w:val="20"/>
          <w:lang w:eastAsia="es-ES"/>
        </w:rPr>
        <w:t>. En tal sentido, el reconocimiento no puede tener por consecuencia limitar, directa o indirectamente, el ejercicio de las facultades de la Corte de conocer el caso que le ha sido sometido</w:t>
      </w:r>
      <w:r w:rsidRPr="0001748B">
        <w:rPr>
          <w:rFonts w:eastAsia="Calibri" w:cs="Verdana"/>
          <w:snapToGrid w:val="0"/>
          <w:sz w:val="20"/>
          <w:szCs w:val="20"/>
          <w:vertAlign w:val="superscript"/>
          <w:lang w:eastAsia="es-ES"/>
        </w:rPr>
        <w:footnoteReference w:id="16"/>
      </w:r>
      <w:r w:rsidRPr="0001748B">
        <w:rPr>
          <w:rFonts w:eastAsia="Calibri" w:cs="Verdana"/>
          <w:snapToGrid w:val="0"/>
          <w:sz w:val="20"/>
          <w:szCs w:val="20"/>
          <w:lang w:eastAsia="es-ES"/>
        </w:rPr>
        <w:t xml:space="preserve"> y decidir si, al respecto, hubo violación de un derecho o libertad protegidos en la Convención</w:t>
      </w:r>
      <w:r w:rsidRPr="0001748B">
        <w:rPr>
          <w:rFonts w:eastAsia="Calibri" w:cs="Verdana"/>
          <w:snapToGrid w:val="0"/>
          <w:sz w:val="20"/>
          <w:szCs w:val="20"/>
          <w:vertAlign w:val="superscript"/>
          <w:lang w:eastAsia="es-ES"/>
        </w:rPr>
        <w:footnoteReference w:id="17"/>
      </w:r>
      <w:r w:rsidRPr="0001748B">
        <w:rPr>
          <w:rFonts w:eastAsia="Calibri" w:cs="Verdana"/>
          <w:snapToGrid w:val="0"/>
          <w:sz w:val="20"/>
          <w:szCs w:val="20"/>
          <w:lang w:eastAsia="es-ES"/>
        </w:rPr>
        <w:t xml:space="preserve">. </w:t>
      </w:r>
      <w:r w:rsidRPr="0001748B">
        <w:rPr>
          <w:rFonts w:eastAsia="Times" w:cs="Verdana"/>
          <w:snapToGrid w:val="0"/>
          <w:sz w:val="20"/>
          <w:szCs w:val="20"/>
          <w:lang w:eastAsia="es-ES"/>
        </w:rPr>
        <w:t>Para estos efectos, el Tribunal analiza la situación planteada en cada caso concreto</w:t>
      </w:r>
      <w:r w:rsidRPr="0001748B">
        <w:rPr>
          <w:rFonts w:eastAsia="Calibri" w:cs="Verdana"/>
          <w:snapToGrid w:val="0"/>
          <w:color w:val="000000"/>
          <w:sz w:val="20"/>
          <w:szCs w:val="20"/>
          <w:vertAlign w:val="superscript"/>
          <w:lang w:eastAsia="es-ES"/>
        </w:rPr>
        <w:footnoteReference w:id="18"/>
      </w:r>
      <w:r w:rsidRPr="0001748B">
        <w:rPr>
          <w:rFonts w:eastAsia="Times" w:cs="Verdana"/>
          <w:snapToGrid w:val="0"/>
          <w:sz w:val="20"/>
          <w:szCs w:val="20"/>
          <w:lang w:eastAsia="es-ES"/>
        </w:rPr>
        <w:t>.</w:t>
      </w:r>
    </w:p>
    <w:p w:rsidR="00866198" w:rsidRPr="007C02F1" w:rsidRDefault="00866198" w:rsidP="00866198">
      <w:pPr>
        <w:widowControl/>
        <w:autoSpaceDE w:val="0"/>
        <w:autoSpaceDN w:val="0"/>
        <w:spacing w:line="240" w:lineRule="auto"/>
        <w:textAlignment w:val="auto"/>
        <w:rPr>
          <w:rFonts w:eastAsia="Calibri" w:cs="Verdana"/>
          <w:snapToGrid w:val="0"/>
          <w:sz w:val="20"/>
          <w:szCs w:val="20"/>
          <w:lang w:eastAsia="es-ES"/>
        </w:rPr>
      </w:pPr>
    </w:p>
    <w:p w:rsidR="00866198" w:rsidRPr="007C02F1" w:rsidRDefault="00F53937" w:rsidP="00125C44">
      <w:pPr>
        <w:pStyle w:val="Heading2"/>
        <w:tabs>
          <w:tab w:val="left" w:pos="1843"/>
        </w:tabs>
        <w:spacing w:before="0" w:line="240" w:lineRule="auto"/>
        <w:ind w:left="1134"/>
        <w:rPr>
          <w:i/>
          <w:color w:val="auto"/>
          <w:sz w:val="20"/>
          <w:szCs w:val="20"/>
        </w:rPr>
      </w:pPr>
      <w:bookmarkStart w:id="42" w:name="_Toc495658651"/>
      <w:r w:rsidRPr="007C02F1">
        <w:rPr>
          <w:rFonts w:ascii="Verdana" w:hAnsi="Verdana"/>
          <w:b w:val="0"/>
          <w:i/>
          <w:color w:val="auto"/>
          <w:sz w:val="20"/>
          <w:szCs w:val="20"/>
        </w:rPr>
        <w:t>B</w:t>
      </w:r>
      <w:r w:rsidR="00866198" w:rsidRPr="007C02F1">
        <w:rPr>
          <w:rFonts w:ascii="Verdana" w:hAnsi="Verdana"/>
          <w:b w:val="0"/>
          <w:i/>
          <w:color w:val="auto"/>
          <w:sz w:val="20"/>
          <w:szCs w:val="20"/>
        </w:rPr>
        <w:t>.</w:t>
      </w:r>
      <w:r w:rsidRPr="007C02F1">
        <w:rPr>
          <w:rFonts w:ascii="Verdana" w:hAnsi="Verdana"/>
          <w:b w:val="0"/>
          <w:i/>
          <w:color w:val="auto"/>
          <w:sz w:val="20"/>
          <w:szCs w:val="20"/>
        </w:rPr>
        <w:t>1</w:t>
      </w:r>
      <w:r w:rsidR="00866198" w:rsidRPr="007C02F1">
        <w:rPr>
          <w:rFonts w:ascii="Verdana" w:hAnsi="Verdana"/>
          <w:b w:val="0"/>
          <w:i/>
          <w:color w:val="auto"/>
          <w:sz w:val="20"/>
          <w:szCs w:val="20"/>
        </w:rPr>
        <w:t xml:space="preserve"> </w:t>
      </w:r>
      <w:r w:rsidR="00866198" w:rsidRPr="007C02F1">
        <w:rPr>
          <w:rFonts w:ascii="Verdana" w:hAnsi="Verdana"/>
          <w:b w:val="0"/>
          <w:i/>
          <w:color w:val="auto"/>
          <w:sz w:val="20"/>
          <w:szCs w:val="20"/>
        </w:rPr>
        <w:tab/>
        <w:t>En cuanto a los hechos</w:t>
      </w:r>
      <w:bookmarkEnd w:id="42"/>
    </w:p>
    <w:p w:rsidR="00866198" w:rsidRPr="007C02F1" w:rsidRDefault="00866198" w:rsidP="00866198">
      <w:pPr>
        <w:widowControl/>
        <w:autoSpaceDE w:val="0"/>
        <w:autoSpaceDN w:val="0"/>
        <w:spacing w:line="240" w:lineRule="auto"/>
        <w:ind w:left="708"/>
        <w:textAlignment w:val="auto"/>
        <w:rPr>
          <w:rFonts w:eastAsia="Calibri" w:cs="Verdana"/>
          <w:snapToGrid w:val="0"/>
          <w:sz w:val="20"/>
          <w:szCs w:val="20"/>
          <w:lang w:eastAsia="es-ES"/>
        </w:rPr>
      </w:pPr>
    </w:p>
    <w:p w:rsidR="005A290E" w:rsidRPr="0001748B" w:rsidRDefault="00866198" w:rsidP="005A290E">
      <w:pPr>
        <w:numPr>
          <w:ilvl w:val="0"/>
          <w:numId w:val="1"/>
        </w:numPr>
        <w:tabs>
          <w:tab w:val="left" w:pos="567"/>
          <w:tab w:val="num" w:pos="1569"/>
          <w:tab w:val="num" w:pos="12305"/>
        </w:tabs>
        <w:spacing w:line="240" w:lineRule="auto"/>
        <w:ind w:left="0" w:firstLine="0"/>
        <w:rPr>
          <w:rFonts w:eastAsia="Calibri" w:cs="Verdana"/>
          <w:bCs/>
          <w:snapToGrid w:val="0"/>
          <w:sz w:val="20"/>
          <w:szCs w:val="20"/>
          <w:lang w:eastAsia="es-ES"/>
        </w:rPr>
      </w:pPr>
      <w:r w:rsidRPr="007C02F1">
        <w:rPr>
          <w:rFonts w:eastAsia="Calibri" w:cs="Verdana"/>
          <w:snapToGrid w:val="0"/>
          <w:sz w:val="20"/>
          <w:szCs w:val="20"/>
          <w:lang w:eastAsia="es-ES"/>
        </w:rPr>
        <w:t xml:space="preserve">En el presente caso, el Estado planteó </w:t>
      </w:r>
      <w:r w:rsidRPr="0001748B">
        <w:rPr>
          <w:rFonts w:eastAsia="Calibri" w:cs="Verdana"/>
          <w:snapToGrid w:val="0"/>
          <w:sz w:val="20"/>
          <w:szCs w:val="20"/>
          <w:lang w:eastAsia="es-ES"/>
        </w:rPr>
        <w:t>su reconocimiento parcial de responsabilidad en torno a las violaciones de la Convención Americana alegadas</w:t>
      </w:r>
      <w:r w:rsidR="00C62C0B" w:rsidRPr="0001748B">
        <w:rPr>
          <w:rFonts w:eastAsia="Calibri" w:cs="Verdana"/>
          <w:snapToGrid w:val="0"/>
          <w:sz w:val="20"/>
          <w:szCs w:val="20"/>
          <w:lang w:eastAsia="es-ES"/>
        </w:rPr>
        <w:t xml:space="preserve"> sin admitir </w:t>
      </w:r>
      <w:r w:rsidRPr="0001748B">
        <w:rPr>
          <w:rFonts w:eastAsia="Calibri" w:cs="Verdana"/>
          <w:snapToGrid w:val="0"/>
          <w:sz w:val="20"/>
          <w:szCs w:val="20"/>
          <w:lang w:eastAsia="es-ES"/>
        </w:rPr>
        <w:t xml:space="preserve">de manera clara y específica </w:t>
      </w:r>
      <w:r w:rsidR="00EE445F" w:rsidRPr="0001748B">
        <w:rPr>
          <w:rFonts w:eastAsia="Calibri" w:cs="Verdana"/>
          <w:snapToGrid w:val="0"/>
          <w:sz w:val="20"/>
          <w:szCs w:val="20"/>
          <w:lang w:eastAsia="es-ES"/>
        </w:rPr>
        <w:t>cuáles</w:t>
      </w:r>
      <w:r w:rsidRPr="0001748B">
        <w:rPr>
          <w:rFonts w:eastAsia="Calibri" w:cs="Verdana"/>
          <w:snapToGrid w:val="0"/>
          <w:sz w:val="20"/>
          <w:szCs w:val="20"/>
          <w:lang w:eastAsia="es-ES"/>
        </w:rPr>
        <w:t xml:space="preserve"> hechos, descritos en el informe de fondo de la Comisión o en el escrito de solicitudes y argumentos de las representantes, </w:t>
      </w:r>
      <w:r w:rsidR="00C62C0B" w:rsidRPr="0001748B">
        <w:rPr>
          <w:rFonts w:eastAsia="Calibri" w:cs="Verdana"/>
          <w:snapToGrid w:val="0"/>
          <w:sz w:val="20"/>
          <w:szCs w:val="20"/>
          <w:lang w:eastAsia="es-ES"/>
        </w:rPr>
        <w:t xml:space="preserve">le </w:t>
      </w:r>
      <w:r w:rsidRPr="0001748B">
        <w:rPr>
          <w:rFonts w:eastAsia="Calibri" w:cs="Verdana"/>
          <w:snapToGrid w:val="0"/>
          <w:sz w:val="20"/>
          <w:szCs w:val="20"/>
          <w:lang w:eastAsia="es-ES"/>
        </w:rPr>
        <w:t>da</w:t>
      </w:r>
      <w:r w:rsidR="00EE445F" w:rsidRPr="0001748B">
        <w:rPr>
          <w:rFonts w:eastAsia="Calibri" w:cs="Verdana"/>
          <w:snapToGrid w:val="0"/>
          <w:sz w:val="20"/>
          <w:szCs w:val="20"/>
          <w:lang w:eastAsia="es-ES"/>
        </w:rPr>
        <w:t>ba</w:t>
      </w:r>
      <w:r w:rsidRPr="0001748B">
        <w:rPr>
          <w:rFonts w:eastAsia="Calibri" w:cs="Verdana"/>
          <w:snapToGrid w:val="0"/>
          <w:sz w:val="20"/>
          <w:szCs w:val="20"/>
          <w:lang w:eastAsia="es-ES"/>
        </w:rPr>
        <w:t xml:space="preserve">n sustento a </w:t>
      </w:r>
      <w:r w:rsidR="00C62C0B" w:rsidRPr="0001748B">
        <w:rPr>
          <w:rFonts w:eastAsia="Calibri" w:cs="Verdana"/>
          <w:snapToGrid w:val="0"/>
          <w:sz w:val="20"/>
          <w:szCs w:val="20"/>
          <w:lang w:eastAsia="es-ES"/>
        </w:rPr>
        <w:t>dicho</w:t>
      </w:r>
      <w:r w:rsidRPr="0001748B">
        <w:rPr>
          <w:rFonts w:eastAsia="Calibri" w:cs="Verdana"/>
          <w:snapToGrid w:val="0"/>
          <w:sz w:val="20"/>
          <w:szCs w:val="20"/>
          <w:lang w:eastAsia="es-ES"/>
        </w:rPr>
        <w:t xml:space="preserve"> reconocimiento. </w:t>
      </w:r>
      <w:r w:rsidR="00EE445F" w:rsidRPr="0001748B">
        <w:rPr>
          <w:rFonts w:eastAsia="Calibri" w:cs="Verdana"/>
          <w:snapToGrid w:val="0"/>
          <w:sz w:val="20"/>
          <w:szCs w:val="20"/>
          <w:lang w:eastAsia="es-ES"/>
        </w:rPr>
        <w:t>Sin embargo, manifestó que el reconocimiento se basaba en los hechos contenidos en el informe de fondo (</w:t>
      </w:r>
      <w:r w:rsidR="00EE445F" w:rsidRPr="0001748B">
        <w:rPr>
          <w:rFonts w:eastAsia="Calibri" w:cs="Verdana"/>
          <w:i/>
          <w:snapToGrid w:val="0"/>
          <w:sz w:val="20"/>
          <w:szCs w:val="20"/>
          <w:lang w:eastAsia="es-ES"/>
        </w:rPr>
        <w:t>supra</w:t>
      </w:r>
      <w:r w:rsidR="00EE445F" w:rsidRPr="0001748B">
        <w:rPr>
          <w:rFonts w:eastAsia="Calibri" w:cs="Verdana"/>
          <w:snapToGrid w:val="0"/>
          <w:sz w:val="20"/>
          <w:szCs w:val="20"/>
          <w:lang w:eastAsia="es-ES"/>
        </w:rPr>
        <w:t xml:space="preserve"> párr. </w:t>
      </w:r>
      <w:r w:rsidR="00491EB6">
        <w:rPr>
          <w:rFonts w:eastAsia="Calibri" w:cs="Verdana"/>
          <w:snapToGrid w:val="0"/>
          <w:sz w:val="20"/>
          <w:szCs w:val="20"/>
          <w:lang w:eastAsia="es-ES"/>
        </w:rPr>
        <w:t>17</w:t>
      </w:r>
      <w:r w:rsidR="00EE445F" w:rsidRPr="0001748B">
        <w:rPr>
          <w:rFonts w:eastAsia="Calibri" w:cs="Verdana"/>
          <w:snapToGrid w:val="0"/>
          <w:sz w:val="20"/>
          <w:szCs w:val="20"/>
          <w:lang w:eastAsia="es-ES"/>
        </w:rPr>
        <w:t>)</w:t>
      </w:r>
      <w:r w:rsidR="005A290E" w:rsidRPr="0001748B">
        <w:rPr>
          <w:rFonts w:eastAsia="Calibri" w:cs="Verdana"/>
          <w:bCs/>
          <w:snapToGrid w:val="0"/>
          <w:sz w:val="20"/>
          <w:szCs w:val="20"/>
          <w:lang w:eastAsia="es-ES"/>
        </w:rPr>
        <w:t xml:space="preserve">. </w:t>
      </w:r>
      <w:r w:rsidR="00EE445F" w:rsidRPr="0001748B">
        <w:rPr>
          <w:rFonts w:eastAsia="Calibri" w:cs="Verdana"/>
          <w:snapToGrid w:val="0"/>
          <w:sz w:val="20"/>
          <w:szCs w:val="20"/>
          <w:lang w:eastAsia="es-ES"/>
        </w:rPr>
        <w:t>Como lo ha hecho</w:t>
      </w:r>
      <w:r w:rsidRPr="0001748B">
        <w:rPr>
          <w:rFonts w:eastAsia="Calibri" w:cs="Verdana"/>
          <w:snapToGrid w:val="0"/>
          <w:sz w:val="20"/>
          <w:szCs w:val="20"/>
          <w:lang w:eastAsia="es-ES"/>
        </w:rPr>
        <w:t xml:space="preserve"> en otros casos</w:t>
      </w:r>
      <w:r w:rsidRPr="0001748B">
        <w:rPr>
          <w:rFonts w:eastAsia="Calibri" w:cs="Verdana"/>
          <w:snapToGrid w:val="0"/>
          <w:sz w:val="20"/>
          <w:szCs w:val="20"/>
          <w:vertAlign w:val="superscript"/>
          <w:lang w:eastAsia="es-ES"/>
        </w:rPr>
        <w:footnoteReference w:id="19"/>
      </w:r>
      <w:r w:rsidRPr="0001748B">
        <w:rPr>
          <w:rFonts w:eastAsia="Calibri" w:cs="Verdana"/>
          <w:snapToGrid w:val="0"/>
          <w:sz w:val="20"/>
          <w:szCs w:val="20"/>
          <w:lang w:eastAsia="es-ES"/>
        </w:rPr>
        <w:t xml:space="preserve">, este Tribunal </w:t>
      </w:r>
      <w:r w:rsidR="00EE445F" w:rsidRPr="0001748B">
        <w:rPr>
          <w:rFonts w:eastAsia="Calibri" w:cs="Verdana"/>
          <w:snapToGrid w:val="0"/>
          <w:sz w:val="20"/>
          <w:szCs w:val="20"/>
          <w:lang w:eastAsia="es-ES"/>
        </w:rPr>
        <w:t>estima</w:t>
      </w:r>
      <w:r w:rsidRPr="0001748B">
        <w:rPr>
          <w:rFonts w:eastAsia="Calibri" w:cs="Verdana"/>
          <w:snapToGrid w:val="0"/>
          <w:sz w:val="20"/>
          <w:szCs w:val="20"/>
          <w:lang w:eastAsia="es-ES"/>
        </w:rPr>
        <w:t xml:space="preserve"> que en supuestos como los del presente debe entenderse que el Estado aceptó los hechos que, según el informe de fondo —marco fáctico de este proceso—, configuran las violaciones reconocidas en los términos en que el caso fue sometido</w:t>
      </w:r>
      <w:r w:rsidR="007B45DC">
        <w:rPr>
          <w:rFonts w:eastAsia="Calibri" w:cs="Verdana"/>
          <w:snapToGrid w:val="0"/>
          <w:sz w:val="20"/>
          <w:szCs w:val="20"/>
          <w:lang w:eastAsia="es-ES"/>
        </w:rPr>
        <w:t>.</w:t>
      </w:r>
    </w:p>
    <w:p w:rsidR="005A290E" w:rsidRPr="0001748B" w:rsidRDefault="005A290E" w:rsidP="005A290E">
      <w:pPr>
        <w:tabs>
          <w:tab w:val="left" w:pos="567"/>
        </w:tabs>
        <w:spacing w:line="240" w:lineRule="auto"/>
        <w:rPr>
          <w:rFonts w:eastAsia="Calibri" w:cs="Verdana"/>
          <w:bCs/>
          <w:snapToGrid w:val="0"/>
          <w:sz w:val="20"/>
          <w:szCs w:val="20"/>
          <w:lang w:eastAsia="es-ES"/>
        </w:rPr>
      </w:pPr>
    </w:p>
    <w:p w:rsidR="00866198" w:rsidRPr="0001748B" w:rsidRDefault="00F9334C" w:rsidP="005A290E">
      <w:pPr>
        <w:numPr>
          <w:ilvl w:val="0"/>
          <w:numId w:val="1"/>
        </w:numPr>
        <w:tabs>
          <w:tab w:val="left" w:pos="567"/>
          <w:tab w:val="num" w:pos="1569"/>
          <w:tab w:val="num" w:pos="12305"/>
        </w:tabs>
        <w:spacing w:line="240" w:lineRule="auto"/>
        <w:ind w:left="0" w:firstLine="0"/>
        <w:rPr>
          <w:rFonts w:eastAsia="Calibri" w:cs="Verdana"/>
          <w:bCs/>
          <w:snapToGrid w:val="0"/>
          <w:sz w:val="20"/>
          <w:szCs w:val="20"/>
          <w:lang w:eastAsia="es-ES"/>
        </w:rPr>
      </w:pPr>
      <w:r w:rsidRPr="0001748B">
        <w:rPr>
          <w:rFonts w:eastAsia="Calibri" w:cs="Verdana"/>
          <w:bCs/>
          <w:snapToGrid w:val="0"/>
          <w:sz w:val="20"/>
          <w:szCs w:val="20"/>
          <w:lang w:eastAsia="es-ES"/>
        </w:rPr>
        <w:t>En particular, la Corte nota que no existe controversia respecto al hecho que e</w:t>
      </w:r>
      <w:r w:rsidRPr="0001748B">
        <w:rPr>
          <w:rFonts w:eastAsia="Calibri" w:cs="Verdana"/>
          <w:snapToGrid w:val="0"/>
          <w:sz w:val="20"/>
          <w:szCs w:val="20"/>
          <w:lang w:eastAsia="es-ES"/>
        </w:rPr>
        <w:t xml:space="preserve">l 15 de febrero de 1998 Johan Alexis Ortiz Hernández, estudiante de 19 años de edad que cursaba el último año de preparación como efectivo de la Guardia Nacional, falleció en el Hospital </w:t>
      </w:r>
      <w:r w:rsidR="008F7425" w:rsidRPr="0001748B">
        <w:rPr>
          <w:rFonts w:eastAsiaTheme="minorHAnsi" w:cstheme="minorBidi"/>
          <w:sz w:val="20"/>
          <w:szCs w:val="20"/>
          <w:lang w:eastAsia="en-US"/>
        </w:rPr>
        <w:t>San Rafael</w:t>
      </w:r>
      <w:r w:rsidR="008F7425" w:rsidRPr="0001748B">
        <w:rPr>
          <w:rFonts w:eastAsia="Calibri" w:cs="Verdana"/>
          <w:snapToGrid w:val="0"/>
          <w:sz w:val="20"/>
          <w:szCs w:val="20"/>
          <w:lang w:eastAsia="es-ES"/>
        </w:rPr>
        <w:t xml:space="preserve"> </w:t>
      </w:r>
      <w:r w:rsidRPr="0001748B">
        <w:rPr>
          <w:rFonts w:eastAsia="Calibri" w:cs="Verdana"/>
          <w:snapToGrid w:val="0"/>
          <w:sz w:val="20"/>
          <w:szCs w:val="20"/>
          <w:lang w:eastAsia="es-ES"/>
        </w:rPr>
        <w:t xml:space="preserve">de El Piñal a </w:t>
      </w:r>
      <w:r w:rsidRPr="0001748B">
        <w:rPr>
          <w:rFonts w:eastAsia="Calibri" w:cs="Verdana"/>
          <w:snapToGrid w:val="0"/>
          <w:sz w:val="20"/>
          <w:szCs w:val="20"/>
          <w:lang w:eastAsia="es-ES"/>
        </w:rPr>
        <w:lastRenderedPageBreak/>
        <w:t xml:space="preserve">raíz de heridas de arma de fuego, cuyo impacto sufrió en el desarrollo de un ejercicio o práctica militar en el marco </w:t>
      </w:r>
      <w:r w:rsidR="00A104A1">
        <w:rPr>
          <w:rFonts w:eastAsia="Times"/>
          <w:sz w:val="20"/>
          <w:szCs w:val="20"/>
        </w:rPr>
        <w:t xml:space="preserve">del </w:t>
      </w:r>
      <w:r w:rsidR="00A104A1" w:rsidRPr="008D2AD0">
        <w:rPr>
          <w:rFonts w:eastAsia="Times"/>
          <w:sz w:val="20"/>
          <w:szCs w:val="20"/>
        </w:rPr>
        <w:t>“I Curso Anti-Subversivo”</w:t>
      </w:r>
      <w:r w:rsidRPr="0001748B">
        <w:rPr>
          <w:rFonts w:eastAsia="Calibri" w:cs="Verdana"/>
          <w:snapToGrid w:val="0"/>
          <w:sz w:val="20"/>
          <w:szCs w:val="20"/>
          <w:lang w:eastAsia="es-ES"/>
        </w:rPr>
        <w:t xml:space="preserve">, que se realizaba en las instalaciones del Destacamento N° 19 de </w:t>
      </w:r>
      <w:r w:rsidR="00E80540">
        <w:rPr>
          <w:rFonts w:eastAsia="Calibri" w:cs="Verdana"/>
          <w:snapToGrid w:val="0"/>
          <w:sz w:val="20"/>
          <w:szCs w:val="20"/>
          <w:lang w:eastAsia="es-ES"/>
        </w:rPr>
        <w:t xml:space="preserve">los </w:t>
      </w:r>
      <w:r w:rsidRPr="0001748B">
        <w:rPr>
          <w:rFonts w:eastAsia="Calibri" w:cs="Verdana"/>
          <w:snapToGrid w:val="0"/>
          <w:sz w:val="20"/>
          <w:szCs w:val="20"/>
          <w:lang w:eastAsia="es-ES"/>
        </w:rPr>
        <w:t>Comandos Rurales de Caño Negro, Municipio Fernández Feo del estado de Táchira (</w:t>
      </w:r>
      <w:r w:rsidRPr="0001748B">
        <w:rPr>
          <w:rFonts w:eastAsia="Calibri" w:cs="Verdana"/>
          <w:i/>
          <w:snapToGrid w:val="0"/>
          <w:sz w:val="20"/>
          <w:szCs w:val="20"/>
          <w:lang w:eastAsia="es-ES"/>
        </w:rPr>
        <w:t>infra</w:t>
      </w:r>
      <w:r w:rsidRPr="0001748B">
        <w:rPr>
          <w:rFonts w:eastAsia="Calibri" w:cs="Verdana"/>
          <w:snapToGrid w:val="0"/>
          <w:sz w:val="20"/>
          <w:szCs w:val="20"/>
          <w:lang w:eastAsia="es-ES"/>
        </w:rPr>
        <w:t xml:space="preserve"> párrs. </w:t>
      </w:r>
      <w:r w:rsidR="005D5290">
        <w:rPr>
          <w:rFonts w:eastAsia="Calibri" w:cs="Verdana"/>
          <w:snapToGrid w:val="0"/>
          <w:sz w:val="20"/>
          <w:szCs w:val="20"/>
          <w:lang w:eastAsia="es-ES"/>
        </w:rPr>
        <w:t>63 a 75</w:t>
      </w:r>
      <w:r w:rsidR="005D5290" w:rsidRPr="0001748B">
        <w:rPr>
          <w:rFonts w:eastAsia="Calibri" w:cs="Verdana"/>
          <w:snapToGrid w:val="0"/>
          <w:sz w:val="20"/>
          <w:szCs w:val="20"/>
          <w:lang w:eastAsia="es-ES"/>
        </w:rPr>
        <w:t xml:space="preserve">). </w:t>
      </w:r>
      <w:r w:rsidR="00EE445F" w:rsidRPr="0001748B">
        <w:rPr>
          <w:rFonts w:eastAsia="Calibri" w:cs="Verdana"/>
          <w:snapToGrid w:val="0"/>
          <w:sz w:val="20"/>
          <w:szCs w:val="20"/>
          <w:lang w:eastAsia="es-ES"/>
        </w:rPr>
        <w:t>No obstante lo anterior</w:t>
      </w:r>
      <w:r w:rsidR="00866198" w:rsidRPr="0001748B">
        <w:rPr>
          <w:rFonts w:eastAsia="Calibri" w:cs="Verdana"/>
          <w:snapToGrid w:val="0"/>
          <w:sz w:val="20"/>
          <w:szCs w:val="20"/>
          <w:lang w:eastAsia="es-ES"/>
        </w:rPr>
        <w:t>, la Corte advierte que</w:t>
      </w:r>
      <w:r w:rsidR="00EE445F" w:rsidRPr="0001748B">
        <w:rPr>
          <w:rFonts w:eastAsia="Calibri" w:cs="Verdana"/>
          <w:snapToGrid w:val="0"/>
          <w:sz w:val="20"/>
          <w:szCs w:val="20"/>
          <w:lang w:eastAsia="es-ES"/>
        </w:rPr>
        <w:t>, tanto</w:t>
      </w:r>
      <w:r w:rsidR="00866198" w:rsidRPr="0001748B">
        <w:rPr>
          <w:rFonts w:eastAsia="Calibri" w:cs="Verdana"/>
          <w:snapToGrid w:val="0"/>
          <w:sz w:val="20"/>
          <w:szCs w:val="20"/>
          <w:lang w:eastAsia="es-ES"/>
        </w:rPr>
        <w:t xml:space="preserve"> en la exposición de los hechos por parte de la Comisión </w:t>
      </w:r>
      <w:r w:rsidR="00EE445F" w:rsidRPr="0001748B">
        <w:rPr>
          <w:rFonts w:eastAsia="Calibri" w:cs="Verdana"/>
          <w:snapToGrid w:val="0"/>
          <w:sz w:val="20"/>
          <w:szCs w:val="20"/>
          <w:lang w:eastAsia="es-ES"/>
        </w:rPr>
        <w:t xml:space="preserve">como en sus observaciones sobre el reconocimiento y en la de las representantes, </w:t>
      </w:r>
      <w:r w:rsidR="00866198" w:rsidRPr="0001748B">
        <w:rPr>
          <w:rFonts w:eastAsia="Calibri" w:cs="Verdana"/>
          <w:snapToGrid w:val="0"/>
          <w:sz w:val="20"/>
          <w:szCs w:val="20"/>
          <w:lang w:eastAsia="es-ES"/>
        </w:rPr>
        <w:t>se evidencia que las circunstancias y la forma en que efectivamente ocurrió la muerte del joven Ortiz Hernández no se encuentran esclarecidas.</w:t>
      </w:r>
    </w:p>
    <w:p w:rsidR="00866198" w:rsidRPr="0001748B" w:rsidRDefault="00866198" w:rsidP="00866198">
      <w:pPr>
        <w:widowControl/>
        <w:autoSpaceDE w:val="0"/>
        <w:autoSpaceDN w:val="0"/>
        <w:spacing w:line="240" w:lineRule="auto"/>
        <w:textAlignment w:val="auto"/>
        <w:rPr>
          <w:rFonts w:eastAsia="Calibri" w:cs="Verdana"/>
          <w:bCs/>
          <w:snapToGrid w:val="0"/>
          <w:sz w:val="20"/>
          <w:szCs w:val="20"/>
          <w:lang w:eastAsia="es-ES"/>
        </w:rPr>
      </w:pPr>
    </w:p>
    <w:p w:rsidR="00866198" w:rsidRPr="0001748B" w:rsidRDefault="00E6258A" w:rsidP="00866198">
      <w:pPr>
        <w:numPr>
          <w:ilvl w:val="0"/>
          <w:numId w:val="1"/>
        </w:numPr>
        <w:tabs>
          <w:tab w:val="left" w:pos="567"/>
          <w:tab w:val="num" w:pos="1569"/>
          <w:tab w:val="num" w:pos="12305"/>
        </w:tabs>
        <w:spacing w:line="240" w:lineRule="auto"/>
        <w:ind w:left="0" w:firstLine="0"/>
        <w:rPr>
          <w:rFonts w:eastAsia="Calibri" w:cs="Verdana"/>
          <w:snapToGrid w:val="0"/>
          <w:sz w:val="20"/>
          <w:szCs w:val="20"/>
          <w:lang w:eastAsia="es-ES"/>
        </w:rPr>
      </w:pPr>
      <w:r w:rsidRPr="0001748B">
        <w:rPr>
          <w:rFonts w:eastAsia="Calibri" w:cs="Verdana"/>
          <w:bCs/>
          <w:snapToGrid w:val="0"/>
          <w:sz w:val="20"/>
          <w:szCs w:val="20"/>
          <w:lang w:eastAsia="es-ES"/>
        </w:rPr>
        <w:t>En efecto</w:t>
      </w:r>
      <w:r w:rsidR="00866198" w:rsidRPr="0001748B">
        <w:rPr>
          <w:rFonts w:eastAsia="Calibri" w:cs="Verdana"/>
          <w:bCs/>
          <w:snapToGrid w:val="0"/>
          <w:sz w:val="20"/>
          <w:szCs w:val="20"/>
          <w:lang w:eastAsia="es-ES"/>
        </w:rPr>
        <w:t xml:space="preserve">, </w:t>
      </w:r>
      <w:r w:rsidR="00866198" w:rsidRPr="0001748B">
        <w:rPr>
          <w:rFonts w:eastAsia="Calibri" w:cs="Verdana"/>
          <w:snapToGrid w:val="0"/>
          <w:sz w:val="20"/>
          <w:szCs w:val="20"/>
          <w:lang w:eastAsia="es-ES"/>
        </w:rPr>
        <w:t xml:space="preserve">existen diversas versiones o hipótesis sobre las circunstancias que provocaron el deceso del joven Ortiz Hernández y, hasta el momento de la emisión de la presente </w:t>
      </w:r>
      <w:r w:rsidR="002E4EC1">
        <w:rPr>
          <w:rFonts w:eastAsia="Calibri" w:cs="Verdana"/>
          <w:snapToGrid w:val="0"/>
          <w:sz w:val="20"/>
          <w:szCs w:val="20"/>
          <w:lang w:eastAsia="es-ES"/>
        </w:rPr>
        <w:t>S</w:t>
      </w:r>
      <w:r w:rsidR="00866198" w:rsidRPr="0001748B">
        <w:rPr>
          <w:rFonts w:eastAsia="Calibri" w:cs="Verdana"/>
          <w:snapToGrid w:val="0"/>
          <w:sz w:val="20"/>
          <w:szCs w:val="20"/>
          <w:lang w:eastAsia="es-ES"/>
        </w:rPr>
        <w:t xml:space="preserve">entencia, los tribunales nacionales no han llegado a una determinación </w:t>
      </w:r>
      <w:r w:rsidR="00B71F3F">
        <w:rPr>
          <w:rFonts w:eastAsia="Calibri" w:cs="Verdana"/>
          <w:snapToGrid w:val="0"/>
          <w:sz w:val="20"/>
          <w:szCs w:val="20"/>
          <w:lang w:eastAsia="es-ES"/>
        </w:rPr>
        <w:t xml:space="preserve">suficientemente certera </w:t>
      </w:r>
      <w:r w:rsidR="00866198" w:rsidRPr="0001748B">
        <w:rPr>
          <w:rFonts w:eastAsia="Calibri" w:cs="Verdana"/>
          <w:snapToGrid w:val="0"/>
          <w:sz w:val="20"/>
          <w:szCs w:val="20"/>
          <w:lang w:eastAsia="es-ES"/>
        </w:rPr>
        <w:t>de los hechos (</w:t>
      </w:r>
      <w:r w:rsidR="00BF74D2">
        <w:rPr>
          <w:rFonts w:eastAsia="Calibri" w:cs="Verdana"/>
          <w:i/>
          <w:snapToGrid w:val="0"/>
          <w:sz w:val="20"/>
          <w:szCs w:val="20"/>
          <w:lang w:eastAsia="es-ES"/>
        </w:rPr>
        <w:t>infra</w:t>
      </w:r>
      <w:r w:rsidR="00BF74D2" w:rsidRPr="0001748B">
        <w:rPr>
          <w:rFonts w:eastAsia="Calibri" w:cs="Verdana"/>
          <w:snapToGrid w:val="0"/>
          <w:sz w:val="20"/>
          <w:szCs w:val="20"/>
          <w:lang w:eastAsia="es-ES"/>
        </w:rPr>
        <w:t xml:space="preserve"> </w:t>
      </w:r>
      <w:r w:rsidR="00866198" w:rsidRPr="0001748B">
        <w:rPr>
          <w:rFonts w:eastAsia="Calibri" w:cs="Verdana"/>
          <w:snapToGrid w:val="0"/>
          <w:sz w:val="20"/>
          <w:szCs w:val="20"/>
          <w:lang w:eastAsia="es-ES"/>
        </w:rPr>
        <w:t xml:space="preserve">párr. </w:t>
      </w:r>
      <w:r w:rsidR="00BF74D2">
        <w:rPr>
          <w:rFonts w:eastAsia="Calibri" w:cs="Verdana"/>
          <w:snapToGrid w:val="0"/>
          <w:sz w:val="20"/>
          <w:szCs w:val="20"/>
          <w:lang w:eastAsia="es-ES"/>
        </w:rPr>
        <w:t>88</w:t>
      </w:r>
      <w:r w:rsidR="00866198" w:rsidRPr="0001748B">
        <w:rPr>
          <w:rFonts w:eastAsia="Calibri" w:cs="Verdana"/>
          <w:snapToGrid w:val="0"/>
          <w:sz w:val="20"/>
          <w:szCs w:val="20"/>
          <w:lang w:eastAsia="es-ES"/>
        </w:rPr>
        <w:t xml:space="preserve">). La versión oficial, adoptada desde el inicio </w:t>
      </w:r>
      <w:r w:rsidR="009C0E68" w:rsidRPr="0001748B">
        <w:rPr>
          <w:rFonts w:eastAsia="Calibri" w:cs="Verdana"/>
          <w:snapToGrid w:val="0"/>
          <w:sz w:val="20"/>
          <w:szCs w:val="20"/>
          <w:lang w:eastAsia="es-ES"/>
        </w:rPr>
        <w:t xml:space="preserve">por las autoridades militares </w:t>
      </w:r>
      <w:r w:rsidR="00866198" w:rsidRPr="0001748B">
        <w:rPr>
          <w:rFonts w:eastAsia="Calibri" w:cs="Verdana"/>
          <w:snapToGrid w:val="0"/>
          <w:sz w:val="20"/>
          <w:szCs w:val="20"/>
          <w:lang w:eastAsia="es-ES"/>
        </w:rPr>
        <w:t>y seguida por la jurisdicción ordinaria es que la muerte fue accidental, debido a que durante el paso del señor Ortiz</w:t>
      </w:r>
      <w:r w:rsidR="001C412E">
        <w:rPr>
          <w:rFonts w:eastAsia="Calibri" w:cs="Verdana"/>
          <w:snapToGrid w:val="0"/>
          <w:sz w:val="20"/>
          <w:szCs w:val="20"/>
          <w:lang w:eastAsia="es-ES"/>
        </w:rPr>
        <w:t xml:space="preserve"> Hernández</w:t>
      </w:r>
      <w:r w:rsidR="00866198" w:rsidRPr="0001748B">
        <w:rPr>
          <w:rFonts w:eastAsia="Calibri" w:cs="Verdana"/>
          <w:snapToGrid w:val="0"/>
          <w:sz w:val="20"/>
          <w:szCs w:val="20"/>
          <w:lang w:eastAsia="es-ES"/>
        </w:rPr>
        <w:t xml:space="preserve"> </w:t>
      </w:r>
      <w:r w:rsidR="00866198" w:rsidRPr="00ED49AB">
        <w:rPr>
          <w:rFonts w:eastAsia="Calibri" w:cs="Verdana"/>
          <w:snapToGrid w:val="0"/>
          <w:sz w:val="20"/>
          <w:szCs w:val="20"/>
          <w:lang w:eastAsia="es-ES"/>
        </w:rPr>
        <w:t xml:space="preserve">por el obstáculo </w:t>
      </w:r>
      <w:r w:rsidR="00C03D9A" w:rsidRPr="00ED49AB">
        <w:rPr>
          <w:rFonts w:eastAsia="Calibri" w:cs="Verdana"/>
          <w:snapToGrid w:val="0"/>
          <w:sz w:val="20"/>
          <w:szCs w:val="20"/>
          <w:lang w:eastAsia="es-ES"/>
        </w:rPr>
        <w:t>N° 5 consistente en una “zona de rampadera”</w:t>
      </w:r>
      <w:r w:rsidR="00866198" w:rsidRPr="00ED49AB">
        <w:rPr>
          <w:rFonts w:eastAsia="Calibri" w:cs="Verdana"/>
          <w:snapToGrid w:val="0"/>
          <w:sz w:val="20"/>
          <w:szCs w:val="20"/>
          <w:lang w:eastAsia="es-ES"/>
        </w:rPr>
        <w:t>,</w:t>
      </w:r>
      <w:r w:rsidR="00866198" w:rsidRPr="0001748B">
        <w:rPr>
          <w:rFonts w:eastAsia="Calibri" w:cs="Verdana"/>
          <w:snapToGrid w:val="0"/>
          <w:sz w:val="20"/>
          <w:szCs w:val="20"/>
          <w:lang w:eastAsia="es-ES"/>
        </w:rPr>
        <w:t xml:space="preserve"> el joven se habría levantado por encima de la alambrada y habría sido impactado por las balas de fuego real disparadas por</w:t>
      </w:r>
      <w:r w:rsidR="00866198" w:rsidRPr="0001748B">
        <w:rPr>
          <w:rFonts w:eastAsia="Calibri" w:cs="Verdana"/>
          <w:snapToGrid w:val="0"/>
          <w:color w:val="000000"/>
          <w:sz w:val="20"/>
          <w:szCs w:val="20"/>
          <w:shd w:val="clear" w:color="auto" w:fill="FFFFFF"/>
          <w:lang w:eastAsia="es-ES"/>
        </w:rPr>
        <w:t xml:space="preserve"> un instructor con </w:t>
      </w:r>
      <w:r w:rsidR="00866198" w:rsidRPr="0001748B">
        <w:rPr>
          <w:rFonts w:eastAsia="Calibri" w:cs="Verdana"/>
          <w:snapToGrid w:val="0"/>
          <w:sz w:val="20"/>
          <w:szCs w:val="20"/>
          <w:lang w:eastAsia="es-ES"/>
        </w:rPr>
        <w:t>una ametralladora AFAG 7,62 mm</w:t>
      </w:r>
      <w:r w:rsidR="00866198" w:rsidRPr="0001748B">
        <w:rPr>
          <w:rFonts w:eastAsia="Calibri" w:cs="Verdana"/>
          <w:snapToGrid w:val="0"/>
          <w:color w:val="000000"/>
          <w:sz w:val="20"/>
          <w:szCs w:val="20"/>
          <w:shd w:val="clear" w:color="auto" w:fill="FFFFFF"/>
          <w:lang w:eastAsia="es-ES"/>
        </w:rPr>
        <w:t>. E</w:t>
      </w:r>
      <w:r w:rsidR="00866198" w:rsidRPr="0001748B">
        <w:rPr>
          <w:rFonts w:eastAsia="Calibri" w:cs="Verdana"/>
          <w:snapToGrid w:val="0"/>
          <w:sz w:val="20"/>
          <w:szCs w:val="20"/>
          <w:lang w:eastAsia="es-ES"/>
        </w:rPr>
        <w:t xml:space="preserve">n esta misma línea, la hipótesis adoptada por el Ministerio Público se centró en que las heridas que causaron la muerte de Johan Alexis se habrían debido a esquirlas o fragmentos de bala </w:t>
      </w:r>
      <w:r w:rsidR="00972CF2" w:rsidRPr="0001748B">
        <w:rPr>
          <w:rFonts w:eastAsia="Calibri" w:cs="Verdana"/>
          <w:snapToGrid w:val="0"/>
          <w:sz w:val="20"/>
          <w:szCs w:val="20"/>
          <w:lang w:eastAsia="es-ES"/>
        </w:rPr>
        <w:t xml:space="preserve">de la referida </w:t>
      </w:r>
      <w:r w:rsidR="0059426B" w:rsidRPr="0001748B">
        <w:rPr>
          <w:rFonts w:eastAsia="Calibri" w:cs="Verdana"/>
          <w:snapToGrid w:val="0"/>
          <w:sz w:val="20"/>
          <w:szCs w:val="20"/>
          <w:lang w:eastAsia="es-ES"/>
        </w:rPr>
        <w:t>ametralladora</w:t>
      </w:r>
      <w:r w:rsidR="00972CF2" w:rsidRPr="0001748B">
        <w:rPr>
          <w:rFonts w:eastAsia="Calibri" w:cs="Verdana"/>
          <w:snapToGrid w:val="0"/>
          <w:sz w:val="20"/>
          <w:szCs w:val="20"/>
          <w:lang w:eastAsia="es-ES"/>
        </w:rPr>
        <w:t xml:space="preserve"> </w:t>
      </w:r>
      <w:r w:rsidR="00866198" w:rsidRPr="0001748B">
        <w:rPr>
          <w:rFonts w:eastAsia="Calibri" w:cs="Verdana"/>
          <w:snapToGrid w:val="0"/>
          <w:sz w:val="20"/>
          <w:szCs w:val="20"/>
          <w:lang w:eastAsia="es-ES"/>
        </w:rPr>
        <w:t>que lo impactaron, mas no a balas enteras y, por esta razón, no existirían orificios de salida. La versión de los familiares de</w:t>
      </w:r>
      <w:r w:rsidR="008340E7">
        <w:rPr>
          <w:rFonts w:eastAsia="Calibri" w:cs="Verdana"/>
          <w:snapToGrid w:val="0"/>
          <w:sz w:val="20"/>
          <w:szCs w:val="20"/>
          <w:lang w:eastAsia="es-ES"/>
        </w:rPr>
        <w:t xml:space="preserve"> Johan Alexis</w:t>
      </w:r>
      <w:r w:rsidR="00866198" w:rsidRPr="0001748B">
        <w:rPr>
          <w:rFonts w:eastAsia="Calibri" w:cs="Verdana"/>
          <w:snapToGrid w:val="0"/>
          <w:sz w:val="20"/>
          <w:szCs w:val="20"/>
          <w:lang w:eastAsia="es-ES"/>
        </w:rPr>
        <w:t xml:space="preserve"> Ortiz</w:t>
      </w:r>
      <w:r w:rsidR="008340E7">
        <w:rPr>
          <w:rFonts w:eastAsia="Calibri" w:cs="Verdana"/>
          <w:snapToGrid w:val="0"/>
          <w:sz w:val="20"/>
          <w:szCs w:val="20"/>
          <w:lang w:eastAsia="es-ES"/>
        </w:rPr>
        <w:t xml:space="preserve"> Hernández</w:t>
      </w:r>
      <w:r w:rsidR="00866198" w:rsidRPr="0001748B">
        <w:rPr>
          <w:rFonts w:eastAsia="Calibri" w:cs="Verdana"/>
          <w:snapToGrid w:val="0"/>
          <w:sz w:val="20"/>
          <w:szCs w:val="20"/>
          <w:lang w:eastAsia="es-ES"/>
        </w:rPr>
        <w:t xml:space="preserve"> sostiene, con base en las experticias realizadas, que su muerte fue intencional. Así, conforme a la declaración de un testigo, los familiares alegaron que Johan Alexis ni siquiera habría entrado a “la conejera”, sin</w:t>
      </w:r>
      <w:r w:rsidR="009C0E68" w:rsidRPr="0001748B">
        <w:rPr>
          <w:rFonts w:eastAsia="Calibri" w:cs="Verdana"/>
          <w:snapToGrid w:val="0"/>
          <w:sz w:val="20"/>
          <w:szCs w:val="20"/>
          <w:lang w:eastAsia="es-ES"/>
        </w:rPr>
        <w:t>o que más bien habría llegado a</w:t>
      </w:r>
      <w:r w:rsidR="00866198" w:rsidRPr="0001748B">
        <w:rPr>
          <w:rFonts w:eastAsia="Calibri" w:cs="Verdana"/>
          <w:snapToGrid w:val="0"/>
          <w:sz w:val="20"/>
          <w:szCs w:val="20"/>
          <w:lang w:eastAsia="es-ES"/>
        </w:rPr>
        <w:t>l</w:t>
      </w:r>
      <w:r w:rsidR="009C0E68" w:rsidRPr="0001748B">
        <w:rPr>
          <w:rFonts w:eastAsia="Calibri" w:cs="Verdana"/>
          <w:snapToGrid w:val="0"/>
          <w:sz w:val="20"/>
          <w:szCs w:val="20"/>
          <w:lang w:eastAsia="es-ES"/>
        </w:rPr>
        <w:t xml:space="preserve"> obstáculo </w:t>
      </w:r>
      <w:r w:rsidR="00866198" w:rsidRPr="0001748B">
        <w:rPr>
          <w:rFonts w:eastAsia="Calibri" w:cs="Verdana"/>
          <w:snapToGrid w:val="0"/>
          <w:sz w:val="20"/>
          <w:szCs w:val="20"/>
          <w:lang w:eastAsia="es-ES"/>
        </w:rPr>
        <w:t>herido en el brazo. Otras versiones aparecidas en la prensa, refieren que la muerte habría radicado en el presunto suicidio o que se debió a un disparo proveniente del arma que manipulaba un compañero, esto es, a una herida de bala que lo habría alcanzado accidentalmente.</w:t>
      </w:r>
    </w:p>
    <w:p w:rsidR="00866198" w:rsidRPr="0001748B" w:rsidRDefault="00866198" w:rsidP="00866198">
      <w:pPr>
        <w:widowControl/>
        <w:autoSpaceDE w:val="0"/>
        <w:autoSpaceDN w:val="0"/>
        <w:spacing w:line="240" w:lineRule="auto"/>
        <w:textAlignment w:val="auto"/>
        <w:rPr>
          <w:rFonts w:eastAsia="Calibri" w:cs="Verdana"/>
          <w:bCs/>
          <w:snapToGrid w:val="0"/>
          <w:sz w:val="20"/>
          <w:szCs w:val="20"/>
          <w:lang w:eastAsia="es-ES"/>
        </w:rPr>
      </w:pPr>
    </w:p>
    <w:p w:rsidR="005447C4" w:rsidRPr="00B71F3F" w:rsidRDefault="005447C4" w:rsidP="005447C4">
      <w:pPr>
        <w:numPr>
          <w:ilvl w:val="0"/>
          <w:numId w:val="1"/>
        </w:numPr>
        <w:tabs>
          <w:tab w:val="left" w:pos="567"/>
          <w:tab w:val="num" w:pos="1569"/>
          <w:tab w:val="num" w:pos="12305"/>
        </w:tabs>
        <w:spacing w:line="240" w:lineRule="auto"/>
        <w:ind w:left="0" w:firstLine="0"/>
        <w:rPr>
          <w:rFonts w:eastAsia="Calibri" w:cs="Verdana"/>
          <w:bCs/>
          <w:snapToGrid w:val="0"/>
          <w:sz w:val="20"/>
          <w:szCs w:val="20"/>
          <w:lang w:eastAsia="es-ES"/>
        </w:rPr>
      </w:pPr>
      <w:r w:rsidRPr="0001748B">
        <w:rPr>
          <w:rFonts w:eastAsia="Calibri" w:cs="Verdana"/>
          <w:bCs/>
          <w:snapToGrid w:val="0"/>
          <w:sz w:val="20"/>
          <w:szCs w:val="20"/>
          <w:lang w:eastAsia="es-ES"/>
        </w:rPr>
        <w:t>En suma, a pesar del reconocimiento de responsabilidad del Estado</w:t>
      </w:r>
      <w:r w:rsidR="00E16ECA" w:rsidRPr="0001748B">
        <w:rPr>
          <w:rFonts w:eastAsia="Calibri" w:cs="Verdana"/>
          <w:bCs/>
          <w:snapToGrid w:val="0"/>
          <w:sz w:val="20"/>
          <w:szCs w:val="20"/>
          <w:lang w:eastAsia="es-ES"/>
        </w:rPr>
        <w:t xml:space="preserve"> que abarca la aceptación de los hechos contenidos en el informe de fondo de la Comisión</w:t>
      </w:r>
      <w:r w:rsidRPr="0001748B">
        <w:rPr>
          <w:rFonts w:eastAsia="Calibri" w:cs="Verdana"/>
          <w:bCs/>
          <w:snapToGrid w:val="0"/>
          <w:sz w:val="20"/>
          <w:szCs w:val="20"/>
          <w:lang w:eastAsia="es-ES"/>
        </w:rPr>
        <w:t xml:space="preserve">, las circunstancias fácticas en que se produjo la muerte de Johan Alexis Ortiz </w:t>
      </w:r>
      <w:r w:rsidRPr="004D1125">
        <w:rPr>
          <w:rFonts w:eastAsia="Calibri" w:cs="Verdana"/>
          <w:bCs/>
          <w:snapToGrid w:val="0"/>
          <w:sz w:val="20"/>
          <w:szCs w:val="20"/>
          <w:lang w:eastAsia="es-ES"/>
        </w:rPr>
        <w:t>Hernández permanece</w:t>
      </w:r>
      <w:r w:rsidR="00E16ECA" w:rsidRPr="004D1125">
        <w:rPr>
          <w:rFonts w:eastAsia="Calibri" w:cs="Verdana"/>
          <w:bCs/>
          <w:snapToGrid w:val="0"/>
          <w:sz w:val="20"/>
          <w:szCs w:val="20"/>
          <w:lang w:eastAsia="es-ES"/>
        </w:rPr>
        <w:t>n</w:t>
      </w:r>
      <w:r w:rsidRPr="004D1125">
        <w:rPr>
          <w:rFonts w:eastAsia="Calibri" w:cs="Verdana"/>
          <w:bCs/>
          <w:snapToGrid w:val="0"/>
          <w:sz w:val="20"/>
          <w:szCs w:val="20"/>
          <w:lang w:eastAsia="es-ES"/>
        </w:rPr>
        <w:t xml:space="preserve"> controvertida</w:t>
      </w:r>
      <w:r w:rsidR="00E16ECA" w:rsidRPr="004D1125">
        <w:rPr>
          <w:rFonts w:eastAsia="Calibri" w:cs="Verdana"/>
          <w:bCs/>
          <w:snapToGrid w:val="0"/>
          <w:sz w:val="20"/>
          <w:szCs w:val="20"/>
          <w:lang w:eastAsia="es-ES"/>
        </w:rPr>
        <w:t>s</w:t>
      </w:r>
      <w:r w:rsidR="001248EF">
        <w:rPr>
          <w:rFonts w:eastAsia="Calibri" w:cs="Verdana"/>
          <w:bCs/>
          <w:snapToGrid w:val="0"/>
          <w:sz w:val="20"/>
          <w:szCs w:val="20"/>
          <w:lang w:eastAsia="es-ES"/>
        </w:rPr>
        <w:t>. En esta línea</w:t>
      </w:r>
      <w:r w:rsidR="0034533C">
        <w:rPr>
          <w:rFonts w:eastAsia="Calibri" w:cs="Verdana"/>
          <w:bCs/>
          <w:snapToGrid w:val="0"/>
          <w:sz w:val="20"/>
          <w:szCs w:val="20"/>
          <w:lang w:eastAsia="es-ES"/>
        </w:rPr>
        <w:t xml:space="preserve">, </w:t>
      </w:r>
      <w:r w:rsidR="001248EF">
        <w:rPr>
          <w:rFonts w:eastAsia="Calibri" w:cs="Verdana"/>
          <w:bCs/>
          <w:snapToGrid w:val="0"/>
          <w:sz w:val="20"/>
          <w:szCs w:val="20"/>
          <w:lang w:eastAsia="es-ES"/>
        </w:rPr>
        <w:t>si bien</w:t>
      </w:r>
      <w:r w:rsidR="0034533C">
        <w:rPr>
          <w:rFonts w:eastAsia="Calibri" w:cs="Verdana"/>
          <w:bCs/>
          <w:snapToGrid w:val="0"/>
          <w:sz w:val="20"/>
          <w:szCs w:val="20"/>
          <w:lang w:eastAsia="es-ES"/>
        </w:rPr>
        <w:t xml:space="preserve"> el esclarecimiento de las circunstan</w:t>
      </w:r>
      <w:r w:rsidR="0034533C" w:rsidRPr="00B71F3F">
        <w:rPr>
          <w:rFonts w:eastAsia="Calibri" w:cs="Verdana"/>
          <w:bCs/>
          <w:snapToGrid w:val="0"/>
          <w:sz w:val="20"/>
          <w:szCs w:val="20"/>
          <w:lang w:eastAsia="es-ES"/>
        </w:rPr>
        <w:t xml:space="preserve">cias fácticas de la muerte de la víctima es una tarea que debe emprender la jurisdicción interna, la Corte considera relevante </w:t>
      </w:r>
      <w:r w:rsidR="00F10D05" w:rsidRPr="00B71F3F">
        <w:rPr>
          <w:rFonts w:eastAsia="Calibri" w:cs="Verdana"/>
          <w:bCs/>
          <w:snapToGrid w:val="0"/>
          <w:sz w:val="20"/>
          <w:szCs w:val="20"/>
          <w:lang w:eastAsia="es-ES"/>
        </w:rPr>
        <w:t xml:space="preserve">para el establecimiento de la determinación de lo acontecido </w:t>
      </w:r>
      <w:r w:rsidR="0034533C" w:rsidRPr="00B71F3F">
        <w:rPr>
          <w:rFonts w:eastAsia="Calibri" w:cs="Verdana"/>
          <w:bCs/>
          <w:snapToGrid w:val="0"/>
          <w:sz w:val="20"/>
          <w:szCs w:val="20"/>
          <w:lang w:eastAsia="es-ES"/>
        </w:rPr>
        <w:t>en el marco de</w:t>
      </w:r>
      <w:r w:rsidR="00D54269" w:rsidRPr="00B71F3F">
        <w:rPr>
          <w:rFonts w:eastAsia="Calibri" w:cs="Verdana"/>
          <w:bCs/>
          <w:snapToGrid w:val="0"/>
          <w:sz w:val="20"/>
          <w:szCs w:val="20"/>
          <w:lang w:eastAsia="es-ES"/>
        </w:rPr>
        <w:t xml:space="preserve"> </w:t>
      </w:r>
      <w:r w:rsidR="0034533C" w:rsidRPr="00B71F3F">
        <w:rPr>
          <w:rFonts w:eastAsia="Calibri" w:cs="Verdana"/>
          <w:bCs/>
          <w:snapToGrid w:val="0"/>
          <w:sz w:val="20"/>
          <w:szCs w:val="20"/>
          <w:lang w:eastAsia="es-ES"/>
        </w:rPr>
        <w:t>l</w:t>
      </w:r>
      <w:r w:rsidR="00D54269" w:rsidRPr="00B71F3F">
        <w:rPr>
          <w:rFonts w:eastAsia="Calibri" w:cs="Verdana"/>
          <w:bCs/>
          <w:snapToGrid w:val="0"/>
          <w:sz w:val="20"/>
          <w:szCs w:val="20"/>
          <w:lang w:eastAsia="es-ES"/>
        </w:rPr>
        <w:t>as</w:t>
      </w:r>
      <w:r w:rsidR="0034533C" w:rsidRPr="00B71F3F">
        <w:rPr>
          <w:rFonts w:eastAsia="Calibri" w:cs="Verdana"/>
          <w:bCs/>
          <w:snapToGrid w:val="0"/>
          <w:sz w:val="20"/>
          <w:szCs w:val="20"/>
          <w:lang w:eastAsia="es-ES"/>
        </w:rPr>
        <w:t xml:space="preserve"> obligaciones d</w:t>
      </w:r>
      <w:r w:rsidR="001248EF" w:rsidRPr="00B71F3F">
        <w:rPr>
          <w:rFonts w:eastAsia="Calibri" w:cs="Verdana"/>
          <w:bCs/>
          <w:snapToGrid w:val="0"/>
          <w:sz w:val="20"/>
          <w:szCs w:val="20"/>
          <w:lang w:eastAsia="es-ES"/>
        </w:rPr>
        <w:t>e</w:t>
      </w:r>
      <w:r w:rsidR="0034533C" w:rsidRPr="00B71F3F">
        <w:rPr>
          <w:rFonts w:eastAsia="Calibri" w:cs="Verdana"/>
          <w:bCs/>
          <w:snapToGrid w:val="0"/>
          <w:sz w:val="20"/>
          <w:szCs w:val="20"/>
          <w:lang w:eastAsia="es-ES"/>
        </w:rPr>
        <w:t xml:space="preserve">l Estado, referirse a las distintas hipótesis </w:t>
      </w:r>
      <w:r w:rsidR="00F10D05" w:rsidRPr="00B71F3F">
        <w:rPr>
          <w:rFonts w:eastAsia="Calibri" w:cs="Verdana"/>
          <w:bCs/>
          <w:snapToGrid w:val="0"/>
          <w:sz w:val="20"/>
          <w:szCs w:val="20"/>
          <w:lang w:eastAsia="es-ES"/>
        </w:rPr>
        <w:t>que presentan cierto grado de verosimilitud.</w:t>
      </w:r>
    </w:p>
    <w:p w:rsidR="005447C4" w:rsidRPr="00B71F3F" w:rsidRDefault="005447C4" w:rsidP="00866198">
      <w:pPr>
        <w:widowControl/>
        <w:autoSpaceDE w:val="0"/>
        <w:autoSpaceDN w:val="0"/>
        <w:spacing w:line="240" w:lineRule="auto"/>
        <w:textAlignment w:val="auto"/>
        <w:rPr>
          <w:rFonts w:eastAsia="Calibri" w:cs="Verdana"/>
          <w:bCs/>
          <w:snapToGrid w:val="0"/>
          <w:sz w:val="20"/>
          <w:szCs w:val="20"/>
          <w:lang w:eastAsia="es-ES"/>
        </w:rPr>
      </w:pPr>
    </w:p>
    <w:p w:rsidR="00866198" w:rsidRPr="004D1125" w:rsidRDefault="00866198" w:rsidP="00125C44">
      <w:pPr>
        <w:pStyle w:val="Heading2"/>
        <w:tabs>
          <w:tab w:val="left" w:pos="1843"/>
        </w:tabs>
        <w:spacing w:before="0" w:line="240" w:lineRule="auto"/>
        <w:ind w:left="1134"/>
        <w:rPr>
          <w:i/>
          <w:color w:val="auto"/>
          <w:sz w:val="20"/>
          <w:szCs w:val="20"/>
        </w:rPr>
      </w:pPr>
      <w:bookmarkStart w:id="43" w:name="_Toc495658652"/>
      <w:r w:rsidRPr="004D1125">
        <w:rPr>
          <w:rFonts w:ascii="Verdana" w:hAnsi="Verdana"/>
          <w:b w:val="0"/>
          <w:i/>
          <w:color w:val="auto"/>
          <w:sz w:val="20"/>
          <w:szCs w:val="20"/>
        </w:rPr>
        <w:t>B.</w:t>
      </w:r>
      <w:r w:rsidR="00F53937" w:rsidRPr="004D1125">
        <w:rPr>
          <w:rFonts w:ascii="Verdana" w:hAnsi="Verdana"/>
          <w:b w:val="0"/>
          <w:i/>
          <w:color w:val="auto"/>
          <w:sz w:val="20"/>
          <w:szCs w:val="20"/>
        </w:rPr>
        <w:t>2</w:t>
      </w:r>
      <w:r w:rsidRPr="004D1125">
        <w:rPr>
          <w:rFonts w:ascii="Verdana" w:hAnsi="Verdana"/>
          <w:b w:val="0"/>
          <w:i/>
          <w:color w:val="auto"/>
          <w:sz w:val="20"/>
          <w:szCs w:val="20"/>
        </w:rPr>
        <w:t xml:space="preserve"> </w:t>
      </w:r>
      <w:r w:rsidRPr="004D1125">
        <w:rPr>
          <w:rFonts w:ascii="Verdana" w:hAnsi="Verdana"/>
          <w:b w:val="0"/>
          <w:i/>
          <w:color w:val="auto"/>
          <w:sz w:val="20"/>
          <w:szCs w:val="20"/>
        </w:rPr>
        <w:tab/>
        <w:t>En cuanto a las pretensiones de derecho</w:t>
      </w:r>
      <w:bookmarkEnd w:id="43"/>
    </w:p>
    <w:p w:rsidR="005C4659" w:rsidRPr="004D1125" w:rsidRDefault="005C4659" w:rsidP="005C4659">
      <w:pPr>
        <w:tabs>
          <w:tab w:val="left" w:pos="567"/>
        </w:tabs>
        <w:spacing w:line="240" w:lineRule="auto"/>
        <w:rPr>
          <w:rFonts w:eastAsia="Calibri" w:cs="Verdana"/>
          <w:snapToGrid w:val="0"/>
          <w:sz w:val="20"/>
          <w:szCs w:val="20"/>
          <w:lang w:eastAsia="es-ES"/>
        </w:rPr>
      </w:pPr>
    </w:p>
    <w:p w:rsidR="00866198" w:rsidRPr="0001748B" w:rsidRDefault="00866198" w:rsidP="00866198">
      <w:pPr>
        <w:numPr>
          <w:ilvl w:val="0"/>
          <w:numId w:val="1"/>
        </w:numPr>
        <w:tabs>
          <w:tab w:val="left" w:pos="567"/>
          <w:tab w:val="num" w:pos="1569"/>
          <w:tab w:val="num" w:pos="12305"/>
        </w:tabs>
        <w:spacing w:line="240" w:lineRule="auto"/>
        <w:ind w:left="0" w:firstLine="0"/>
        <w:rPr>
          <w:rFonts w:eastAsia="Calibri" w:cs="Verdana"/>
          <w:snapToGrid w:val="0"/>
          <w:sz w:val="20"/>
          <w:szCs w:val="20"/>
          <w:lang w:eastAsia="es-ES"/>
        </w:rPr>
      </w:pPr>
      <w:r w:rsidRPr="004D1125">
        <w:rPr>
          <w:rFonts w:eastAsia="Calibri" w:cs="Verdana"/>
          <w:snapToGrid w:val="0"/>
          <w:sz w:val="20"/>
          <w:szCs w:val="20"/>
          <w:lang w:eastAsia="es-ES"/>
        </w:rPr>
        <w:t xml:space="preserve">En lo que se refiere a los alcances de la responsabilidad </w:t>
      </w:r>
      <w:r w:rsidRPr="0001748B">
        <w:rPr>
          <w:rFonts w:eastAsia="Calibri" w:cs="Verdana"/>
          <w:snapToGrid w:val="0"/>
          <w:sz w:val="20"/>
          <w:szCs w:val="20"/>
          <w:lang w:eastAsia="es-ES"/>
        </w:rPr>
        <w:t>del Estado por la violación del artículo 4 de la Convención</w:t>
      </w:r>
      <w:r w:rsidR="00420A82">
        <w:rPr>
          <w:rFonts w:eastAsia="Calibri" w:cs="Verdana"/>
          <w:snapToGrid w:val="0"/>
          <w:sz w:val="20"/>
          <w:szCs w:val="20"/>
          <w:lang w:eastAsia="es-ES"/>
        </w:rPr>
        <w:t xml:space="preserve"> Americana</w:t>
      </w:r>
      <w:r w:rsidRPr="0001748B">
        <w:rPr>
          <w:rFonts w:eastAsia="Calibri" w:cs="Verdana"/>
          <w:snapToGrid w:val="0"/>
          <w:sz w:val="20"/>
          <w:szCs w:val="20"/>
          <w:lang w:eastAsia="es-ES"/>
        </w:rPr>
        <w:t>, la Corte recuerda que, al reconocer su responsabilidad</w:t>
      </w:r>
      <w:r w:rsidRPr="00AD6FD8">
        <w:rPr>
          <w:rFonts w:eastAsia="Calibri" w:cs="Verdana"/>
          <w:snapToGrid w:val="0"/>
          <w:sz w:val="20"/>
          <w:szCs w:val="20"/>
          <w:lang w:eastAsia="es-ES"/>
        </w:rPr>
        <w:t xml:space="preserve">, el Estado </w:t>
      </w:r>
      <w:r w:rsidR="00F10D05" w:rsidRPr="00AD6FD8">
        <w:rPr>
          <w:rFonts w:eastAsia="Calibri" w:cs="Verdana"/>
          <w:snapToGrid w:val="0"/>
          <w:sz w:val="20"/>
          <w:szCs w:val="20"/>
          <w:lang w:eastAsia="es-ES"/>
        </w:rPr>
        <w:t>se centró en e</w:t>
      </w:r>
      <w:r w:rsidRPr="00AD6FD8">
        <w:rPr>
          <w:rFonts w:eastAsia="Calibri" w:cs="Verdana"/>
          <w:snapToGrid w:val="0"/>
          <w:sz w:val="20"/>
          <w:szCs w:val="20"/>
          <w:lang w:eastAsia="es-ES"/>
        </w:rPr>
        <w:t>l hecho de que</w:t>
      </w:r>
      <w:r w:rsidRPr="0001748B">
        <w:rPr>
          <w:rFonts w:eastAsia="Calibri" w:cs="Verdana"/>
          <w:snapToGrid w:val="0"/>
          <w:sz w:val="20"/>
          <w:szCs w:val="20"/>
          <w:lang w:eastAsia="es-ES"/>
        </w:rPr>
        <w:t xml:space="preserve"> las autoridades de la época desatendieron las regulaciones existentes para el desarrollo de estas prácticas militares, incrementando ilegítimamente el riesgo, que de por sí caracteriza los ejercicios de esta naturaleza.</w:t>
      </w:r>
    </w:p>
    <w:p w:rsidR="007006AF" w:rsidRPr="0001748B" w:rsidRDefault="007006AF" w:rsidP="007006AF">
      <w:pPr>
        <w:tabs>
          <w:tab w:val="left" w:pos="567"/>
        </w:tabs>
        <w:spacing w:line="240" w:lineRule="auto"/>
        <w:rPr>
          <w:rFonts w:eastAsia="Calibri" w:cs="Cambria"/>
          <w:snapToGrid w:val="0"/>
          <w:sz w:val="20"/>
          <w:szCs w:val="20"/>
          <w:lang w:eastAsia="es-ES"/>
        </w:rPr>
      </w:pPr>
    </w:p>
    <w:p w:rsidR="00866198" w:rsidRPr="0001748B" w:rsidRDefault="00866198" w:rsidP="00866198">
      <w:pPr>
        <w:numPr>
          <w:ilvl w:val="0"/>
          <w:numId w:val="1"/>
        </w:numPr>
        <w:tabs>
          <w:tab w:val="left" w:pos="567"/>
          <w:tab w:val="num" w:pos="1569"/>
          <w:tab w:val="num" w:pos="12305"/>
        </w:tabs>
        <w:spacing w:line="240" w:lineRule="auto"/>
        <w:ind w:left="0" w:firstLine="0"/>
        <w:rPr>
          <w:rFonts w:eastAsia="Calibri" w:cs="Cambria"/>
          <w:snapToGrid w:val="0"/>
          <w:sz w:val="20"/>
          <w:szCs w:val="20"/>
          <w:lang w:eastAsia="es-ES"/>
        </w:rPr>
      </w:pPr>
      <w:r w:rsidRPr="0001748B">
        <w:rPr>
          <w:rFonts w:eastAsia="Calibri" w:cs="Cambria"/>
          <w:snapToGrid w:val="0"/>
          <w:sz w:val="20"/>
          <w:szCs w:val="20"/>
          <w:lang w:eastAsia="es-ES"/>
        </w:rPr>
        <w:t>Por su parte, los alegatos de la Comisión</w:t>
      </w:r>
      <w:r w:rsidRPr="0001748B">
        <w:rPr>
          <w:rFonts w:eastAsia="Calibri" w:cs="Verdana"/>
          <w:snapToGrid w:val="0"/>
          <w:sz w:val="20"/>
          <w:szCs w:val="20"/>
          <w:lang w:eastAsia="es-ES"/>
        </w:rPr>
        <w:t xml:space="preserve"> y</w:t>
      </w:r>
      <w:r w:rsidR="00E47031">
        <w:rPr>
          <w:rFonts w:eastAsia="Calibri" w:cs="Verdana"/>
          <w:snapToGrid w:val="0"/>
          <w:sz w:val="20"/>
          <w:szCs w:val="20"/>
          <w:lang w:eastAsia="es-ES"/>
        </w:rPr>
        <w:t xml:space="preserve"> de</w:t>
      </w:r>
      <w:r w:rsidRPr="0001748B">
        <w:rPr>
          <w:rFonts w:eastAsia="Calibri" w:cs="Verdana"/>
          <w:snapToGrid w:val="0"/>
          <w:sz w:val="20"/>
          <w:szCs w:val="20"/>
          <w:lang w:eastAsia="es-ES"/>
        </w:rPr>
        <w:t xml:space="preserve"> las representantes </w:t>
      </w:r>
      <w:r w:rsidRPr="0001748B">
        <w:rPr>
          <w:rFonts w:eastAsia="Calibri" w:cs="Cambria"/>
          <w:snapToGrid w:val="0"/>
          <w:sz w:val="20"/>
          <w:szCs w:val="20"/>
          <w:lang w:eastAsia="es-ES"/>
        </w:rPr>
        <w:t>se refirieron a</w:t>
      </w:r>
      <w:r w:rsidR="005C4659" w:rsidRPr="0001748B">
        <w:rPr>
          <w:rFonts w:eastAsia="Calibri" w:cs="Cambria"/>
          <w:snapToGrid w:val="0"/>
          <w:sz w:val="20"/>
          <w:szCs w:val="20"/>
          <w:lang w:eastAsia="es-ES"/>
        </w:rPr>
        <w:t xml:space="preserve"> otros aspectos, entre los que destaca</w:t>
      </w:r>
      <w:r w:rsidRPr="0001748B">
        <w:rPr>
          <w:rFonts w:eastAsia="Calibri" w:cs="Cambria"/>
          <w:snapToGrid w:val="0"/>
          <w:sz w:val="20"/>
          <w:szCs w:val="20"/>
          <w:lang w:eastAsia="es-ES"/>
        </w:rPr>
        <w:t xml:space="preserve">: i) una </w:t>
      </w:r>
      <w:r w:rsidRPr="0001748B">
        <w:rPr>
          <w:rFonts w:eastAsia="Calibri" w:cs="Verdana"/>
          <w:snapToGrid w:val="0"/>
          <w:sz w:val="20"/>
          <w:szCs w:val="20"/>
          <w:lang w:eastAsia="es-ES"/>
        </w:rPr>
        <w:t>omisión en el deber de prevención del Estado, al no aplicar todas aquellas medidas de carácter jurídico y administrativo necesarias para salvaguardar el derecho a la vida de la víctima en el marco del entrenamiento militar; ii)</w:t>
      </w:r>
      <w:r w:rsidRPr="0001748B">
        <w:rPr>
          <w:rFonts w:eastAsia="Calibri" w:cs="Cambria"/>
          <w:snapToGrid w:val="0"/>
          <w:sz w:val="20"/>
          <w:szCs w:val="20"/>
          <w:lang w:eastAsia="es-ES"/>
        </w:rPr>
        <w:t xml:space="preserve"> una falla en su deber especial de protección en relación con el derecho a la vida y a la integridad personal de Johan Alexis Ortiz</w:t>
      </w:r>
      <w:r w:rsidR="00A622D5">
        <w:rPr>
          <w:rFonts w:eastAsia="Calibri" w:cs="Cambria"/>
          <w:snapToGrid w:val="0"/>
          <w:sz w:val="20"/>
          <w:szCs w:val="20"/>
          <w:lang w:eastAsia="es-ES"/>
        </w:rPr>
        <w:t xml:space="preserve"> Hernández</w:t>
      </w:r>
      <w:r w:rsidRPr="0001748B">
        <w:rPr>
          <w:rFonts w:eastAsia="Calibri" w:cs="Cambria"/>
          <w:snapToGrid w:val="0"/>
          <w:sz w:val="20"/>
          <w:szCs w:val="20"/>
          <w:lang w:eastAsia="es-ES"/>
        </w:rPr>
        <w:t xml:space="preserve">, quien bajo la dirección y supervisión de agentes estatales, fue expuesto a participar en una actividad práctica de su formación como alumno de la ESGUARNAC, con la utilización de balas reales, en contravención a lo que supuestamente establecía el instructivo de la actividad, y sin que se cumplieran las condiciones mínimas de seguridad y asistencia médica también requeridas para el ejercicio; iii) </w:t>
      </w:r>
      <w:r w:rsidRPr="0001748B">
        <w:rPr>
          <w:rFonts w:eastAsia="Calibri" w:cs="Verdana"/>
          <w:snapToGrid w:val="0"/>
          <w:sz w:val="20"/>
          <w:szCs w:val="20"/>
          <w:lang w:eastAsia="es-ES"/>
        </w:rPr>
        <w:t xml:space="preserve">la posición especial de garante en la que se encontraba el Estado frente a Johan Alexis, debido a que en su calidad de estudiante de </w:t>
      </w:r>
      <w:r w:rsidR="00EE3B20">
        <w:rPr>
          <w:rFonts w:eastAsia="Calibri" w:cs="Verdana"/>
          <w:snapToGrid w:val="0"/>
          <w:sz w:val="20"/>
          <w:szCs w:val="20"/>
          <w:lang w:eastAsia="es-ES"/>
        </w:rPr>
        <w:t>la</w:t>
      </w:r>
      <w:r w:rsidR="00EE3B20" w:rsidRPr="0001748B">
        <w:rPr>
          <w:rFonts w:eastAsia="Calibri" w:cs="Verdana"/>
          <w:snapToGrid w:val="0"/>
          <w:sz w:val="20"/>
          <w:szCs w:val="20"/>
          <w:lang w:eastAsia="es-ES"/>
        </w:rPr>
        <w:t xml:space="preserve"> </w:t>
      </w:r>
      <w:r w:rsidR="00EE3B20">
        <w:rPr>
          <w:rFonts w:eastAsia="Calibri" w:cs="Verdana"/>
          <w:snapToGrid w:val="0"/>
          <w:sz w:val="20"/>
          <w:szCs w:val="20"/>
          <w:lang w:eastAsia="es-ES"/>
        </w:rPr>
        <w:t>E</w:t>
      </w:r>
      <w:r w:rsidRPr="0001748B">
        <w:rPr>
          <w:rFonts w:eastAsia="Calibri" w:cs="Verdana"/>
          <w:snapToGrid w:val="0"/>
          <w:sz w:val="20"/>
          <w:szCs w:val="20"/>
          <w:lang w:eastAsia="es-ES"/>
        </w:rPr>
        <w:t xml:space="preserve">scuela de </w:t>
      </w:r>
      <w:r w:rsidR="00EE3B20">
        <w:rPr>
          <w:rFonts w:eastAsia="Calibri" w:cs="Verdana"/>
          <w:snapToGrid w:val="0"/>
          <w:sz w:val="20"/>
          <w:szCs w:val="20"/>
          <w:lang w:eastAsia="es-ES"/>
        </w:rPr>
        <w:t xml:space="preserve">Formación </w:t>
      </w:r>
      <w:r w:rsidR="00EE3B20">
        <w:rPr>
          <w:rFonts w:eastAsia="Calibri" w:cs="Verdana"/>
          <w:snapToGrid w:val="0"/>
          <w:sz w:val="20"/>
          <w:szCs w:val="20"/>
          <w:lang w:eastAsia="es-ES"/>
        </w:rPr>
        <w:lastRenderedPageBreak/>
        <w:t>de G</w:t>
      </w:r>
      <w:r w:rsidRPr="0001748B">
        <w:rPr>
          <w:rFonts w:eastAsia="Calibri" w:cs="Verdana"/>
          <w:snapToGrid w:val="0"/>
          <w:sz w:val="20"/>
          <w:szCs w:val="20"/>
          <w:lang w:eastAsia="es-ES"/>
        </w:rPr>
        <w:t xml:space="preserve">uardias </w:t>
      </w:r>
      <w:r w:rsidR="00EE3B20">
        <w:rPr>
          <w:rFonts w:eastAsia="Calibri" w:cs="Verdana"/>
          <w:snapToGrid w:val="0"/>
          <w:sz w:val="20"/>
          <w:szCs w:val="20"/>
          <w:lang w:eastAsia="es-ES"/>
        </w:rPr>
        <w:t>N</w:t>
      </w:r>
      <w:r w:rsidRPr="0001748B">
        <w:rPr>
          <w:rFonts w:eastAsia="Calibri" w:cs="Verdana"/>
          <w:snapToGrid w:val="0"/>
          <w:sz w:val="20"/>
          <w:szCs w:val="20"/>
          <w:lang w:eastAsia="es-ES"/>
        </w:rPr>
        <w:t xml:space="preserve">acionales se encontraba en una relación directa de custodia, subordinación o cuidado por parte del Estado; iv) el uso </w:t>
      </w:r>
      <w:r w:rsidRPr="0001748B">
        <w:rPr>
          <w:rFonts w:eastAsia="Calibri" w:cs="Verdana"/>
          <w:snapToGrid w:val="0"/>
          <w:color w:val="000000" w:themeColor="text1"/>
          <w:sz w:val="20"/>
          <w:szCs w:val="20"/>
          <w:lang w:eastAsia="es-ES"/>
        </w:rPr>
        <w:t xml:space="preserve">de la fuerza por agentes estatales </w:t>
      </w:r>
      <w:r w:rsidRPr="0001748B">
        <w:rPr>
          <w:rFonts w:eastAsia="Calibri" w:cs="Cambria"/>
          <w:snapToGrid w:val="0"/>
          <w:sz w:val="20"/>
          <w:szCs w:val="20"/>
          <w:lang w:eastAsia="es-ES"/>
        </w:rPr>
        <w:t xml:space="preserve">del cual puede devenir, como un resultado no intencional la privación de la vida, por lo que </w:t>
      </w:r>
      <w:r w:rsidRPr="0001748B">
        <w:rPr>
          <w:rFonts w:eastAsia="Calibri" w:cs="Verdana"/>
          <w:snapToGrid w:val="0"/>
          <w:color w:val="000000" w:themeColor="text1"/>
          <w:sz w:val="20"/>
          <w:szCs w:val="20"/>
          <w:lang w:eastAsia="es-ES"/>
        </w:rPr>
        <w:t>debe ser ejercido de manera proporcional y no excesiva,</w:t>
      </w:r>
      <w:r w:rsidRPr="0001748B">
        <w:rPr>
          <w:rFonts w:eastAsia="Calibri" w:cs="Cambria"/>
          <w:snapToGrid w:val="0"/>
          <w:sz w:val="20"/>
          <w:szCs w:val="20"/>
          <w:lang w:eastAsia="es-ES"/>
        </w:rPr>
        <w:t xml:space="preserve"> adoptando las medidas necesarias para crear un marco normativo adecuado que disuada cualquier amenaza a este derecho, y v) la carga de la prueba que le corresponde al Estado, quien deberá </w:t>
      </w:r>
      <w:r w:rsidRPr="0001748B">
        <w:rPr>
          <w:rFonts w:eastAsia="Calibri" w:cs="Verdana"/>
          <w:snapToGrid w:val="0"/>
          <w:sz w:val="20"/>
          <w:szCs w:val="20"/>
          <w:lang w:eastAsia="es-ES"/>
        </w:rPr>
        <w:t xml:space="preserve">proveer una explicación satisfactoria y convincente de lo sucedido y desvirtuar las alegaciones sobre su responsabilidad, mediante elementos probatorios adecuados. Aunado a lo anterior, </w:t>
      </w:r>
      <w:r w:rsidR="003A16C8" w:rsidRPr="0001748B">
        <w:rPr>
          <w:rFonts w:eastAsia="Calibri" w:cs="Verdana"/>
          <w:snapToGrid w:val="0"/>
          <w:sz w:val="20"/>
          <w:szCs w:val="20"/>
          <w:lang w:eastAsia="es-ES"/>
        </w:rPr>
        <w:t xml:space="preserve">si bien </w:t>
      </w:r>
      <w:r w:rsidRPr="0001748B">
        <w:rPr>
          <w:rFonts w:eastAsia="Calibri" w:cs="Verdana"/>
          <w:snapToGrid w:val="0"/>
          <w:sz w:val="20"/>
          <w:szCs w:val="20"/>
          <w:lang w:eastAsia="es-ES"/>
        </w:rPr>
        <w:t>la Comisión sostuvo que no contaba con elementos para resolver las controversias en cuanto a las circunstancias en que fue herido Johan Alexis, en sus alegatos</w:t>
      </w:r>
      <w:r w:rsidR="005C4659" w:rsidRPr="0001748B">
        <w:rPr>
          <w:rFonts w:eastAsia="Calibri" w:cs="Verdana"/>
          <w:snapToGrid w:val="0"/>
          <w:sz w:val="20"/>
          <w:szCs w:val="20"/>
          <w:lang w:eastAsia="es-ES"/>
        </w:rPr>
        <w:t xml:space="preserve"> finales</w:t>
      </w:r>
      <w:r w:rsidRPr="0001748B">
        <w:rPr>
          <w:rFonts w:eastAsia="Calibri" w:cs="Verdana"/>
          <w:snapToGrid w:val="0"/>
          <w:sz w:val="20"/>
          <w:szCs w:val="20"/>
          <w:lang w:eastAsia="es-ES"/>
        </w:rPr>
        <w:t xml:space="preserve"> en torno al deber de investigar, tanto la Comisión como las representantes, hicieron hincapié en que no se habría tratado de un hecho incidental, de modo que la producción de la prueba en el proceso ante esta Corte estuvo encaminada a probar este extremo.</w:t>
      </w:r>
    </w:p>
    <w:p w:rsidR="005C4659" w:rsidRPr="0001748B" w:rsidRDefault="005C4659" w:rsidP="005C4659">
      <w:pPr>
        <w:widowControl/>
        <w:autoSpaceDE w:val="0"/>
        <w:autoSpaceDN w:val="0"/>
        <w:spacing w:line="240" w:lineRule="auto"/>
        <w:textAlignment w:val="auto"/>
        <w:rPr>
          <w:rFonts w:eastAsia="Calibri" w:cs="Verdana"/>
          <w:snapToGrid w:val="0"/>
          <w:sz w:val="20"/>
          <w:szCs w:val="20"/>
          <w:lang w:eastAsia="es-ES"/>
        </w:rPr>
      </w:pPr>
    </w:p>
    <w:p w:rsidR="005C4659" w:rsidRPr="006072B4" w:rsidRDefault="005C4659" w:rsidP="005C4659">
      <w:pPr>
        <w:numPr>
          <w:ilvl w:val="0"/>
          <w:numId w:val="1"/>
        </w:numPr>
        <w:tabs>
          <w:tab w:val="left" w:pos="567"/>
          <w:tab w:val="num" w:pos="1569"/>
          <w:tab w:val="num" w:pos="12305"/>
        </w:tabs>
        <w:spacing w:line="240" w:lineRule="auto"/>
        <w:ind w:left="0" w:firstLine="0"/>
        <w:rPr>
          <w:rFonts w:eastAsia="Calibri" w:cs="Verdana"/>
          <w:snapToGrid w:val="0"/>
          <w:sz w:val="20"/>
          <w:szCs w:val="20"/>
          <w:lang w:eastAsia="es-ES"/>
        </w:rPr>
      </w:pPr>
      <w:r w:rsidRPr="006072B4">
        <w:rPr>
          <w:rFonts w:eastAsia="Calibri" w:cs="Verdana"/>
          <w:snapToGrid w:val="0"/>
          <w:sz w:val="20"/>
          <w:szCs w:val="20"/>
          <w:lang w:eastAsia="es-ES"/>
        </w:rPr>
        <w:t>La Corte nota los términos generales en que el Estado planteó su reconocimiento parcial de responsabilidad. Ello permite a la Corte interpretar</w:t>
      </w:r>
      <w:r w:rsidR="0034533C">
        <w:rPr>
          <w:rFonts w:eastAsia="Calibri" w:cs="Verdana"/>
          <w:snapToGrid w:val="0"/>
          <w:sz w:val="20"/>
          <w:szCs w:val="20"/>
          <w:lang w:eastAsia="es-ES"/>
        </w:rPr>
        <w:t>, en este caso en concreto,</w:t>
      </w:r>
      <w:r w:rsidRPr="006072B4">
        <w:rPr>
          <w:rFonts w:eastAsia="Calibri" w:cs="Verdana"/>
          <w:snapToGrid w:val="0"/>
          <w:sz w:val="20"/>
          <w:szCs w:val="20"/>
          <w:lang w:eastAsia="es-ES"/>
        </w:rPr>
        <w:t xml:space="preserve"> que bajo el alcance del reconocimiento de responsabilidad efectuado por el Estado en torno al artículo</w:t>
      </w:r>
      <w:r w:rsidR="003E6767" w:rsidRPr="006072B4">
        <w:rPr>
          <w:rFonts w:eastAsia="Calibri" w:cs="Verdana"/>
          <w:snapToGrid w:val="0"/>
          <w:sz w:val="20"/>
          <w:szCs w:val="20"/>
          <w:lang w:eastAsia="es-ES"/>
        </w:rPr>
        <w:t xml:space="preserve"> </w:t>
      </w:r>
      <w:r w:rsidRPr="006072B4">
        <w:rPr>
          <w:rFonts w:eastAsia="Calibri" w:cs="Verdana"/>
          <w:snapToGrid w:val="0"/>
          <w:sz w:val="20"/>
          <w:szCs w:val="20"/>
          <w:lang w:eastAsia="es-ES"/>
        </w:rPr>
        <w:t xml:space="preserve">4 de la Convención debe entenderse </w:t>
      </w:r>
      <w:r w:rsidR="00AC1728" w:rsidRPr="006072B4">
        <w:rPr>
          <w:rFonts w:eastAsia="Calibri" w:cs="Verdana"/>
          <w:snapToGrid w:val="0"/>
          <w:sz w:val="20"/>
          <w:szCs w:val="20"/>
          <w:lang w:eastAsia="es-ES"/>
        </w:rPr>
        <w:t xml:space="preserve">comprendido </w:t>
      </w:r>
      <w:r w:rsidRPr="006072B4">
        <w:rPr>
          <w:rFonts w:eastAsia="Calibri" w:cs="Verdana"/>
          <w:snapToGrid w:val="0"/>
          <w:sz w:val="20"/>
          <w:szCs w:val="20"/>
          <w:lang w:eastAsia="es-ES"/>
        </w:rPr>
        <w:t>no sólo lo indicado expresamente por el Estado, sino también los diversos aspectos desarrollados tanto por la Comisión como por las representantes.</w:t>
      </w:r>
    </w:p>
    <w:p w:rsidR="005C4659" w:rsidRPr="0001748B" w:rsidRDefault="005C4659" w:rsidP="00866198">
      <w:pPr>
        <w:widowControl/>
        <w:autoSpaceDE w:val="0"/>
        <w:autoSpaceDN w:val="0"/>
        <w:spacing w:line="240" w:lineRule="auto"/>
        <w:jc w:val="left"/>
        <w:textAlignment w:val="auto"/>
        <w:rPr>
          <w:rFonts w:eastAsia="Calibri" w:cs="Verdana"/>
          <w:snapToGrid w:val="0"/>
          <w:sz w:val="20"/>
          <w:szCs w:val="20"/>
          <w:lang w:eastAsia="es-ES"/>
        </w:rPr>
      </w:pPr>
    </w:p>
    <w:p w:rsidR="00866198" w:rsidRPr="0001748B" w:rsidRDefault="005C4659" w:rsidP="00866198">
      <w:pPr>
        <w:numPr>
          <w:ilvl w:val="0"/>
          <w:numId w:val="1"/>
        </w:numPr>
        <w:tabs>
          <w:tab w:val="left" w:pos="567"/>
          <w:tab w:val="num" w:pos="1569"/>
          <w:tab w:val="num" w:pos="12305"/>
        </w:tabs>
        <w:spacing w:line="240" w:lineRule="auto"/>
        <w:ind w:left="0" w:firstLine="0"/>
        <w:rPr>
          <w:rFonts w:eastAsia="Calibri" w:cs="Verdana"/>
          <w:snapToGrid w:val="0"/>
          <w:sz w:val="20"/>
          <w:szCs w:val="20"/>
          <w:lang w:eastAsia="es-ES"/>
        </w:rPr>
      </w:pPr>
      <w:r w:rsidRPr="0001748B">
        <w:rPr>
          <w:rFonts w:eastAsia="Calibri" w:cs="Verdana"/>
          <w:snapToGrid w:val="0"/>
          <w:sz w:val="20"/>
          <w:szCs w:val="20"/>
          <w:lang w:eastAsia="es-ES"/>
        </w:rPr>
        <w:t>Por otra parte</w:t>
      </w:r>
      <w:r w:rsidR="00866198" w:rsidRPr="0001748B">
        <w:rPr>
          <w:rFonts w:eastAsia="Calibri" w:cs="Verdana"/>
          <w:snapToGrid w:val="0"/>
          <w:sz w:val="20"/>
          <w:szCs w:val="20"/>
          <w:lang w:eastAsia="es-ES"/>
        </w:rPr>
        <w:t xml:space="preserve">, la Corte subraya que el Estado no se pronunció en lo que respecta a los alegatos de la </w:t>
      </w:r>
      <w:r w:rsidR="00866198" w:rsidRPr="0001748B">
        <w:rPr>
          <w:rFonts w:eastAsia="Calibri" w:cs="Cambria"/>
          <w:snapToGrid w:val="0"/>
          <w:sz w:val="20"/>
          <w:szCs w:val="20"/>
          <w:lang w:eastAsia="es-ES"/>
        </w:rPr>
        <w:t>Comisión</w:t>
      </w:r>
      <w:r w:rsidR="00866198" w:rsidRPr="0001748B">
        <w:rPr>
          <w:rFonts w:eastAsia="Calibri" w:cs="Verdana"/>
          <w:snapToGrid w:val="0"/>
          <w:sz w:val="20"/>
          <w:szCs w:val="20"/>
          <w:lang w:eastAsia="es-ES"/>
        </w:rPr>
        <w:t xml:space="preserve"> y las representantes relativos a que Johan Alexis Ortiz Hernández no habría recibido la atención médica oportuna y necesaria para impedir su deceso, omisiones que resultarían directamente atribuibles al Estado.</w:t>
      </w:r>
    </w:p>
    <w:p w:rsidR="00866198" w:rsidRPr="0001748B" w:rsidRDefault="00866198" w:rsidP="00866198">
      <w:pPr>
        <w:widowControl/>
        <w:autoSpaceDE w:val="0"/>
        <w:autoSpaceDN w:val="0"/>
        <w:spacing w:line="240" w:lineRule="auto"/>
        <w:textAlignment w:val="auto"/>
        <w:rPr>
          <w:rFonts w:eastAsia="Calibri" w:cs="Verdana"/>
          <w:snapToGrid w:val="0"/>
          <w:sz w:val="20"/>
          <w:szCs w:val="20"/>
          <w:lang w:eastAsia="es-ES"/>
        </w:rPr>
      </w:pPr>
    </w:p>
    <w:p w:rsidR="00866198" w:rsidRPr="0001748B" w:rsidRDefault="00866198" w:rsidP="00866198">
      <w:pPr>
        <w:numPr>
          <w:ilvl w:val="0"/>
          <w:numId w:val="1"/>
        </w:numPr>
        <w:tabs>
          <w:tab w:val="left" w:pos="567"/>
          <w:tab w:val="num" w:pos="1569"/>
          <w:tab w:val="num" w:pos="12305"/>
        </w:tabs>
        <w:spacing w:line="240" w:lineRule="auto"/>
        <w:ind w:left="0" w:firstLine="0"/>
        <w:rPr>
          <w:rFonts w:eastAsia="Calibri" w:cs="Verdana"/>
          <w:snapToGrid w:val="0"/>
          <w:sz w:val="20"/>
          <w:szCs w:val="20"/>
          <w:lang w:eastAsia="es-ES"/>
        </w:rPr>
      </w:pPr>
      <w:r w:rsidRPr="0001748B">
        <w:rPr>
          <w:rFonts w:eastAsia="Calibri" w:cs="Verdana"/>
          <w:snapToGrid w:val="0"/>
          <w:sz w:val="20"/>
          <w:szCs w:val="20"/>
          <w:lang w:eastAsia="es-ES"/>
        </w:rPr>
        <w:t>En lo que se refiere a los derechos a las garantías judiciales y a la protección judicial, la Corte nota que el Estado</w:t>
      </w:r>
      <w:r w:rsidRPr="0001748B">
        <w:rPr>
          <w:rFonts w:eastAsia="Calibri" w:cs="Verdana"/>
          <w:i/>
          <w:snapToGrid w:val="0"/>
          <w:sz w:val="20"/>
          <w:szCs w:val="20"/>
          <w:lang w:eastAsia="es-ES"/>
        </w:rPr>
        <w:t xml:space="preserve"> </w:t>
      </w:r>
      <w:r w:rsidRPr="0001748B">
        <w:rPr>
          <w:rFonts w:eastAsia="Calibri" w:cs="Verdana"/>
          <w:snapToGrid w:val="0"/>
          <w:sz w:val="20"/>
          <w:szCs w:val="20"/>
          <w:lang w:eastAsia="es-ES"/>
        </w:rPr>
        <w:t>reconoció su responsabilidad específicamente en el extremo que alude a</w:t>
      </w:r>
      <w:r w:rsidR="009C3FE7" w:rsidRPr="0001748B">
        <w:rPr>
          <w:rFonts w:eastAsia="Calibri" w:cs="Verdana"/>
          <w:snapToGrid w:val="0"/>
          <w:sz w:val="20"/>
          <w:szCs w:val="20"/>
          <w:lang w:eastAsia="es-ES"/>
        </w:rPr>
        <w:t xml:space="preserve"> </w:t>
      </w:r>
      <w:r w:rsidRPr="0001748B">
        <w:rPr>
          <w:rFonts w:eastAsia="Calibri" w:cs="Verdana"/>
          <w:snapToGrid w:val="0"/>
          <w:sz w:val="20"/>
          <w:szCs w:val="20"/>
          <w:lang w:eastAsia="es-ES"/>
        </w:rPr>
        <w:t>l</w:t>
      </w:r>
      <w:r w:rsidR="009C3FE7" w:rsidRPr="0001748B">
        <w:rPr>
          <w:rFonts w:eastAsia="Calibri" w:cs="Verdana"/>
          <w:snapToGrid w:val="0"/>
          <w:sz w:val="20"/>
          <w:szCs w:val="20"/>
          <w:lang w:eastAsia="es-ES"/>
        </w:rPr>
        <w:t xml:space="preserve">a violación de la garantía de plazo razonable en </w:t>
      </w:r>
      <w:r w:rsidR="001F0A5E" w:rsidRPr="0001748B">
        <w:rPr>
          <w:rFonts w:eastAsia="Calibri" w:cs="Verdana"/>
          <w:snapToGrid w:val="0"/>
          <w:sz w:val="20"/>
          <w:szCs w:val="20"/>
          <w:lang w:eastAsia="es-ES"/>
        </w:rPr>
        <w:t xml:space="preserve">cuanto </w:t>
      </w:r>
      <w:r w:rsidR="00C62C0B" w:rsidRPr="0001748B">
        <w:rPr>
          <w:rFonts w:eastAsia="Calibri" w:cs="Verdana"/>
          <w:snapToGrid w:val="0"/>
          <w:sz w:val="20"/>
          <w:szCs w:val="20"/>
          <w:lang w:eastAsia="es-ES"/>
        </w:rPr>
        <w:t xml:space="preserve">a la duración del </w:t>
      </w:r>
      <w:r w:rsidRPr="0001748B">
        <w:rPr>
          <w:rFonts w:eastAsia="Calibri" w:cs="Verdana"/>
          <w:snapToGrid w:val="0"/>
          <w:sz w:val="20"/>
          <w:szCs w:val="20"/>
          <w:lang w:eastAsia="es-ES"/>
        </w:rPr>
        <w:t xml:space="preserve">proceso, pero no hizo referencia a la debida diligencia en la conducción de la investigación. Además, en lo que respecta a la jurisdicción militar, el Estado </w:t>
      </w:r>
      <w:r w:rsidR="00AC1728" w:rsidRPr="0001748B">
        <w:rPr>
          <w:rFonts w:eastAsia="Calibri" w:cs="Verdana"/>
          <w:snapToGrid w:val="0"/>
          <w:sz w:val="20"/>
          <w:szCs w:val="20"/>
          <w:lang w:eastAsia="es-ES"/>
        </w:rPr>
        <w:t>consideró que el conocimiento de la investigación por parte de las autoridades militares contribuyó al</w:t>
      </w:r>
      <w:r w:rsidR="009C3FE7" w:rsidRPr="0001748B">
        <w:rPr>
          <w:rFonts w:eastAsia="Calibri" w:cs="Verdana"/>
          <w:snapToGrid w:val="0"/>
          <w:sz w:val="20"/>
          <w:szCs w:val="20"/>
          <w:lang w:eastAsia="es-ES"/>
        </w:rPr>
        <w:t xml:space="preserve"> referido</w:t>
      </w:r>
      <w:r w:rsidR="00AC1728" w:rsidRPr="0001748B">
        <w:rPr>
          <w:rFonts w:eastAsia="Calibri" w:cs="Verdana"/>
          <w:snapToGrid w:val="0"/>
          <w:sz w:val="20"/>
          <w:szCs w:val="20"/>
          <w:lang w:eastAsia="es-ES"/>
        </w:rPr>
        <w:t xml:space="preserve"> retraso y </w:t>
      </w:r>
      <w:r w:rsidR="000F7A84" w:rsidRPr="0001748B">
        <w:rPr>
          <w:rFonts w:eastAsia="Calibri" w:cs="Verdana"/>
          <w:snapToGrid w:val="0"/>
          <w:sz w:val="20"/>
          <w:szCs w:val="20"/>
          <w:lang w:eastAsia="es-ES"/>
        </w:rPr>
        <w:t>complica</w:t>
      </w:r>
      <w:r w:rsidR="00AC1728" w:rsidRPr="0001748B">
        <w:rPr>
          <w:rFonts w:eastAsia="Calibri" w:cs="Verdana"/>
          <w:snapToGrid w:val="0"/>
          <w:sz w:val="20"/>
          <w:szCs w:val="20"/>
          <w:lang w:eastAsia="es-ES"/>
        </w:rPr>
        <w:t xml:space="preserve">ción de las investigaciones, pero </w:t>
      </w:r>
      <w:r w:rsidRPr="0001748B">
        <w:rPr>
          <w:rFonts w:eastAsia="Calibri" w:cs="Verdana"/>
          <w:snapToGrid w:val="0"/>
          <w:sz w:val="20"/>
          <w:szCs w:val="20"/>
          <w:lang w:eastAsia="es-ES"/>
        </w:rPr>
        <w:t>hizo hincapié en que actualmente el caso es conocido por la jurisdicción ordinaria.</w:t>
      </w:r>
      <w:r w:rsidR="000B30B5" w:rsidRPr="0001748B">
        <w:rPr>
          <w:rFonts w:eastAsia="Calibri" w:cs="Verdana"/>
          <w:snapToGrid w:val="0"/>
          <w:sz w:val="20"/>
          <w:szCs w:val="20"/>
          <w:lang w:eastAsia="es-ES"/>
        </w:rPr>
        <w:t xml:space="preserve"> El Estado también reconoció su responsabilidad por la falta de adopción de disposiciones de derecho interno, en los términos del artículo 2 de la Convención.</w:t>
      </w:r>
    </w:p>
    <w:p w:rsidR="00866198" w:rsidRPr="0001748B" w:rsidRDefault="00866198" w:rsidP="00866198">
      <w:pPr>
        <w:widowControl/>
        <w:autoSpaceDE w:val="0"/>
        <w:autoSpaceDN w:val="0"/>
        <w:spacing w:line="240" w:lineRule="auto"/>
        <w:textAlignment w:val="auto"/>
        <w:rPr>
          <w:rFonts w:eastAsia="Calibri" w:cs="Verdana"/>
          <w:snapToGrid w:val="0"/>
          <w:sz w:val="20"/>
          <w:szCs w:val="20"/>
          <w:lang w:eastAsia="es-ES"/>
        </w:rPr>
      </w:pPr>
    </w:p>
    <w:p w:rsidR="00866198" w:rsidRPr="0001748B" w:rsidRDefault="00866198" w:rsidP="00866198">
      <w:pPr>
        <w:numPr>
          <w:ilvl w:val="0"/>
          <w:numId w:val="1"/>
        </w:numPr>
        <w:tabs>
          <w:tab w:val="left" w:pos="567"/>
          <w:tab w:val="num" w:pos="1569"/>
          <w:tab w:val="num" w:pos="12305"/>
        </w:tabs>
        <w:spacing w:line="240" w:lineRule="auto"/>
        <w:ind w:left="0" w:firstLine="0"/>
        <w:rPr>
          <w:rFonts w:eastAsia="Batang"/>
          <w:bCs/>
          <w:sz w:val="20"/>
          <w:lang w:eastAsia="en-US"/>
        </w:rPr>
      </w:pPr>
      <w:r w:rsidRPr="0001748B">
        <w:rPr>
          <w:rFonts w:eastAsia="Batang"/>
          <w:bCs/>
          <w:sz w:val="20"/>
          <w:lang w:eastAsia="en-US"/>
        </w:rPr>
        <w:t xml:space="preserve">En lo </w:t>
      </w:r>
      <w:r w:rsidRPr="0001748B">
        <w:rPr>
          <w:rFonts w:eastAsia="Batang"/>
          <w:sz w:val="20"/>
          <w:lang w:eastAsia="en-US"/>
        </w:rPr>
        <w:t>que</w:t>
      </w:r>
      <w:r w:rsidRPr="0001748B">
        <w:rPr>
          <w:rFonts w:eastAsia="Batang"/>
          <w:bCs/>
          <w:sz w:val="20"/>
          <w:lang w:eastAsia="en-US"/>
        </w:rPr>
        <w:t xml:space="preserve"> respecta a la integridad personal de los familiares, la Corte considera que el reconocimient</w:t>
      </w:r>
      <w:r w:rsidR="009C3FE7" w:rsidRPr="0001748B">
        <w:rPr>
          <w:rFonts w:eastAsia="Batang"/>
          <w:bCs/>
          <w:sz w:val="20"/>
          <w:lang w:eastAsia="en-US"/>
        </w:rPr>
        <w:t>o de responsabilidad efectuado abarca las violaciones alegadas.</w:t>
      </w:r>
    </w:p>
    <w:p w:rsidR="00866198" w:rsidRPr="0001748B" w:rsidRDefault="00866198" w:rsidP="00866198">
      <w:pPr>
        <w:widowControl/>
        <w:autoSpaceDE w:val="0"/>
        <w:autoSpaceDN w:val="0"/>
        <w:spacing w:line="240" w:lineRule="auto"/>
        <w:textAlignment w:val="auto"/>
        <w:rPr>
          <w:rFonts w:eastAsia="Batang"/>
          <w:bCs/>
          <w:sz w:val="20"/>
          <w:lang w:eastAsia="en-US"/>
        </w:rPr>
      </w:pPr>
    </w:p>
    <w:p w:rsidR="00866198" w:rsidRPr="0001748B" w:rsidRDefault="00866198" w:rsidP="00866198">
      <w:pPr>
        <w:numPr>
          <w:ilvl w:val="0"/>
          <w:numId w:val="1"/>
        </w:numPr>
        <w:tabs>
          <w:tab w:val="left" w:pos="567"/>
          <w:tab w:val="num" w:pos="1569"/>
          <w:tab w:val="num" w:pos="12305"/>
        </w:tabs>
        <w:spacing w:line="240" w:lineRule="auto"/>
        <w:ind w:left="0" w:firstLine="0"/>
        <w:rPr>
          <w:rFonts w:eastAsia="Batang"/>
          <w:sz w:val="20"/>
          <w:lang w:eastAsia="en-US"/>
        </w:rPr>
      </w:pPr>
      <w:r w:rsidRPr="0001748B">
        <w:rPr>
          <w:rFonts w:eastAsia="Batang"/>
          <w:sz w:val="20"/>
          <w:lang w:eastAsia="en-US"/>
        </w:rPr>
        <w:t xml:space="preserve">Por último, la Corte nota que el Estado no reconoció su responsabilidad en cuanto al alegato relativo a la falta de investigación respecto de las presuntas torturas que habrían sido infligidas al señor </w:t>
      </w:r>
      <w:r w:rsidRPr="0001748B">
        <w:rPr>
          <w:rFonts w:eastAsia="Batang"/>
          <w:bCs/>
          <w:sz w:val="20"/>
          <w:lang w:eastAsia="en-US"/>
        </w:rPr>
        <w:t>Ortiz</w:t>
      </w:r>
      <w:r w:rsidRPr="0001748B">
        <w:rPr>
          <w:rFonts w:eastAsia="Batang"/>
          <w:sz w:val="20"/>
          <w:lang w:eastAsia="en-US"/>
        </w:rPr>
        <w:t xml:space="preserve"> Hernández previo a su muerte</w:t>
      </w:r>
      <w:r w:rsidR="00F657E5" w:rsidRPr="0001748B">
        <w:rPr>
          <w:rFonts w:eastAsia="Batang"/>
          <w:sz w:val="20"/>
          <w:lang w:eastAsia="en-US"/>
        </w:rPr>
        <w:t xml:space="preserve"> (</w:t>
      </w:r>
      <w:r w:rsidR="00F657E5" w:rsidRPr="0001748B">
        <w:rPr>
          <w:rFonts w:eastAsia="Batang"/>
          <w:i/>
          <w:sz w:val="20"/>
          <w:lang w:eastAsia="en-US"/>
        </w:rPr>
        <w:t xml:space="preserve">supra </w:t>
      </w:r>
      <w:r w:rsidR="00F657E5" w:rsidRPr="0001748B">
        <w:rPr>
          <w:rFonts w:eastAsia="Batang"/>
          <w:sz w:val="20"/>
          <w:lang w:eastAsia="en-US"/>
        </w:rPr>
        <w:t>párr</w:t>
      </w:r>
      <w:r w:rsidR="00AB0E60">
        <w:rPr>
          <w:rFonts w:eastAsia="Batang"/>
          <w:sz w:val="20"/>
          <w:lang w:eastAsia="en-US"/>
        </w:rPr>
        <w:t>s</w:t>
      </w:r>
      <w:r w:rsidR="00F657E5" w:rsidRPr="0001748B">
        <w:rPr>
          <w:rFonts w:eastAsia="Batang"/>
          <w:sz w:val="20"/>
          <w:lang w:eastAsia="en-US"/>
        </w:rPr>
        <w:t xml:space="preserve">. </w:t>
      </w:r>
      <w:r w:rsidR="00AB0E60">
        <w:rPr>
          <w:rFonts w:eastAsia="Batang"/>
          <w:sz w:val="20"/>
          <w:lang w:eastAsia="en-US"/>
        </w:rPr>
        <w:t>14 y 17</w:t>
      </w:r>
      <w:r w:rsidR="00F657E5" w:rsidRPr="0001748B">
        <w:rPr>
          <w:rFonts w:eastAsia="Batang"/>
          <w:sz w:val="20"/>
          <w:lang w:eastAsia="en-US"/>
        </w:rPr>
        <w:t>)</w:t>
      </w:r>
      <w:r w:rsidRPr="0001748B">
        <w:rPr>
          <w:rFonts w:eastAsia="Batang"/>
          <w:sz w:val="20"/>
          <w:lang w:eastAsia="en-US"/>
        </w:rPr>
        <w:t xml:space="preserve">. No obstante, dado que dicha pretensión fue desistida por las representantes </w:t>
      </w:r>
      <w:r w:rsidR="00F657E5" w:rsidRPr="0001748B">
        <w:rPr>
          <w:rFonts w:eastAsia="Batang"/>
          <w:sz w:val="20"/>
          <w:lang w:eastAsia="en-US"/>
        </w:rPr>
        <w:t>(</w:t>
      </w:r>
      <w:r w:rsidR="00F657E5" w:rsidRPr="0001748B">
        <w:rPr>
          <w:rFonts w:eastAsia="Batang"/>
          <w:i/>
          <w:sz w:val="20"/>
          <w:lang w:eastAsia="en-US"/>
        </w:rPr>
        <w:t xml:space="preserve">supra </w:t>
      </w:r>
      <w:r w:rsidR="00F657E5" w:rsidRPr="0001748B">
        <w:rPr>
          <w:rFonts w:eastAsia="Batang"/>
          <w:sz w:val="20"/>
          <w:lang w:eastAsia="en-US"/>
        </w:rPr>
        <w:t xml:space="preserve">párr. </w:t>
      </w:r>
      <w:r w:rsidR="00AB0E60">
        <w:rPr>
          <w:rFonts w:eastAsia="Batang"/>
          <w:sz w:val="20"/>
          <w:lang w:eastAsia="en-US"/>
        </w:rPr>
        <w:t>20</w:t>
      </w:r>
      <w:r w:rsidR="00F657E5" w:rsidRPr="0001748B">
        <w:rPr>
          <w:rFonts w:eastAsia="Batang"/>
          <w:sz w:val="20"/>
          <w:lang w:eastAsia="en-US"/>
        </w:rPr>
        <w:t>)</w:t>
      </w:r>
      <w:r w:rsidRPr="0001748B">
        <w:rPr>
          <w:rFonts w:eastAsia="Batang"/>
          <w:sz w:val="20"/>
          <w:lang w:eastAsia="en-US"/>
        </w:rPr>
        <w:t>, la Corte no se pronunciará al respecto.</w:t>
      </w:r>
    </w:p>
    <w:p w:rsidR="00866198" w:rsidRPr="0001748B" w:rsidRDefault="00866198" w:rsidP="00866198">
      <w:pPr>
        <w:widowControl/>
        <w:autoSpaceDE w:val="0"/>
        <w:autoSpaceDN w:val="0"/>
        <w:spacing w:line="240" w:lineRule="auto"/>
        <w:textAlignment w:val="auto"/>
        <w:rPr>
          <w:rFonts w:eastAsia="Batang"/>
          <w:bCs/>
          <w:sz w:val="20"/>
          <w:lang w:eastAsia="en-US"/>
        </w:rPr>
      </w:pPr>
    </w:p>
    <w:p w:rsidR="007006AF" w:rsidRPr="00A4189F" w:rsidRDefault="007006AF" w:rsidP="007006AF">
      <w:pPr>
        <w:numPr>
          <w:ilvl w:val="0"/>
          <w:numId w:val="1"/>
        </w:numPr>
        <w:tabs>
          <w:tab w:val="left" w:pos="567"/>
          <w:tab w:val="num" w:pos="1569"/>
          <w:tab w:val="num" w:pos="12305"/>
        </w:tabs>
        <w:spacing w:line="240" w:lineRule="auto"/>
        <w:ind w:left="0" w:firstLine="0"/>
        <w:rPr>
          <w:rFonts w:eastAsia="Calibri" w:cs="Verdana"/>
          <w:snapToGrid w:val="0"/>
          <w:sz w:val="20"/>
          <w:szCs w:val="20"/>
          <w:lang w:eastAsia="es-ES"/>
        </w:rPr>
      </w:pPr>
      <w:r w:rsidRPr="0001748B">
        <w:rPr>
          <w:rFonts w:eastAsia="Calibri" w:cs="Verdana"/>
          <w:snapToGrid w:val="0"/>
          <w:sz w:val="20"/>
          <w:szCs w:val="20"/>
          <w:lang w:eastAsia="es-ES"/>
        </w:rPr>
        <w:t xml:space="preserve">Ahora bien, teniendo en cuenta las violaciones reconocidas por el Estado, así como las observaciones de las representantes y de la Comisión, la Corte considera que este reconocimiento del Estado constituye un allanamiento parcial a las pretensiones de derecho de la Comisión y de las representantes respecto </w:t>
      </w:r>
      <w:r w:rsidRPr="0001748B" w:rsidDel="008B7D44">
        <w:rPr>
          <w:rFonts w:eastAsia="Calibri" w:cs="Verdana"/>
          <w:snapToGrid w:val="0"/>
          <w:sz w:val="20"/>
          <w:szCs w:val="20"/>
          <w:lang w:eastAsia="es-ES"/>
        </w:rPr>
        <w:t>a</w:t>
      </w:r>
      <w:r w:rsidRPr="0001748B">
        <w:rPr>
          <w:rFonts w:eastAsia="Calibri" w:cs="Verdana"/>
          <w:snapToGrid w:val="0"/>
          <w:sz w:val="20"/>
          <w:szCs w:val="20"/>
          <w:lang w:eastAsia="es-ES"/>
        </w:rPr>
        <w:t xml:space="preserve"> la violación de los derechos a la vida en perjuicio de </w:t>
      </w:r>
      <w:r w:rsidR="00086DA2">
        <w:rPr>
          <w:rFonts w:eastAsia="Calibri" w:cs="Verdana"/>
          <w:snapToGrid w:val="0"/>
          <w:sz w:val="20"/>
          <w:szCs w:val="20"/>
          <w:lang w:eastAsia="es-ES"/>
        </w:rPr>
        <w:t>Johan Alexis</w:t>
      </w:r>
      <w:r w:rsidRPr="0001748B">
        <w:rPr>
          <w:rFonts w:eastAsia="Calibri" w:cs="Verdana"/>
          <w:snapToGrid w:val="0"/>
          <w:sz w:val="20"/>
          <w:szCs w:val="20"/>
          <w:lang w:eastAsia="es-ES"/>
        </w:rPr>
        <w:t xml:space="preserve"> Ortiz Hernández</w:t>
      </w:r>
      <w:r w:rsidR="005F0B24" w:rsidRPr="0001748B">
        <w:rPr>
          <w:rFonts w:eastAsia="Calibri" w:cs="Verdana"/>
          <w:snapToGrid w:val="0"/>
          <w:sz w:val="20"/>
          <w:szCs w:val="20"/>
          <w:lang w:eastAsia="es-ES"/>
        </w:rPr>
        <w:t>;</w:t>
      </w:r>
      <w:r w:rsidRPr="0001748B">
        <w:rPr>
          <w:rFonts w:eastAsia="Calibri" w:cs="Verdana"/>
          <w:snapToGrid w:val="0"/>
          <w:sz w:val="20"/>
          <w:szCs w:val="20"/>
          <w:lang w:eastAsia="es-ES"/>
        </w:rPr>
        <w:t xml:space="preserve"> a las garantías judiciales</w:t>
      </w:r>
      <w:r w:rsidR="005F0B24" w:rsidRPr="0001748B">
        <w:rPr>
          <w:rFonts w:eastAsia="Calibri" w:cs="Verdana"/>
          <w:snapToGrid w:val="0"/>
          <w:sz w:val="20"/>
          <w:szCs w:val="20"/>
          <w:lang w:eastAsia="es-ES"/>
        </w:rPr>
        <w:t xml:space="preserve"> y</w:t>
      </w:r>
      <w:r w:rsidRPr="0001748B">
        <w:rPr>
          <w:rFonts w:eastAsia="Calibri" w:cs="Verdana"/>
          <w:snapToGrid w:val="0"/>
          <w:sz w:val="20"/>
          <w:szCs w:val="20"/>
          <w:lang w:eastAsia="es-ES"/>
        </w:rPr>
        <w:t xml:space="preserve"> a la protección judicial</w:t>
      </w:r>
      <w:r w:rsidR="005F0B24" w:rsidRPr="0001748B">
        <w:rPr>
          <w:rFonts w:eastAsia="Calibri" w:cs="Verdana"/>
          <w:snapToGrid w:val="0"/>
          <w:sz w:val="20"/>
          <w:szCs w:val="20"/>
          <w:lang w:eastAsia="es-ES"/>
        </w:rPr>
        <w:t xml:space="preserve"> en perjuicio de Zaida Hernández de Arellano y Edgar </w:t>
      </w:r>
      <w:r w:rsidR="0069018C" w:rsidRPr="0001748B">
        <w:rPr>
          <w:rFonts w:eastAsia="Calibri" w:cs="Verdana"/>
          <w:snapToGrid w:val="0"/>
          <w:sz w:val="20"/>
          <w:szCs w:val="20"/>
          <w:lang w:eastAsia="es-ES"/>
        </w:rPr>
        <w:t xml:space="preserve">Humberto </w:t>
      </w:r>
      <w:r w:rsidR="005F0B24" w:rsidRPr="0001748B">
        <w:rPr>
          <w:rFonts w:eastAsia="Calibri" w:cs="Verdana"/>
          <w:snapToGrid w:val="0"/>
          <w:sz w:val="20"/>
          <w:szCs w:val="20"/>
          <w:lang w:eastAsia="es-ES"/>
        </w:rPr>
        <w:t>Ortiz Ruiz,</w:t>
      </w:r>
      <w:r w:rsidRPr="0001748B">
        <w:rPr>
          <w:rFonts w:eastAsia="Calibri" w:cs="Verdana"/>
          <w:snapToGrid w:val="0"/>
          <w:sz w:val="20"/>
          <w:szCs w:val="20"/>
          <w:lang w:eastAsia="es-ES"/>
        </w:rPr>
        <w:t xml:space="preserve"> y a la integridad personal de </w:t>
      </w:r>
      <w:r w:rsidR="005F0B24" w:rsidRPr="0001748B">
        <w:rPr>
          <w:rFonts w:eastAsia="Calibri" w:cs="Verdana"/>
          <w:snapToGrid w:val="0"/>
          <w:sz w:val="20"/>
          <w:szCs w:val="20"/>
          <w:lang w:eastAsia="es-ES"/>
        </w:rPr>
        <w:t>lo</w:t>
      </w:r>
      <w:r w:rsidRPr="0001748B">
        <w:rPr>
          <w:rFonts w:eastAsia="Calibri" w:cs="Verdana"/>
          <w:snapToGrid w:val="0"/>
          <w:sz w:val="20"/>
          <w:szCs w:val="20"/>
          <w:lang w:eastAsia="es-ES"/>
        </w:rPr>
        <w:t>s familiares</w:t>
      </w:r>
      <w:r w:rsidR="005F0B24" w:rsidRPr="0001748B">
        <w:rPr>
          <w:rFonts w:eastAsia="Calibri" w:cs="Verdana"/>
          <w:snapToGrid w:val="0"/>
          <w:sz w:val="20"/>
          <w:szCs w:val="20"/>
          <w:lang w:eastAsia="es-ES"/>
        </w:rPr>
        <w:t xml:space="preserve"> identificados</w:t>
      </w:r>
      <w:r w:rsidRPr="0001748B">
        <w:rPr>
          <w:rFonts w:eastAsia="Calibri" w:cs="Verdana"/>
          <w:snapToGrid w:val="0"/>
          <w:sz w:val="20"/>
          <w:szCs w:val="20"/>
          <w:lang w:eastAsia="es-ES"/>
        </w:rPr>
        <w:t>, el cual produce plenos efectos jurídicos de acuerdo con los artículos 62 y 64 del Reglamento de la Corte.</w:t>
      </w:r>
    </w:p>
    <w:p w:rsidR="009C3FE7" w:rsidRPr="00A4189F" w:rsidRDefault="009C3FE7" w:rsidP="00866198">
      <w:pPr>
        <w:widowControl/>
        <w:autoSpaceDE w:val="0"/>
        <w:autoSpaceDN w:val="0"/>
        <w:spacing w:line="240" w:lineRule="auto"/>
        <w:textAlignment w:val="auto"/>
        <w:rPr>
          <w:rFonts w:eastAsia="Batang"/>
          <w:bCs/>
          <w:sz w:val="20"/>
          <w:lang w:eastAsia="en-US"/>
        </w:rPr>
      </w:pPr>
    </w:p>
    <w:p w:rsidR="00866198" w:rsidRPr="00A4189F" w:rsidRDefault="00F53937" w:rsidP="00125C44">
      <w:pPr>
        <w:pStyle w:val="Heading2"/>
        <w:tabs>
          <w:tab w:val="left" w:pos="1843"/>
        </w:tabs>
        <w:spacing w:before="0" w:line="240" w:lineRule="auto"/>
        <w:ind w:left="1134"/>
        <w:rPr>
          <w:i/>
          <w:color w:val="auto"/>
          <w:sz w:val="20"/>
          <w:szCs w:val="20"/>
        </w:rPr>
      </w:pPr>
      <w:bookmarkStart w:id="44" w:name="_Toc495658653"/>
      <w:r w:rsidRPr="00A4189F">
        <w:rPr>
          <w:rFonts w:ascii="Verdana" w:hAnsi="Verdana"/>
          <w:b w:val="0"/>
          <w:i/>
          <w:color w:val="auto"/>
          <w:sz w:val="20"/>
          <w:szCs w:val="20"/>
        </w:rPr>
        <w:lastRenderedPageBreak/>
        <w:t>B</w:t>
      </w:r>
      <w:r w:rsidR="00866198" w:rsidRPr="00A4189F">
        <w:rPr>
          <w:rFonts w:ascii="Verdana" w:hAnsi="Verdana"/>
          <w:b w:val="0"/>
          <w:i/>
          <w:color w:val="auto"/>
          <w:sz w:val="20"/>
          <w:szCs w:val="20"/>
        </w:rPr>
        <w:t>.</w:t>
      </w:r>
      <w:r w:rsidRPr="00A4189F">
        <w:rPr>
          <w:rFonts w:ascii="Verdana" w:hAnsi="Verdana"/>
          <w:b w:val="0"/>
          <w:i/>
          <w:color w:val="auto"/>
          <w:sz w:val="20"/>
          <w:szCs w:val="20"/>
        </w:rPr>
        <w:t>3</w:t>
      </w:r>
      <w:r w:rsidR="00866198" w:rsidRPr="00A4189F">
        <w:rPr>
          <w:rFonts w:ascii="Verdana" w:hAnsi="Verdana"/>
          <w:b w:val="0"/>
          <w:i/>
          <w:color w:val="auto"/>
          <w:sz w:val="20"/>
          <w:szCs w:val="20"/>
        </w:rPr>
        <w:t xml:space="preserve"> </w:t>
      </w:r>
      <w:r w:rsidR="00866198" w:rsidRPr="00A4189F">
        <w:rPr>
          <w:rFonts w:ascii="Verdana" w:hAnsi="Verdana"/>
          <w:b w:val="0"/>
          <w:i/>
          <w:color w:val="auto"/>
          <w:sz w:val="20"/>
          <w:szCs w:val="20"/>
        </w:rPr>
        <w:tab/>
        <w:t>En cuanto a las reparaciones</w:t>
      </w:r>
      <w:bookmarkEnd w:id="44"/>
    </w:p>
    <w:p w:rsidR="00866198" w:rsidRPr="00A4189F" w:rsidRDefault="00866198" w:rsidP="00866198">
      <w:pPr>
        <w:widowControl/>
        <w:autoSpaceDE w:val="0"/>
        <w:autoSpaceDN w:val="0"/>
        <w:spacing w:line="240" w:lineRule="auto"/>
        <w:textAlignment w:val="auto"/>
        <w:rPr>
          <w:rFonts w:eastAsia="Batang"/>
          <w:bCs/>
          <w:sz w:val="20"/>
          <w:lang w:eastAsia="en-US"/>
        </w:rPr>
      </w:pPr>
    </w:p>
    <w:p w:rsidR="00866198" w:rsidRPr="0048663A" w:rsidRDefault="00866198" w:rsidP="00866198">
      <w:pPr>
        <w:numPr>
          <w:ilvl w:val="0"/>
          <w:numId w:val="1"/>
        </w:numPr>
        <w:tabs>
          <w:tab w:val="left" w:pos="567"/>
          <w:tab w:val="num" w:pos="1569"/>
          <w:tab w:val="num" w:pos="12305"/>
        </w:tabs>
        <w:spacing w:line="240" w:lineRule="auto"/>
        <w:ind w:left="0" w:firstLine="0"/>
        <w:rPr>
          <w:rFonts w:eastAsia="Batang"/>
          <w:sz w:val="20"/>
          <w:szCs w:val="20"/>
          <w:lang w:eastAsia="en-US"/>
        </w:rPr>
      </w:pPr>
      <w:r w:rsidRPr="0048663A">
        <w:rPr>
          <w:rFonts w:eastAsia="Batang"/>
          <w:sz w:val="20"/>
          <w:lang w:eastAsia="en-US"/>
        </w:rPr>
        <w:t>En lo que se refiere a las medidas de reparación, la Corte constata que el Estado</w:t>
      </w:r>
      <w:r w:rsidR="005969FC" w:rsidRPr="0048663A">
        <w:rPr>
          <w:rFonts w:eastAsia="Batang"/>
          <w:sz w:val="20"/>
          <w:lang w:eastAsia="en-US"/>
        </w:rPr>
        <w:t xml:space="preserve"> manifestó ya haber implementado determinadas medidas</w:t>
      </w:r>
      <w:r w:rsidRPr="0048663A">
        <w:rPr>
          <w:rFonts w:eastAsia="Batang"/>
          <w:sz w:val="20"/>
          <w:szCs w:val="20"/>
          <w:lang w:eastAsia="en-US"/>
        </w:rPr>
        <w:t>,</w:t>
      </w:r>
      <w:r w:rsidR="005969FC" w:rsidRPr="0048663A">
        <w:rPr>
          <w:rFonts w:eastAsia="Batang"/>
          <w:sz w:val="20"/>
          <w:szCs w:val="20"/>
          <w:lang w:eastAsia="en-US"/>
        </w:rPr>
        <w:t xml:space="preserve"> ofreció la realización de otras, consideró algunas como improcedentes y se mostró en desacuerdo con los montos solicitados en cuanto a las indemnizaciones compensatorias (</w:t>
      </w:r>
      <w:r w:rsidR="005969FC" w:rsidRPr="0048663A">
        <w:rPr>
          <w:rFonts w:eastAsia="Batang"/>
          <w:i/>
          <w:sz w:val="20"/>
          <w:szCs w:val="20"/>
          <w:lang w:eastAsia="en-US"/>
        </w:rPr>
        <w:t xml:space="preserve">supra </w:t>
      </w:r>
      <w:r w:rsidR="005969FC" w:rsidRPr="0048663A">
        <w:rPr>
          <w:rFonts w:eastAsia="Batang"/>
          <w:sz w:val="20"/>
          <w:szCs w:val="20"/>
          <w:lang w:eastAsia="en-US"/>
        </w:rPr>
        <w:t>párr. 15)</w:t>
      </w:r>
      <w:r w:rsidRPr="0048663A">
        <w:rPr>
          <w:rFonts w:eastAsia="Batang"/>
          <w:sz w:val="20"/>
          <w:szCs w:val="20"/>
          <w:lang w:eastAsia="en-US"/>
        </w:rPr>
        <w:t xml:space="preserve">. </w:t>
      </w:r>
      <w:r w:rsidRPr="0048663A">
        <w:rPr>
          <w:rFonts w:eastAsia="Batang"/>
          <w:sz w:val="20"/>
          <w:lang w:eastAsia="en-US"/>
        </w:rPr>
        <w:t xml:space="preserve">Por lo tanto, </w:t>
      </w:r>
      <w:r w:rsidR="0048663A" w:rsidRPr="0048663A">
        <w:rPr>
          <w:rFonts w:eastAsia="Batang"/>
          <w:bCs/>
          <w:sz w:val="20"/>
          <w:lang w:eastAsia="en-US"/>
        </w:rPr>
        <w:t>en el capítulo correspondiente</w:t>
      </w:r>
      <w:r w:rsidR="008019BA">
        <w:rPr>
          <w:rFonts w:eastAsia="Batang"/>
          <w:bCs/>
          <w:sz w:val="20"/>
          <w:lang w:eastAsia="en-US"/>
        </w:rPr>
        <w:t>,</w:t>
      </w:r>
      <w:r w:rsidR="0048663A" w:rsidRPr="0048663A">
        <w:rPr>
          <w:rFonts w:eastAsia="Batang"/>
          <w:sz w:val="20"/>
          <w:lang w:eastAsia="en-US"/>
        </w:rPr>
        <w:t xml:space="preserve"> </w:t>
      </w:r>
      <w:r w:rsidRPr="0048663A">
        <w:rPr>
          <w:rFonts w:eastAsia="Batang"/>
          <w:sz w:val="20"/>
          <w:lang w:eastAsia="en-US"/>
        </w:rPr>
        <w:t xml:space="preserve">el Tribunal resolverá </w:t>
      </w:r>
      <w:r w:rsidR="005969FC" w:rsidRPr="0048663A">
        <w:rPr>
          <w:rFonts w:eastAsia="Batang"/>
          <w:sz w:val="20"/>
          <w:lang w:eastAsia="en-US"/>
        </w:rPr>
        <w:t xml:space="preserve">lo conducente </w:t>
      </w:r>
      <w:r w:rsidRPr="0048663A">
        <w:rPr>
          <w:rFonts w:eastAsia="Batang"/>
          <w:sz w:val="20"/>
          <w:lang w:eastAsia="en-US"/>
        </w:rPr>
        <w:t>en torno a las reparaciones</w:t>
      </w:r>
      <w:r w:rsidRPr="0048663A">
        <w:rPr>
          <w:rFonts w:eastAsia="Batang"/>
          <w:bCs/>
          <w:sz w:val="20"/>
          <w:lang w:eastAsia="en-US"/>
        </w:rPr>
        <w:t xml:space="preserve"> solicitadas por la Comisión y las representantes, así como aquellas propuestas por el Estado.</w:t>
      </w:r>
    </w:p>
    <w:p w:rsidR="00866198" w:rsidRPr="00580B71" w:rsidRDefault="00866198" w:rsidP="00866198">
      <w:pPr>
        <w:widowControl/>
        <w:autoSpaceDE w:val="0"/>
        <w:autoSpaceDN w:val="0"/>
        <w:spacing w:line="240" w:lineRule="auto"/>
        <w:textAlignment w:val="auto"/>
        <w:rPr>
          <w:rFonts w:eastAsia="Calibri" w:cs="Verdana"/>
          <w:snapToGrid w:val="0"/>
          <w:sz w:val="20"/>
          <w:szCs w:val="20"/>
          <w:lang w:eastAsia="es-ES"/>
        </w:rPr>
      </w:pPr>
    </w:p>
    <w:p w:rsidR="00866198" w:rsidRPr="00A150A5" w:rsidRDefault="00F53937" w:rsidP="00125C44">
      <w:pPr>
        <w:pStyle w:val="Heading2"/>
        <w:tabs>
          <w:tab w:val="left" w:pos="1843"/>
        </w:tabs>
        <w:spacing w:before="0" w:line="240" w:lineRule="auto"/>
        <w:ind w:left="1134"/>
        <w:rPr>
          <w:rFonts w:ascii="Verdana" w:hAnsi="Verdana"/>
          <w:b w:val="0"/>
          <w:i/>
          <w:color w:val="auto"/>
          <w:sz w:val="20"/>
          <w:szCs w:val="20"/>
        </w:rPr>
      </w:pPr>
      <w:bookmarkStart w:id="45" w:name="_Toc495658654"/>
      <w:r w:rsidRPr="00580B71">
        <w:rPr>
          <w:rFonts w:ascii="Verdana" w:hAnsi="Verdana"/>
          <w:b w:val="0"/>
          <w:i/>
          <w:color w:val="auto"/>
          <w:sz w:val="20"/>
          <w:szCs w:val="20"/>
        </w:rPr>
        <w:t>B</w:t>
      </w:r>
      <w:r w:rsidR="00866198" w:rsidRPr="00580B71">
        <w:rPr>
          <w:rFonts w:ascii="Verdana" w:hAnsi="Verdana"/>
          <w:b w:val="0"/>
          <w:i/>
          <w:color w:val="auto"/>
          <w:sz w:val="20"/>
          <w:szCs w:val="20"/>
        </w:rPr>
        <w:t>.</w:t>
      </w:r>
      <w:r w:rsidRPr="00580B71">
        <w:rPr>
          <w:rFonts w:ascii="Verdana" w:hAnsi="Verdana"/>
          <w:b w:val="0"/>
          <w:i/>
          <w:color w:val="auto"/>
          <w:sz w:val="20"/>
          <w:szCs w:val="20"/>
        </w:rPr>
        <w:t>4</w:t>
      </w:r>
      <w:r w:rsidR="00866198" w:rsidRPr="00580B71">
        <w:rPr>
          <w:rFonts w:ascii="Verdana" w:hAnsi="Verdana"/>
          <w:b w:val="0"/>
          <w:i/>
          <w:color w:val="auto"/>
          <w:sz w:val="20"/>
          <w:szCs w:val="20"/>
        </w:rPr>
        <w:t xml:space="preserve"> </w:t>
      </w:r>
      <w:r w:rsidR="00866198" w:rsidRPr="00580B71">
        <w:rPr>
          <w:rFonts w:ascii="Verdana" w:hAnsi="Verdana"/>
          <w:b w:val="0"/>
          <w:i/>
          <w:color w:val="auto"/>
          <w:sz w:val="20"/>
          <w:szCs w:val="20"/>
        </w:rPr>
        <w:tab/>
      </w:r>
      <w:r w:rsidR="001A1866" w:rsidRPr="00580B71">
        <w:rPr>
          <w:rFonts w:ascii="Verdana" w:hAnsi="Verdana"/>
          <w:b w:val="0"/>
          <w:i/>
          <w:color w:val="auto"/>
          <w:sz w:val="20"/>
          <w:szCs w:val="20"/>
        </w:rPr>
        <w:t>Valoración de</w:t>
      </w:r>
      <w:r w:rsidR="00866198" w:rsidRPr="00580B71">
        <w:rPr>
          <w:rFonts w:ascii="Verdana" w:hAnsi="Verdana"/>
          <w:b w:val="0"/>
          <w:i/>
          <w:color w:val="auto"/>
          <w:sz w:val="20"/>
          <w:szCs w:val="20"/>
        </w:rPr>
        <w:t>l</w:t>
      </w:r>
      <w:r w:rsidR="00C95F30" w:rsidRPr="00580B71">
        <w:rPr>
          <w:rFonts w:ascii="Verdana" w:hAnsi="Verdana"/>
          <w:b w:val="0"/>
          <w:i/>
          <w:color w:val="auto"/>
          <w:sz w:val="20"/>
          <w:szCs w:val="20"/>
        </w:rPr>
        <w:t xml:space="preserve"> alcance del</w:t>
      </w:r>
      <w:r w:rsidR="00866198" w:rsidRPr="00580B71">
        <w:rPr>
          <w:rFonts w:ascii="Verdana" w:hAnsi="Verdana"/>
          <w:b w:val="0"/>
          <w:i/>
          <w:color w:val="auto"/>
          <w:sz w:val="20"/>
          <w:szCs w:val="20"/>
        </w:rPr>
        <w:t xml:space="preserve"> reconocimiento parcial de responsabilidad</w:t>
      </w:r>
      <w:bookmarkEnd w:id="45"/>
    </w:p>
    <w:p w:rsidR="00866198" w:rsidRPr="00580B71" w:rsidRDefault="00866198" w:rsidP="00866198">
      <w:pPr>
        <w:widowControl/>
        <w:autoSpaceDE w:val="0"/>
        <w:autoSpaceDN w:val="0"/>
        <w:spacing w:line="240" w:lineRule="auto"/>
        <w:textAlignment w:val="auto"/>
        <w:rPr>
          <w:rFonts w:eastAsia="Calibri" w:cs="Verdana"/>
          <w:snapToGrid w:val="0"/>
          <w:sz w:val="20"/>
          <w:szCs w:val="20"/>
          <w:lang w:eastAsia="es-ES"/>
        </w:rPr>
      </w:pPr>
    </w:p>
    <w:p w:rsidR="00251A4F" w:rsidRPr="0001748B" w:rsidRDefault="00251A4F" w:rsidP="00251A4F">
      <w:pPr>
        <w:numPr>
          <w:ilvl w:val="0"/>
          <w:numId w:val="1"/>
        </w:numPr>
        <w:tabs>
          <w:tab w:val="left" w:pos="567"/>
          <w:tab w:val="num" w:pos="1569"/>
          <w:tab w:val="num" w:pos="12305"/>
        </w:tabs>
        <w:spacing w:line="240" w:lineRule="auto"/>
        <w:ind w:left="0" w:firstLine="0"/>
        <w:rPr>
          <w:rFonts w:eastAsia="Batang"/>
          <w:bCs/>
          <w:sz w:val="20"/>
          <w:lang w:eastAsia="en-US"/>
        </w:rPr>
      </w:pPr>
      <w:r w:rsidRPr="0048663A">
        <w:rPr>
          <w:rFonts w:eastAsia="Batang" w:cs="Arial"/>
          <w:sz w:val="20"/>
          <w:szCs w:val="20"/>
          <w:lang w:eastAsia="en-US"/>
        </w:rPr>
        <w:t>L</w:t>
      </w:r>
      <w:r w:rsidRPr="0001748B">
        <w:rPr>
          <w:rFonts w:eastAsia="Batang" w:cs="Arial"/>
          <w:sz w:val="20"/>
          <w:szCs w:val="20"/>
          <w:lang w:eastAsia="en-US"/>
        </w:rPr>
        <w:t>a Corte</w:t>
      </w:r>
      <w:r w:rsidRPr="0001748B">
        <w:rPr>
          <w:rFonts w:eastAsia="Batang"/>
          <w:sz w:val="20"/>
          <w:szCs w:val="20"/>
          <w:lang w:eastAsia="en-US"/>
        </w:rPr>
        <w:t xml:space="preserve"> </w:t>
      </w:r>
      <w:r w:rsidRPr="0001748B">
        <w:rPr>
          <w:rFonts w:eastAsia="Batang" w:cs="Arial"/>
          <w:sz w:val="20"/>
          <w:szCs w:val="20"/>
          <w:lang w:eastAsia="en-US"/>
        </w:rPr>
        <w:t xml:space="preserve">resalta el pedido de disculpas pronunciado por parte del Agente del Estado durante la </w:t>
      </w:r>
      <w:r w:rsidRPr="0001748B">
        <w:rPr>
          <w:rFonts w:eastAsia="Batang"/>
          <w:bCs/>
          <w:sz w:val="20"/>
          <w:lang w:eastAsia="en-US"/>
        </w:rPr>
        <w:t>audiencia</w:t>
      </w:r>
      <w:r w:rsidRPr="0001748B">
        <w:rPr>
          <w:rFonts w:eastAsia="Batang" w:cs="Arial"/>
          <w:sz w:val="20"/>
          <w:szCs w:val="20"/>
          <w:lang w:eastAsia="en-US"/>
        </w:rPr>
        <w:t xml:space="preserve"> pública, el cual</w:t>
      </w:r>
      <w:r w:rsidRPr="0001748B">
        <w:rPr>
          <w:rFonts w:eastAsia="Batang"/>
          <w:sz w:val="20"/>
          <w:szCs w:val="20"/>
          <w:lang w:eastAsia="en-US"/>
        </w:rPr>
        <w:t xml:space="preserve"> tiene un alto valor simbólico en aras de que no se repitan </w:t>
      </w:r>
      <w:r w:rsidRPr="0001748B">
        <w:rPr>
          <w:rFonts w:cs="Verdana"/>
          <w:sz w:val="20"/>
          <w:szCs w:val="20"/>
          <w:lang w:eastAsia="es-CL"/>
        </w:rPr>
        <w:t>hechos</w:t>
      </w:r>
      <w:r w:rsidRPr="0001748B">
        <w:rPr>
          <w:rFonts w:eastAsia="Batang"/>
          <w:sz w:val="20"/>
          <w:szCs w:val="20"/>
          <w:lang w:eastAsia="en-US"/>
        </w:rPr>
        <w:t xml:space="preserve"> similares. De igual forma, destaca </w:t>
      </w:r>
      <w:r w:rsidRPr="0001748B">
        <w:rPr>
          <w:rFonts w:eastAsia="Batang" w:cs="Arial"/>
          <w:sz w:val="20"/>
          <w:szCs w:val="20"/>
          <w:lang w:eastAsia="en-US"/>
        </w:rPr>
        <w:t xml:space="preserve">el compromiso manifestado por el Estado relativo a impulsar las medidas de reparación necesarias bajo los criterios que establezca la Corte. </w:t>
      </w:r>
      <w:r w:rsidRPr="0001748B">
        <w:rPr>
          <w:rFonts w:eastAsia="Batang"/>
          <w:sz w:val="20"/>
          <w:szCs w:val="20"/>
          <w:lang w:eastAsia="en-US"/>
        </w:rPr>
        <w:t>Todas estas acciones constituyen una contribución positiva al desarrollo de este proceso, a la vigencia de los principios que inspiran la Convención</w:t>
      </w:r>
      <w:r w:rsidRPr="0001748B">
        <w:rPr>
          <w:rFonts w:eastAsia="Batang"/>
          <w:sz w:val="20"/>
          <w:szCs w:val="20"/>
          <w:vertAlign w:val="superscript"/>
          <w:lang w:eastAsia="en-US"/>
        </w:rPr>
        <w:footnoteReference w:id="20"/>
      </w:r>
      <w:r w:rsidRPr="0001748B">
        <w:rPr>
          <w:rFonts w:eastAsia="Batang"/>
          <w:sz w:val="20"/>
          <w:szCs w:val="20"/>
          <w:lang w:eastAsia="en-US"/>
        </w:rPr>
        <w:t xml:space="preserve"> y, en parte, a la satisfacción de las necesidades de reparación de las víctimas de violaciones de derechos humanos</w:t>
      </w:r>
      <w:r w:rsidRPr="0001748B">
        <w:rPr>
          <w:rFonts w:eastAsia="Batang"/>
          <w:sz w:val="20"/>
          <w:vertAlign w:val="superscript"/>
          <w:lang w:eastAsia="en-US"/>
        </w:rPr>
        <w:footnoteReference w:id="21"/>
      </w:r>
      <w:r>
        <w:rPr>
          <w:rFonts w:eastAsia="Batang"/>
          <w:sz w:val="20"/>
          <w:szCs w:val="20"/>
          <w:lang w:eastAsia="en-US"/>
        </w:rPr>
        <w:t>.</w:t>
      </w:r>
    </w:p>
    <w:p w:rsidR="00251A4F" w:rsidRPr="0001748B" w:rsidRDefault="00251A4F" w:rsidP="00866198">
      <w:pPr>
        <w:widowControl/>
        <w:autoSpaceDE w:val="0"/>
        <w:autoSpaceDN w:val="0"/>
        <w:spacing w:line="240" w:lineRule="auto"/>
        <w:textAlignment w:val="auto"/>
        <w:rPr>
          <w:rFonts w:eastAsia="Calibri" w:cs="Verdana"/>
          <w:snapToGrid w:val="0"/>
          <w:sz w:val="20"/>
          <w:szCs w:val="20"/>
          <w:lang w:eastAsia="es-ES"/>
        </w:rPr>
      </w:pPr>
    </w:p>
    <w:p w:rsidR="00866198" w:rsidRPr="0001748B" w:rsidRDefault="00866198" w:rsidP="00866198">
      <w:pPr>
        <w:numPr>
          <w:ilvl w:val="0"/>
          <w:numId w:val="1"/>
        </w:numPr>
        <w:tabs>
          <w:tab w:val="left" w:pos="567"/>
          <w:tab w:val="num" w:pos="1569"/>
          <w:tab w:val="num" w:pos="12305"/>
        </w:tabs>
        <w:spacing w:line="240" w:lineRule="auto"/>
        <w:ind w:left="0" w:firstLine="0"/>
        <w:rPr>
          <w:rFonts w:eastAsia="Batang"/>
          <w:sz w:val="20"/>
          <w:lang w:eastAsia="en-US"/>
        </w:rPr>
      </w:pPr>
      <w:r w:rsidRPr="0001748B">
        <w:rPr>
          <w:rFonts w:eastAsia="Batang"/>
          <w:bCs/>
          <w:sz w:val="20"/>
          <w:lang w:eastAsia="en-US"/>
        </w:rPr>
        <w:t>Atendiendo</w:t>
      </w:r>
      <w:r w:rsidRPr="0001748B">
        <w:rPr>
          <w:rFonts w:eastAsia="Batang"/>
          <w:sz w:val="20"/>
          <w:lang w:eastAsia="en-US"/>
        </w:rPr>
        <w:t xml:space="preserve"> al cambio de posición del Estado en el curso de la tramitación de este caso, la Corte no se referirá a las controversias que pudieran derivarse de los alegatos iniciales del Estado cuando éstos sean contradictorios con su posición actual o hubieran sido expresamente desistidos por el Estado posteriormente. En particular, en su contestación e</w:t>
      </w:r>
      <w:r w:rsidRPr="0001748B">
        <w:rPr>
          <w:rFonts w:eastAsia="Batang" w:cs="Arial"/>
          <w:iCs/>
          <w:sz w:val="20"/>
          <w:szCs w:val="20"/>
          <w:lang w:eastAsia="en-US"/>
        </w:rPr>
        <w:t>l</w:t>
      </w:r>
      <w:r w:rsidRPr="0001748B">
        <w:rPr>
          <w:rFonts w:eastAsia="Verdana" w:cs="Verdana"/>
          <w:spacing w:val="15"/>
          <w:sz w:val="20"/>
          <w:szCs w:val="20"/>
          <w:lang w:eastAsia="en-US"/>
        </w:rPr>
        <w:t xml:space="preserve"> </w:t>
      </w:r>
      <w:r w:rsidRPr="0001748B">
        <w:rPr>
          <w:rFonts w:eastAsia="Verdana" w:cs="Verdana"/>
          <w:bCs/>
          <w:spacing w:val="1"/>
          <w:sz w:val="20"/>
          <w:szCs w:val="20"/>
          <w:lang w:eastAsia="en-US"/>
        </w:rPr>
        <w:t>E</w:t>
      </w:r>
      <w:r w:rsidRPr="0001748B">
        <w:rPr>
          <w:rFonts w:eastAsia="Verdana" w:cs="Verdana"/>
          <w:bCs/>
          <w:spacing w:val="-1"/>
          <w:sz w:val="20"/>
          <w:szCs w:val="20"/>
          <w:lang w:eastAsia="en-US"/>
        </w:rPr>
        <w:t>s</w:t>
      </w:r>
      <w:r w:rsidRPr="0001748B">
        <w:rPr>
          <w:rFonts w:eastAsia="Verdana" w:cs="Verdana"/>
          <w:bCs/>
          <w:sz w:val="20"/>
          <w:szCs w:val="20"/>
          <w:lang w:eastAsia="en-US"/>
        </w:rPr>
        <w:t>t</w:t>
      </w:r>
      <w:r w:rsidRPr="0001748B">
        <w:rPr>
          <w:rFonts w:eastAsia="Verdana" w:cs="Verdana"/>
          <w:bCs/>
          <w:spacing w:val="-1"/>
          <w:sz w:val="20"/>
          <w:szCs w:val="20"/>
          <w:lang w:eastAsia="en-US"/>
        </w:rPr>
        <w:t>a</w:t>
      </w:r>
      <w:r w:rsidRPr="0001748B">
        <w:rPr>
          <w:rFonts w:eastAsia="Verdana" w:cs="Verdana"/>
          <w:bCs/>
          <w:sz w:val="20"/>
          <w:szCs w:val="20"/>
          <w:lang w:eastAsia="en-US"/>
        </w:rPr>
        <w:t>do</w:t>
      </w:r>
      <w:r w:rsidRPr="0001748B">
        <w:rPr>
          <w:rFonts w:eastAsia="Verdana" w:cs="Verdana"/>
          <w:bCs/>
          <w:spacing w:val="10"/>
          <w:sz w:val="20"/>
          <w:szCs w:val="20"/>
          <w:lang w:eastAsia="en-US"/>
        </w:rPr>
        <w:t xml:space="preserve"> </w:t>
      </w:r>
      <w:r w:rsidRPr="0001748B">
        <w:rPr>
          <w:rFonts w:eastAsia="Verdana" w:cs="Verdana"/>
          <w:spacing w:val="3"/>
          <w:sz w:val="20"/>
          <w:szCs w:val="20"/>
          <w:lang w:eastAsia="en-US"/>
        </w:rPr>
        <w:t>había i</w:t>
      </w:r>
      <w:r w:rsidRPr="0001748B">
        <w:rPr>
          <w:rFonts w:eastAsia="Verdana" w:cs="Verdana"/>
          <w:spacing w:val="1"/>
          <w:sz w:val="20"/>
          <w:szCs w:val="20"/>
          <w:lang w:eastAsia="en-US"/>
        </w:rPr>
        <w:t>nt</w:t>
      </w:r>
      <w:r w:rsidRPr="0001748B">
        <w:rPr>
          <w:rFonts w:eastAsia="Verdana" w:cs="Verdana"/>
          <w:spacing w:val="-1"/>
          <w:sz w:val="20"/>
          <w:szCs w:val="20"/>
          <w:lang w:eastAsia="en-US"/>
        </w:rPr>
        <w:t>er</w:t>
      </w:r>
      <w:r w:rsidRPr="0001748B">
        <w:rPr>
          <w:rFonts w:eastAsia="Verdana" w:cs="Verdana"/>
          <w:spacing w:val="1"/>
          <w:sz w:val="20"/>
          <w:szCs w:val="20"/>
          <w:lang w:eastAsia="en-US"/>
        </w:rPr>
        <w:t>pue</w:t>
      </w:r>
      <w:r w:rsidRPr="0001748B">
        <w:rPr>
          <w:rFonts w:eastAsia="Verdana" w:cs="Verdana"/>
          <w:spacing w:val="-1"/>
          <w:sz w:val="20"/>
          <w:szCs w:val="20"/>
          <w:lang w:eastAsia="en-US"/>
        </w:rPr>
        <w:t>st</w:t>
      </w:r>
      <w:r w:rsidRPr="0001748B">
        <w:rPr>
          <w:rFonts w:eastAsia="Verdana" w:cs="Verdana"/>
          <w:sz w:val="20"/>
          <w:szCs w:val="20"/>
          <w:lang w:eastAsia="en-US"/>
        </w:rPr>
        <w:t>o</w:t>
      </w:r>
      <w:r w:rsidRPr="0001748B">
        <w:rPr>
          <w:rFonts w:eastAsia="Verdana" w:cs="Verdana"/>
          <w:spacing w:val="5"/>
          <w:sz w:val="20"/>
          <w:szCs w:val="20"/>
          <w:lang w:eastAsia="en-US"/>
        </w:rPr>
        <w:t xml:space="preserve"> </w:t>
      </w:r>
      <w:r w:rsidRPr="0001748B">
        <w:rPr>
          <w:rFonts w:eastAsia="Verdana" w:cs="Verdana"/>
          <w:spacing w:val="3"/>
          <w:sz w:val="20"/>
          <w:szCs w:val="20"/>
          <w:lang w:eastAsia="en-US"/>
        </w:rPr>
        <w:t>un</w:t>
      </w:r>
      <w:r w:rsidRPr="0001748B">
        <w:rPr>
          <w:rFonts w:eastAsia="Verdana" w:cs="Verdana"/>
          <w:sz w:val="20"/>
          <w:szCs w:val="20"/>
          <w:lang w:eastAsia="en-US"/>
        </w:rPr>
        <w:t>a</w:t>
      </w:r>
      <w:r w:rsidRPr="0001748B">
        <w:rPr>
          <w:rFonts w:eastAsia="Verdana" w:cs="Verdana"/>
          <w:spacing w:val="12"/>
          <w:sz w:val="20"/>
          <w:szCs w:val="20"/>
          <w:lang w:eastAsia="en-US"/>
        </w:rPr>
        <w:t xml:space="preserve"> </w:t>
      </w:r>
      <w:r w:rsidRPr="0001748B">
        <w:rPr>
          <w:rFonts w:eastAsia="Verdana" w:cs="Verdana"/>
          <w:spacing w:val="-1"/>
          <w:sz w:val="20"/>
          <w:szCs w:val="20"/>
          <w:lang w:eastAsia="en-US"/>
        </w:rPr>
        <w:t>e</w:t>
      </w:r>
      <w:r w:rsidRPr="0001748B">
        <w:rPr>
          <w:rFonts w:eastAsia="Verdana" w:cs="Verdana"/>
          <w:sz w:val="20"/>
          <w:szCs w:val="20"/>
          <w:lang w:eastAsia="en-US"/>
        </w:rPr>
        <w:t>x</w:t>
      </w:r>
      <w:r w:rsidRPr="0001748B">
        <w:rPr>
          <w:rFonts w:eastAsia="Verdana" w:cs="Verdana"/>
          <w:spacing w:val="2"/>
          <w:sz w:val="20"/>
          <w:szCs w:val="20"/>
          <w:lang w:eastAsia="en-US"/>
        </w:rPr>
        <w:t>c</w:t>
      </w:r>
      <w:r w:rsidRPr="0001748B">
        <w:rPr>
          <w:rFonts w:eastAsia="Verdana" w:cs="Verdana"/>
          <w:spacing w:val="-1"/>
          <w:sz w:val="20"/>
          <w:szCs w:val="20"/>
          <w:lang w:eastAsia="en-US"/>
        </w:rPr>
        <w:t>e</w:t>
      </w:r>
      <w:r w:rsidRPr="0001748B">
        <w:rPr>
          <w:rFonts w:eastAsia="Verdana" w:cs="Verdana"/>
          <w:spacing w:val="1"/>
          <w:sz w:val="20"/>
          <w:szCs w:val="20"/>
          <w:lang w:eastAsia="en-US"/>
        </w:rPr>
        <w:t>p</w:t>
      </w:r>
      <w:r w:rsidRPr="0001748B">
        <w:rPr>
          <w:rFonts w:eastAsia="Verdana" w:cs="Verdana"/>
          <w:spacing w:val="-1"/>
          <w:sz w:val="20"/>
          <w:szCs w:val="20"/>
          <w:lang w:eastAsia="en-US"/>
        </w:rPr>
        <w:t>c</w:t>
      </w:r>
      <w:r w:rsidRPr="0001748B">
        <w:rPr>
          <w:rFonts w:eastAsia="Verdana" w:cs="Verdana"/>
          <w:spacing w:val="3"/>
          <w:sz w:val="20"/>
          <w:szCs w:val="20"/>
          <w:lang w:eastAsia="en-US"/>
        </w:rPr>
        <w:t>i</w:t>
      </w:r>
      <w:r w:rsidRPr="0001748B">
        <w:rPr>
          <w:rFonts w:eastAsia="Verdana" w:cs="Verdana"/>
          <w:spacing w:val="-1"/>
          <w:sz w:val="20"/>
          <w:szCs w:val="20"/>
          <w:lang w:eastAsia="en-US"/>
        </w:rPr>
        <w:t>ó</w:t>
      </w:r>
      <w:r w:rsidRPr="0001748B">
        <w:rPr>
          <w:rFonts w:eastAsia="Verdana" w:cs="Verdana"/>
          <w:sz w:val="20"/>
          <w:szCs w:val="20"/>
          <w:lang w:eastAsia="en-US"/>
        </w:rPr>
        <w:t>n</w:t>
      </w:r>
      <w:r w:rsidRPr="0001748B">
        <w:rPr>
          <w:rFonts w:eastAsia="Verdana" w:cs="Verdana"/>
          <w:spacing w:val="5"/>
          <w:sz w:val="20"/>
          <w:szCs w:val="20"/>
          <w:lang w:eastAsia="en-US"/>
        </w:rPr>
        <w:t xml:space="preserve"> </w:t>
      </w:r>
      <w:r w:rsidRPr="0001748B">
        <w:rPr>
          <w:rFonts w:eastAsia="Verdana" w:cs="Verdana"/>
          <w:spacing w:val="3"/>
          <w:sz w:val="20"/>
          <w:szCs w:val="20"/>
          <w:lang w:eastAsia="en-US"/>
        </w:rPr>
        <w:t>p</w:t>
      </w:r>
      <w:r w:rsidRPr="0001748B">
        <w:rPr>
          <w:rFonts w:eastAsia="Verdana" w:cs="Verdana"/>
          <w:spacing w:val="-1"/>
          <w:sz w:val="20"/>
          <w:szCs w:val="20"/>
          <w:lang w:eastAsia="en-US"/>
        </w:rPr>
        <w:t>re</w:t>
      </w:r>
      <w:r w:rsidRPr="0001748B">
        <w:rPr>
          <w:rFonts w:eastAsia="Verdana" w:cs="Verdana"/>
          <w:spacing w:val="3"/>
          <w:sz w:val="20"/>
          <w:szCs w:val="20"/>
          <w:lang w:eastAsia="en-US"/>
        </w:rPr>
        <w:t>li</w:t>
      </w:r>
      <w:r w:rsidRPr="0001748B">
        <w:rPr>
          <w:rFonts w:eastAsia="Verdana" w:cs="Verdana"/>
          <w:spacing w:val="-2"/>
          <w:sz w:val="20"/>
          <w:szCs w:val="20"/>
          <w:lang w:eastAsia="en-US"/>
        </w:rPr>
        <w:t>m</w:t>
      </w:r>
      <w:r w:rsidRPr="0001748B">
        <w:rPr>
          <w:rFonts w:eastAsia="Verdana" w:cs="Verdana"/>
          <w:spacing w:val="3"/>
          <w:sz w:val="20"/>
          <w:szCs w:val="20"/>
          <w:lang w:eastAsia="en-US"/>
        </w:rPr>
        <w:t>i</w:t>
      </w:r>
      <w:r w:rsidRPr="0001748B">
        <w:rPr>
          <w:rFonts w:eastAsia="Verdana" w:cs="Verdana"/>
          <w:spacing w:val="1"/>
          <w:sz w:val="20"/>
          <w:szCs w:val="20"/>
          <w:lang w:eastAsia="en-US"/>
        </w:rPr>
        <w:t>n</w:t>
      </w:r>
      <w:r w:rsidRPr="0001748B">
        <w:rPr>
          <w:rFonts w:eastAsia="Verdana" w:cs="Verdana"/>
          <w:sz w:val="20"/>
          <w:szCs w:val="20"/>
          <w:lang w:eastAsia="en-US"/>
        </w:rPr>
        <w:t>ar</w:t>
      </w:r>
      <w:r w:rsidRPr="0001748B">
        <w:rPr>
          <w:rFonts w:eastAsia="Verdana" w:cs="Verdana"/>
          <w:spacing w:val="2"/>
          <w:sz w:val="20"/>
          <w:szCs w:val="20"/>
          <w:lang w:eastAsia="en-US"/>
        </w:rPr>
        <w:t xml:space="preserve"> </w:t>
      </w:r>
      <w:r w:rsidRPr="0001748B">
        <w:rPr>
          <w:rFonts w:eastAsia="Verdana" w:cs="Verdana"/>
          <w:spacing w:val="1"/>
          <w:sz w:val="20"/>
          <w:szCs w:val="20"/>
          <w:lang w:eastAsia="en-US"/>
        </w:rPr>
        <w:t>p</w:t>
      </w:r>
      <w:r w:rsidRPr="0001748B">
        <w:rPr>
          <w:rFonts w:eastAsia="Verdana" w:cs="Verdana"/>
          <w:spacing w:val="-1"/>
          <w:sz w:val="20"/>
          <w:szCs w:val="20"/>
          <w:lang w:eastAsia="en-US"/>
        </w:rPr>
        <w:t>o</w:t>
      </w:r>
      <w:r w:rsidRPr="0001748B">
        <w:rPr>
          <w:rFonts w:eastAsia="Verdana" w:cs="Verdana"/>
          <w:sz w:val="20"/>
          <w:szCs w:val="20"/>
          <w:lang w:eastAsia="en-US"/>
        </w:rPr>
        <w:t>r</w:t>
      </w:r>
      <w:r w:rsidRPr="0001748B">
        <w:rPr>
          <w:rFonts w:eastAsia="Verdana" w:cs="Verdana"/>
          <w:spacing w:val="9"/>
          <w:sz w:val="20"/>
          <w:szCs w:val="20"/>
          <w:lang w:eastAsia="en-US"/>
        </w:rPr>
        <w:t xml:space="preserve"> </w:t>
      </w:r>
      <w:r w:rsidRPr="0001748B">
        <w:rPr>
          <w:rFonts w:eastAsia="Verdana" w:cs="Verdana"/>
          <w:spacing w:val="3"/>
          <w:sz w:val="20"/>
          <w:szCs w:val="20"/>
          <w:lang w:eastAsia="en-US"/>
        </w:rPr>
        <w:t>l</w:t>
      </w:r>
      <w:r w:rsidRPr="0001748B">
        <w:rPr>
          <w:rFonts w:eastAsia="Verdana" w:cs="Verdana"/>
          <w:sz w:val="20"/>
          <w:szCs w:val="20"/>
          <w:lang w:eastAsia="en-US"/>
        </w:rPr>
        <w:t>a</w:t>
      </w:r>
      <w:r w:rsidRPr="0001748B">
        <w:rPr>
          <w:rFonts w:eastAsia="Verdana" w:cs="Verdana"/>
          <w:spacing w:val="12"/>
          <w:sz w:val="20"/>
          <w:szCs w:val="20"/>
          <w:lang w:eastAsia="en-US"/>
        </w:rPr>
        <w:t xml:space="preserve"> </w:t>
      </w:r>
      <w:r w:rsidRPr="0001748B">
        <w:rPr>
          <w:rFonts w:eastAsia="Verdana" w:cs="Verdana"/>
          <w:spacing w:val="-1"/>
          <w:sz w:val="20"/>
          <w:szCs w:val="20"/>
          <w:lang w:eastAsia="en-US"/>
        </w:rPr>
        <w:t>f</w:t>
      </w:r>
      <w:r w:rsidRPr="0001748B">
        <w:rPr>
          <w:rFonts w:eastAsia="Verdana" w:cs="Verdana"/>
          <w:sz w:val="20"/>
          <w:szCs w:val="20"/>
          <w:lang w:eastAsia="en-US"/>
        </w:rPr>
        <w:t>a</w:t>
      </w:r>
      <w:r w:rsidRPr="0001748B">
        <w:rPr>
          <w:rFonts w:eastAsia="Verdana" w:cs="Verdana"/>
          <w:spacing w:val="3"/>
          <w:sz w:val="20"/>
          <w:szCs w:val="20"/>
          <w:lang w:eastAsia="en-US"/>
        </w:rPr>
        <w:t>l</w:t>
      </w:r>
      <w:r w:rsidRPr="0001748B">
        <w:rPr>
          <w:rFonts w:eastAsia="Verdana" w:cs="Verdana"/>
          <w:spacing w:val="1"/>
          <w:sz w:val="20"/>
          <w:szCs w:val="20"/>
          <w:lang w:eastAsia="en-US"/>
        </w:rPr>
        <w:t>t</w:t>
      </w:r>
      <w:r w:rsidRPr="0001748B">
        <w:rPr>
          <w:rFonts w:eastAsia="Verdana" w:cs="Verdana"/>
          <w:sz w:val="20"/>
          <w:szCs w:val="20"/>
          <w:lang w:eastAsia="en-US"/>
        </w:rPr>
        <w:t>a</w:t>
      </w:r>
      <w:r w:rsidRPr="0001748B">
        <w:rPr>
          <w:rFonts w:eastAsia="Verdana" w:cs="Verdana"/>
          <w:spacing w:val="9"/>
          <w:sz w:val="20"/>
          <w:szCs w:val="20"/>
          <w:lang w:eastAsia="en-US"/>
        </w:rPr>
        <w:t xml:space="preserve"> </w:t>
      </w:r>
      <w:r w:rsidRPr="0001748B">
        <w:rPr>
          <w:rFonts w:eastAsia="Verdana" w:cs="Verdana"/>
          <w:spacing w:val="1"/>
          <w:sz w:val="20"/>
          <w:szCs w:val="20"/>
          <w:lang w:eastAsia="en-US"/>
        </w:rPr>
        <w:t>d</w:t>
      </w:r>
      <w:r w:rsidRPr="0001748B">
        <w:rPr>
          <w:rFonts w:eastAsia="Verdana" w:cs="Verdana"/>
          <w:sz w:val="20"/>
          <w:szCs w:val="20"/>
          <w:lang w:eastAsia="en-US"/>
        </w:rPr>
        <w:t>e</w:t>
      </w:r>
      <w:r w:rsidRPr="0001748B">
        <w:rPr>
          <w:rFonts w:eastAsia="Verdana" w:cs="Verdana"/>
          <w:spacing w:val="10"/>
          <w:sz w:val="20"/>
          <w:szCs w:val="20"/>
          <w:lang w:eastAsia="en-US"/>
        </w:rPr>
        <w:t xml:space="preserve"> </w:t>
      </w:r>
      <w:r w:rsidRPr="0001748B">
        <w:rPr>
          <w:rFonts w:eastAsia="Verdana" w:cs="Verdana"/>
          <w:sz w:val="20"/>
          <w:szCs w:val="20"/>
          <w:lang w:eastAsia="en-US"/>
        </w:rPr>
        <w:t>a</w:t>
      </w:r>
      <w:r w:rsidRPr="0001748B">
        <w:rPr>
          <w:rFonts w:eastAsia="Verdana" w:cs="Verdana"/>
          <w:spacing w:val="3"/>
          <w:sz w:val="20"/>
          <w:szCs w:val="20"/>
          <w:lang w:eastAsia="en-US"/>
        </w:rPr>
        <w:t>g</w:t>
      </w:r>
      <w:r w:rsidRPr="0001748B">
        <w:rPr>
          <w:rFonts w:eastAsia="Verdana" w:cs="Verdana"/>
          <w:spacing w:val="-1"/>
          <w:sz w:val="20"/>
          <w:szCs w:val="20"/>
          <w:lang w:eastAsia="en-US"/>
        </w:rPr>
        <w:t>o</w:t>
      </w:r>
      <w:r w:rsidRPr="0001748B">
        <w:rPr>
          <w:rFonts w:eastAsia="Verdana" w:cs="Verdana"/>
          <w:spacing w:val="1"/>
          <w:sz w:val="20"/>
          <w:szCs w:val="20"/>
          <w:lang w:eastAsia="en-US"/>
        </w:rPr>
        <w:t>t</w:t>
      </w:r>
      <w:r w:rsidRPr="0001748B">
        <w:rPr>
          <w:rFonts w:eastAsia="Verdana" w:cs="Verdana"/>
          <w:sz w:val="20"/>
          <w:szCs w:val="20"/>
          <w:lang w:eastAsia="en-US"/>
        </w:rPr>
        <w:t>a</w:t>
      </w:r>
      <w:r w:rsidRPr="0001748B">
        <w:rPr>
          <w:rFonts w:eastAsia="Verdana" w:cs="Verdana"/>
          <w:spacing w:val="1"/>
          <w:sz w:val="20"/>
          <w:szCs w:val="20"/>
          <w:lang w:eastAsia="en-US"/>
        </w:rPr>
        <w:t>m</w:t>
      </w:r>
      <w:r w:rsidRPr="0001748B">
        <w:rPr>
          <w:rFonts w:eastAsia="Verdana" w:cs="Verdana"/>
          <w:spacing w:val="3"/>
          <w:sz w:val="20"/>
          <w:szCs w:val="20"/>
          <w:lang w:eastAsia="en-US"/>
        </w:rPr>
        <w:t>i</w:t>
      </w:r>
      <w:r w:rsidRPr="0001748B">
        <w:rPr>
          <w:rFonts w:eastAsia="Verdana" w:cs="Verdana"/>
          <w:spacing w:val="-1"/>
          <w:sz w:val="20"/>
          <w:szCs w:val="20"/>
          <w:lang w:eastAsia="en-US"/>
        </w:rPr>
        <w:t>e</w:t>
      </w:r>
      <w:r w:rsidRPr="0001748B">
        <w:rPr>
          <w:rFonts w:eastAsia="Verdana" w:cs="Verdana"/>
          <w:spacing w:val="1"/>
          <w:sz w:val="20"/>
          <w:szCs w:val="20"/>
          <w:lang w:eastAsia="en-US"/>
        </w:rPr>
        <w:t>nt</w:t>
      </w:r>
      <w:r w:rsidRPr="0001748B">
        <w:rPr>
          <w:rFonts w:eastAsia="Verdana" w:cs="Verdana"/>
          <w:sz w:val="20"/>
          <w:szCs w:val="20"/>
          <w:lang w:eastAsia="en-US"/>
        </w:rPr>
        <w:t xml:space="preserve">o </w:t>
      </w:r>
      <w:r w:rsidRPr="0001748B">
        <w:rPr>
          <w:rFonts w:eastAsia="Verdana" w:cs="Verdana"/>
          <w:spacing w:val="1"/>
          <w:sz w:val="20"/>
          <w:szCs w:val="20"/>
          <w:lang w:eastAsia="en-US"/>
        </w:rPr>
        <w:t>d</w:t>
      </w:r>
      <w:r w:rsidRPr="0001748B">
        <w:rPr>
          <w:rFonts w:eastAsia="Verdana" w:cs="Verdana"/>
          <w:sz w:val="20"/>
          <w:szCs w:val="20"/>
          <w:lang w:eastAsia="en-US"/>
        </w:rPr>
        <w:t>e</w:t>
      </w:r>
      <w:r w:rsidRPr="0001748B">
        <w:rPr>
          <w:rFonts w:eastAsia="Verdana" w:cs="Verdana"/>
          <w:spacing w:val="12"/>
          <w:sz w:val="20"/>
          <w:szCs w:val="20"/>
          <w:lang w:eastAsia="en-US"/>
        </w:rPr>
        <w:t xml:space="preserve"> </w:t>
      </w:r>
      <w:r w:rsidRPr="0001748B">
        <w:rPr>
          <w:rFonts w:eastAsia="Verdana" w:cs="Verdana"/>
          <w:spacing w:val="3"/>
          <w:sz w:val="20"/>
          <w:szCs w:val="20"/>
          <w:lang w:eastAsia="en-US"/>
        </w:rPr>
        <w:t>l</w:t>
      </w:r>
      <w:r w:rsidRPr="0001748B">
        <w:rPr>
          <w:rFonts w:eastAsia="Verdana" w:cs="Verdana"/>
          <w:spacing w:val="-1"/>
          <w:sz w:val="20"/>
          <w:szCs w:val="20"/>
          <w:lang w:eastAsia="en-US"/>
        </w:rPr>
        <w:t>o</w:t>
      </w:r>
      <w:r w:rsidRPr="0001748B">
        <w:rPr>
          <w:rFonts w:eastAsia="Verdana" w:cs="Verdana"/>
          <w:sz w:val="20"/>
          <w:szCs w:val="20"/>
          <w:lang w:eastAsia="en-US"/>
        </w:rPr>
        <w:t>s</w:t>
      </w:r>
      <w:r w:rsidRPr="0001748B">
        <w:rPr>
          <w:rFonts w:eastAsia="Verdana" w:cs="Verdana"/>
          <w:spacing w:val="13"/>
          <w:sz w:val="20"/>
          <w:szCs w:val="20"/>
          <w:lang w:eastAsia="en-US"/>
        </w:rPr>
        <w:t xml:space="preserve"> </w:t>
      </w:r>
      <w:r w:rsidRPr="0001748B">
        <w:rPr>
          <w:rFonts w:eastAsia="Verdana" w:cs="Verdana"/>
          <w:spacing w:val="1"/>
          <w:sz w:val="20"/>
          <w:szCs w:val="20"/>
          <w:lang w:eastAsia="en-US"/>
        </w:rPr>
        <w:t>r</w:t>
      </w:r>
      <w:r w:rsidRPr="0001748B">
        <w:rPr>
          <w:rFonts w:eastAsia="Verdana" w:cs="Verdana"/>
          <w:spacing w:val="-1"/>
          <w:sz w:val="20"/>
          <w:szCs w:val="20"/>
          <w:lang w:eastAsia="en-US"/>
        </w:rPr>
        <w:t>ec</w:t>
      </w:r>
      <w:r w:rsidRPr="0001748B">
        <w:rPr>
          <w:rFonts w:eastAsia="Verdana" w:cs="Verdana"/>
          <w:spacing w:val="1"/>
          <w:sz w:val="20"/>
          <w:szCs w:val="20"/>
          <w:lang w:eastAsia="en-US"/>
        </w:rPr>
        <w:t>ur</w:t>
      </w:r>
      <w:r w:rsidRPr="0001748B">
        <w:rPr>
          <w:rFonts w:eastAsia="Verdana" w:cs="Verdana"/>
          <w:spacing w:val="-1"/>
          <w:sz w:val="20"/>
          <w:szCs w:val="20"/>
          <w:lang w:eastAsia="en-US"/>
        </w:rPr>
        <w:t>s</w:t>
      </w:r>
      <w:r w:rsidRPr="0001748B">
        <w:rPr>
          <w:rFonts w:eastAsia="Verdana" w:cs="Verdana"/>
          <w:spacing w:val="1"/>
          <w:sz w:val="20"/>
          <w:szCs w:val="20"/>
          <w:lang w:eastAsia="en-US"/>
        </w:rPr>
        <w:t>o</w:t>
      </w:r>
      <w:r w:rsidRPr="0001748B">
        <w:rPr>
          <w:rFonts w:eastAsia="Verdana" w:cs="Verdana"/>
          <w:sz w:val="20"/>
          <w:szCs w:val="20"/>
          <w:lang w:eastAsia="en-US"/>
        </w:rPr>
        <w:t>s</w:t>
      </w:r>
      <w:r w:rsidRPr="0001748B">
        <w:rPr>
          <w:rFonts w:eastAsia="Verdana" w:cs="Verdana"/>
          <w:spacing w:val="4"/>
          <w:sz w:val="20"/>
          <w:szCs w:val="20"/>
          <w:lang w:eastAsia="en-US"/>
        </w:rPr>
        <w:t xml:space="preserve"> </w:t>
      </w:r>
      <w:r w:rsidRPr="0001748B">
        <w:rPr>
          <w:rFonts w:eastAsia="Verdana" w:cs="Verdana"/>
          <w:spacing w:val="3"/>
          <w:sz w:val="20"/>
          <w:szCs w:val="20"/>
          <w:lang w:eastAsia="en-US"/>
        </w:rPr>
        <w:t>i</w:t>
      </w:r>
      <w:r w:rsidRPr="0001748B">
        <w:rPr>
          <w:rFonts w:eastAsia="Verdana" w:cs="Verdana"/>
          <w:spacing w:val="1"/>
          <w:sz w:val="20"/>
          <w:szCs w:val="20"/>
          <w:lang w:eastAsia="en-US"/>
        </w:rPr>
        <w:t>nt</w:t>
      </w:r>
      <w:r w:rsidRPr="0001748B">
        <w:rPr>
          <w:rFonts w:eastAsia="Verdana" w:cs="Verdana"/>
          <w:spacing w:val="-1"/>
          <w:sz w:val="20"/>
          <w:szCs w:val="20"/>
          <w:lang w:eastAsia="en-US"/>
        </w:rPr>
        <w:t>e</w:t>
      </w:r>
      <w:r w:rsidRPr="0001748B">
        <w:rPr>
          <w:rFonts w:eastAsia="Verdana" w:cs="Verdana"/>
          <w:spacing w:val="1"/>
          <w:sz w:val="20"/>
          <w:szCs w:val="20"/>
          <w:lang w:eastAsia="en-US"/>
        </w:rPr>
        <w:t>rn</w:t>
      </w:r>
      <w:r w:rsidRPr="0001748B">
        <w:rPr>
          <w:rFonts w:eastAsia="Verdana" w:cs="Verdana"/>
          <w:spacing w:val="-1"/>
          <w:sz w:val="20"/>
          <w:szCs w:val="20"/>
          <w:lang w:eastAsia="en-US"/>
        </w:rPr>
        <w:t>os</w:t>
      </w:r>
      <w:r w:rsidRPr="0001748B">
        <w:rPr>
          <w:rFonts w:eastAsia="Verdana" w:cs="Verdana"/>
          <w:sz w:val="20"/>
          <w:szCs w:val="20"/>
          <w:lang w:eastAsia="en-US"/>
        </w:rPr>
        <w:t xml:space="preserve">, </w:t>
      </w:r>
      <w:r w:rsidRPr="0001748B">
        <w:rPr>
          <w:rFonts w:eastAsia="Verdana" w:cs="Verdana"/>
          <w:spacing w:val="-1"/>
          <w:sz w:val="20"/>
          <w:szCs w:val="20"/>
          <w:lang w:eastAsia="en-US"/>
        </w:rPr>
        <w:t>f</w:t>
      </w:r>
      <w:r w:rsidRPr="0001748B">
        <w:rPr>
          <w:rFonts w:eastAsia="Verdana" w:cs="Verdana"/>
          <w:spacing w:val="1"/>
          <w:sz w:val="20"/>
          <w:szCs w:val="20"/>
          <w:lang w:eastAsia="en-US"/>
        </w:rPr>
        <w:t>und</w:t>
      </w:r>
      <w:r w:rsidRPr="0001748B">
        <w:rPr>
          <w:rFonts w:eastAsia="Verdana" w:cs="Verdana"/>
          <w:sz w:val="20"/>
          <w:szCs w:val="20"/>
          <w:lang w:eastAsia="en-US"/>
        </w:rPr>
        <w:t>a</w:t>
      </w:r>
      <w:r w:rsidRPr="0001748B">
        <w:rPr>
          <w:rFonts w:eastAsia="Verdana" w:cs="Verdana"/>
          <w:spacing w:val="1"/>
          <w:sz w:val="20"/>
          <w:szCs w:val="20"/>
          <w:lang w:eastAsia="en-US"/>
        </w:rPr>
        <w:t>m</w:t>
      </w:r>
      <w:r w:rsidRPr="0001748B">
        <w:rPr>
          <w:rFonts w:eastAsia="Verdana" w:cs="Verdana"/>
          <w:spacing w:val="-1"/>
          <w:sz w:val="20"/>
          <w:szCs w:val="20"/>
          <w:lang w:eastAsia="en-US"/>
        </w:rPr>
        <w:t>e</w:t>
      </w:r>
      <w:r w:rsidRPr="0001748B">
        <w:rPr>
          <w:rFonts w:eastAsia="Verdana" w:cs="Verdana"/>
          <w:spacing w:val="1"/>
          <w:sz w:val="20"/>
          <w:szCs w:val="20"/>
          <w:lang w:eastAsia="en-US"/>
        </w:rPr>
        <w:t>nt</w:t>
      </w:r>
      <w:r w:rsidRPr="0001748B">
        <w:rPr>
          <w:rFonts w:eastAsia="Verdana" w:cs="Verdana"/>
          <w:sz w:val="20"/>
          <w:szCs w:val="20"/>
          <w:lang w:eastAsia="en-US"/>
        </w:rPr>
        <w:t>á</w:t>
      </w:r>
      <w:r w:rsidRPr="0001748B">
        <w:rPr>
          <w:rFonts w:eastAsia="Verdana" w:cs="Verdana"/>
          <w:spacing w:val="1"/>
          <w:sz w:val="20"/>
          <w:szCs w:val="20"/>
          <w:lang w:eastAsia="en-US"/>
        </w:rPr>
        <w:t>nd</w:t>
      </w:r>
      <w:r w:rsidRPr="0001748B">
        <w:rPr>
          <w:rFonts w:eastAsia="Verdana" w:cs="Verdana"/>
          <w:spacing w:val="-1"/>
          <w:sz w:val="20"/>
          <w:szCs w:val="20"/>
          <w:lang w:eastAsia="en-US"/>
        </w:rPr>
        <w:t>os</w:t>
      </w:r>
      <w:r w:rsidRPr="0001748B">
        <w:rPr>
          <w:rFonts w:eastAsia="Verdana" w:cs="Verdana"/>
          <w:sz w:val="20"/>
          <w:szCs w:val="20"/>
          <w:lang w:eastAsia="en-US"/>
        </w:rPr>
        <w:t>e</w:t>
      </w:r>
      <w:r w:rsidRPr="0001748B">
        <w:rPr>
          <w:rFonts w:eastAsia="Verdana" w:cs="Verdana"/>
          <w:spacing w:val="-6"/>
          <w:sz w:val="20"/>
          <w:szCs w:val="20"/>
          <w:lang w:eastAsia="en-US"/>
        </w:rPr>
        <w:t xml:space="preserve"> </w:t>
      </w:r>
      <w:r w:rsidRPr="0001748B">
        <w:rPr>
          <w:rFonts w:eastAsia="Verdana" w:cs="Verdana"/>
          <w:spacing w:val="1"/>
          <w:sz w:val="20"/>
          <w:szCs w:val="20"/>
          <w:lang w:eastAsia="en-US"/>
        </w:rPr>
        <w:t>p</w:t>
      </w:r>
      <w:r w:rsidRPr="0001748B">
        <w:rPr>
          <w:rFonts w:eastAsia="Verdana" w:cs="Verdana"/>
          <w:spacing w:val="-1"/>
          <w:sz w:val="20"/>
          <w:szCs w:val="20"/>
          <w:lang w:eastAsia="en-US"/>
        </w:rPr>
        <w:t>r</w:t>
      </w:r>
      <w:r w:rsidRPr="0001748B">
        <w:rPr>
          <w:rFonts w:eastAsia="Verdana" w:cs="Verdana"/>
          <w:spacing w:val="3"/>
          <w:sz w:val="20"/>
          <w:szCs w:val="20"/>
          <w:lang w:eastAsia="en-US"/>
        </w:rPr>
        <w:t>i</w:t>
      </w:r>
      <w:r w:rsidRPr="0001748B">
        <w:rPr>
          <w:rFonts w:eastAsia="Verdana" w:cs="Verdana"/>
          <w:spacing w:val="1"/>
          <w:sz w:val="20"/>
          <w:szCs w:val="20"/>
          <w:lang w:eastAsia="en-US"/>
        </w:rPr>
        <w:t>m</w:t>
      </w:r>
      <w:r w:rsidRPr="0001748B">
        <w:rPr>
          <w:rFonts w:eastAsia="Verdana" w:cs="Verdana"/>
          <w:spacing w:val="-1"/>
          <w:sz w:val="20"/>
          <w:szCs w:val="20"/>
          <w:lang w:eastAsia="en-US"/>
        </w:rPr>
        <w:t>or</w:t>
      </w:r>
      <w:r w:rsidRPr="0001748B">
        <w:rPr>
          <w:rFonts w:eastAsia="Verdana" w:cs="Verdana"/>
          <w:spacing w:val="1"/>
          <w:sz w:val="20"/>
          <w:szCs w:val="20"/>
          <w:lang w:eastAsia="en-US"/>
        </w:rPr>
        <w:t>d</w:t>
      </w:r>
      <w:r w:rsidRPr="0001748B">
        <w:rPr>
          <w:rFonts w:eastAsia="Verdana" w:cs="Verdana"/>
          <w:spacing w:val="3"/>
          <w:sz w:val="20"/>
          <w:szCs w:val="20"/>
          <w:lang w:eastAsia="en-US"/>
        </w:rPr>
        <w:t>i</w:t>
      </w:r>
      <w:r w:rsidRPr="0001748B">
        <w:rPr>
          <w:rFonts w:eastAsia="Verdana" w:cs="Verdana"/>
          <w:sz w:val="20"/>
          <w:szCs w:val="20"/>
          <w:lang w:eastAsia="en-US"/>
        </w:rPr>
        <w:t>a</w:t>
      </w:r>
      <w:r w:rsidRPr="0001748B">
        <w:rPr>
          <w:rFonts w:eastAsia="Verdana" w:cs="Verdana"/>
          <w:spacing w:val="3"/>
          <w:sz w:val="20"/>
          <w:szCs w:val="20"/>
          <w:lang w:eastAsia="en-US"/>
        </w:rPr>
        <w:t>l</w:t>
      </w:r>
      <w:r w:rsidRPr="0001748B">
        <w:rPr>
          <w:rFonts w:eastAsia="Verdana" w:cs="Verdana"/>
          <w:spacing w:val="1"/>
          <w:sz w:val="20"/>
          <w:szCs w:val="20"/>
          <w:lang w:eastAsia="en-US"/>
        </w:rPr>
        <w:t>m</w:t>
      </w:r>
      <w:r w:rsidRPr="0001748B">
        <w:rPr>
          <w:rFonts w:eastAsia="Verdana" w:cs="Verdana"/>
          <w:spacing w:val="-1"/>
          <w:sz w:val="20"/>
          <w:szCs w:val="20"/>
          <w:lang w:eastAsia="en-US"/>
        </w:rPr>
        <w:t>e</w:t>
      </w:r>
      <w:r w:rsidRPr="0001748B">
        <w:rPr>
          <w:rFonts w:eastAsia="Verdana" w:cs="Verdana"/>
          <w:spacing w:val="1"/>
          <w:sz w:val="20"/>
          <w:szCs w:val="20"/>
          <w:lang w:eastAsia="en-US"/>
        </w:rPr>
        <w:t>nt</w:t>
      </w:r>
      <w:r w:rsidRPr="0001748B">
        <w:rPr>
          <w:rFonts w:eastAsia="Verdana" w:cs="Verdana"/>
          <w:sz w:val="20"/>
          <w:szCs w:val="20"/>
          <w:lang w:eastAsia="en-US"/>
        </w:rPr>
        <w:t>e</w:t>
      </w:r>
      <w:r w:rsidRPr="0001748B">
        <w:rPr>
          <w:rFonts w:eastAsia="Verdana" w:cs="Verdana"/>
          <w:spacing w:val="-7"/>
          <w:sz w:val="20"/>
          <w:szCs w:val="20"/>
          <w:lang w:eastAsia="en-US"/>
        </w:rPr>
        <w:t xml:space="preserve"> </w:t>
      </w:r>
      <w:r w:rsidRPr="0001748B">
        <w:rPr>
          <w:rFonts w:eastAsia="Verdana" w:cs="Verdana"/>
          <w:spacing w:val="-1"/>
          <w:sz w:val="20"/>
          <w:szCs w:val="20"/>
          <w:lang w:eastAsia="en-US"/>
        </w:rPr>
        <w:t>e</w:t>
      </w:r>
      <w:r w:rsidRPr="0001748B">
        <w:rPr>
          <w:rFonts w:eastAsia="Verdana" w:cs="Verdana"/>
          <w:sz w:val="20"/>
          <w:szCs w:val="20"/>
          <w:lang w:eastAsia="en-US"/>
        </w:rPr>
        <w:t>n</w:t>
      </w:r>
      <w:r w:rsidRPr="0001748B">
        <w:rPr>
          <w:rFonts w:eastAsia="Verdana" w:cs="Verdana"/>
          <w:spacing w:val="10"/>
          <w:sz w:val="20"/>
          <w:szCs w:val="20"/>
          <w:lang w:eastAsia="en-US"/>
        </w:rPr>
        <w:t xml:space="preserve"> </w:t>
      </w:r>
      <w:r w:rsidRPr="0001748B">
        <w:rPr>
          <w:rFonts w:eastAsia="Verdana" w:cs="Verdana"/>
          <w:spacing w:val="1"/>
          <w:sz w:val="20"/>
          <w:szCs w:val="20"/>
          <w:lang w:eastAsia="en-US"/>
        </w:rPr>
        <w:t>qu</w:t>
      </w:r>
      <w:r w:rsidRPr="0001748B">
        <w:rPr>
          <w:rFonts w:eastAsia="Verdana" w:cs="Verdana"/>
          <w:sz w:val="20"/>
          <w:szCs w:val="20"/>
          <w:lang w:eastAsia="en-US"/>
        </w:rPr>
        <w:t>e</w:t>
      </w:r>
      <w:r w:rsidRPr="0001748B">
        <w:rPr>
          <w:rFonts w:eastAsia="Verdana" w:cs="Verdana"/>
          <w:spacing w:val="8"/>
          <w:sz w:val="20"/>
          <w:szCs w:val="20"/>
          <w:lang w:eastAsia="en-US"/>
        </w:rPr>
        <w:t xml:space="preserve"> </w:t>
      </w:r>
      <w:r w:rsidRPr="0001748B">
        <w:rPr>
          <w:rFonts w:eastAsia="Verdana" w:cs="Verdana"/>
          <w:spacing w:val="-1"/>
          <w:sz w:val="20"/>
          <w:szCs w:val="20"/>
          <w:lang w:eastAsia="en-US"/>
        </w:rPr>
        <w:t>e</w:t>
      </w:r>
      <w:r w:rsidRPr="0001748B">
        <w:rPr>
          <w:rFonts w:eastAsia="Verdana" w:cs="Verdana"/>
          <w:sz w:val="20"/>
          <w:szCs w:val="20"/>
          <w:lang w:eastAsia="en-US"/>
        </w:rPr>
        <w:t>l</w:t>
      </w:r>
      <w:r w:rsidRPr="0001748B">
        <w:rPr>
          <w:rFonts w:eastAsia="Verdana" w:cs="Verdana"/>
          <w:spacing w:val="12"/>
          <w:sz w:val="20"/>
          <w:szCs w:val="20"/>
          <w:lang w:eastAsia="en-US"/>
        </w:rPr>
        <w:t xml:space="preserve"> </w:t>
      </w:r>
      <w:r w:rsidRPr="0001748B">
        <w:rPr>
          <w:rFonts w:eastAsia="Verdana" w:cs="Verdana"/>
          <w:spacing w:val="1"/>
          <w:sz w:val="20"/>
          <w:szCs w:val="20"/>
          <w:lang w:eastAsia="en-US"/>
        </w:rPr>
        <w:t>p</w:t>
      </w:r>
      <w:r w:rsidRPr="0001748B">
        <w:rPr>
          <w:rFonts w:eastAsia="Verdana" w:cs="Verdana"/>
          <w:spacing w:val="-1"/>
          <w:sz w:val="20"/>
          <w:szCs w:val="20"/>
          <w:lang w:eastAsia="en-US"/>
        </w:rPr>
        <w:t>r</w:t>
      </w:r>
      <w:r w:rsidRPr="0001748B">
        <w:rPr>
          <w:rFonts w:eastAsia="Verdana" w:cs="Verdana"/>
          <w:spacing w:val="1"/>
          <w:sz w:val="20"/>
          <w:szCs w:val="20"/>
          <w:lang w:eastAsia="en-US"/>
        </w:rPr>
        <w:t>o</w:t>
      </w:r>
      <w:r w:rsidRPr="0001748B">
        <w:rPr>
          <w:rFonts w:eastAsia="Verdana" w:cs="Verdana"/>
          <w:spacing w:val="-1"/>
          <w:sz w:val="20"/>
          <w:szCs w:val="20"/>
          <w:lang w:eastAsia="en-US"/>
        </w:rPr>
        <w:t>c</w:t>
      </w:r>
      <w:r w:rsidRPr="0001748B">
        <w:rPr>
          <w:rFonts w:eastAsia="Verdana" w:cs="Verdana"/>
          <w:spacing w:val="1"/>
          <w:sz w:val="20"/>
          <w:szCs w:val="20"/>
          <w:lang w:eastAsia="en-US"/>
        </w:rPr>
        <w:t>e</w:t>
      </w:r>
      <w:r w:rsidRPr="0001748B">
        <w:rPr>
          <w:rFonts w:eastAsia="Verdana" w:cs="Verdana"/>
          <w:spacing w:val="-1"/>
          <w:sz w:val="20"/>
          <w:szCs w:val="20"/>
          <w:lang w:eastAsia="en-US"/>
        </w:rPr>
        <w:t>s</w:t>
      </w:r>
      <w:r w:rsidRPr="0001748B">
        <w:rPr>
          <w:rFonts w:eastAsia="Verdana" w:cs="Verdana"/>
          <w:sz w:val="20"/>
          <w:szCs w:val="20"/>
          <w:lang w:eastAsia="en-US"/>
        </w:rPr>
        <w:t>o</w:t>
      </w:r>
      <w:r w:rsidRPr="0001748B">
        <w:rPr>
          <w:rFonts w:eastAsia="Verdana" w:cs="Verdana"/>
          <w:spacing w:val="5"/>
          <w:sz w:val="20"/>
          <w:szCs w:val="20"/>
          <w:lang w:eastAsia="en-US"/>
        </w:rPr>
        <w:t xml:space="preserve"> </w:t>
      </w:r>
      <w:r w:rsidRPr="0001748B">
        <w:rPr>
          <w:rFonts w:eastAsia="Verdana" w:cs="Verdana"/>
          <w:spacing w:val="2"/>
          <w:sz w:val="20"/>
          <w:szCs w:val="20"/>
          <w:lang w:eastAsia="en-US"/>
        </w:rPr>
        <w:t>penal</w:t>
      </w:r>
      <w:r w:rsidRPr="0001748B">
        <w:rPr>
          <w:rFonts w:eastAsia="Verdana" w:cs="Verdana"/>
          <w:spacing w:val="1"/>
          <w:sz w:val="20"/>
          <w:szCs w:val="20"/>
          <w:lang w:eastAsia="en-US"/>
        </w:rPr>
        <w:t xml:space="preserve"> t</w:t>
      </w:r>
      <w:r w:rsidRPr="0001748B">
        <w:rPr>
          <w:rFonts w:eastAsia="Verdana" w:cs="Verdana"/>
          <w:spacing w:val="-1"/>
          <w:sz w:val="20"/>
          <w:szCs w:val="20"/>
          <w:lang w:eastAsia="en-US"/>
        </w:rPr>
        <w:t>o</w:t>
      </w:r>
      <w:r w:rsidRPr="0001748B">
        <w:rPr>
          <w:rFonts w:eastAsia="Verdana" w:cs="Verdana"/>
          <w:spacing w:val="1"/>
          <w:sz w:val="20"/>
          <w:szCs w:val="20"/>
          <w:lang w:eastAsia="en-US"/>
        </w:rPr>
        <w:t>d</w:t>
      </w:r>
      <w:r w:rsidRPr="0001748B">
        <w:rPr>
          <w:rFonts w:eastAsia="Verdana" w:cs="Verdana"/>
          <w:sz w:val="20"/>
          <w:szCs w:val="20"/>
          <w:lang w:eastAsia="en-US"/>
        </w:rPr>
        <w:t>av</w:t>
      </w:r>
      <w:r w:rsidRPr="0001748B">
        <w:rPr>
          <w:rFonts w:eastAsia="Verdana" w:cs="Verdana"/>
          <w:spacing w:val="3"/>
          <w:sz w:val="20"/>
          <w:szCs w:val="20"/>
          <w:lang w:eastAsia="en-US"/>
        </w:rPr>
        <w:t>í</w:t>
      </w:r>
      <w:r w:rsidRPr="0001748B">
        <w:rPr>
          <w:rFonts w:eastAsia="Verdana" w:cs="Verdana"/>
          <w:sz w:val="20"/>
          <w:szCs w:val="20"/>
          <w:lang w:eastAsia="en-US"/>
        </w:rPr>
        <w:t>a</w:t>
      </w:r>
      <w:r w:rsidRPr="0001748B">
        <w:rPr>
          <w:rFonts w:eastAsia="Verdana" w:cs="Verdana"/>
          <w:spacing w:val="5"/>
          <w:sz w:val="20"/>
          <w:szCs w:val="20"/>
          <w:lang w:eastAsia="en-US"/>
        </w:rPr>
        <w:t xml:space="preserve"> </w:t>
      </w:r>
      <w:r w:rsidRPr="0001748B">
        <w:rPr>
          <w:rFonts w:eastAsia="Verdana" w:cs="Verdana"/>
          <w:spacing w:val="-1"/>
          <w:sz w:val="20"/>
          <w:szCs w:val="20"/>
          <w:lang w:eastAsia="en-US"/>
        </w:rPr>
        <w:t>s</w:t>
      </w:r>
      <w:r w:rsidRPr="0001748B">
        <w:rPr>
          <w:rFonts w:eastAsia="Verdana" w:cs="Verdana"/>
          <w:sz w:val="20"/>
          <w:szCs w:val="20"/>
          <w:lang w:eastAsia="en-US"/>
        </w:rPr>
        <w:t>e</w:t>
      </w:r>
      <w:r w:rsidRPr="0001748B">
        <w:rPr>
          <w:rFonts w:eastAsia="Verdana" w:cs="Verdana"/>
          <w:spacing w:val="8"/>
          <w:sz w:val="20"/>
          <w:szCs w:val="20"/>
          <w:lang w:eastAsia="en-US"/>
        </w:rPr>
        <w:t xml:space="preserve"> </w:t>
      </w:r>
      <w:r w:rsidRPr="0001748B">
        <w:rPr>
          <w:rFonts w:eastAsia="Verdana" w:cs="Verdana"/>
          <w:spacing w:val="-1"/>
          <w:sz w:val="20"/>
          <w:szCs w:val="20"/>
          <w:lang w:eastAsia="en-US"/>
        </w:rPr>
        <w:t>e</w:t>
      </w:r>
      <w:r w:rsidRPr="0001748B">
        <w:rPr>
          <w:rFonts w:eastAsia="Verdana" w:cs="Verdana"/>
          <w:spacing w:val="1"/>
          <w:sz w:val="20"/>
          <w:szCs w:val="20"/>
          <w:lang w:eastAsia="en-US"/>
        </w:rPr>
        <w:t>n</w:t>
      </w:r>
      <w:r w:rsidRPr="0001748B">
        <w:rPr>
          <w:rFonts w:eastAsia="Verdana" w:cs="Verdana"/>
          <w:spacing w:val="-1"/>
          <w:sz w:val="20"/>
          <w:szCs w:val="20"/>
          <w:lang w:eastAsia="en-US"/>
        </w:rPr>
        <w:t>co</w:t>
      </w:r>
      <w:r w:rsidRPr="0001748B">
        <w:rPr>
          <w:rFonts w:eastAsia="Verdana" w:cs="Verdana"/>
          <w:spacing w:val="1"/>
          <w:sz w:val="20"/>
          <w:szCs w:val="20"/>
          <w:lang w:eastAsia="en-US"/>
        </w:rPr>
        <w:t>nt</w:t>
      </w:r>
      <w:r w:rsidRPr="0001748B">
        <w:rPr>
          <w:rFonts w:eastAsia="Verdana" w:cs="Verdana"/>
          <w:spacing w:val="-1"/>
          <w:sz w:val="20"/>
          <w:szCs w:val="20"/>
          <w:lang w:eastAsia="en-US"/>
        </w:rPr>
        <w:t>r</w:t>
      </w:r>
      <w:r w:rsidRPr="0001748B">
        <w:rPr>
          <w:rFonts w:eastAsia="Verdana" w:cs="Verdana"/>
          <w:sz w:val="20"/>
          <w:szCs w:val="20"/>
          <w:lang w:eastAsia="en-US"/>
        </w:rPr>
        <w:t>a</w:t>
      </w:r>
      <w:r w:rsidRPr="0001748B">
        <w:rPr>
          <w:rFonts w:eastAsia="Verdana" w:cs="Verdana"/>
          <w:spacing w:val="3"/>
          <w:sz w:val="20"/>
          <w:szCs w:val="20"/>
          <w:lang w:eastAsia="en-US"/>
        </w:rPr>
        <w:t>b</w:t>
      </w:r>
      <w:r w:rsidRPr="0001748B">
        <w:rPr>
          <w:rFonts w:eastAsia="Verdana" w:cs="Verdana"/>
          <w:sz w:val="20"/>
          <w:szCs w:val="20"/>
          <w:lang w:eastAsia="en-US"/>
        </w:rPr>
        <w:t>a</w:t>
      </w:r>
      <w:r w:rsidRPr="0001748B">
        <w:rPr>
          <w:rFonts w:eastAsia="Verdana" w:cs="Verdana"/>
          <w:spacing w:val="1"/>
          <w:sz w:val="20"/>
          <w:szCs w:val="20"/>
          <w:lang w:eastAsia="en-US"/>
        </w:rPr>
        <w:t xml:space="preserve"> </w:t>
      </w:r>
      <w:r w:rsidRPr="0001748B">
        <w:rPr>
          <w:rFonts w:eastAsia="Verdana" w:cs="Verdana"/>
          <w:spacing w:val="-1"/>
          <w:sz w:val="20"/>
          <w:szCs w:val="20"/>
          <w:lang w:eastAsia="en-US"/>
        </w:rPr>
        <w:t>e</w:t>
      </w:r>
      <w:r w:rsidRPr="0001748B">
        <w:rPr>
          <w:rFonts w:eastAsia="Verdana" w:cs="Verdana"/>
          <w:sz w:val="20"/>
          <w:szCs w:val="20"/>
          <w:lang w:eastAsia="en-US"/>
        </w:rPr>
        <w:t>n</w:t>
      </w:r>
      <w:r w:rsidRPr="0001748B">
        <w:rPr>
          <w:rFonts w:eastAsia="Verdana" w:cs="Verdana"/>
          <w:spacing w:val="10"/>
          <w:sz w:val="20"/>
          <w:szCs w:val="20"/>
          <w:lang w:eastAsia="en-US"/>
        </w:rPr>
        <w:t xml:space="preserve"> </w:t>
      </w:r>
      <w:r w:rsidRPr="0001748B">
        <w:rPr>
          <w:rFonts w:eastAsia="Verdana" w:cs="Verdana"/>
          <w:spacing w:val="-1"/>
          <w:sz w:val="20"/>
          <w:szCs w:val="20"/>
          <w:lang w:eastAsia="en-US"/>
        </w:rPr>
        <w:t>e</w:t>
      </w:r>
      <w:r w:rsidRPr="0001748B">
        <w:rPr>
          <w:rFonts w:eastAsia="Verdana" w:cs="Verdana"/>
          <w:spacing w:val="1"/>
          <w:sz w:val="20"/>
          <w:szCs w:val="20"/>
          <w:lang w:eastAsia="en-US"/>
        </w:rPr>
        <w:t>t</w:t>
      </w:r>
      <w:r w:rsidRPr="0001748B">
        <w:rPr>
          <w:rFonts w:eastAsia="Verdana" w:cs="Verdana"/>
          <w:sz w:val="20"/>
          <w:szCs w:val="20"/>
          <w:lang w:eastAsia="en-US"/>
        </w:rPr>
        <w:t>a</w:t>
      </w:r>
      <w:r w:rsidRPr="0001748B">
        <w:rPr>
          <w:rFonts w:eastAsia="Verdana" w:cs="Verdana"/>
          <w:spacing w:val="1"/>
          <w:sz w:val="20"/>
          <w:szCs w:val="20"/>
          <w:lang w:eastAsia="en-US"/>
        </w:rPr>
        <w:t>p</w:t>
      </w:r>
      <w:r w:rsidRPr="0001748B">
        <w:rPr>
          <w:rFonts w:eastAsia="Verdana" w:cs="Verdana"/>
          <w:sz w:val="20"/>
          <w:szCs w:val="20"/>
          <w:lang w:eastAsia="en-US"/>
        </w:rPr>
        <w:t xml:space="preserve">a </w:t>
      </w:r>
      <w:r w:rsidRPr="0001748B">
        <w:rPr>
          <w:rFonts w:eastAsia="Verdana" w:cs="Verdana"/>
          <w:spacing w:val="1"/>
          <w:sz w:val="20"/>
          <w:szCs w:val="20"/>
          <w:lang w:eastAsia="en-US"/>
        </w:rPr>
        <w:t>intermedia</w:t>
      </w:r>
      <w:r w:rsidRPr="0001748B">
        <w:rPr>
          <w:rFonts w:eastAsia="Verdana" w:cs="Verdana"/>
          <w:sz w:val="20"/>
          <w:szCs w:val="20"/>
          <w:lang w:eastAsia="en-US"/>
        </w:rPr>
        <w:t>, a la espera de la celebración de la audiencia preliminar, la cual no ha</w:t>
      </w:r>
      <w:r w:rsidR="00FA1B6E" w:rsidRPr="0001748B">
        <w:rPr>
          <w:rFonts w:eastAsia="Verdana" w:cs="Verdana"/>
          <w:sz w:val="20"/>
          <w:szCs w:val="20"/>
          <w:lang w:eastAsia="en-US"/>
        </w:rPr>
        <w:t>bría</w:t>
      </w:r>
      <w:r w:rsidRPr="0001748B">
        <w:rPr>
          <w:rFonts w:eastAsia="Verdana" w:cs="Verdana"/>
          <w:sz w:val="20"/>
          <w:szCs w:val="20"/>
          <w:lang w:eastAsia="en-US"/>
        </w:rPr>
        <w:t xml:space="preserve"> podido realizarse </w:t>
      </w:r>
      <w:r w:rsidRPr="0001748B">
        <w:rPr>
          <w:rFonts w:eastAsia="Verdana" w:cs="Verdana"/>
          <w:spacing w:val="1"/>
          <w:sz w:val="20"/>
          <w:szCs w:val="20"/>
          <w:lang w:eastAsia="en-US"/>
        </w:rPr>
        <w:t>d</w:t>
      </w:r>
      <w:r w:rsidRPr="0001748B">
        <w:rPr>
          <w:rFonts w:eastAsia="Verdana" w:cs="Verdana"/>
          <w:spacing w:val="-1"/>
          <w:sz w:val="20"/>
          <w:szCs w:val="20"/>
          <w:lang w:eastAsia="en-US"/>
        </w:rPr>
        <w:t>e</w:t>
      </w:r>
      <w:r w:rsidRPr="0001748B">
        <w:rPr>
          <w:rFonts w:eastAsia="Verdana" w:cs="Verdana"/>
          <w:spacing w:val="3"/>
          <w:sz w:val="20"/>
          <w:szCs w:val="20"/>
          <w:lang w:eastAsia="en-US"/>
        </w:rPr>
        <w:t>bi</w:t>
      </w:r>
      <w:r w:rsidRPr="0001748B">
        <w:rPr>
          <w:rFonts w:eastAsia="Verdana" w:cs="Verdana"/>
          <w:spacing w:val="1"/>
          <w:sz w:val="20"/>
          <w:szCs w:val="20"/>
          <w:lang w:eastAsia="en-US"/>
        </w:rPr>
        <w:t>d</w:t>
      </w:r>
      <w:r w:rsidRPr="0001748B">
        <w:rPr>
          <w:rFonts w:eastAsia="Verdana" w:cs="Verdana"/>
          <w:sz w:val="20"/>
          <w:szCs w:val="20"/>
          <w:lang w:eastAsia="en-US"/>
        </w:rPr>
        <w:t>o</w:t>
      </w:r>
      <w:r w:rsidRPr="0001748B">
        <w:rPr>
          <w:rFonts w:eastAsia="Verdana" w:cs="Verdana"/>
          <w:spacing w:val="3"/>
          <w:sz w:val="20"/>
          <w:szCs w:val="20"/>
          <w:lang w:eastAsia="en-US"/>
        </w:rPr>
        <w:t xml:space="preserve"> </w:t>
      </w:r>
      <w:r w:rsidRPr="0001748B">
        <w:rPr>
          <w:rFonts w:eastAsia="Verdana" w:cs="Verdana"/>
          <w:sz w:val="20"/>
          <w:szCs w:val="20"/>
          <w:lang w:eastAsia="en-US"/>
        </w:rPr>
        <w:t>a</w:t>
      </w:r>
      <w:r w:rsidRPr="0001748B">
        <w:rPr>
          <w:rFonts w:eastAsia="Verdana" w:cs="Verdana"/>
          <w:spacing w:val="8"/>
          <w:sz w:val="20"/>
          <w:szCs w:val="20"/>
          <w:lang w:eastAsia="en-US"/>
        </w:rPr>
        <w:t xml:space="preserve"> </w:t>
      </w:r>
      <w:r w:rsidRPr="0001748B">
        <w:rPr>
          <w:rFonts w:eastAsia="Verdana" w:cs="Verdana"/>
          <w:spacing w:val="3"/>
          <w:sz w:val="20"/>
          <w:szCs w:val="20"/>
          <w:lang w:eastAsia="en-US"/>
        </w:rPr>
        <w:t>l</w:t>
      </w:r>
      <w:r w:rsidRPr="0001748B">
        <w:rPr>
          <w:rFonts w:eastAsia="Verdana" w:cs="Verdana"/>
          <w:sz w:val="20"/>
          <w:szCs w:val="20"/>
          <w:lang w:eastAsia="en-US"/>
        </w:rPr>
        <w:t>a</w:t>
      </w:r>
      <w:r w:rsidRPr="0001748B">
        <w:rPr>
          <w:rFonts w:eastAsia="Verdana" w:cs="Verdana"/>
          <w:spacing w:val="7"/>
          <w:sz w:val="20"/>
          <w:szCs w:val="20"/>
          <w:lang w:eastAsia="en-US"/>
        </w:rPr>
        <w:t xml:space="preserve"> </w:t>
      </w:r>
      <w:r w:rsidRPr="0001748B">
        <w:rPr>
          <w:rFonts w:eastAsia="Verdana" w:cs="Verdana"/>
          <w:spacing w:val="1"/>
          <w:sz w:val="20"/>
          <w:szCs w:val="20"/>
          <w:lang w:eastAsia="en-US"/>
        </w:rPr>
        <w:t>in</w:t>
      </w:r>
      <w:r w:rsidRPr="0001748B">
        <w:rPr>
          <w:rFonts w:eastAsia="Verdana" w:cs="Verdana"/>
          <w:spacing w:val="-1"/>
          <w:sz w:val="20"/>
          <w:szCs w:val="20"/>
          <w:lang w:eastAsia="en-US"/>
        </w:rPr>
        <w:t>co</w:t>
      </w:r>
      <w:r w:rsidRPr="0001748B">
        <w:rPr>
          <w:rFonts w:eastAsia="Verdana" w:cs="Verdana"/>
          <w:spacing w:val="1"/>
          <w:sz w:val="20"/>
          <w:szCs w:val="20"/>
          <w:lang w:eastAsia="en-US"/>
        </w:rPr>
        <w:t>mp</w:t>
      </w:r>
      <w:r w:rsidRPr="0001748B">
        <w:rPr>
          <w:rFonts w:eastAsia="Verdana" w:cs="Verdana"/>
          <w:sz w:val="20"/>
          <w:szCs w:val="20"/>
          <w:lang w:eastAsia="en-US"/>
        </w:rPr>
        <w:t>a</w:t>
      </w:r>
      <w:r w:rsidRPr="0001748B">
        <w:rPr>
          <w:rFonts w:eastAsia="Verdana" w:cs="Verdana"/>
          <w:spacing w:val="-1"/>
          <w:sz w:val="20"/>
          <w:szCs w:val="20"/>
          <w:lang w:eastAsia="en-US"/>
        </w:rPr>
        <w:t>r</w:t>
      </w:r>
      <w:r w:rsidRPr="0001748B">
        <w:rPr>
          <w:rFonts w:eastAsia="Verdana" w:cs="Verdana"/>
          <w:spacing w:val="1"/>
          <w:sz w:val="20"/>
          <w:szCs w:val="20"/>
          <w:lang w:eastAsia="en-US"/>
        </w:rPr>
        <w:t>e</w:t>
      </w:r>
      <w:r w:rsidRPr="0001748B">
        <w:rPr>
          <w:rFonts w:eastAsia="Verdana" w:cs="Verdana"/>
          <w:spacing w:val="2"/>
          <w:sz w:val="20"/>
          <w:szCs w:val="20"/>
          <w:lang w:eastAsia="en-US"/>
        </w:rPr>
        <w:t>c</w:t>
      </w:r>
      <w:r w:rsidRPr="0001748B">
        <w:rPr>
          <w:rFonts w:eastAsia="Verdana" w:cs="Verdana"/>
          <w:spacing w:val="-1"/>
          <w:sz w:val="20"/>
          <w:szCs w:val="20"/>
          <w:lang w:eastAsia="en-US"/>
        </w:rPr>
        <w:t>e</w:t>
      </w:r>
      <w:r w:rsidRPr="0001748B">
        <w:rPr>
          <w:rFonts w:eastAsia="Verdana" w:cs="Verdana"/>
          <w:spacing w:val="1"/>
          <w:sz w:val="20"/>
          <w:szCs w:val="20"/>
          <w:lang w:eastAsia="en-US"/>
        </w:rPr>
        <w:t>n</w:t>
      </w:r>
      <w:r w:rsidRPr="0001748B">
        <w:rPr>
          <w:rFonts w:eastAsia="Verdana" w:cs="Verdana"/>
          <w:spacing w:val="-1"/>
          <w:sz w:val="20"/>
          <w:szCs w:val="20"/>
          <w:lang w:eastAsia="en-US"/>
        </w:rPr>
        <w:t>c</w:t>
      </w:r>
      <w:r w:rsidRPr="0001748B">
        <w:rPr>
          <w:rFonts w:eastAsia="Verdana" w:cs="Verdana"/>
          <w:spacing w:val="3"/>
          <w:sz w:val="20"/>
          <w:szCs w:val="20"/>
          <w:lang w:eastAsia="en-US"/>
        </w:rPr>
        <w:t>i</w:t>
      </w:r>
      <w:r w:rsidRPr="0001748B">
        <w:rPr>
          <w:rFonts w:eastAsia="Verdana" w:cs="Verdana"/>
          <w:sz w:val="20"/>
          <w:szCs w:val="20"/>
          <w:lang w:eastAsia="en-US"/>
        </w:rPr>
        <w:t xml:space="preserve">a </w:t>
      </w:r>
      <w:r w:rsidRPr="0001748B">
        <w:rPr>
          <w:rFonts w:eastAsia="Verdana" w:cs="Verdana"/>
          <w:spacing w:val="1"/>
          <w:sz w:val="20"/>
          <w:szCs w:val="20"/>
          <w:lang w:eastAsia="en-US"/>
        </w:rPr>
        <w:t>d</w:t>
      </w:r>
      <w:r w:rsidRPr="0001748B">
        <w:rPr>
          <w:rFonts w:eastAsia="Verdana" w:cs="Verdana"/>
          <w:spacing w:val="-1"/>
          <w:sz w:val="20"/>
          <w:szCs w:val="20"/>
          <w:lang w:eastAsia="en-US"/>
        </w:rPr>
        <w:t>e</w:t>
      </w:r>
      <w:r w:rsidRPr="0001748B">
        <w:rPr>
          <w:rFonts w:eastAsia="Verdana" w:cs="Verdana"/>
          <w:sz w:val="20"/>
          <w:szCs w:val="20"/>
          <w:lang w:eastAsia="en-US"/>
        </w:rPr>
        <w:t>l</w:t>
      </w:r>
      <w:r w:rsidRPr="0001748B">
        <w:rPr>
          <w:rFonts w:eastAsia="Verdana" w:cs="Verdana"/>
          <w:spacing w:val="-1"/>
          <w:sz w:val="20"/>
          <w:szCs w:val="20"/>
          <w:lang w:eastAsia="en-US"/>
        </w:rPr>
        <w:t xml:space="preserve"> </w:t>
      </w:r>
      <w:r w:rsidRPr="0001748B">
        <w:rPr>
          <w:rFonts w:eastAsia="Verdana" w:cs="Verdana"/>
          <w:spacing w:val="1"/>
          <w:sz w:val="20"/>
          <w:szCs w:val="20"/>
          <w:lang w:eastAsia="en-US"/>
        </w:rPr>
        <w:t>imputado</w:t>
      </w:r>
      <w:r w:rsidRPr="0001748B">
        <w:rPr>
          <w:rFonts w:eastAsia="Verdana" w:cs="Verdana"/>
          <w:sz w:val="20"/>
          <w:szCs w:val="20"/>
          <w:lang w:eastAsia="en-US"/>
        </w:rPr>
        <w:t>,</w:t>
      </w:r>
      <w:r w:rsidRPr="0001748B">
        <w:rPr>
          <w:rFonts w:eastAsia="Verdana" w:cs="Verdana"/>
          <w:spacing w:val="-8"/>
          <w:sz w:val="20"/>
          <w:szCs w:val="20"/>
          <w:lang w:eastAsia="en-US"/>
        </w:rPr>
        <w:t xml:space="preserve"> </w:t>
      </w:r>
      <w:r w:rsidRPr="0001748B">
        <w:rPr>
          <w:rFonts w:eastAsia="Verdana" w:cs="Verdana"/>
          <w:sz w:val="20"/>
          <w:szCs w:val="20"/>
          <w:lang w:eastAsia="en-US"/>
        </w:rPr>
        <w:t>a</w:t>
      </w:r>
      <w:r w:rsidRPr="0001748B">
        <w:rPr>
          <w:rFonts w:eastAsia="Verdana" w:cs="Verdana"/>
          <w:spacing w:val="-1"/>
          <w:sz w:val="20"/>
          <w:szCs w:val="20"/>
          <w:lang w:eastAsia="en-US"/>
        </w:rPr>
        <w:t xml:space="preserve"> </w:t>
      </w:r>
      <w:r w:rsidRPr="0001748B">
        <w:rPr>
          <w:rFonts w:eastAsia="Verdana" w:cs="Verdana"/>
          <w:spacing w:val="1"/>
          <w:sz w:val="20"/>
          <w:szCs w:val="20"/>
          <w:lang w:eastAsia="en-US"/>
        </w:rPr>
        <w:t>pe</w:t>
      </w:r>
      <w:r w:rsidRPr="0001748B">
        <w:rPr>
          <w:rFonts w:eastAsia="Verdana" w:cs="Verdana"/>
          <w:spacing w:val="-1"/>
          <w:sz w:val="20"/>
          <w:szCs w:val="20"/>
          <w:lang w:eastAsia="en-US"/>
        </w:rPr>
        <w:t>s</w:t>
      </w:r>
      <w:r w:rsidRPr="0001748B">
        <w:rPr>
          <w:rFonts w:eastAsia="Verdana" w:cs="Verdana"/>
          <w:sz w:val="20"/>
          <w:szCs w:val="20"/>
          <w:lang w:eastAsia="en-US"/>
        </w:rPr>
        <w:t>ar</w:t>
      </w:r>
      <w:r w:rsidRPr="0001748B">
        <w:rPr>
          <w:rFonts w:eastAsia="Verdana" w:cs="Verdana"/>
          <w:spacing w:val="-6"/>
          <w:sz w:val="20"/>
          <w:szCs w:val="20"/>
          <w:lang w:eastAsia="en-US"/>
        </w:rPr>
        <w:t xml:space="preserve"> </w:t>
      </w:r>
      <w:r w:rsidRPr="0001748B">
        <w:rPr>
          <w:rFonts w:eastAsia="Verdana" w:cs="Verdana"/>
          <w:spacing w:val="1"/>
          <w:sz w:val="20"/>
          <w:szCs w:val="20"/>
          <w:lang w:eastAsia="en-US"/>
        </w:rPr>
        <w:t>d</w:t>
      </w:r>
      <w:r w:rsidRPr="0001748B">
        <w:rPr>
          <w:rFonts w:eastAsia="Verdana" w:cs="Verdana"/>
          <w:sz w:val="20"/>
          <w:szCs w:val="20"/>
          <w:lang w:eastAsia="en-US"/>
        </w:rPr>
        <w:t>e</w:t>
      </w:r>
      <w:r w:rsidRPr="0001748B">
        <w:rPr>
          <w:rFonts w:eastAsia="Verdana" w:cs="Verdana"/>
          <w:spacing w:val="-4"/>
          <w:sz w:val="20"/>
          <w:szCs w:val="20"/>
          <w:lang w:eastAsia="en-US"/>
        </w:rPr>
        <w:t xml:space="preserve"> </w:t>
      </w:r>
      <w:r w:rsidRPr="0001748B">
        <w:rPr>
          <w:rFonts w:eastAsia="Verdana" w:cs="Verdana"/>
          <w:spacing w:val="3"/>
          <w:sz w:val="20"/>
          <w:szCs w:val="20"/>
          <w:lang w:eastAsia="en-US"/>
        </w:rPr>
        <w:t>l</w:t>
      </w:r>
      <w:r w:rsidRPr="0001748B">
        <w:rPr>
          <w:rFonts w:eastAsia="Verdana" w:cs="Verdana"/>
          <w:sz w:val="20"/>
          <w:szCs w:val="20"/>
          <w:lang w:eastAsia="en-US"/>
        </w:rPr>
        <w:t>a</w:t>
      </w:r>
      <w:r w:rsidRPr="0001748B">
        <w:rPr>
          <w:rFonts w:eastAsia="Verdana" w:cs="Verdana"/>
          <w:spacing w:val="-2"/>
          <w:sz w:val="20"/>
          <w:szCs w:val="20"/>
          <w:lang w:eastAsia="en-US"/>
        </w:rPr>
        <w:t xml:space="preserve"> </w:t>
      </w:r>
      <w:r w:rsidRPr="0001748B">
        <w:rPr>
          <w:rFonts w:eastAsia="Verdana" w:cs="Verdana"/>
          <w:spacing w:val="-1"/>
          <w:sz w:val="20"/>
          <w:szCs w:val="20"/>
          <w:lang w:eastAsia="en-US"/>
        </w:rPr>
        <w:t>e</w:t>
      </w:r>
      <w:r w:rsidRPr="0001748B">
        <w:rPr>
          <w:rFonts w:eastAsia="Verdana" w:cs="Verdana"/>
          <w:sz w:val="20"/>
          <w:szCs w:val="20"/>
          <w:lang w:eastAsia="en-US"/>
        </w:rPr>
        <w:t>x</w:t>
      </w:r>
      <w:r w:rsidRPr="0001748B">
        <w:rPr>
          <w:rFonts w:eastAsia="Verdana" w:cs="Verdana"/>
          <w:spacing w:val="3"/>
          <w:sz w:val="20"/>
          <w:szCs w:val="20"/>
          <w:lang w:eastAsia="en-US"/>
        </w:rPr>
        <w:t>i</w:t>
      </w:r>
      <w:r w:rsidRPr="0001748B">
        <w:rPr>
          <w:rFonts w:eastAsia="Verdana" w:cs="Verdana"/>
          <w:spacing w:val="-1"/>
          <w:sz w:val="20"/>
          <w:szCs w:val="20"/>
          <w:lang w:eastAsia="en-US"/>
        </w:rPr>
        <w:t>s</w:t>
      </w:r>
      <w:r w:rsidRPr="0001748B">
        <w:rPr>
          <w:rFonts w:eastAsia="Verdana" w:cs="Verdana"/>
          <w:spacing w:val="1"/>
          <w:sz w:val="20"/>
          <w:szCs w:val="20"/>
          <w:lang w:eastAsia="en-US"/>
        </w:rPr>
        <w:t>t</w:t>
      </w:r>
      <w:r w:rsidRPr="0001748B">
        <w:rPr>
          <w:rFonts w:eastAsia="Verdana" w:cs="Verdana"/>
          <w:spacing w:val="-1"/>
          <w:sz w:val="20"/>
          <w:szCs w:val="20"/>
          <w:lang w:eastAsia="en-US"/>
        </w:rPr>
        <w:t>e</w:t>
      </w:r>
      <w:r w:rsidRPr="0001748B">
        <w:rPr>
          <w:rFonts w:eastAsia="Verdana" w:cs="Verdana"/>
          <w:spacing w:val="1"/>
          <w:sz w:val="20"/>
          <w:szCs w:val="20"/>
          <w:lang w:eastAsia="en-US"/>
        </w:rPr>
        <w:t>n</w:t>
      </w:r>
      <w:r w:rsidRPr="0001748B">
        <w:rPr>
          <w:rFonts w:eastAsia="Verdana" w:cs="Verdana"/>
          <w:spacing w:val="-1"/>
          <w:sz w:val="20"/>
          <w:szCs w:val="20"/>
          <w:lang w:eastAsia="en-US"/>
        </w:rPr>
        <w:t>c</w:t>
      </w:r>
      <w:r w:rsidRPr="0001748B">
        <w:rPr>
          <w:rFonts w:eastAsia="Verdana" w:cs="Verdana"/>
          <w:spacing w:val="3"/>
          <w:sz w:val="20"/>
          <w:szCs w:val="20"/>
          <w:lang w:eastAsia="en-US"/>
        </w:rPr>
        <w:t>i</w:t>
      </w:r>
      <w:r w:rsidRPr="0001748B">
        <w:rPr>
          <w:rFonts w:eastAsia="Verdana" w:cs="Verdana"/>
          <w:sz w:val="20"/>
          <w:szCs w:val="20"/>
          <w:lang w:eastAsia="en-US"/>
        </w:rPr>
        <w:t>a</w:t>
      </w:r>
      <w:r w:rsidRPr="0001748B">
        <w:rPr>
          <w:rFonts w:eastAsia="Verdana" w:cs="Verdana"/>
          <w:spacing w:val="-10"/>
          <w:sz w:val="20"/>
          <w:szCs w:val="20"/>
          <w:lang w:eastAsia="en-US"/>
        </w:rPr>
        <w:t xml:space="preserve"> </w:t>
      </w:r>
      <w:r w:rsidRPr="0001748B">
        <w:rPr>
          <w:rFonts w:eastAsia="Verdana" w:cs="Verdana"/>
          <w:spacing w:val="1"/>
          <w:sz w:val="20"/>
          <w:szCs w:val="20"/>
          <w:lang w:eastAsia="en-US"/>
        </w:rPr>
        <w:t>d</w:t>
      </w:r>
      <w:r w:rsidRPr="0001748B">
        <w:rPr>
          <w:rFonts w:eastAsia="Verdana" w:cs="Verdana"/>
          <w:sz w:val="20"/>
          <w:szCs w:val="20"/>
          <w:lang w:eastAsia="en-US"/>
        </w:rPr>
        <w:t>e</w:t>
      </w:r>
      <w:r w:rsidRPr="0001748B">
        <w:rPr>
          <w:rFonts w:eastAsia="Verdana" w:cs="Verdana"/>
          <w:spacing w:val="-4"/>
          <w:sz w:val="20"/>
          <w:szCs w:val="20"/>
          <w:lang w:eastAsia="en-US"/>
        </w:rPr>
        <w:t xml:space="preserve"> </w:t>
      </w:r>
      <w:r w:rsidRPr="0001748B">
        <w:rPr>
          <w:rFonts w:eastAsia="Verdana" w:cs="Verdana"/>
          <w:spacing w:val="1"/>
          <w:sz w:val="20"/>
          <w:szCs w:val="20"/>
          <w:lang w:eastAsia="en-US"/>
        </w:rPr>
        <w:t>un</w:t>
      </w:r>
      <w:r w:rsidRPr="0001748B">
        <w:rPr>
          <w:rFonts w:eastAsia="Verdana" w:cs="Verdana"/>
          <w:sz w:val="20"/>
          <w:szCs w:val="20"/>
          <w:lang w:eastAsia="en-US"/>
        </w:rPr>
        <w:t>a</w:t>
      </w:r>
      <w:r w:rsidRPr="0001748B">
        <w:rPr>
          <w:rFonts w:eastAsia="Verdana" w:cs="Verdana"/>
          <w:spacing w:val="-2"/>
          <w:sz w:val="20"/>
          <w:szCs w:val="20"/>
          <w:lang w:eastAsia="en-US"/>
        </w:rPr>
        <w:t xml:space="preserve"> </w:t>
      </w:r>
      <w:r w:rsidRPr="0001748B">
        <w:rPr>
          <w:rFonts w:eastAsia="Verdana" w:cs="Verdana"/>
          <w:spacing w:val="-1"/>
          <w:sz w:val="20"/>
          <w:szCs w:val="20"/>
          <w:lang w:eastAsia="en-US"/>
        </w:rPr>
        <w:t>or</w:t>
      </w:r>
      <w:r w:rsidRPr="0001748B">
        <w:rPr>
          <w:rFonts w:eastAsia="Verdana" w:cs="Verdana"/>
          <w:spacing w:val="3"/>
          <w:sz w:val="20"/>
          <w:szCs w:val="20"/>
          <w:lang w:eastAsia="en-US"/>
        </w:rPr>
        <w:t>d</w:t>
      </w:r>
      <w:r w:rsidRPr="0001748B">
        <w:rPr>
          <w:rFonts w:eastAsia="Verdana" w:cs="Verdana"/>
          <w:spacing w:val="-1"/>
          <w:sz w:val="20"/>
          <w:szCs w:val="20"/>
          <w:lang w:eastAsia="en-US"/>
        </w:rPr>
        <w:t>e</w:t>
      </w:r>
      <w:r w:rsidRPr="0001748B">
        <w:rPr>
          <w:rFonts w:eastAsia="Verdana" w:cs="Verdana"/>
          <w:sz w:val="20"/>
          <w:szCs w:val="20"/>
          <w:lang w:eastAsia="en-US"/>
        </w:rPr>
        <w:t>n</w:t>
      </w:r>
      <w:r w:rsidRPr="0001748B">
        <w:rPr>
          <w:rFonts w:eastAsia="Verdana" w:cs="Verdana"/>
          <w:spacing w:val="-6"/>
          <w:sz w:val="20"/>
          <w:szCs w:val="20"/>
          <w:lang w:eastAsia="en-US"/>
        </w:rPr>
        <w:t xml:space="preserve"> </w:t>
      </w:r>
      <w:r w:rsidRPr="0001748B">
        <w:rPr>
          <w:rFonts w:eastAsia="Verdana" w:cs="Verdana"/>
          <w:spacing w:val="1"/>
          <w:sz w:val="20"/>
          <w:szCs w:val="20"/>
          <w:lang w:eastAsia="en-US"/>
        </w:rPr>
        <w:t>d</w:t>
      </w:r>
      <w:r w:rsidRPr="0001748B">
        <w:rPr>
          <w:rFonts w:eastAsia="Verdana" w:cs="Verdana"/>
          <w:sz w:val="20"/>
          <w:szCs w:val="20"/>
          <w:lang w:eastAsia="en-US"/>
        </w:rPr>
        <w:t>e</w:t>
      </w:r>
      <w:r w:rsidRPr="0001748B">
        <w:rPr>
          <w:rFonts w:eastAsia="Verdana" w:cs="Verdana"/>
          <w:spacing w:val="-2"/>
          <w:sz w:val="20"/>
          <w:szCs w:val="20"/>
          <w:lang w:eastAsia="en-US"/>
        </w:rPr>
        <w:t xml:space="preserve"> </w:t>
      </w:r>
      <w:r w:rsidRPr="0001748B">
        <w:rPr>
          <w:rFonts w:eastAsia="Verdana" w:cs="Verdana"/>
          <w:sz w:val="20"/>
          <w:szCs w:val="20"/>
          <w:lang w:eastAsia="en-US"/>
        </w:rPr>
        <w:t>a</w:t>
      </w:r>
      <w:r w:rsidRPr="0001748B">
        <w:rPr>
          <w:rFonts w:eastAsia="Verdana" w:cs="Verdana"/>
          <w:spacing w:val="1"/>
          <w:sz w:val="20"/>
          <w:szCs w:val="20"/>
          <w:lang w:eastAsia="en-US"/>
        </w:rPr>
        <w:t>pr</w:t>
      </w:r>
      <w:r w:rsidRPr="0001748B">
        <w:rPr>
          <w:rFonts w:eastAsia="Verdana" w:cs="Verdana"/>
          <w:spacing w:val="-1"/>
          <w:sz w:val="20"/>
          <w:szCs w:val="20"/>
          <w:lang w:eastAsia="en-US"/>
        </w:rPr>
        <w:t>e</w:t>
      </w:r>
      <w:r w:rsidRPr="0001748B">
        <w:rPr>
          <w:rFonts w:eastAsia="Verdana" w:cs="Verdana"/>
          <w:spacing w:val="1"/>
          <w:sz w:val="20"/>
          <w:szCs w:val="20"/>
          <w:lang w:eastAsia="en-US"/>
        </w:rPr>
        <w:t>h</w:t>
      </w:r>
      <w:r w:rsidRPr="0001748B">
        <w:rPr>
          <w:rFonts w:eastAsia="Verdana" w:cs="Verdana"/>
          <w:spacing w:val="-1"/>
          <w:sz w:val="20"/>
          <w:szCs w:val="20"/>
          <w:lang w:eastAsia="en-US"/>
        </w:rPr>
        <w:t>e</w:t>
      </w:r>
      <w:r w:rsidRPr="0001748B">
        <w:rPr>
          <w:rFonts w:eastAsia="Verdana" w:cs="Verdana"/>
          <w:spacing w:val="1"/>
          <w:sz w:val="20"/>
          <w:szCs w:val="20"/>
          <w:lang w:eastAsia="en-US"/>
        </w:rPr>
        <w:t>n</w:t>
      </w:r>
      <w:r w:rsidRPr="0001748B">
        <w:rPr>
          <w:rFonts w:eastAsia="Verdana" w:cs="Verdana"/>
          <w:spacing w:val="-1"/>
          <w:sz w:val="20"/>
          <w:szCs w:val="20"/>
          <w:lang w:eastAsia="en-US"/>
        </w:rPr>
        <w:t>s</w:t>
      </w:r>
      <w:r w:rsidRPr="0001748B">
        <w:rPr>
          <w:rFonts w:eastAsia="Verdana" w:cs="Verdana"/>
          <w:spacing w:val="3"/>
          <w:sz w:val="20"/>
          <w:szCs w:val="20"/>
          <w:lang w:eastAsia="en-US"/>
        </w:rPr>
        <w:t>i</w:t>
      </w:r>
      <w:r w:rsidRPr="0001748B">
        <w:rPr>
          <w:rFonts w:eastAsia="Verdana" w:cs="Verdana"/>
          <w:spacing w:val="-1"/>
          <w:sz w:val="20"/>
          <w:szCs w:val="20"/>
          <w:lang w:eastAsia="en-US"/>
        </w:rPr>
        <w:t>ó</w:t>
      </w:r>
      <w:r w:rsidRPr="0001748B">
        <w:rPr>
          <w:rFonts w:eastAsia="Verdana" w:cs="Verdana"/>
          <w:sz w:val="20"/>
          <w:szCs w:val="20"/>
          <w:lang w:eastAsia="en-US"/>
        </w:rPr>
        <w:t>n</w:t>
      </w:r>
      <w:r w:rsidRPr="0001748B">
        <w:rPr>
          <w:rFonts w:eastAsia="Verdana" w:cs="Verdana"/>
          <w:spacing w:val="-12"/>
          <w:sz w:val="20"/>
          <w:szCs w:val="20"/>
          <w:lang w:eastAsia="en-US"/>
        </w:rPr>
        <w:t xml:space="preserve"> </w:t>
      </w:r>
      <w:r w:rsidRPr="0001748B">
        <w:rPr>
          <w:rFonts w:eastAsia="Verdana" w:cs="Verdana"/>
          <w:spacing w:val="-1"/>
          <w:sz w:val="20"/>
          <w:szCs w:val="20"/>
          <w:lang w:eastAsia="en-US"/>
        </w:rPr>
        <w:t>e</w:t>
      </w:r>
      <w:r w:rsidRPr="0001748B">
        <w:rPr>
          <w:rFonts w:eastAsia="Verdana" w:cs="Verdana"/>
          <w:sz w:val="20"/>
          <w:szCs w:val="20"/>
          <w:lang w:eastAsia="en-US"/>
        </w:rPr>
        <w:t>n</w:t>
      </w:r>
      <w:r w:rsidRPr="0001748B">
        <w:rPr>
          <w:rFonts w:eastAsia="Verdana" w:cs="Verdana"/>
          <w:spacing w:val="1"/>
          <w:sz w:val="20"/>
          <w:szCs w:val="20"/>
          <w:lang w:eastAsia="en-US"/>
        </w:rPr>
        <w:t xml:space="preserve"> </w:t>
      </w:r>
      <w:r w:rsidRPr="0001748B">
        <w:rPr>
          <w:rFonts w:eastAsia="Verdana" w:cs="Verdana"/>
          <w:spacing w:val="2"/>
          <w:sz w:val="20"/>
          <w:szCs w:val="20"/>
          <w:lang w:eastAsia="en-US"/>
        </w:rPr>
        <w:t>s</w:t>
      </w:r>
      <w:r w:rsidRPr="0001748B">
        <w:rPr>
          <w:rFonts w:eastAsia="Verdana" w:cs="Verdana"/>
          <w:sz w:val="20"/>
          <w:szCs w:val="20"/>
          <w:lang w:eastAsia="en-US"/>
        </w:rPr>
        <w:t>u</w:t>
      </w:r>
      <w:r w:rsidRPr="0001748B">
        <w:rPr>
          <w:rFonts w:eastAsia="Verdana" w:cs="Verdana"/>
          <w:spacing w:val="-2"/>
          <w:sz w:val="20"/>
          <w:szCs w:val="20"/>
          <w:lang w:eastAsia="en-US"/>
        </w:rPr>
        <w:t xml:space="preserve"> </w:t>
      </w:r>
      <w:r w:rsidRPr="0001748B">
        <w:rPr>
          <w:rFonts w:eastAsia="Verdana" w:cs="Verdana"/>
          <w:spacing w:val="-1"/>
          <w:sz w:val="20"/>
          <w:szCs w:val="20"/>
          <w:lang w:eastAsia="en-US"/>
        </w:rPr>
        <w:t>co</w:t>
      </w:r>
      <w:r w:rsidRPr="0001748B">
        <w:rPr>
          <w:rFonts w:eastAsia="Verdana" w:cs="Verdana"/>
          <w:spacing w:val="1"/>
          <w:sz w:val="20"/>
          <w:szCs w:val="20"/>
          <w:lang w:eastAsia="en-US"/>
        </w:rPr>
        <w:t>nt</w:t>
      </w:r>
      <w:r w:rsidRPr="0001748B">
        <w:rPr>
          <w:rFonts w:eastAsia="Verdana" w:cs="Verdana"/>
          <w:spacing w:val="-1"/>
          <w:sz w:val="20"/>
          <w:szCs w:val="20"/>
          <w:lang w:eastAsia="en-US"/>
        </w:rPr>
        <w:t>r</w:t>
      </w:r>
      <w:r w:rsidRPr="0001748B">
        <w:rPr>
          <w:rFonts w:eastAsia="Verdana" w:cs="Verdana"/>
          <w:spacing w:val="3"/>
          <w:sz w:val="20"/>
          <w:szCs w:val="20"/>
          <w:lang w:eastAsia="en-US"/>
        </w:rPr>
        <w:t>a</w:t>
      </w:r>
      <w:r w:rsidRPr="0001748B">
        <w:rPr>
          <w:rFonts w:eastAsia="Verdana" w:cs="Verdana"/>
          <w:sz w:val="20"/>
          <w:szCs w:val="20"/>
          <w:lang w:eastAsia="en-US"/>
        </w:rPr>
        <w:t>.</w:t>
      </w:r>
      <w:r w:rsidRPr="0001748B">
        <w:rPr>
          <w:rFonts w:eastAsia="Verdana" w:cs="Verdana"/>
          <w:spacing w:val="-5"/>
          <w:sz w:val="20"/>
          <w:szCs w:val="20"/>
          <w:lang w:eastAsia="en-US"/>
        </w:rPr>
        <w:t xml:space="preserve"> </w:t>
      </w:r>
      <w:r w:rsidRPr="0001748B">
        <w:rPr>
          <w:rFonts w:eastAsia="Batang"/>
          <w:sz w:val="20"/>
          <w:lang w:eastAsia="en-US"/>
        </w:rPr>
        <w:t>Toda vez que dichos alegatos entran en contradicción con el alcance material del reconocimiento parcial de responsabilidad en lo referente a la demora injustificada en la tramitación del proceso interno (</w:t>
      </w:r>
      <w:r w:rsidRPr="0001748B">
        <w:rPr>
          <w:rFonts w:eastAsia="Batang"/>
          <w:i/>
          <w:sz w:val="20"/>
          <w:lang w:eastAsia="en-US"/>
        </w:rPr>
        <w:t>supra</w:t>
      </w:r>
      <w:r w:rsidRPr="0001748B">
        <w:rPr>
          <w:rFonts w:eastAsia="Batang"/>
          <w:sz w:val="20"/>
          <w:lang w:eastAsia="en-US"/>
        </w:rPr>
        <w:t xml:space="preserve"> párr. </w:t>
      </w:r>
      <w:r w:rsidR="0089314C">
        <w:rPr>
          <w:rFonts w:eastAsia="Batang"/>
          <w:sz w:val="20"/>
          <w:lang w:eastAsia="en-US"/>
        </w:rPr>
        <w:t>14</w:t>
      </w:r>
      <w:r w:rsidRPr="0001748B">
        <w:rPr>
          <w:rFonts w:eastAsia="Batang"/>
          <w:sz w:val="20"/>
          <w:lang w:eastAsia="en-US"/>
        </w:rPr>
        <w:t>), la Corte no se referirá a la excepción preliminar interpuesta en el presente caso.</w:t>
      </w:r>
    </w:p>
    <w:p w:rsidR="00866198" w:rsidRPr="0001748B" w:rsidRDefault="00866198" w:rsidP="00866198">
      <w:pPr>
        <w:widowControl/>
        <w:autoSpaceDE w:val="0"/>
        <w:autoSpaceDN w:val="0"/>
        <w:spacing w:line="240" w:lineRule="auto"/>
        <w:textAlignment w:val="auto"/>
        <w:rPr>
          <w:rFonts w:eastAsia="Batang"/>
          <w:sz w:val="20"/>
          <w:lang w:eastAsia="en-US"/>
        </w:rPr>
      </w:pPr>
    </w:p>
    <w:p w:rsidR="00FA1B6E" w:rsidRPr="0001748B" w:rsidRDefault="00FA1B6E" w:rsidP="00FA1B6E">
      <w:pPr>
        <w:numPr>
          <w:ilvl w:val="0"/>
          <w:numId w:val="1"/>
        </w:numPr>
        <w:tabs>
          <w:tab w:val="left" w:pos="567"/>
          <w:tab w:val="num" w:pos="1569"/>
          <w:tab w:val="num" w:pos="12305"/>
        </w:tabs>
        <w:spacing w:line="240" w:lineRule="auto"/>
        <w:ind w:left="0" w:firstLine="0"/>
        <w:rPr>
          <w:rFonts w:eastAsia="Calibri" w:cs="Verdana"/>
          <w:bCs/>
          <w:snapToGrid w:val="0"/>
          <w:sz w:val="20"/>
          <w:szCs w:val="20"/>
          <w:lang w:eastAsia="es-ES"/>
        </w:rPr>
      </w:pPr>
      <w:r w:rsidRPr="0001748B">
        <w:rPr>
          <w:rFonts w:eastAsia="Calibri" w:cs="Verdana"/>
          <w:snapToGrid w:val="0"/>
          <w:sz w:val="20"/>
          <w:szCs w:val="20"/>
          <w:lang w:eastAsia="es-ES"/>
        </w:rPr>
        <w:t>En virtud de lo anterior y de las atribuciones que le incumben como órgano internacional de protección de los derechos humanos, la Corte estima necesario, en atención a las particularidades de los hechos sucedidos en el presente caso</w:t>
      </w:r>
      <w:r w:rsidRPr="0001748B">
        <w:rPr>
          <w:rFonts w:eastAsia="Calibri" w:cs="Verdana"/>
          <w:bCs/>
          <w:snapToGrid w:val="0"/>
          <w:sz w:val="20"/>
          <w:szCs w:val="20"/>
          <w:lang w:eastAsia="es-ES"/>
        </w:rPr>
        <w:t xml:space="preserve"> y</w:t>
      </w:r>
      <w:r w:rsidRPr="0001748B">
        <w:rPr>
          <w:rFonts w:eastAsia="Calibri" w:cs="Verdana"/>
          <w:snapToGrid w:val="0"/>
          <w:sz w:val="20"/>
          <w:szCs w:val="20"/>
          <w:lang w:eastAsia="es-ES"/>
        </w:rPr>
        <w:t xml:space="preserve"> a la forma como se ha desarrollado la investigación penal a nivel interno, dictar una sentencia en la cual se determinen los hechos ocurridos de acuerdo a la prueba recabada en el proceso ante este Tribunal, </w:t>
      </w:r>
      <w:r w:rsidRPr="0001748B">
        <w:rPr>
          <w:rFonts w:eastAsia="Calibri" w:cs="Times"/>
          <w:snapToGrid w:val="0"/>
          <w:sz w:val="20"/>
          <w:szCs w:val="20"/>
          <w:lang w:eastAsia="es-ES"/>
        </w:rPr>
        <w:t>toda</w:t>
      </w:r>
      <w:r w:rsidRPr="0001748B">
        <w:rPr>
          <w:rFonts w:eastAsia="Calibri" w:cs="Verdana"/>
          <w:snapToGrid w:val="0"/>
          <w:sz w:val="20"/>
          <w:szCs w:val="20"/>
          <w:lang w:eastAsia="es-ES"/>
        </w:rPr>
        <w:t xml:space="preserve"> vez que ello contribuye a la reparación de los familiares del señor Ortiz Hernández, a evitar que se repitan hechos similares y a satisfacer, en suma, los fines de la jurisdicción interamericana sobre derechos humanos.</w:t>
      </w:r>
    </w:p>
    <w:p w:rsidR="00FA1B6E" w:rsidRPr="0001748B" w:rsidRDefault="00FA1B6E" w:rsidP="00FA1B6E">
      <w:pPr>
        <w:widowControl/>
        <w:autoSpaceDE w:val="0"/>
        <w:autoSpaceDN w:val="0"/>
        <w:spacing w:line="240" w:lineRule="auto"/>
        <w:textAlignment w:val="auto"/>
        <w:rPr>
          <w:rFonts w:eastAsia="Calibri" w:cs="Verdana"/>
          <w:snapToGrid w:val="0"/>
          <w:sz w:val="20"/>
          <w:szCs w:val="20"/>
          <w:lang w:eastAsia="es-ES"/>
        </w:rPr>
      </w:pPr>
    </w:p>
    <w:p w:rsidR="00FA1B6E" w:rsidRPr="0001748B" w:rsidRDefault="00FA1B6E" w:rsidP="00FA1B6E">
      <w:pPr>
        <w:numPr>
          <w:ilvl w:val="0"/>
          <w:numId w:val="1"/>
        </w:numPr>
        <w:tabs>
          <w:tab w:val="left" w:pos="567"/>
          <w:tab w:val="num" w:pos="1569"/>
          <w:tab w:val="num" w:pos="12305"/>
        </w:tabs>
        <w:spacing w:line="240" w:lineRule="auto"/>
        <w:ind w:left="0" w:firstLine="0"/>
        <w:rPr>
          <w:rFonts w:eastAsia="Calibri" w:cs="Verdana"/>
          <w:bCs/>
          <w:snapToGrid w:val="0"/>
          <w:sz w:val="20"/>
          <w:szCs w:val="20"/>
          <w:lang w:eastAsia="es-ES"/>
        </w:rPr>
      </w:pPr>
      <w:r w:rsidRPr="0001748B">
        <w:rPr>
          <w:rFonts w:eastAsia="Calibri" w:cs="Verdana"/>
          <w:snapToGrid w:val="0"/>
          <w:sz w:val="20"/>
          <w:szCs w:val="20"/>
          <w:lang w:eastAsia="es-ES"/>
        </w:rPr>
        <w:t xml:space="preserve">De igual forma y </w:t>
      </w:r>
      <w:r w:rsidRPr="0001748B">
        <w:rPr>
          <w:rFonts w:eastAsia="Batang"/>
          <w:sz w:val="20"/>
          <w:lang w:eastAsia="en-US"/>
        </w:rPr>
        <w:t>en aras de asegurar una mejor comprensión de la responsabilidad internacional estatal en el presente caso y del nexo causal entre las violaciones establecidas y las reparaciones que se ordenarán, la Corte estima pertinente precisar las violaciones a los derechos humanos que</w:t>
      </w:r>
      <w:r w:rsidR="00BE60C8">
        <w:rPr>
          <w:rFonts w:eastAsia="Batang"/>
          <w:sz w:val="20"/>
          <w:lang w:eastAsia="en-US"/>
        </w:rPr>
        <w:t xml:space="preserve"> acontecieron en el presente caso</w:t>
      </w:r>
      <w:r w:rsidRPr="0001748B">
        <w:rPr>
          <w:rFonts w:eastAsia="Batang"/>
          <w:sz w:val="20"/>
          <w:lang w:eastAsia="en-US"/>
        </w:rPr>
        <w:t>.</w:t>
      </w:r>
    </w:p>
    <w:p w:rsidR="00866198" w:rsidRPr="0001748B" w:rsidRDefault="00866198" w:rsidP="00866198">
      <w:pPr>
        <w:widowControl/>
        <w:autoSpaceDE w:val="0"/>
        <w:autoSpaceDN w:val="0"/>
        <w:spacing w:line="240" w:lineRule="auto"/>
        <w:textAlignment w:val="auto"/>
        <w:rPr>
          <w:rFonts w:eastAsia="Batang"/>
          <w:bCs/>
          <w:sz w:val="20"/>
          <w:lang w:eastAsia="en-US"/>
        </w:rPr>
      </w:pPr>
      <w:bookmarkStart w:id="46" w:name="_Ref405769497"/>
    </w:p>
    <w:p w:rsidR="00551E80" w:rsidRPr="0001748B" w:rsidRDefault="00551E80" w:rsidP="00551E80">
      <w:pPr>
        <w:keepNext/>
        <w:keepLines/>
        <w:tabs>
          <w:tab w:val="left" w:pos="851"/>
        </w:tabs>
        <w:spacing w:line="240" w:lineRule="auto"/>
        <w:jc w:val="center"/>
        <w:outlineLvl w:val="0"/>
        <w:rPr>
          <w:rFonts w:cs="Verdana"/>
          <w:b/>
          <w:bCs/>
          <w:caps/>
          <w:snapToGrid w:val="0"/>
          <w:sz w:val="20"/>
          <w:szCs w:val="20"/>
        </w:rPr>
      </w:pPr>
      <w:bookmarkStart w:id="47" w:name="_Toc375517114"/>
      <w:bookmarkStart w:id="48" w:name="_Toc459158102"/>
      <w:bookmarkStart w:id="49" w:name="_Toc470180046"/>
      <w:bookmarkStart w:id="50" w:name="_Toc495658655"/>
      <w:bookmarkEnd w:id="46"/>
      <w:r w:rsidRPr="0001748B">
        <w:rPr>
          <w:rFonts w:cs="Verdana"/>
          <w:b/>
          <w:bCs/>
          <w:caps/>
          <w:snapToGrid w:val="0"/>
          <w:sz w:val="20"/>
          <w:szCs w:val="20"/>
        </w:rPr>
        <w:lastRenderedPageBreak/>
        <w:t>V</w:t>
      </w:r>
      <w:r w:rsidRPr="0001748B">
        <w:rPr>
          <w:rFonts w:cs="Verdana"/>
          <w:b/>
          <w:bCs/>
          <w:caps/>
          <w:snapToGrid w:val="0"/>
          <w:sz w:val="20"/>
          <w:szCs w:val="20"/>
        </w:rPr>
        <w:br/>
        <w:t>PRUEBA</w:t>
      </w:r>
      <w:bookmarkEnd w:id="47"/>
      <w:bookmarkEnd w:id="48"/>
      <w:bookmarkEnd w:id="49"/>
      <w:bookmarkEnd w:id="50"/>
    </w:p>
    <w:p w:rsidR="00551E80" w:rsidRPr="0001748B" w:rsidRDefault="00551E80" w:rsidP="00551E80">
      <w:pPr>
        <w:tabs>
          <w:tab w:val="left" w:pos="720"/>
          <w:tab w:val="num" w:pos="1569"/>
        </w:tabs>
        <w:spacing w:line="240" w:lineRule="auto"/>
        <w:ind w:right="-90"/>
        <w:rPr>
          <w:rFonts w:cs="Verdana"/>
          <w:caps/>
          <w:snapToGrid w:val="0"/>
          <w:sz w:val="20"/>
          <w:szCs w:val="20"/>
        </w:rPr>
      </w:pPr>
    </w:p>
    <w:p w:rsidR="00551E80" w:rsidRPr="0001748B" w:rsidRDefault="00551E80" w:rsidP="00551E80">
      <w:pPr>
        <w:numPr>
          <w:ilvl w:val="0"/>
          <w:numId w:val="1"/>
        </w:numPr>
        <w:tabs>
          <w:tab w:val="left" w:pos="567"/>
        </w:tabs>
        <w:spacing w:line="240" w:lineRule="auto"/>
        <w:ind w:left="0" w:firstLine="0"/>
        <w:rPr>
          <w:rFonts w:cs="Verdana"/>
          <w:sz w:val="20"/>
          <w:szCs w:val="20"/>
        </w:rPr>
      </w:pPr>
      <w:r w:rsidRPr="0001748B">
        <w:rPr>
          <w:sz w:val="20"/>
          <w:szCs w:val="20"/>
        </w:rPr>
        <w:t>Con base en lo establecido en los artículos 46</w:t>
      </w:r>
      <w:r w:rsidRPr="0001748B">
        <w:rPr>
          <w:rFonts w:cs="Verdana"/>
          <w:sz w:val="20"/>
          <w:szCs w:val="20"/>
          <w:lang w:eastAsia="en-US"/>
        </w:rPr>
        <w:t xml:space="preserve"> a 51</w:t>
      </w:r>
      <w:r w:rsidR="006E1EEB">
        <w:rPr>
          <w:sz w:val="20"/>
          <w:szCs w:val="20"/>
        </w:rPr>
        <w:t xml:space="preserve"> y</w:t>
      </w:r>
      <w:r w:rsidRPr="0001748B">
        <w:rPr>
          <w:sz w:val="20"/>
          <w:szCs w:val="20"/>
        </w:rPr>
        <w:t xml:space="preserve"> 57</w:t>
      </w:r>
      <w:r w:rsidR="00E32E0D">
        <w:rPr>
          <w:sz w:val="20"/>
          <w:szCs w:val="20"/>
        </w:rPr>
        <w:t xml:space="preserve"> </w:t>
      </w:r>
      <w:r w:rsidR="006E1EEB">
        <w:rPr>
          <w:sz w:val="20"/>
          <w:szCs w:val="20"/>
        </w:rPr>
        <w:t>a 60</w:t>
      </w:r>
      <w:r w:rsidRPr="0001748B">
        <w:rPr>
          <w:sz w:val="20"/>
          <w:szCs w:val="20"/>
        </w:rPr>
        <w:t xml:space="preserve"> del Reglamento, la Corte examinará </w:t>
      </w:r>
      <w:r w:rsidRPr="0001748B">
        <w:rPr>
          <w:rFonts w:cs="Verdana"/>
          <w:sz w:val="20"/>
          <w:szCs w:val="20"/>
          <w:lang w:eastAsia="en-US"/>
        </w:rPr>
        <w:t xml:space="preserve">la admisibilidad de </w:t>
      </w:r>
      <w:r w:rsidRPr="0001748B">
        <w:rPr>
          <w:sz w:val="20"/>
          <w:szCs w:val="20"/>
        </w:rPr>
        <w:t xml:space="preserve">los elementos probatorios documentales remitidos por las partes en diversas oportunidades procesales, las declaraciones, </w:t>
      </w:r>
      <w:r w:rsidRPr="0001748B">
        <w:rPr>
          <w:rFonts w:cs="Verdana"/>
          <w:sz w:val="20"/>
          <w:szCs w:val="20"/>
        </w:rPr>
        <w:t>testimonios y peritajes rendidos mediante declaración ante fedatario público (</w:t>
      </w:r>
      <w:r w:rsidRPr="0001748B">
        <w:rPr>
          <w:rFonts w:cs="Verdana"/>
          <w:i/>
          <w:sz w:val="20"/>
          <w:szCs w:val="20"/>
        </w:rPr>
        <w:t>affidávit</w:t>
      </w:r>
      <w:r w:rsidRPr="0001748B">
        <w:rPr>
          <w:rFonts w:cs="Verdana"/>
          <w:sz w:val="20"/>
          <w:szCs w:val="20"/>
        </w:rPr>
        <w:t>) y en la audiencia pública.</w:t>
      </w:r>
    </w:p>
    <w:p w:rsidR="00551E80" w:rsidRPr="0001748B" w:rsidRDefault="00551E80" w:rsidP="00551E80">
      <w:pPr>
        <w:spacing w:line="240" w:lineRule="auto"/>
        <w:rPr>
          <w:sz w:val="20"/>
          <w:szCs w:val="20"/>
        </w:rPr>
      </w:pPr>
    </w:p>
    <w:p w:rsidR="00AB27BD" w:rsidRPr="0001748B" w:rsidRDefault="00AB27BD" w:rsidP="00AB27BD">
      <w:pPr>
        <w:keepNext/>
        <w:keepLines/>
        <w:tabs>
          <w:tab w:val="left" w:pos="1134"/>
        </w:tabs>
        <w:spacing w:line="240" w:lineRule="auto"/>
        <w:ind w:left="567" w:firstLine="1"/>
        <w:outlineLvl w:val="1"/>
        <w:rPr>
          <w:rFonts w:eastAsia="MS Mincho"/>
          <w:b/>
          <w:bCs/>
          <w:i/>
          <w:sz w:val="20"/>
          <w:szCs w:val="20"/>
        </w:rPr>
      </w:pPr>
      <w:bookmarkStart w:id="51" w:name="_Toc375517115"/>
      <w:bookmarkStart w:id="52" w:name="_Toc459158103"/>
      <w:bookmarkStart w:id="53" w:name="_Toc470180047"/>
      <w:bookmarkStart w:id="54" w:name="_Toc495658656"/>
      <w:r w:rsidRPr="0001748B">
        <w:rPr>
          <w:rFonts w:eastAsia="MS Mincho"/>
          <w:b/>
          <w:bCs/>
          <w:i/>
          <w:sz w:val="20"/>
          <w:szCs w:val="20"/>
        </w:rPr>
        <w:t>A.</w:t>
      </w:r>
      <w:r w:rsidRPr="0001748B">
        <w:rPr>
          <w:rFonts w:eastAsia="MS Mincho"/>
          <w:b/>
          <w:bCs/>
          <w:i/>
          <w:sz w:val="20"/>
          <w:szCs w:val="20"/>
        </w:rPr>
        <w:tab/>
        <w:t>Prueba documental, testimonial y pericial</w:t>
      </w:r>
      <w:bookmarkEnd w:id="51"/>
      <w:bookmarkEnd w:id="52"/>
      <w:bookmarkEnd w:id="53"/>
      <w:bookmarkEnd w:id="54"/>
    </w:p>
    <w:p w:rsidR="00AB27BD" w:rsidRPr="0001748B" w:rsidRDefault="00AB27BD" w:rsidP="00AB27BD">
      <w:pPr>
        <w:widowControl/>
        <w:tabs>
          <w:tab w:val="left" w:pos="567"/>
        </w:tabs>
        <w:autoSpaceDE w:val="0"/>
        <w:autoSpaceDN w:val="0"/>
        <w:adjustRightInd/>
        <w:spacing w:line="240" w:lineRule="auto"/>
        <w:textAlignment w:val="auto"/>
        <w:rPr>
          <w:rFonts w:cs="Verdana"/>
          <w:sz w:val="20"/>
          <w:szCs w:val="20"/>
          <w:lang w:eastAsia="en-US"/>
        </w:rPr>
      </w:pPr>
    </w:p>
    <w:p w:rsidR="00AB27BD" w:rsidRPr="0001748B" w:rsidRDefault="00AB27BD" w:rsidP="00AB27BD">
      <w:pPr>
        <w:numPr>
          <w:ilvl w:val="0"/>
          <w:numId w:val="1"/>
        </w:numPr>
        <w:tabs>
          <w:tab w:val="left" w:pos="567"/>
        </w:tabs>
        <w:spacing w:line="240" w:lineRule="auto"/>
        <w:ind w:left="0" w:firstLine="0"/>
        <w:rPr>
          <w:rFonts w:cs="Verdana"/>
          <w:sz w:val="20"/>
          <w:szCs w:val="20"/>
          <w:lang w:eastAsia="en-US"/>
        </w:rPr>
      </w:pPr>
      <w:r w:rsidRPr="0001748B">
        <w:rPr>
          <w:sz w:val="20"/>
          <w:szCs w:val="20"/>
        </w:rPr>
        <w:t>La Corte recibió diversos documentos presentados como prueba por el Estado, las representantes y la Comisión Interamericana, adjuntos a sus escritos principales y de alegatos finales (</w:t>
      </w:r>
      <w:r w:rsidRPr="0001748B">
        <w:rPr>
          <w:i/>
          <w:sz w:val="20"/>
          <w:szCs w:val="20"/>
        </w:rPr>
        <w:t>supra</w:t>
      </w:r>
      <w:r w:rsidRPr="0001748B">
        <w:rPr>
          <w:sz w:val="20"/>
          <w:szCs w:val="20"/>
        </w:rPr>
        <w:t xml:space="preserve"> párrs. </w:t>
      </w:r>
      <w:r w:rsidR="00892060">
        <w:rPr>
          <w:sz w:val="20"/>
          <w:szCs w:val="20"/>
        </w:rPr>
        <w:t>1, 5, 6 y 9</w:t>
      </w:r>
      <w:r w:rsidR="00892060" w:rsidRPr="0001748B">
        <w:rPr>
          <w:sz w:val="20"/>
          <w:szCs w:val="20"/>
        </w:rPr>
        <w:t xml:space="preserve">). </w:t>
      </w:r>
      <w:r w:rsidRPr="0001748B">
        <w:rPr>
          <w:sz w:val="20"/>
          <w:szCs w:val="20"/>
        </w:rPr>
        <w:t>Asimismo, la Corte recibió las declaraciones rendidas ante fedatario público (</w:t>
      </w:r>
      <w:r w:rsidRPr="0001748B">
        <w:rPr>
          <w:i/>
          <w:iCs/>
          <w:sz w:val="20"/>
          <w:szCs w:val="20"/>
        </w:rPr>
        <w:t>affidávit</w:t>
      </w:r>
      <w:r w:rsidRPr="0001748B">
        <w:rPr>
          <w:sz w:val="20"/>
          <w:szCs w:val="20"/>
        </w:rPr>
        <w:t>) por Zaida Dariana Arellano Hernández, Jeckson Edgardo Ortiz González y José Luis Guerrero Sánchez</w:t>
      </w:r>
      <w:r w:rsidRPr="0001748B">
        <w:rPr>
          <w:rStyle w:val="FootnoteReference"/>
          <w:sz w:val="20"/>
          <w:szCs w:val="20"/>
        </w:rPr>
        <w:footnoteReference w:id="22"/>
      </w:r>
      <w:r w:rsidRPr="0001748B">
        <w:rPr>
          <w:sz w:val="20"/>
          <w:szCs w:val="20"/>
        </w:rPr>
        <w:t xml:space="preserve">. De igual forma, recibió los dictámenes de los peritos Maurice Gastón Larée Quevedo, María del Carmen Bravo González y Elizabeth Silvia Salmón Gárate. En cuanto a la prueba rendida en audiencia pública, la Corte recibió las declaraciones de las víctimas </w:t>
      </w:r>
      <w:r w:rsidRPr="0001748B">
        <w:rPr>
          <w:rFonts w:cs="Arial"/>
          <w:iCs/>
          <w:sz w:val="20"/>
          <w:szCs w:val="20"/>
        </w:rPr>
        <w:t>Edgar Humberto Ortiz Ruiz y Zaida Hernández de Arellano, de la testigo Marelvis Mejía Molina, así como de la perita Ana Cecilia Rincón Bracho</w:t>
      </w:r>
      <w:r w:rsidRPr="0001748B">
        <w:rPr>
          <w:sz w:val="20"/>
          <w:szCs w:val="20"/>
        </w:rPr>
        <w:t>.</w:t>
      </w:r>
    </w:p>
    <w:p w:rsidR="00AB27BD" w:rsidRPr="0001748B" w:rsidRDefault="00AB27BD" w:rsidP="00AB27BD">
      <w:pPr>
        <w:autoSpaceDE w:val="0"/>
        <w:autoSpaceDN w:val="0"/>
        <w:spacing w:line="240" w:lineRule="auto"/>
        <w:rPr>
          <w:sz w:val="20"/>
          <w:szCs w:val="20"/>
        </w:rPr>
      </w:pPr>
    </w:p>
    <w:p w:rsidR="00AB27BD" w:rsidRPr="0001748B" w:rsidRDefault="00AB27BD" w:rsidP="00AB27BD">
      <w:pPr>
        <w:keepNext/>
        <w:keepLines/>
        <w:tabs>
          <w:tab w:val="left" w:pos="1134"/>
        </w:tabs>
        <w:spacing w:line="240" w:lineRule="auto"/>
        <w:ind w:left="567" w:firstLine="1"/>
        <w:outlineLvl w:val="1"/>
        <w:rPr>
          <w:rFonts w:eastAsia="MS Mincho"/>
          <w:b/>
          <w:bCs/>
          <w:i/>
          <w:sz w:val="20"/>
          <w:szCs w:val="20"/>
        </w:rPr>
      </w:pPr>
      <w:bookmarkStart w:id="55" w:name="_Toc375517116"/>
      <w:bookmarkStart w:id="56" w:name="_Toc459158104"/>
      <w:bookmarkStart w:id="57" w:name="_Toc470180048"/>
      <w:bookmarkStart w:id="58" w:name="_Toc495658657"/>
      <w:r w:rsidRPr="0001748B">
        <w:rPr>
          <w:rFonts w:eastAsia="MS Mincho"/>
          <w:b/>
          <w:bCs/>
          <w:i/>
          <w:sz w:val="20"/>
          <w:szCs w:val="20"/>
        </w:rPr>
        <w:t xml:space="preserve">B. </w:t>
      </w:r>
      <w:r w:rsidRPr="0001748B">
        <w:rPr>
          <w:rFonts w:eastAsia="MS Mincho"/>
          <w:b/>
          <w:bCs/>
          <w:i/>
          <w:sz w:val="20"/>
          <w:szCs w:val="20"/>
        </w:rPr>
        <w:tab/>
        <w:t>Admisión de la prueba</w:t>
      </w:r>
      <w:bookmarkEnd w:id="55"/>
      <w:bookmarkEnd w:id="56"/>
      <w:bookmarkEnd w:id="57"/>
      <w:bookmarkEnd w:id="58"/>
    </w:p>
    <w:p w:rsidR="00AB27BD" w:rsidRPr="0001748B" w:rsidRDefault="00AB27BD" w:rsidP="00AB27BD">
      <w:pPr>
        <w:spacing w:line="240" w:lineRule="auto"/>
        <w:rPr>
          <w:bCs/>
          <w:i/>
          <w:sz w:val="20"/>
          <w:szCs w:val="20"/>
        </w:rPr>
      </w:pPr>
    </w:p>
    <w:p w:rsidR="00AB27BD" w:rsidRPr="0001748B" w:rsidRDefault="00AB27BD" w:rsidP="00AB27BD">
      <w:pPr>
        <w:pStyle w:val="Heading2"/>
        <w:tabs>
          <w:tab w:val="left" w:pos="1701"/>
        </w:tabs>
        <w:spacing w:before="0" w:line="240" w:lineRule="auto"/>
        <w:ind w:left="1134"/>
        <w:rPr>
          <w:rFonts w:ascii="Verdana" w:hAnsi="Verdana"/>
          <w:b w:val="0"/>
          <w:i/>
          <w:color w:val="auto"/>
          <w:sz w:val="20"/>
          <w:szCs w:val="20"/>
        </w:rPr>
      </w:pPr>
      <w:bookmarkStart w:id="59" w:name="_Toc375517117"/>
      <w:bookmarkStart w:id="60" w:name="_Toc459158105"/>
      <w:bookmarkStart w:id="61" w:name="_Toc470180049"/>
      <w:bookmarkStart w:id="62" w:name="_Toc495658658"/>
      <w:r w:rsidRPr="0001748B">
        <w:rPr>
          <w:rFonts w:ascii="Verdana" w:hAnsi="Verdana"/>
          <w:b w:val="0"/>
          <w:i/>
          <w:color w:val="auto"/>
          <w:sz w:val="20"/>
          <w:szCs w:val="20"/>
        </w:rPr>
        <w:t xml:space="preserve">B.1 </w:t>
      </w:r>
      <w:r w:rsidRPr="0001748B">
        <w:rPr>
          <w:rFonts w:ascii="Verdana" w:hAnsi="Verdana"/>
          <w:b w:val="0"/>
          <w:i/>
          <w:color w:val="auto"/>
          <w:sz w:val="20"/>
          <w:szCs w:val="20"/>
        </w:rPr>
        <w:tab/>
        <w:t>Admisión de la prueba documental</w:t>
      </w:r>
      <w:bookmarkEnd w:id="59"/>
      <w:bookmarkEnd w:id="60"/>
      <w:bookmarkEnd w:id="61"/>
      <w:bookmarkEnd w:id="62"/>
    </w:p>
    <w:p w:rsidR="00AB27BD" w:rsidRPr="0001748B" w:rsidRDefault="00AB27BD" w:rsidP="00AB27BD">
      <w:pPr>
        <w:widowControl/>
        <w:tabs>
          <w:tab w:val="left" w:pos="567"/>
        </w:tabs>
        <w:autoSpaceDE w:val="0"/>
        <w:autoSpaceDN w:val="0"/>
        <w:adjustRightInd/>
        <w:spacing w:line="240" w:lineRule="auto"/>
        <w:textAlignment w:val="auto"/>
        <w:rPr>
          <w:rFonts w:cs="Verdana"/>
          <w:sz w:val="20"/>
          <w:szCs w:val="20"/>
          <w:lang w:eastAsia="en-US"/>
        </w:rPr>
      </w:pPr>
    </w:p>
    <w:p w:rsidR="00AB27BD" w:rsidRPr="0001748B" w:rsidRDefault="00AB27BD" w:rsidP="00AB27BD">
      <w:pPr>
        <w:numPr>
          <w:ilvl w:val="0"/>
          <w:numId w:val="1"/>
        </w:numPr>
        <w:tabs>
          <w:tab w:val="left" w:pos="567"/>
        </w:tabs>
        <w:spacing w:line="240" w:lineRule="auto"/>
        <w:ind w:left="0" w:firstLine="0"/>
        <w:rPr>
          <w:sz w:val="20"/>
          <w:szCs w:val="20"/>
        </w:rPr>
      </w:pPr>
      <w:r w:rsidRPr="0001748B">
        <w:rPr>
          <w:sz w:val="20"/>
          <w:szCs w:val="20"/>
        </w:rPr>
        <w:t>En el presente caso, como en otros, el Tribunal admite el valor probatorio de aquellos documentos presentados en la debida oportunidad procesal por las partes y la Comisión que no fueron controvertidos ni objetados, y cuya autenticidad no fue puesta en duda</w:t>
      </w:r>
      <w:r w:rsidRPr="0001748B">
        <w:rPr>
          <w:sz w:val="20"/>
          <w:szCs w:val="20"/>
          <w:vertAlign w:val="superscript"/>
        </w:rPr>
        <w:footnoteReference w:id="23"/>
      </w:r>
      <w:r w:rsidRPr="0001748B">
        <w:rPr>
          <w:sz w:val="20"/>
          <w:szCs w:val="20"/>
        </w:rPr>
        <w:t>.</w:t>
      </w:r>
    </w:p>
    <w:p w:rsidR="00AB27BD" w:rsidRPr="0001748B" w:rsidRDefault="00AB27BD" w:rsidP="00AB27BD">
      <w:pPr>
        <w:widowControl/>
        <w:tabs>
          <w:tab w:val="left" w:pos="720"/>
        </w:tabs>
        <w:adjustRightInd/>
        <w:spacing w:line="240" w:lineRule="auto"/>
        <w:ind w:right="-90"/>
        <w:textAlignment w:val="auto"/>
        <w:rPr>
          <w:sz w:val="20"/>
          <w:szCs w:val="20"/>
        </w:rPr>
      </w:pPr>
    </w:p>
    <w:p w:rsidR="00AB27BD" w:rsidRPr="0001748B" w:rsidRDefault="00AB27BD" w:rsidP="00AB27BD">
      <w:pPr>
        <w:numPr>
          <w:ilvl w:val="0"/>
          <w:numId w:val="1"/>
        </w:numPr>
        <w:tabs>
          <w:tab w:val="left" w:pos="567"/>
        </w:tabs>
        <w:spacing w:line="240" w:lineRule="auto"/>
        <w:ind w:left="0" w:firstLine="0"/>
        <w:rPr>
          <w:sz w:val="20"/>
          <w:szCs w:val="20"/>
          <w:lang w:eastAsia="es-ES"/>
        </w:rPr>
      </w:pPr>
      <w:r w:rsidRPr="0001748B">
        <w:rPr>
          <w:sz w:val="20"/>
          <w:szCs w:val="20"/>
        </w:rPr>
        <w:t>Ahora</w:t>
      </w:r>
      <w:r w:rsidRPr="0001748B">
        <w:rPr>
          <w:sz w:val="20"/>
          <w:szCs w:val="20"/>
          <w:lang w:eastAsia="es-ES"/>
        </w:rPr>
        <w:t xml:space="preserve"> bien, en lo que se refiere a la oportunidad procesal para la presentación de prueba documental, de conformidad con el artículo 57.2 del Reglamento, ésta debe ser presentada, en general, junto con los escritos de sometimiento del caso, de solicitudes y argumentos o de contestación, según corresponda. La Corte recuerda que no es admisible la prueba remitida fuera de las debidas oportunidades procesales, salvo en las excepciones establecidas en el referido artículo 57.2 del Reglamento, a saber, fuerza mayor, impedimento grave o si se tratare de un hecho ocurrido con posterioridad a los citados momentos procesales</w:t>
      </w:r>
      <w:r w:rsidRPr="0001748B">
        <w:rPr>
          <w:sz w:val="20"/>
          <w:szCs w:val="20"/>
          <w:vertAlign w:val="superscript"/>
          <w:lang w:eastAsia="es-ES"/>
        </w:rPr>
        <w:footnoteReference w:id="24"/>
      </w:r>
      <w:r w:rsidRPr="0001748B">
        <w:rPr>
          <w:sz w:val="20"/>
          <w:szCs w:val="20"/>
          <w:lang w:eastAsia="es-ES"/>
        </w:rPr>
        <w:t>.</w:t>
      </w:r>
    </w:p>
    <w:p w:rsidR="00AB27BD" w:rsidRPr="0001748B" w:rsidRDefault="00AB27BD" w:rsidP="00AB27BD">
      <w:pPr>
        <w:widowControl/>
        <w:tabs>
          <w:tab w:val="left" w:pos="567"/>
        </w:tabs>
        <w:autoSpaceDE w:val="0"/>
        <w:autoSpaceDN w:val="0"/>
        <w:adjustRightInd/>
        <w:spacing w:line="240" w:lineRule="auto"/>
        <w:textAlignment w:val="auto"/>
        <w:rPr>
          <w:sz w:val="20"/>
          <w:szCs w:val="20"/>
        </w:rPr>
      </w:pPr>
    </w:p>
    <w:p w:rsidR="00AB27BD" w:rsidRPr="0001748B" w:rsidRDefault="00AB27BD" w:rsidP="00AB27BD">
      <w:pPr>
        <w:widowControl/>
        <w:numPr>
          <w:ilvl w:val="0"/>
          <w:numId w:val="1"/>
        </w:numPr>
        <w:tabs>
          <w:tab w:val="left" w:pos="567"/>
        </w:tabs>
        <w:adjustRightInd/>
        <w:spacing w:line="240" w:lineRule="auto"/>
        <w:ind w:left="0" w:right="-90" w:firstLine="0"/>
        <w:textAlignment w:val="auto"/>
        <w:rPr>
          <w:sz w:val="20"/>
          <w:szCs w:val="20"/>
        </w:rPr>
      </w:pPr>
      <w:r w:rsidRPr="0001748B">
        <w:rPr>
          <w:sz w:val="20"/>
          <w:szCs w:val="20"/>
        </w:rPr>
        <w:t>En relación con la documentación aportada por el Estado mediante sus alegatos finales escritos, correspondiente al “Instructivo que establece las normas, procedimientos y responsabilidades para la ejecución del ejercicio de orden abierto (pasaje de la cancha de infiltración) por parte del personal de alumnos del curso básico de seguridad y vigilancia rural” de 8 de noviembre de 2016</w:t>
      </w:r>
      <w:r w:rsidR="0000728E">
        <w:rPr>
          <w:sz w:val="20"/>
          <w:szCs w:val="20"/>
        </w:rPr>
        <w:t>, l</w:t>
      </w:r>
      <w:r w:rsidRPr="0001748B">
        <w:rPr>
          <w:sz w:val="20"/>
          <w:szCs w:val="20"/>
        </w:rPr>
        <w:t>a Corte admite est</w:t>
      </w:r>
      <w:r w:rsidR="0000728E">
        <w:rPr>
          <w:sz w:val="20"/>
          <w:szCs w:val="20"/>
        </w:rPr>
        <w:t>e</w:t>
      </w:r>
      <w:r w:rsidRPr="0001748B">
        <w:rPr>
          <w:sz w:val="20"/>
          <w:szCs w:val="20"/>
        </w:rPr>
        <w:t xml:space="preserve"> document</w:t>
      </w:r>
      <w:r w:rsidR="0000728E">
        <w:rPr>
          <w:sz w:val="20"/>
          <w:szCs w:val="20"/>
        </w:rPr>
        <w:t>o</w:t>
      </w:r>
      <w:r w:rsidR="0000728E" w:rsidRPr="0000728E">
        <w:rPr>
          <w:sz w:val="20"/>
          <w:szCs w:val="20"/>
        </w:rPr>
        <w:t xml:space="preserve"> </w:t>
      </w:r>
      <w:r w:rsidR="0000728E" w:rsidRPr="0001748B">
        <w:rPr>
          <w:sz w:val="20"/>
          <w:szCs w:val="20"/>
        </w:rPr>
        <w:t>como prueba superviniente</w:t>
      </w:r>
      <w:r w:rsidRPr="0001748B">
        <w:rPr>
          <w:sz w:val="20"/>
          <w:szCs w:val="20"/>
        </w:rPr>
        <w:t xml:space="preserve">, de conformidad con el artículo 57.2 del Reglamento, ya que </w:t>
      </w:r>
      <w:r w:rsidR="008B2BBF" w:rsidRPr="0001748B">
        <w:rPr>
          <w:sz w:val="20"/>
          <w:szCs w:val="20"/>
        </w:rPr>
        <w:t xml:space="preserve">su fecha es </w:t>
      </w:r>
      <w:r w:rsidRPr="0001748B">
        <w:rPr>
          <w:sz w:val="20"/>
          <w:szCs w:val="20"/>
        </w:rPr>
        <w:t xml:space="preserve">posterior al escrito de contestación del </w:t>
      </w:r>
      <w:r w:rsidRPr="0001748B">
        <w:rPr>
          <w:sz w:val="20"/>
          <w:szCs w:val="20"/>
        </w:rPr>
        <w:lastRenderedPageBreak/>
        <w:t>Estado</w:t>
      </w:r>
      <w:r w:rsidR="0000728E">
        <w:rPr>
          <w:sz w:val="20"/>
          <w:szCs w:val="20"/>
        </w:rPr>
        <w:t xml:space="preserve"> y es relevante para analizar el alegato del Estado sobre el supuesto cumplimiento de una de las medidas de </w:t>
      </w:r>
      <w:r w:rsidR="00A722BB">
        <w:rPr>
          <w:sz w:val="20"/>
          <w:szCs w:val="20"/>
        </w:rPr>
        <w:t>reparación</w:t>
      </w:r>
      <w:r w:rsidR="0000728E">
        <w:rPr>
          <w:sz w:val="20"/>
          <w:szCs w:val="20"/>
        </w:rPr>
        <w:t xml:space="preserve"> solicitadas</w:t>
      </w:r>
      <w:r w:rsidRPr="0001748B">
        <w:rPr>
          <w:sz w:val="20"/>
          <w:szCs w:val="20"/>
        </w:rPr>
        <w:t>.</w:t>
      </w:r>
    </w:p>
    <w:p w:rsidR="00AB27BD" w:rsidRPr="0001748B" w:rsidRDefault="00AB27BD" w:rsidP="00AB27BD">
      <w:pPr>
        <w:widowControl/>
        <w:tabs>
          <w:tab w:val="left" w:pos="567"/>
        </w:tabs>
        <w:adjustRightInd/>
        <w:spacing w:line="240" w:lineRule="auto"/>
        <w:ind w:right="-90"/>
        <w:textAlignment w:val="auto"/>
        <w:rPr>
          <w:sz w:val="20"/>
          <w:szCs w:val="20"/>
        </w:rPr>
      </w:pPr>
    </w:p>
    <w:p w:rsidR="00AB27BD" w:rsidRPr="0001748B" w:rsidRDefault="00AB27BD" w:rsidP="00AB27BD">
      <w:pPr>
        <w:widowControl/>
        <w:numPr>
          <w:ilvl w:val="0"/>
          <w:numId w:val="1"/>
        </w:numPr>
        <w:tabs>
          <w:tab w:val="left" w:pos="567"/>
        </w:tabs>
        <w:adjustRightInd/>
        <w:spacing w:line="240" w:lineRule="auto"/>
        <w:ind w:left="0" w:right="-90" w:firstLine="0"/>
        <w:textAlignment w:val="auto"/>
        <w:rPr>
          <w:sz w:val="20"/>
          <w:szCs w:val="20"/>
        </w:rPr>
      </w:pPr>
      <w:r w:rsidRPr="0001748B">
        <w:rPr>
          <w:sz w:val="20"/>
          <w:szCs w:val="20"/>
        </w:rPr>
        <w:t xml:space="preserve">Respecto de los anexos presentados por las representantes con sus alegatos finales escritos, la Corte </w:t>
      </w:r>
      <w:r w:rsidR="00123B7F" w:rsidRPr="0001748B">
        <w:rPr>
          <w:sz w:val="20"/>
          <w:szCs w:val="20"/>
        </w:rPr>
        <w:t>nota que:</w:t>
      </w:r>
      <w:r w:rsidRPr="0001748B">
        <w:rPr>
          <w:sz w:val="20"/>
          <w:szCs w:val="20"/>
        </w:rPr>
        <w:t xml:space="preserve"> i) la boleta de honorarios de Maurice Gastón Larée Quevedo; ii) la boleta de honorarios de María del Carmen Rosa Bravo González, y iii) la factura emitida por el abogado Geovanny Corzo para la recepción de las declaraciones ante fedatario público, responden a documentos sobre gastos incurridos con ocasión de la audiencia pública celebrada en el presente caso. Por tanto, la Corte los admite por ser posteriores a la presentación del escrito de solicitudes y argumentos. Respecto del anexo 4, referido al “Acta de Comparecencia ante la Fiscalía, levantada en fecha de 22 de febrero de 2017, con la finalidad de probar que las presuntas víctimas se presentaron ante el [abogado] Juan Barradas […]” la Corte lo admite, de conformidad con el artículo 57.2 del Reglamento, ya que dicha documentación fue realizada con posterioridad al escrito de solicitudes y argumentos. Por último, en relación con el anexo 1 referido a la Sentencia pronunciada en </w:t>
      </w:r>
      <w:r w:rsidR="000E450A">
        <w:rPr>
          <w:sz w:val="20"/>
          <w:szCs w:val="20"/>
        </w:rPr>
        <w:t xml:space="preserve">la </w:t>
      </w:r>
      <w:r w:rsidRPr="0001748B">
        <w:rPr>
          <w:sz w:val="20"/>
          <w:szCs w:val="20"/>
        </w:rPr>
        <w:t xml:space="preserve">causa penal 6C-6623-06 de fecha 4 de febrero de 2009, pronunciada por el Tribunal Sexto de Control del Circuito Judicial Penal del </w:t>
      </w:r>
      <w:r w:rsidR="00D70ACD" w:rsidRPr="0001748B">
        <w:rPr>
          <w:sz w:val="20"/>
          <w:szCs w:val="20"/>
        </w:rPr>
        <w:t>e</w:t>
      </w:r>
      <w:r w:rsidRPr="0001748B">
        <w:rPr>
          <w:sz w:val="20"/>
          <w:szCs w:val="20"/>
        </w:rPr>
        <w:t xml:space="preserve">stado de Táchira, la Corte nota que </w:t>
      </w:r>
      <w:r w:rsidR="00F96992" w:rsidRPr="0001748B">
        <w:rPr>
          <w:sz w:val="20"/>
          <w:szCs w:val="20"/>
        </w:rPr>
        <w:t>dicho</w:t>
      </w:r>
      <w:r w:rsidRPr="0001748B">
        <w:rPr>
          <w:sz w:val="20"/>
          <w:szCs w:val="20"/>
        </w:rPr>
        <w:t xml:space="preserve"> documento está vinculado con la detención del señor Edgar</w:t>
      </w:r>
      <w:r w:rsidR="00764FDC">
        <w:rPr>
          <w:sz w:val="20"/>
          <w:szCs w:val="20"/>
        </w:rPr>
        <w:t xml:space="preserve"> Humberto</w:t>
      </w:r>
      <w:r w:rsidRPr="0001748B">
        <w:rPr>
          <w:sz w:val="20"/>
          <w:szCs w:val="20"/>
        </w:rPr>
        <w:t xml:space="preserve"> Ortiz Ruiz, proceso que fue discutido en la audiencia pública y respecto al cual la Corte realizó preguntas a las partes. Por consiguiente, en virtud del artículo 58.b de su Reglamento, la Corte admite el referido documento.</w:t>
      </w:r>
    </w:p>
    <w:p w:rsidR="00AB27BD" w:rsidRPr="0001748B" w:rsidRDefault="00AB27BD" w:rsidP="00AB27BD">
      <w:pPr>
        <w:spacing w:line="240" w:lineRule="auto"/>
        <w:rPr>
          <w:sz w:val="20"/>
          <w:szCs w:val="20"/>
        </w:rPr>
      </w:pPr>
    </w:p>
    <w:p w:rsidR="00AB27BD" w:rsidRPr="0001748B" w:rsidRDefault="00AB27BD" w:rsidP="00AB27BD">
      <w:pPr>
        <w:pStyle w:val="Heading2"/>
        <w:tabs>
          <w:tab w:val="left" w:pos="1701"/>
        </w:tabs>
        <w:spacing w:before="0" w:line="240" w:lineRule="auto"/>
        <w:ind w:left="1134"/>
        <w:rPr>
          <w:rFonts w:ascii="Verdana" w:hAnsi="Verdana"/>
          <w:b w:val="0"/>
          <w:i/>
          <w:color w:val="auto"/>
          <w:sz w:val="20"/>
          <w:szCs w:val="20"/>
        </w:rPr>
      </w:pPr>
      <w:bookmarkStart w:id="63" w:name="_Toc375517118"/>
      <w:bookmarkStart w:id="64" w:name="_Toc459158106"/>
      <w:bookmarkStart w:id="65" w:name="_Toc470180050"/>
      <w:bookmarkStart w:id="66" w:name="_Toc495658659"/>
      <w:r w:rsidRPr="0001748B">
        <w:rPr>
          <w:rFonts w:ascii="Verdana" w:hAnsi="Verdana"/>
          <w:b w:val="0"/>
          <w:i/>
          <w:color w:val="auto"/>
          <w:sz w:val="20"/>
          <w:szCs w:val="20"/>
        </w:rPr>
        <w:t xml:space="preserve">B.2 </w:t>
      </w:r>
      <w:r w:rsidRPr="0001748B">
        <w:rPr>
          <w:rFonts w:ascii="Verdana" w:hAnsi="Verdana"/>
          <w:b w:val="0"/>
          <w:i/>
          <w:color w:val="auto"/>
          <w:sz w:val="20"/>
          <w:szCs w:val="20"/>
        </w:rPr>
        <w:tab/>
        <w:t>Admisión de las declaraciones y de los dictámenes periciales</w:t>
      </w:r>
      <w:bookmarkEnd w:id="63"/>
      <w:bookmarkEnd w:id="64"/>
      <w:bookmarkEnd w:id="65"/>
      <w:bookmarkEnd w:id="66"/>
    </w:p>
    <w:p w:rsidR="00AB27BD" w:rsidRPr="0001748B" w:rsidRDefault="00AB27BD" w:rsidP="00AB27BD">
      <w:pPr>
        <w:widowControl/>
        <w:tabs>
          <w:tab w:val="left" w:pos="720"/>
        </w:tabs>
        <w:adjustRightInd/>
        <w:spacing w:line="240" w:lineRule="auto"/>
        <w:ind w:right="-90"/>
        <w:textAlignment w:val="auto"/>
        <w:rPr>
          <w:sz w:val="20"/>
          <w:szCs w:val="20"/>
        </w:rPr>
      </w:pPr>
    </w:p>
    <w:p w:rsidR="00AB27BD" w:rsidRPr="0001748B" w:rsidRDefault="00AB27BD" w:rsidP="00AB27BD">
      <w:pPr>
        <w:numPr>
          <w:ilvl w:val="0"/>
          <w:numId w:val="1"/>
        </w:numPr>
        <w:tabs>
          <w:tab w:val="left" w:pos="567"/>
        </w:tabs>
        <w:spacing w:line="240" w:lineRule="auto"/>
        <w:ind w:left="0" w:firstLine="0"/>
        <w:rPr>
          <w:sz w:val="20"/>
          <w:szCs w:val="20"/>
        </w:rPr>
      </w:pPr>
      <w:r w:rsidRPr="0001748B">
        <w:rPr>
          <w:sz w:val="20"/>
          <w:szCs w:val="20"/>
        </w:rPr>
        <w:t>La Corte estima pertinente admitir las declaraciones y dictámenes rendidos en audiencia pública y mediante declaraciones ante fedatario público, en cuanto se ajusten al objeto definido por el Presidente en la Resolución que ordenó recibirlos</w:t>
      </w:r>
      <w:r w:rsidRPr="0001748B">
        <w:rPr>
          <w:sz w:val="20"/>
          <w:szCs w:val="20"/>
          <w:vertAlign w:val="superscript"/>
        </w:rPr>
        <w:footnoteReference w:id="25"/>
      </w:r>
      <w:r w:rsidRPr="0001748B">
        <w:rPr>
          <w:sz w:val="20"/>
          <w:szCs w:val="20"/>
        </w:rPr>
        <w:t xml:space="preserve"> y al objeto del presente caso.</w:t>
      </w:r>
    </w:p>
    <w:p w:rsidR="00AB27BD" w:rsidRPr="0001748B" w:rsidRDefault="00AB27BD" w:rsidP="00AB27BD">
      <w:pPr>
        <w:tabs>
          <w:tab w:val="left" w:pos="567"/>
        </w:tabs>
        <w:spacing w:line="240" w:lineRule="auto"/>
        <w:rPr>
          <w:sz w:val="20"/>
          <w:szCs w:val="20"/>
        </w:rPr>
      </w:pPr>
    </w:p>
    <w:p w:rsidR="007B5447" w:rsidRPr="0001748B" w:rsidRDefault="007B5447" w:rsidP="007B5447">
      <w:pPr>
        <w:numPr>
          <w:ilvl w:val="0"/>
          <w:numId w:val="1"/>
        </w:numPr>
        <w:tabs>
          <w:tab w:val="left" w:pos="567"/>
        </w:tabs>
        <w:spacing w:line="240" w:lineRule="auto"/>
        <w:ind w:left="0" w:firstLine="0"/>
        <w:rPr>
          <w:b/>
          <w:sz w:val="20"/>
          <w:szCs w:val="20"/>
        </w:rPr>
      </w:pPr>
      <w:r w:rsidRPr="0001748B">
        <w:rPr>
          <w:sz w:val="20"/>
          <w:szCs w:val="20"/>
        </w:rPr>
        <w:t xml:space="preserve">El 1 de febrero de 2017 las representantes presentaron dos documentos referentes a la declaración del señor Jeckson Edgardo Ortiz </w:t>
      </w:r>
      <w:r w:rsidR="008A72F0">
        <w:rPr>
          <w:sz w:val="20"/>
          <w:szCs w:val="20"/>
        </w:rPr>
        <w:t>González</w:t>
      </w:r>
      <w:r w:rsidR="00FE10E5">
        <w:rPr>
          <w:sz w:val="20"/>
          <w:szCs w:val="20"/>
        </w:rPr>
        <w:t>:</w:t>
      </w:r>
      <w:r w:rsidRPr="0001748B">
        <w:rPr>
          <w:sz w:val="20"/>
          <w:szCs w:val="20"/>
        </w:rPr>
        <w:t xml:space="preserve"> i) la declaración </w:t>
      </w:r>
      <w:r w:rsidR="00872BA3">
        <w:rPr>
          <w:sz w:val="20"/>
          <w:szCs w:val="20"/>
        </w:rPr>
        <w:t>que fue</w:t>
      </w:r>
      <w:r w:rsidRPr="0001748B">
        <w:rPr>
          <w:sz w:val="20"/>
          <w:szCs w:val="20"/>
        </w:rPr>
        <w:t xml:space="preserve"> rechazada</w:t>
      </w:r>
      <w:r w:rsidR="00872BA3">
        <w:rPr>
          <w:sz w:val="20"/>
          <w:szCs w:val="20"/>
        </w:rPr>
        <w:t xml:space="preserve"> por el notario público</w:t>
      </w:r>
      <w:r w:rsidRPr="0001748B">
        <w:rPr>
          <w:sz w:val="20"/>
          <w:szCs w:val="20"/>
        </w:rPr>
        <w:t>, de la cual indicaron que “el notario arbitrariamente procedió a tarjar un determinado número de preguntas y sus respectivas respuestas, manifestando que por tratarse de preguntas inconvenientes no legalizaría el acta que las contenía”, y ii) la declaración prestada ante notario público</w:t>
      </w:r>
      <w:r w:rsidR="00425C08">
        <w:rPr>
          <w:sz w:val="20"/>
          <w:szCs w:val="20"/>
        </w:rPr>
        <w:t xml:space="preserve"> que </w:t>
      </w:r>
      <w:r w:rsidR="00872BA3">
        <w:rPr>
          <w:sz w:val="20"/>
          <w:szCs w:val="20"/>
        </w:rPr>
        <w:t>no incluye las respuestas que el notario no quiso legalizar</w:t>
      </w:r>
      <w:r w:rsidRPr="0001748B">
        <w:rPr>
          <w:sz w:val="20"/>
          <w:szCs w:val="20"/>
        </w:rPr>
        <w:t>.</w:t>
      </w:r>
    </w:p>
    <w:p w:rsidR="007B5447" w:rsidRPr="0001748B" w:rsidRDefault="007B5447" w:rsidP="007B5447">
      <w:pPr>
        <w:tabs>
          <w:tab w:val="left" w:pos="567"/>
        </w:tabs>
        <w:spacing w:line="240" w:lineRule="auto"/>
        <w:rPr>
          <w:sz w:val="20"/>
          <w:szCs w:val="20"/>
        </w:rPr>
      </w:pPr>
    </w:p>
    <w:p w:rsidR="007B5447" w:rsidRPr="0001748B" w:rsidRDefault="007B5447" w:rsidP="007B5447">
      <w:pPr>
        <w:numPr>
          <w:ilvl w:val="0"/>
          <w:numId w:val="1"/>
        </w:numPr>
        <w:tabs>
          <w:tab w:val="left" w:pos="567"/>
          <w:tab w:val="num" w:pos="12305"/>
        </w:tabs>
        <w:spacing w:line="240" w:lineRule="auto"/>
        <w:ind w:left="0" w:firstLine="0"/>
        <w:rPr>
          <w:b/>
          <w:sz w:val="20"/>
          <w:szCs w:val="20"/>
        </w:rPr>
      </w:pPr>
      <w:r w:rsidRPr="0001748B">
        <w:rPr>
          <w:sz w:val="20"/>
          <w:szCs w:val="20"/>
        </w:rPr>
        <w:t>El 6 de febrero de 2017 las defensoras interamericanas presentaron la declaración simple prestada por el señor José Luis Guerrero debido a que no le fue posible prestar la declaración ante notario público, e indicaron que “al presentarse a la notaría donde debía prestar la declaración, el notario rechazó las preguntas negándose a certificar su declaración conforme el cuestionario que le fue presentado […]”.</w:t>
      </w:r>
    </w:p>
    <w:p w:rsidR="007B5447" w:rsidRPr="0001748B" w:rsidRDefault="007B5447" w:rsidP="007B5447">
      <w:pPr>
        <w:spacing w:line="240" w:lineRule="auto"/>
        <w:rPr>
          <w:rFonts w:cs="Verdana"/>
          <w:sz w:val="20"/>
          <w:szCs w:val="20"/>
          <w:lang w:eastAsia="es-MX"/>
        </w:rPr>
      </w:pPr>
    </w:p>
    <w:p w:rsidR="007B5447" w:rsidRPr="0001748B" w:rsidRDefault="007B5447" w:rsidP="007B5447">
      <w:pPr>
        <w:numPr>
          <w:ilvl w:val="0"/>
          <w:numId w:val="1"/>
        </w:numPr>
        <w:tabs>
          <w:tab w:val="left" w:pos="567"/>
          <w:tab w:val="num" w:pos="12305"/>
        </w:tabs>
        <w:spacing w:line="240" w:lineRule="auto"/>
        <w:ind w:left="0" w:firstLine="0"/>
        <w:rPr>
          <w:rFonts w:cs="Verdana"/>
          <w:sz w:val="20"/>
          <w:szCs w:val="20"/>
          <w:lang w:eastAsia="es-MX"/>
        </w:rPr>
      </w:pPr>
      <w:r w:rsidRPr="0001748B">
        <w:rPr>
          <w:rFonts w:cs="Verdana"/>
          <w:sz w:val="20"/>
          <w:szCs w:val="20"/>
          <w:lang w:eastAsia="es-MX"/>
        </w:rPr>
        <w:t>La Corte considera, como lo ha hecho en otros casos</w:t>
      </w:r>
      <w:r w:rsidR="00C07569" w:rsidRPr="0001748B">
        <w:rPr>
          <w:rFonts w:cs="Verdana"/>
          <w:sz w:val="20"/>
          <w:szCs w:val="20"/>
          <w:vertAlign w:val="superscript"/>
          <w:lang w:eastAsia="es-MX"/>
        </w:rPr>
        <w:footnoteReference w:id="26"/>
      </w:r>
      <w:r w:rsidRPr="0001748B">
        <w:rPr>
          <w:rFonts w:cs="Verdana"/>
          <w:sz w:val="20"/>
          <w:szCs w:val="20"/>
          <w:lang w:eastAsia="es-MX"/>
        </w:rPr>
        <w:t xml:space="preserve">, que las declaraciones referidas fueron presentadas dentro del plazo estipulado y que la falta de legalización de las mismas por notario público responde a un proceder indebido por parte del Estado. En razón de lo anterior, el Tribunal observa que varias notarías venezolanas se han negado en reiteradas ocasiones a tomar </w:t>
      </w:r>
      <w:r w:rsidRPr="0001748B">
        <w:rPr>
          <w:rFonts w:cs="Verdana"/>
          <w:sz w:val="20"/>
          <w:szCs w:val="20"/>
          <w:lang w:eastAsia="es-MX"/>
        </w:rPr>
        <w:lastRenderedPageBreak/>
        <w:t xml:space="preserve">legalmente las declaraciones de los testigos y peritos cuya declaración ha sido solicitada por Resolución del Presidente, por lo que concluye que el Estado no cumplió con su obligación de coordinar y realizar las diligencias necesarias para cumplir con lo solicitado por la Corte, conducta incompatible con el deber de cooperación procesal y con el principio de buena fe que rige en el procedimiento internacional. En consecuencia, la Corte admite los dos documentos referentes a la declaración del señor Jeckson Edgardo Ortiz </w:t>
      </w:r>
      <w:r w:rsidR="008A72F0">
        <w:rPr>
          <w:rFonts w:cs="Verdana"/>
          <w:sz w:val="20"/>
          <w:szCs w:val="20"/>
          <w:lang w:eastAsia="es-MX"/>
        </w:rPr>
        <w:t>González</w:t>
      </w:r>
      <w:r w:rsidR="008A72F0" w:rsidRPr="0001748B">
        <w:rPr>
          <w:rFonts w:cs="Verdana"/>
          <w:sz w:val="20"/>
          <w:szCs w:val="20"/>
          <w:lang w:eastAsia="es-MX"/>
        </w:rPr>
        <w:t xml:space="preserve"> </w:t>
      </w:r>
      <w:r w:rsidRPr="0001748B">
        <w:rPr>
          <w:rFonts w:cs="Verdana"/>
          <w:sz w:val="20"/>
          <w:szCs w:val="20"/>
          <w:lang w:eastAsia="es-MX"/>
        </w:rPr>
        <w:t>en vista de que fueron presentados en el momento procesal oportuno y tomará la declaración que no cuenta con autenticación del notario público como una declaración simple. Finalmente, la Corte estima pertinente admitir la declaración rendida por el señor José Luis Guerrero la cual será valorada como declaración simple conforme a los criterios de esta Corte.</w:t>
      </w:r>
    </w:p>
    <w:p w:rsidR="00AB27BD" w:rsidRPr="0001748B" w:rsidRDefault="00AB27BD" w:rsidP="00AB27BD">
      <w:pPr>
        <w:pStyle w:val="ListParagraph"/>
        <w:spacing w:line="240" w:lineRule="auto"/>
        <w:ind w:left="0"/>
        <w:rPr>
          <w:rFonts w:cs="Verdana"/>
          <w:sz w:val="20"/>
          <w:szCs w:val="20"/>
          <w:lang w:eastAsia="es-MX"/>
        </w:rPr>
      </w:pPr>
    </w:p>
    <w:p w:rsidR="00AB27BD" w:rsidRPr="0001748B" w:rsidRDefault="00AB27BD" w:rsidP="00AB27BD">
      <w:pPr>
        <w:keepNext/>
        <w:keepLines/>
        <w:tabs>
          <w:tab w:val="left" w:pos="1134"/>
        </w:tabs>
        <w:spacing w:line="240" w:lineRule="auto"/>
        <w:ind w:left="567" w:firstLine="1"/>
        <w:outlineLvl w:val="1"/>
        <w:rPr>
          <w:rFonts w:eastAsia="MS Mincho"/>
          <w:b/>
          <w:bCs/>
          <w:i/>
          <w:sz w:val="20"/>
          <w:szCs w:val="20"/>
        </w:rPr>
      </w:pPr>
      <w:bookmarkStart w:id="67" w:name="_Toc405857807"/>
      <w:bookmarkStart w:id="68" w:name="_Toc423107375"/>
      <w:bookmarkStart w:id="69" w:name="_Toc438113881"/>
      <w:bookmarkStart w:id="70" w:name="_Toc459158107"/>
      <w:bookmarkStart w:id="71" w:name="_Toc470180051"/>
      <w:bookmarkStart w:id="72" w:name="_Toc495658660"/>
      <w:r w:rsidRPr="0001748B">
        <w:rPr>
          <w:rFonts w:eastAsia="MS Mincho"/>
          <w:b/>
          <w:bCs/>
          <w:i/>
          <w:sz w:val="20"/>
          <w:szCs w:val="20"/>
        </w:rPr>
        <w:t xml:space="preserve">C. </w:t>
      </w:r>
      <w:r w:rsidRPr="0001748B">
        <w:rPr>
          <w:rFonts w:eastAsia="MS Mincho"/>
          <w:b/>
          <w:bCs/>
          <w:i/>
          <w:sz w:val="20"/>
          <w:szCs w:val="20"/>
        </w:rPr>
        <w:tab/>
        <w:t>Valoración de la prueba</w:t>
      </w:r>
      <w:bookmarkEnd w:id="67"/>
      <w:bookmarkEnd w:id="68"/>
      <w:bookmarkEnd w:id="69"/>
      <w:bookmarkEnd w:id="70"/>
      <w:bookmarkEnd w:id="71"/>
      <w:bookmarkEnd w:id="72"/>
    </w:p>
    <w:p w:rsidR="00AB27BD" w:rsidRPr="0001748B" w:rsidRDefault="00AB27BD" w:rsidP="00AB27BD">
      <w:pPr>
        <w:spacing w:line="240" w:lineRule="auto"/>
        <w:rPr>
          <w:sz w:val="20"/>
          <w:szCs w:val="20"/>
          <w:lang w:eastAsia="es-MX"/>
        </w:rPr>
      </w:pPr>
      <w:bookmarkStart w:id="73" w:name="_Ref402038868"/>
    </w:p>
    <w:p w:rsidR="00AB27BD" w:rsidRPr="0001748B" w:rsidRDefault="00AB27BD" w:rsidP="00AB27BD">
      <w:pPr>
        <w:numPr>
          <w:ilvl w:val="0"/>
          <w:numId w:val="1"/>
        </w:numPr>
        <w:tabs>
          <w:tab w:val="left" w:pos="567"/>
        </w:tabs>
        <w:spacing w:line="240" w:lineRule="auto"/>
        <w:ind w:left="0" w:firstLine="0"/>
        <w:rPr>
          <w:rFonts w:cs="Verdana"/>
          <w:sz w:val="20"/>
          <w:szCs w:val="20"/>
          <w:lang w:eastAsia="es-MX"/>
        </w:rPr>
      </w:pPr>
      <w:r w:rsidRPr="0001748B">
        <w:rPr>
          <w:rFonts w:cs="Verdana"/>
          <w:sz w:val="20"/>
          <w:szCs w:val="20"/>
          <w:lang w:eastAsia="es-MX"/>
        </w:rPr>
        <w:t>Con base en su jurisprudencia constante respecto de la prueba y su apreciación, la Corte examinará y valorará los elementos probatorios documentales remitidos por las partes y la Comisión que fueron incorporados por este Tribunal, así como las declaraciones y dictámenes periciales, al establecer los hechos del caso y pronunciarse sobre el fondo. Para ello se sujeta a los principios de la sana crítica, dentro del marco normativo correspondiente, teniendo en cuenta el conjunto del acervo probatorio y lo alegado en la causa</w:t>
      </w:r>
      <w:r w:rsidR="00A250AB" w:rsidRPr="0001748B">
        <w:rPr>
          <w:rFonts w:cs="Verdana"/>
          <w:sz w:val="20"/>
          <w:szCs w:val="20"/>
          <w:vertAlign w:val="superscript"/>
          <w:lang w:eastAsia="es-MX"/>
        </w:rPr>
        <w:footnoteReference w:id="27"/>
      </w:r>
      <w:r w:rsidRPr="0001748B">
        <w:rPr>
          <w:rFonts w:cs="Verdana"/>
          <w:sz w:val="20"/>
          <w:szCs w:val="20"/>
          <w:lang w:eastAsia="es-MX"/>
        </w:rPr>
        <w:t>.</w:t>
      </w:r>
      <w:bookmarkEnd w:id="73"/>
    </w:p>
    <w:p w:rsidR="00AB27BD" w:rsidRPr="0001748B" w:rsidRDefault="00AB27BD" w:rsidP="00AB27BD">
      <w:pPr>
        <w:spacing w:line="240" w:lineRule="auto"/>
        <w:rPr>
          <w:sz w:val="20"/>
          <w:szCs w:val="20"/>
          <w:lang w:eastAsia="es-MX"/>
        </w:rPr>
      </w:pPr>
    </w:p>
    <w:p w:rsidR="00AB27BD" w:rsidRPr="0001748B" w:rsidRDefault="00AB27BD" w:rsidP="00AB27BD">
      <w:pPr>
        <w:numPr>
          <w:ilvl w:val="0"/>
          <w:numId w:val="1"/>
        </w:numPr>
        <w:tabs>
          <w:tab w:val="left" w:pos="567"/>
        </w:tabs>
        <w:spacing w:line="240" w:lineRule="auto"/>
        <w:ind w:left="0" w:firstLine="0"/>
        <w:rPr>
          <w:rFonts w:cs="Verdana"/>
          <w:sz w:val="20"/>
          <w:szCs w:val="20"/>
          <w:lang w:eastAsia="es-MX"/>
        </w:rPr>
      </w:pPr>
      <w:bookmarkStart w:id="74" w:name="_Ref402038884"/>
      <w:r w:rsidRPr="0001748B">
        <w:rPr>
          <w:rFonts w:cs="Verdana"/>
          <w:sz w:val="20"/>
          <w:szCs w:val="20"/>
          <w:lang w:eastAsia="es-MX"/>
        </w:rPr>
        <w:t>Finalmente, conforme a la jurisprudencia de este Tribunal, la Corte recuerda que las declaraciones rendidas por las presuntas víctimas no pueden ser valoradas aisladamente sino dentro del conjunto de las pruebas del proceso, en la medida en que pueden proporcionar mayor información sobre las presuntas violaciones y sus consecuencias</w:t>
      </w:r>
      <w:r w:rsidR="00A250AB" w:rsidRPr="0001748B">
        <w:rPr>
          <w:rFonts w:cs="Verdana"/>
          <w:sz w:val="20"/>
          <w:szCs w:val="20"/>
          <w:vertAlign w:val="superscript"/>
          <w:lang w:eastAsia="es-MX"/>
        </w:rPr>
        <w:footnoteReference w:id="28"/>
      </w:r>
      <w:r w:rsidRPr="0001748B">
        <w:rPr>
          <w:rFonts w:cs="Verdana"/>
          <w:sz w:val="20"/>
          <w:szCs w:val="20"/>
          <w:lang w:eastAsia="es-MX"/>
        </w:rPr>
        <w:t>.</w:t>
      </w:r>
      <w:bookmarkEnd w:id="74"/>
    </w:p>
    <w:p w:rsidR="00C36739" w:rsidRPr="0001748B" w:rsidRDefault="00C36739" w:rsidP="00C36739">
      <w:pPr>
        <w:tabs>
          <w:tab w:val="left" w:pos="720"/>
          <w:tab w:val="num" w:pos="1569"/>
        </w:tabs>
        <w:spacing w:line="240" w:lineRule="auto"/>
        <w:ind w:right="-90"/>
        <w:rPr>
          <w:b/>
          <w:sz w:val="20"/>
          <w:szCs w:val="20"/>
        </w:rPr>
      </w:pPr>
    </w:p>
    <w:p w:rsidR="001C5304" w:rsidRPr="0001748B" w:rsidRDefault="001C5304" w:rsidP="001C5304">
      <w:pPr>
        <w:keepNext/>
        <w:keepLines/>
        <w:tabs>
          <w:tab w:val="left" w:pos="851"/>
        </w:tabs>
        <w:spacing w:line="240" w:lineRule="auto"/>
        <w:jc w:val="center"/>
        <w:outlineLvl w:val="0"/>
        <w:rPr>
          <w:rFonts w:cs="Verdana"/>
          <w:b/>
          <w:bCs/>
          <w:caps/>
          <w:snapToGrid w:val="0"/>
          <w:sz w:val="20"/>
          <w:szCs w:val="20"/>
        </w:rPr>
      </w:pPr>
      <w:bookmarkStart w:id="75" w:name="_Toc495658661"/>
      <w:r w:rsidRPr="0001748B">
        <w:rPr>
          <w:rFonts w:cs="Verdana"/>
          <w:b/>
          <w:bCs/>
          <w:caps/>
          <w:snapToGrid w:val="0"/>
          <w:sz w:val="20"/>
          <w:szCs w:val="20"/>
        </w:rPr>
        <w:t>Vi</w:t>
      </w:r>
      <w:r w:rsidRPr="0001748B">
        <w:rPr>
          <w:rFonts w:cs="Verdana"/>
          <w:b/>
          <w:bCs/>
          <w:caps/>
          <w:snapToGrid w:val="0"/>
          <w:sz w:val="20"/>
          <w:szCs w:val="20"/>
        </w:rPr>
        <w:br/>
        <w:t>HECHOS</w:t>
      </w:r>
      <w:bookmarkEnd w:id="75"/>
    </w:p>
    <w:p w:rsidR="001C5304" w:rsidRPr="0001748B" w:rsidRDefault="001C5304" w:rsidP="001C5304">
      <w:pPr>
        <w:widowControl/>
        <w:autoSpaceDE w:val="0"/>
        <w:autoSpaceDN w:val="0"/>
        <w:spacing w:line="240" w:lineRule="auto"/>
        <w:textAlignment w:val="auto"/>
        <w:rPr>
          <w:rFonts w:eastAsia="Calibri" w:cs="Arial"/>
          <w:bCs/>
          <w:sz w:val="20"/>
          <w:szCs w:val="22"/>
          <w:lang w:eastAsia="en-US"/>
        </w:rPr>
      </w:pPr>
    </w:p>
    <w:p w:rsidR="001C5304" w:rsidRPr="0001748B" w:rsidRDefault="001C5304" w:rsidP="001C5304">
      <w:pPr>
        <w:numPr>
          <w:ilvl w:val="0"/>
          <w:numId w:val="1"/>
        </w:numPr>
        <w:tabs>
          <w:tab w:val="left" w:pos="567"/>
          <w:tab w:val="num" w:pos="5057"/>
        </w:tabs>
        <w:spacing w:line="240" w:lineRule="auto"/>
        <w:ind w:left="0" w:firstLine="0"/>
        <w:rPr>
          <w:rFonts w:eastAsia="Batang" w:cs="Arial"/>
          <w:bCs/>
          <w:sz w:val="20"/>
          <w:szCs w:val="22"/>
          <w:lang w:eastAsia="en-US"/>
        </w:rPr>
      </w:pPr>
      <w:r w:rsidRPr="0001748B">
        <w:rPr>
          <w:rFonts w:eastAsia="Batang" w:cs="Verdana"/>
          <w:sz w:val="20"/>
          <w:szCs w:val="20"/>
          <w:lang w:eastAsia="es-MX"/>
        </w:rPr>
        <w:t>Como</w:t>
      </w:r>
      <w:r w:rsidRPr="0001748B">
        <w:rPr>
          <w:rFonts w:eastAsia="Batang" w:cs="Arial"/>
          <w:bCs/>
          <w:sz w:val="20"/>
          <w:szCs w:val="22"/>
          <w:lang w:eastAsia="en-US"/>
        </w:rPr>
        <w:t xml:space="preserve"> una forma de reparación a las víctimas, en este capítulo la Corte dará por establecidos los hechos del presente caso con base en el sometimiento del caso presentado por la Comisión Interamericana, el reconocimiento de responsabilidad efectuado por el Estado y el acervo probatorio.</w:t>
      </w:r>
    </w:p>
    <w:p w:rsidR="001C5304" w:rsidRPr="0001748B" w:rsidRDefault="001C5304" w:rsidP="00C36739">
      <w:pPr>
        <w:tabs>
          <w:tab w:val="left" w:pos="720"/>
          <w:tab w:val="num" w:pos="1569"/>
        </w:tabs>
        <w:spacing w:line="240" w:lineRule="auto"/>
        <w:ind w:right="-90"/>
        <w:rPr>
          <w:b/>
          <w:sz w:val="20"/>
          <w:szCs w:val="20"/>
        </w:rPr>
      </w:pPr>
    </w:p>
    <w:p w:rsidR="001C5304" w:rsidRPr="0001748B" w:rsidRDefault="001C5304" w:rsidP="00C73FBC">
      <w:pPr>
        <w:pStyle w:val="ListParagraph"/>
        <w:keepNext/>
        <w:keepLines/>
        <w:widowControl/>
        <w:numPr>
          <w:ilvl w:val="0"/>
          <w:numId w:val="8"/>
        </w:numPr>
        <w:autoSpaceDE w:val="0"/>
        <w:autoSpaceDN w:val="0"/>
        <w:spacing w:line="240" w:lineRule="auto"/>
        <w:ind w:left="1134" w:hanging="567"/>
        <w:textAlignment w:val="auto"/>
        <w:outlineLvl w:val="1"/>
        <w:rPr>
          <w:rFonts w:eastAsia="Batang" w:cs="Arial"/>
          <w:b/>
          <w:i/>
          <w:sz w:val="20"/>
          <w:lang w:eastAsia="en-US"/>
        </w:rPr>
      </w:pPr>
      <w:bookmarkStart w:id="76" w:name="_Toc495658662"/>
      <w:r w:rsidRPr="0001748B">
        <w:rPr>
          <w:rFonts w:eastAsia="Batang" w:cs="Arial"/>
          <w:b/>
          <w:i/>
          <w:sz w:val="20"/>
          <w:lang w:eastAsia="en-US"/>
        </w:rPr>
        <w:t>Sobre Johan Alexis Ortiz Hernández</w:t>
      </w:r>
      <w:r w:rsidR="00697CB3" w:rsidRPr="0001748B">
        <w:rPr>
          <w:rFonts w:eastAsia="Batang" w:cs="Arial"/>
          <w:b/>
          <w:i/>
          <w:sz w:val="20"/>
          <w:lang w:eastAsia="en-US"/>
        </w:rPr>
        <w:t xml:space="preserve"> y su grupo familiar</w:t>
      </w:r>
      <w:bookmarkEnd w:id="76"/>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6D38BA" w:rsidRPr="0001748B" w:rsidRDefault="001C5304" w:rsidP="006D38BA">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Batang" w:cs="Arial"/>
          <w:bCs/>
          <w:sz w:val="20"/>
          <w:szCs w:val="22"/>
          <w:lang w:eastAsia="en-US"/>
        </w:rPr>
        <w:t>Johan</w:t>
      </w:r>
      <w:r w:rsidRPr="0001748B">
        <w:rPr>
          <w:rFonts w:eastAsiaTheme="minorHAnsi" w:cstheme="minorBidi"/>
          <w:sz w:val="20"/>
          <w:szCs w:val="20"/>
          <w:lang w:eastAsia="en-US"/>
        </w:rPr>
        <w:t xml:space="preserve"> Alexis Ortiz Hernández nació el 26 de junio de 1978, en el municipio de San Juan Bautista, del distrito San Cristóbal</w:t>
      </w:r>
      <w:r w:rsidR="00505AD5" w:rsidRPr="0001748B">
        <w:rPr>
          <w:rFonts w:eastAsiaTheme="minorHAnsi" w:cstheme="minorBidi"/>
          <w:sz w:val="20"/>
          <w:szCs w:val="20"/>
          <w:lang w:eastAsia="en-US"/>
        </w:rPr>
        <w:t>, del estado de Táchira</w:t>
      </w:r>
      <w:r w:rsidRPr="0001748B">
        <w:rPr>
          <w:rFonts w:eastAsiaTheme="minorHAnsi" w:cstheme="minorBidi"/>
          <w:sz w:val="20"/>
          <w:szCs w:val="20"/>
          <w:lang w:eastAsia="en-US"/>
        </w:rPr>
        <w:t>.</w:t>
      </w:r>
      <w:r w:rsidR="006D38BA" w:rsidRPr="0001748B">
        <w:rPr>
          <w:rFonts w:eastAsiaTheme="minorHAnsi" w:cstheme="minorBidi"/>
          <w:sz w:val="20"/>
          <w:szCs w:val="20"/>
          <w:lang w:eastAsia="en-US"/>
        </w:rPr>
        <w:t xml:space="preserve"> E</w:t>
      </w:r>
      <w:r w:rsidR="00AC3D61" w:rsidRPr="0001748B">
        <w:rPr>
          <w:rFonts w:eastAsiaTheme="minorHAnsi" w:cstheme="minorBidi"/>
          <w:sz w:val="20"/>
          <w:szCs w:val="20"/>
          <w:lang w:eastAsia="en-US"/>
        </w:rPr>
        <w:t>ra</w:t>
      </w:r>
      <w:r w:rsidR="006D38BA" w:rsidRPr="0001748B">
        <w:rPr>
          <w:rFonts w:eastAsiaTheme="minorHAnsi" w:cstheme="minorBidi"/>
          <w:sz w:val="20"/>
          <w:szCs w:val="20"/>
          <w:lang w:eastAsia="en-US"/>
        </w:rPr>
        <w:t xml:space="preserve"> el único h</w:t>
      </w:r>
      <w:r w:rsidRPr="0001748B">
        <w:rPr>
          <w:rFonts w:eastAsiaTheme="minorHAnsi" w:cstheme="minorBidi"/>
          <w:sz w:val="20"/>
          <w:szCs w:val="20"/>
          <w:lang w:eastAsia="en-US"/>
        </w:rPr>
        <w:t>ijo de</w:t>
      </w:r>
      <w:r w:rsidR="00E42E9B" w:rsidRPr="0001748B">
        <w:rPr>
          <w:rFonts w:eastAsiaTheme="minorHAnsi" w:cstheme="minorBidi"/>
          <w:sz w:val="20"/>
          <w:szCs w:val="20"/>
          <w:lang w:eastAsia="en-US"/>
        </w:rPr>
        <w:t xml:space="preserve"> </w:t>
      </w:r>
      <w:r w:rsidR="006D38BA" w:rsidRPr="0001748B">
        <w:rPr>
          <w:rFonts w:eastAsiaTheme="minorHAnsi" w:cstheme="minorBidi"/>
          <w:sz w:val="20"/>
          <w:szCs w:val="20"/>
          <w:lang w:eastAsia="en-US"/>
        </w:rPr>
        <w:t>l</w:t>
      </w:r>
      <w:r w:rsidR="00E42E9B" w:rsidRPr="0001748B">
        <w:rPr>
          <w:rFonts w:eastAsiaTheme="minorHAnsi" w:cstheme="minorBidi"/>
          <w:sz w:val="20"/>
          <w:szCs w:val="20"/>
          <w:lang w:eastAsia="en-US"/>
        </w:rPr>
        <w:t>a pareja</w:t>
      </w:r>
      <w:r w:rsidR="006D38BA" w:rsidRPr="0001748B">
        <w:rPr>
          <w:rFonts w:eastAsiaTheme="minorHAnsi" w:cstheme="minorBidi"/>
          <w:sz w:val="20"/>
          <w:szCs w:val="20"/>
          <w:lang w:eastAsia="en-US"/>
        </w:rPr>
        <w:t xml:space="preserve"> compuest</w:t>
      </w:r>
      <w:r w:rsidR="00E42E9B" w:rsidRPr="0001748B">
        <w:rPr>
          <w:rFonts w:eastAsiaTheme="minorHAnsi" w:cstheme="minorBidi"/>
          <w:sz w:val="20"/>
          <w:szCs w:val="20"/>
          <w:lang w:eastAsia="en-US"/>
        </w:rPr>
        <w:t>a</w:t>
      </w:r>
      <w:r w:rsidR="006D38BA" w:rsidRPr="0001748B">
        <w:rPr>
          <w:rFonts w:eastAsiaTheme="minorHAnsi" w:cstheme="minorBidi"/>
          <w:sz w:val="20"/>
          <w:szCs w:val="20"/>
          <w:lang w:eastAsia="en-US"/>
        </w:rPr>
        <w:t xml:space="preserve"> por</w:t>
      </w:r>
      <w:r w:rsidRPr="0001748B">
        <w:rPr>
          <w:rFonts w:eastAsiaTheme="minorHAnsi" w:cstheme="minorBidi"/>
          <w:sz w:val="20"/>
          <w:szCs w:val="20"/>
          <w:lang w:eastAsia="en-US"/>
        </w:rPr>
        <w:t xml:space="preserve"> Zaida Hernández </w:t>
      </w:r>
      <w:r w:rsidRPr="00681C2A">
        <w:rPr>
          <w:rFonts w:eastAsiaTheme="minorHAnsi" w:cstheme="minorBidi"/>
          <w:sz w:val="20"/>
          <w:szCs w:val="20"/>
          <w:lang w:eastAsia="en-US"/>
        </w:rPr>
        <w:t>Hernández y</w:t>
      </w:r>
      <w:r w:rsidRPr="0001748B">
        <w:rPr>
          <w:rFonts w:eastAsiaTheme="minorHAnsi" w:cstheme="minorBidi"/>
          <w:sz w:val="20"/>
          <w:szCs w:val="20"/>
          <w:lang w:eastAsia="en-US"/>
        </w:rPr>
        <w:t xml:space="preserve"> Edgar Humberto Ortiz Ruiz, </w:t>
      </w:r>
      <w:r w:rsidR="006D38BA" w:rsidRPr="0001748B">
        <w:rPr>
          <w:rFonts w:eastAsiaTheme="minorHAnsi" w:cstheme="minorBidi"/>
          <w:sz w:val="20"/>
          <w:szCs w:val="20"/>
          <w:lang w:eastAsia="en-US"/>
        </w:rPr>
        <w:t>quienes se separaron en el año 1979</w:t>
      </w:r>
      <w:r w:rsidR="000E3FF1" w:rsidRPr="0001748B">
        <w:rPr>
          <w:rFonts w:eastAsiaTheme="minorHAnsi" w:cstheme="minorBidi"/>
          <w:sz w:val="20"/>
          <w:szCs w:val="20"/>
          <w:vertAlign w:val="superscript"/>
          <w:lang w:eastAsia="en-US"/>
        </w:rPr>
        <w:footnoteReference w:id="29"/>
      </w:r>
      <w:r w:rsidR="006D38BA" w:rsidRPr="0001748B">
        <w:rPr>
          <w:rFonts w:eastAsiaTheme="minorHAnsi" w:cstheme="minorBidi"/>
          <w:sz w:val="20"/>
          <w:szCs w:val="20"/>
          <w:lang w:eastAsia="en-US"/>
        </w:rPr>
        <w:t>. Sin embargo, Johan Alexis e</w:t>
      </w:r>
      <w:r w:rsidR="00AC3D61" w:rsidRPr="0001748B">
        <w:rPr>
          <w:rFonts w:eastAsiaTheme="minorHAnsi" w:cstheme="minorBidi"/>
          <w:sz w:val="20"/>
          <w:szCs w:val="20"/>
          <w:lang w:eastAsia="en-US"/>
        </w:rPr>
        <w:t>ra</w:t>
      </w:r>
      <w:r w:rsidR="006D38BA" w:rsidRPr="0001748B">
        <w:rPr>
          <w:rFonts w:eastAsiaTheme="minorHAnsi" w:cstheme="minorBidi"/>
          <w:sz w:val="20"/>
          <w:szCs w:val="20"/>
          <w:lang w:eastAsia="en-US"/>
        </w:rPr>
        <w:t xml:space="preserve"> el mayor de seis hermanos, debido a que sus p</w:t>
      </w:r>
      <w:r w:rsidR="006D38BA" w:rsidRPr="006165E6">
        <w:rPr>
          <w:rFonts w:eastAsiaTheme="minorHAnsi" w:cstheme="minorBidi"/>
          <w:sz w:val="20"/>
          <w:szCs w:val="20"/>
          <w:lang w:eastAsia="en-US"/>
        </w:rPr>
        <w:t xml:space="preserve">adres </w:t>
      </w:r>
      <w:r w:rsidR="00A5065C" w:rsidRPr="0094587A">
        <w:rPr>
          <w:rFonts w:eastAsiaTheme="minorHAnsi" w:cstheme="minorBidi"/>
          <w:sz w:val="20"/>
          <w:szCs w:val="20"/>
          <w:lang w:eastAsia="en-US"/>
        </w:rPr>
        <w:t xml:space="preserve">formaron </w:t>
      </w:r>
      <w:r w:rsidR="006D38BA" w:rsidRPr="0094587A">
        <w:rPr>
          <w:rFonts w:eastAsiaTheme="minorHAnsi" w:cstheme="minorBidi"/>
          <w:sz w:val="20"/>
          <w:szCs w:val="20"/>
          <w:lang w:eastAsia="en-US"/>
        </w:rPr>
        <w:t>nuevas parejas:</w:t>
      </w:r>
      <w:r w:rsidR="00D0157C" w:rsidRPr="001533ED">
        <w:rPr>
          <w:rFonts w:eastAsiaTheme="minorHAnsi" w:cstheme="minorBidi"/>
          <w:sz w:val="20"/>
          <w:szCs w:val="20"/>
          <w:lang w:eastAsia="en-US"/>
        </w:rPr>
        <w:t xml:space="preserve"> la señora</w:t>
      </w:r>
      <w:r w:rsidR="006D38BA" w:rsidRPr="001533ED">
        <w:rPr>
          <w:rFonts w:eastAsiaTheme="minorHAnsi" w:cstheme="minorBidi"/>
          <w:sz w:val="20"/>
          <w:szCs w:val="20"/>
          <w:lang w:eastAsia="en-US"/>
        </w:rPr>
        <w:t xml:space="preserve"> Hernández se casó con el señor Saúl Arellano Mora</w:t>
      </w:r>
      <w:r w:rsidR="006D38BA" w:rsidRPr="00EE3B20">
        <w:rPr>
          <w:rFonts w:eastAsiaTheme="minorHAnsi" w:cstheme="minorBidi"/>
          <w:sz w:val="20"/>
          <w:szCs w:val="20"/>
          <w:lang w:eastAsia="en-US"/>
        </w:rPr>
        <w:t xml:space="preserve">, y tuvieron dos hijos, Zaida </w:t>
      </w:r>
      <w:r w:rsidR="00D048D1" w:rsidRPr="00EE3B20">
        <w:rPr>
          <w:rFonts w:eastAsiaTheme="minorHAnsi" w:cstheme="minorBidi"/>
          <w:sz w:val="20"/>
          <w:szCs w:val="20"/>
          <w:lang w:eastAsia="en-US"/>
        </w:rPr>
        <w:t xml:space="preserve">Dariana </w:t>
      </w:r>
      <w:r w:rsidR="006D38BA" w:rsidRPr="00EE3B20">
        <w:rPr>
          <w:rFonts w:eastAsiaTheme="minorHAnsi" w:cstheme="minorBidi"/>
          <w:sz w:val="20"/>
          <w:szCs w:val="20"/>
          <w:lang w:eastAsia="en-US"/>
        </w:rPr>
        <w:t>Arellano</w:t>
      </w:r>
      <w:r w:rsidR="00D048D1" w:rsidRPr="000C7DFF">
        <w:rPr>
          <w:rFonts w:eastAsiaTheme="minorHAnsi" w:cstheme="minorBidi"/>
          <w:sz w:val="20"/>
          <w:szCs w:val="20"/>
          <w:lang w:eastAsia="en-US"/>
        </w:rPr>
        <w:t xml:space="preserve"> Hernández</w:t>
      </w:r>
      <w:r w:rsidR="006D38BA" w:rsidRPr="004241F2">
        <w:rPr>
          <w:rFonts w:eastAsiaTheme="minorHAnsi" w:cstheme="minorBidi"/>
          <w:sz w:val="20"/>
          <w:szCs w:val="20"/>
          <w:lang w:eastAsia="en-US"/>
        </w:rPr>
        <w:t xml:space="preserve"> y Saúl Johan Arellano Hernández; </w:t>
      </w:r>
      <w:r w:rsidR="00D0157C" w:rsidRPr="00EE2984">
        <w:rPr>
          <w:rFonts w:eastAsiaTheme="minorHAnsi" w:cstheme="minorBidi"/>
          <w:sz w:val="20"/>
          <w:szCs w:val="20"/>
          <w:lang w:eastAsia="en-US"/>
        </w:rPr>
        <w:t xml:space="preserve">el señor </w:t>
      </w:r>
      <w:r w:rsidR="006D38BA" w:rsidRPr="00EE2984">
        <w:rPr>
          <w:rFonts w:eastAsiaTheme="minorHAnsi" w:cstheme="minorBidi"/>
          <w:sz w:val="20"/>
          <w:szCs w:val="20"/>
          <w:lang w:eastAsia="en-US"/>
        </w:rPr>
        <w:t>Ortiz</w:t>
      </w:r>
      <w:r w:rsidR="006D38BA" w:rsidRPr="0001748B">
        <w:rPr>
          <w:rFonts w:eastAsiaTheme="minorHAnsi" w:cstheme="minorBidi"/>
          <w:sz w:val="20"/>
          <w:szCs w:val="20"/>
          <w:lang w:eastAsia="en-US"/>
        </w:rPr>
        <w:t xml:space="preserve"> Ruiz se unió con la señora Maritza González Cordero y de esa unión nacieron Jeckson Edgardo Ortiz González, Greyssi Maried Ortiz </w:t>
      </w:r>
      <w:r w:rsidR="00D048D1" w:rsidRPr="0001748B">
        <w:rPr>
          <w:rFonts w:eastAsiaTheme="minorHAnsi" w:cstheme="minorBidi"/>
          <w:sz w:val="20"/>
          <w:szCs w:val="20"/>
          <w:lang w:eastAsia="en-US"/>
        </w:rPr>
        <w:t xml:space="preserve">González </w:t>
      </w:r>
      <w:r w:rsidR="006D38BA" w:rsidRPr="0001748B">
        <w:rPr>
          <w:rFonts w:eastAsiaTheme="minorHAnsi" w:cstheme="minorBidi"/>
          <w:sz w:val="20"/>
          <w:szCs w:val="20"/>
          <w:lang w:eastAsia="en-US"/>
        </w:rPr>
        <w:t>y Gregory Leonardo Ortiz González</w:t>
      </w:r>
      <w:r w:rsidR="006D38BA" w:rsidRPr="0001748B">
        <w:rPr>
          <w:rStyle w:val="FootnoteReference"/>
          <w:rFonts w:eastAsiaTheme="minorHAnsi" w:cstheme="minorBidi"/>
          <w:sz w:val="20"/>
          <w:szCs w:val="20"/>
          <w:lang w:eastAsia="en-US"/>
        </w:rPr>
        <w:footnoteReference w:id="30"/>
      </w:r>
      <w:r w:rsidR="006D38BA" w:rsidRPr="0001748B">
        <w:rPr>
          <w:rFonts w:eastAsiaTheme="minorHAnsi" w:cstheme="minorBidi"/>
          <w:sz w:val="20"/>
          <w:szCs w:val="20"/>
          <w:lang w:eastAsia="en-US"/>
        </w:rPr>
        <w:t>.</w:t>
      </w:r>
    </w:p>
    <w:p w:rsidR="006D38BA" w:rsidRPr="0001748B" w:rsidRDefault="006D38BA" w:rsidP="006D38BA">
      <w:pPr>
        <w:tabs>
          <w:tab w:val="left" w:pos="567"/>
        </w:tabs>
        <w:spacing w:line="240" w:lineRule="auto"/>
        <w:rPr>
          <w:rFonts w:eastAsiaTheme="minorHAnsi" w:cstheme="minorBidi"/>
          <w:sz w:val="20"/>
          <w:szCs w:val="20"/>
          <w:lang w:eastAsia="en-US"/>
        </w:rPr>
      </w:pPr>
    </w:p>
    <w:p w:rsidR="001C5304" w:rsidRPr="0001748B" w:rsidRDefault="00166526" w:rsidP="00166526">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Johan Alexis</w:t>
      </w:r>
      <w:r w:rsidR="000F400B">
        <w:rPr>
          <w:rFonts w:eastAsiaTheme="minorHAnsi" w:cstheme="minorBidi"/>
          <w:sz w:val="20"/>
          <w:szCs w:val="20"/>
          <w:lang w:eastAsia="en-US"/>
        </w:rPr>
        <w:t xml:space="preserve"> Ortiz</w:t>
      </w:r>
      <w:r w:rsidRPr="0001748B">
        <w:rPr>
          <w:rFonts w:eastAsiaTheme="minorHAnsi" w:cstheme="minorBidi"/>
          <w:sz w:val="20"/>
          <w:szCs w:val="20"/>
          <w:lang w:eastAsia="en-US"/>
        </w:rPr>
        <w:t xml:space="preserve"> </w:t>
      </w:r>
      <w:r w:rsidR="000F400B">
        <w:rPr>
          <w:rFonts w:eastAsia="Batang"/>
          <w:sz w:val="20"/>
          <w:lang w:eastAsia="en-US"/>
        </w:rPr>
        <w:t>Hernández</w:t>
      </w:r>
      <w:r w:rsidR="000F400B" w:rsidRPr="0001748B">
        <w:rPr>
          <w:rFonts w:eastAsiaTheme="minorHAnsi" w:cstheme="minorBidi"/>
          <w:sz w:val="20"/>
          <w:szCs w:val="20"/>
          <w:lang w:eastAsia="en-US"/>
        </w:rPr>
        <w:t xml:space="preserve"> </w:t>
      </w:r>
      <w:r w:rsidR="001C5304" w:rsidRPr="0001748B">
        <w:rPr>
          <w:rFonts w:eastAsiaTheme="minorHAnsi" w:cstheme="minorBidi"/>
          <w:sz w:val="20"/>
          <w:szCs w:val="20"/>
          <w:lang w:eastAsia="en-US"/>
        </w:rPr>
        <w:t xml:space="preserve">ingresó a la Escuela de Formación de Guardias Nacionales </w:t>
      </w:r>
      <w:r w:rsidR="00F6608E" w:rsidRPr="0001748B">
        <w:rPr>
          <w:rFonts w:eastAsiaTheme="minorHAnsi" w:cstheme="minorBidi"/>
          <w:sz w:val="20"/>
          <w:szCs w:val="20"/>
          <w:lang w:eastAsia="en-US"/>
        </w:rPr>
        <w:t xml:space="preserve">de Cordero (ESGUARNAC-CORDERO) el 10 de octubre de 1996 </w:t>
      </w:r>
      <w:r w:rsidR="001C5304" w:rsidRPr="0001748B">
        <w:rPr>
          <w:rFonts w:eastAsiaTheme="minorHAnsi" w:cstheme="minorBidi"/>
          <w:sz w:val="20"/>
          <w:szCs w:val="20"/>
          <w:lang w:eastAsia="en-US"/>
        </w:rPr>
        <w:t>con el objetivo de integrarse a dicha fuerza y servir a su país</w:t>
      </w:r>
      <w:r w:rsidR="001C5304" w:rsidRPr="0001748B">
        <w:rPr>
          <w:rFonts w:eastAsiaTheme="minorHAnsi" w:cstheme="minorBidi"/>
          <w:sz w:val="20"/>
          <w:szCs w:val="20"/>
          <w:vertAlign w:val="superscript"/>
          <w:lang w:eastAsia="en-US"/>
        </w:rPr>
        <w:footnoteReference w:id="31"/>
      </w:r>
      <w:r w:rsidR="001C5304" w:rsidRPr="0001748B">
        <w:rPr>
          <w:rFonts w:eastAsiaTheme="minorHAnsi" w:cstheme="minorBidi"/>
          <w:sz w:val="20"/>
          <w:szCs w:val="20"/>
          <w:lang w:eastAsia="en-US"/>
        </w:rPr>
        <w:t>.</w:t>
      </w:r>
      <w:r w:rsidR="00697CB3" w:rsidRPr="0001748B">
        <w:rPr>
          <w:rFonts w:eastAsiaTheme="minorHAnsi" w:cstheme="minorBidi"/>
          <w:sz w:val="20"/>
          <w:szCs w:val="20"/>
          <w:lang w:eastAsia="en-US"/>
        </w:rPr>
        <w:t xml:space="preserve"> </w:t>
      </w:r>
      <w:r w:rsidR="001C5304" w:rsidRPr="0001748B">
        <w:rPr>
          <w:rFonts w:eastAsiaTheme="minorHAnsi" w:cstheme="minorBidi"/>
          <w:sz w:val="20"/>
          <w:szCs w:val="20"/>
          <w:lang w:eastAsia="en-US"/>
        </w:rPr>
        <w:t xml:space="preserve">A </w:t>
      </w:r>
      <w:r w:rsidR="001C5304" w:rsidRPr="0001748B">
        <w:rPr>
          <w:rFonts w:eastAsia="Batang" w:cs="Arial"/>
          <w:bCs/>
          <w:sz w:val="20"/>
          <w:szCs w:val="22"/>
          <w:lang w:eastAsia="en-US"/>
        </w:rPr>
        <w:t>los</w:t>
      </w:r>
      <w:r w:rsidR="001C5304" w:rsidRPr="0001748B">
        <w:rPr>
          <w:rFonts w:eastAsiaTheme="minorHAnsi" w:cstheme="minorBidi"/>
          <w:sz w:val="20"/>
          <w:szCs w:val="20"/>
          <w:lang w:eastAsia="en-US"/>
        </w:rPr>
        <w:t xml:space="preserve"> 19 años, formaba parte del XXVIII curso de dicha institución, que se graduaría </w:t>
      </w:r>
      <w:r w:rsidR="00D45EA1" w:rsidRPr="0001748B">
        <w:rPr>
          <w:rFonts w:eastAsiaTheme="minorHAnsi" w:cstheme="minorBidi"/>
          <w:sz w:val="20"/>
          <w:szCs w:val="20"/>
          <w:lang w:eastAsia="en-US"/>
        </w:rPr>
        <w:t xml:space="preserve">en </w:t>
      </w:r>
      <w:r w:rsidR="001C5304" w:rsidRPr="0001748B">
        <w:rPr>
          <w:rFonts w:eastAsiaTheme="minorHAnsi" w:cstheme="minorBidi"/>
          <w:sz w:val="20"/>
          <w:szCs w:val="20"/>
          <w:lang w:eastAsia="en-US"/>
        </w:rPr>
        <w:t xml:space="preserve">el </w:t>
      </w:r>
      <w:r w:rsidR="00D45EA1" w:rsidRPr="0001748B">
        <w:rPr>
          <w:rFonts w:eastAsiaTheme="minorHAnsi" w:cstheme="minorBidi"/>
          <w:sz w:val="20"/>
          <w:szCs w:val="20"/>
          <w:lang w:eastAsia="en-US"/>
        </w:rPr>
        <w:t xml:space="preserve">mes </w:t>
      </w:r>
      <w:r w:rsidR="001C5304" w:rsidRPr="0001748B">
        <w:rPr>
          <w:rFonts w:eastAsiaTheme="minorHAnsi" w:cstheme="minorBidi"/>
          <w:sz w:val="20"/>
          <w:szCs w:val="20"/>
          <w:lang w:eastAsia="en-US"/>
        </w:rPr>
        <w:t>de abril de 1998</w:t>
      </w:r>
      <w:r w:rsidR="001C5304" w:rsidRPr="0001748B">
        <w:rPr>
          <w:rFonts w:eastAsiaTheme="minorHAnsi" w:cstheme="minorBidi"/>
          <w:sz w:val="20"/>
          <w:szCs w:val="20"/>
          <w:vertAlign w:val="superscript"/>
          <w:lang w:eastAsia="en-US"/>
        </w:rPr>
        <w:footnoteReference w:id="32"/>
      </w:r>
      <w:r w:rsidR="001C5304" w:rsidRPr="0001748B">
        <w:rPr>
          <w:rFonts w:eastAsiaTheme="minorHAnsi" w:cstheme="minorBidi"/>
          <w:sz w:val="20"/>
          <w:szCs w:val="20"/>
          <w:lang w:eastAsia="en-US"/>
        </w:rPr>
        <w:t>.</w:t>
      </w:r>
    </w:p>
    <w:p w:rsidR="00697CB3" w:rsidRPr="0001748B" w:rsidRDefault="00697CB3"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C73FBC">
      <w:pPr>
        <w:pStyle w:val="ListParagraph"/>
        <w:keepNext/>
        <w:keepLines/>
        <w:widowControl/>
        <w:numPr>
          <w:ilvl w:val="0"/>
          <w:numId w:val="8"/>
        </w:numPr>
        <w:autoSpaceDE w:val="0"/>
        <w:autoSpaceDN w:val="0"/>
        <w:spacing w:line="240" w:lineRule="auto"/>
        <w:ind w:left="1134" w:hanging="567"/>
        <w:textAlignment w:val="auto"/>
        <w:outlineLvl w:val="1"/>
        <w:rPr>
          <w:rFonts w:eastAsia="Batang" w:cs="Arial"/>
          <w:b/>
          <w:i/>
          <w:sz w:val="20"/>
          <w:lang w:eastAsia="en-US"/>
        </w:rPr>
      </w:pPr>
      <w:bookmarkStart w:id="77" w:name="_Toc495658663"/>
      <w:r w:rsidRPr="0001748B">
        <w:rPr>
          <w:rFonts w:eastAsia="Batang" w:cs="Arial"/>
          <w:b/>
          <w:i/>
          <w:sz w:val="20"/>
          <w:lang w:eastAsia="en-US"/>
        </w:rPr>
        <w:t>El “I Curso Anti-subversivo” y la práctica denominada “</w:t>
      </w:r>
      <w:r w:rsidR="00EE2984">
        <w:rPr>
          <w:rFonts w:eastAsia="Batang" w:cs="Arial"/>
          <w:b/>
          <w:i/>
          <w:sz w:val="20"/>
          <w:lang w:eastAsia="en-US"/>
        </w:rPr>
        <w:t>c</w:t>
      </w:r>
      <w:r w:rsidRPr="0001748B">
        <w:rPr>
          <w:rFonts w:eastAsia="Batang" w:cs="Arial"/>
          <w:b/>
          <w:i/>
          <w:sz w:val="20"/>
          <w:lang w:eastAsia="en-US"/>
        </w:rPr>
        <w:t>ancha</w:t>
      </w:r>
      <w:r w:rsidR="00EE2984">
        <w:rPr>
          <w:rFonts w:eastAsia="Batang" w:cs="Arial"/>
          <w:b/>
          <w:i/>
          <w:sz w:val="20"/>
          <w:lang w:eastAsia="en-US"/>
        </w:rPr>
        <w:t xml:space="preserve"> </w:t>
      </w:r>
      <w:r w:rsidRPr="0001748B">
        <w:rPr>
          <w:rFonts w:eastAsia="Batang" w:cs="Arial"/>
          <w:b/>
          <w:i/>
          <w:sz w:val="20"/>
          <w:lang w:eastAsia="en-US"/>
        </w:rPr>
        <w:t>anti</w:t>
      </w:r>
      <w:r w:rsidR="00EE2984">
        <w:rPr>
          <w:rFonts w:eastAsia="Batang" w:cs="Arial"/>
          <w:b/>
          <w:i/>
          <w:sz w:val="20"/>
          <w:lang w:eastAsia="en-US"/>
        </w:rPr>
        <w:t>-</w:t>
      </w:r>
      <w:r w:rsidRPr="0001748B">
        <w:rPr>
          <w:rFonts w:eastAsia="Batang" w:cs="Arial"/>
          <w:b/>
          <w:i/>
          <w:sz w:val="20"/>
          <w:lang w:eastAsia="en-US"/>
        </w:rPr>
        <w:t>subversiva”</w:t>
      </w:r>
      <w:bookmarkEnd w:id="77"/>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86619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En el </w:t>
      </w:r>
      <w:r w:rsidRPr="0001748B">
        <w:rPr>
          <w:rFonts w:eastAsia="Batang" w:cs="Arial"/>
          <w:bCs/>
          <w:sz w:val="20"/>
          <w:szCs w:val="22"/>
          <w:lang w:eastAsia="en-US"/>
        </w:rPr>
        <w:t>marco</w:t>
      </w:r>
      <w:r w:rsidRPr="0001748B">
        <w:rPr>
          <w:rFonts w:eastAsiaTheme="minorHAnsi" w:cstheme="minorBidi"/>
          <w:sz w:val="20"/>
          <w:szCs w:val="20"/>
          <w:lang w:eastAsia="en-US"/>
        </w:rPr>
        <w:t xml:space="preserve"> de la instrucción</w:t>
      </w:r>
      <w:r w:rsidRPr="0001748B" w:rsidDel="00131B4A">
        <w:rPr>
          <w:rFonts w:eastAsiaTheme="minorHAnsi" w:cstheme="minorBidi"/>
          <w:sz w:val="20"/>
          <w:szCs w:val="20"/>
          <w:lang w:eastAsia="en-US"/>
        </w:rPr>
        <w:t xml:space="preserve"> </w:t>
      </w:r>
      <w:r w:rsidRPr="0001748B">
        <w:rPr>
          <w:rFonts w:eastAsiaTheme="minorHAnsi" w:cstheme="minorBidi"/>
          <w:sz w:val="20"/>
          <w:szCs w:val="20"/>
          <w:lang w:eastAsia="en-US"/>
        </w:rPr>
        <w:t>de los integrantes del XXVIII curso de la ESGUARNAC-CORDERO, el Comando del Cuerpo de Alumnos</w:t>
      </w:r>
      <w:r w:rsidR="009A2A7D" w:rsidRPr="0001748B">
        <w:rPr>
          <w:rFonts w:eastAsiaTheme="minorHAnsi" w:cstheme="minorBidi"/>
          <w:sz w:val="20"/>
          <w:szCs w:val="20"/>
          <w:lang w:eastAsia="en-US"/>
        </w:rPr>
        <w:t>,</w:t>
      </w:r>
      <w:r w:rsidRPr="0001748B">
        <w:rPr>
          <w:rFonts w:eastAsiaTheme="minorHAnsi" w:cstheme="minorBidi"/>
          <w:sz w:val="20"/>
          <w:szCs w:val="20"/>
          <w:lang w:eastAsia="en-US"/>
        </w:rPr>
        <w:t xml:space="preserve"> en coordinación con el Destacamento </w:t>
      </w:r>
      <w:r w:rsidR="00E80540" w:rsidRPr="0001748B">
        <w:rPr>
          <w:rFonts w:eastAsiaTheme="minorHAnsi" w:cstheme="minorBidi"/>
          <w:sz w:val="20"/>
          <w:szCs w:val="20"/>
          <w:lang w:eastAsia="en-US"/>
        </w:rPr>
        <w:t>N° 19</w:t>
      </w:r>
      <w:r w:rsidR="00E80540">
        <w:rPr>
          <w:rFonts w:eastAsiaTheme="minorHAnsi" w:cstheme="minorBidi"/>
          <w:sz w:val="20"/>
          <w:szCs w:val="20"/>
          <w:lang w:eastAsia="en-US"/>
        </w:rPr>
        <w:t xml:space="preserve"> </w:t>
      </w:r>
      <w:r w:rsidRPr="0001748B">
        <w:rPr>
          <w:rFonts w:eastAsiaTheme="minorHAnsi" w:cstheme="minorBidi"/>
          <w:sz w:val="20"/>
          <w:szCs w:val="20"/>
          <w:lang w:eastAsia="en-US"/>
        </w:rPr>
        <w:t xml:space="preserve">de </w:t>
      </w:r>
      <w:r w:rsidR="00E80540">
        <w:rPr>
          <w:rFonts w:eastAsiaTheme="minorHAnsi" w:cstheme="minorBidi"/>
          <w:sz w:val="20"/>
          <w:szCs w:val="20"/>
          <w:lang w:eastAsia="en-US"/>
        </w:rPr>
        <w:t xml:space="preserve">los </w:t>
      </w:r>
      <w:r w:rsidRPr="0001748B">
        <w:rPr>
          <w:rFonts w:eastAsiaTheme="minorHAnsi" w:cstheme="minorBidi"/>
          <w:sz w:val="20"/>
          <w:szCs w:val="20"/>
          <w:lang w:eastAsia="en-US"/>
        </w:rPr>
        <w:t>Comandos Rurales</w:t>
      </w:r>
      <w:r w:rsidR="009A2A7D" w:rsidRPr="0001748B">
        <w:rPr>
          <w:rFonts w:eastAsiaTheme="minorHAnsi" w:cstheme="minorBidi"/>
          <w:sz w:val="20"/>
          <w:szCs w:val="20"/>
          <w:lang w:eastAsia="en-US"/>
        </w:rPr>
        <w:t>,</w:t>
      </w:r>
      <w:r w:rsidRPr="0001748B">
        <w:rPr>
          <w:rFonts w:eastAsiaTheme="minorHAnsi" w:cstheme="minorBidi"/>
          <w:sz w:val="20"/>
          <w:szCs w:val="20"/>
          <w:lang w:eastAsia="en-US"/>
        </w:rPr>
        <w:t xml:space="preserve"> planificó la realización de un curso denominado “I Curso Anti-Subversivo”</w:t>
      </w:r>
      <w:r w:rsidR="00E76A54" w:rsidRPr="0001748B">
        <w:rPr>
          <w:rFonts w:eastAsiaTheme="minorHAnsi" w:cstheme="minorBidi"/>
          <w:sz w:val="20"/>
          <w:szCs w:val="20"/>
          <w:lang w:eastAsia="en-US"/>
        </w:rPr>
        <w:t xml:space="preserve"> entre el 13 y el 21 de febrero de 1998</w:t>
      </w:r>
      <w:r w:rsidRPr="0001748B">
        <w:rPr>
          <w:rFonts w:eastAsiaTheme="minorHAnsi" w:cstheme="minorBidi"/>
          <w:sz w:val="20"/>
          <w:szCs w:val="20"/>
          <w:lang w:eastAsia="en-US"/>
        </w:rPr>
        <w:t>. A tal fin, se redactó una Orden de Operaciones, cuya finalidad era instruir al futuro de la Guardia Nacional en las áreas de operaciones militares y especiales (contraguerrilla, anti-secuestro, armamento, explosivos, comunicaciones militares y sanidad militar), y en las acciones no operacionales (acciones cívicas, operaciones psicológicas y acciones de pacificación)</w:t>
      </w:r>
      <w:r w:rsidRPr="0001748B">
        <w:rPr>
          <w:rFonts w:eastAsiaTheme="minorHAnsi" w:cstheme="minorBidi"/>
          <w:sz w:val="20"/>
          <w:szCs w:val="20"/>
          <w:vertAlign w:val="superscript"/>
          <w:lang w:eastAsia="en-US"/>
        </w:rPr>
        <w:footnoteReference w:id="33"/>
      </w:r>
      <w:r w:rsidRPr="0001748B">
        <w:rPr>
          <w:rFonts w:eastAsiaTheme="minorHAnsi" w:cstheme="minorBidi"/>
          <w:sz w:val="20"/>
          <w:szCs w:val="20"/>
          <w:lang w:eastAsia="en-US"/>
        </w:rPr>
        <w:t>.</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866198">
      <w:pPr>
        <w:widowControl/>
        <w:numPr>
          <w:ilvl w:val="0"/>
          <w:numId w:val="1"/>
        </w:numPr>
        <w:tabs>
          <w:tab w:val="left" w:pos="567"/>
          <w:tab w:val="num" w:pos="5057"/>
        </w:tabs>
        <w:adjustRightInd/>
        <w:spacing w:line="240" w:lineRule="auto"/>
        <w:ind w:left="0" w:firstLine="0"/>
        <w:textAlignment w:val="auto"/>
        <w:rPr>
          <w:rFonts w:eastAsiaTheme="minorHAnsi" w:cstheme="minorBidi"/>
          <w:sz w:val="20"/>
          <w:szCs w:val="20"/>
          <w:lang w:eastAsia="en-US"/>
        </w:rPr>
      </w:pPr>
      <w:r w:rsidRPr="0001748B">
        <w:rPr>
          <w:rFonts w:eastAsia="Batang" w:cs="Arial"/>
          <w:bCs/>
          <w:sz w:val="20"/>
          <w:szCs w:val="22"/>
          <w:lang w:eastAsia="en-US"/>
        </w:rPr>
        <w:t>Según</w:t>
      </w:r>
      <w:r w:rsidRPr="0001748B">
        <w:rPr>
          <w:rFonts w:eastAsiaTheme="minorHAnsi" w:cstheme="minorBidi"/>
          <w:sz w:val="20"/>
          <w:szCs w:val="20"/>
          <w:lang w:eastAsia="en-US"/>
        </w:rPr>
        <w:t xml:space="preserve"> esta Orden de Operaciones, el </w:t>
      </w:r>
      <w:r w:rsidR="00F964A1">
        <w:rPr>
          <w:rFonts w:eastAsiaTheme="minorHAnsi" w:cstheme="minorBidi"/>
          <w:sz w:val="20"/>
          <w:szCs w:val="20"/>
          <w:lang w:eastAsia="en-US"/>
        </w:rPr>
        <w:t xml:space="preserve">“I </w:t>
      </w:r>
      <w:r w:rsidRPr="0001748B">
        <w:rPr>
          <w:rFonts w:eastAsiaTheme="minorHAnsi" w:cstheme="minorBidi"/>
          <w:sz w:val="20"/>
          <w:szCs w:val="20"/>
          <w:lang w:eastAsia="en-US"/>
        </w:rPr>
        <w:t>Curso Anti-Subversivo</w:t>
      </w:r>
      <w:r w:rsidR="00F964A1">
        <w:rPr>
          <w:rFonts w:eastAsiaTheme="minorHAnsi" w:cstheme="minorBidi"/>
          <w:sz w:val="20"/>
          <w:szCs w:val="20"/>
          <w:lang w:eastAsia="en-US"/>
        </w:rPr>
        <w:t>”</w:t>
      </w:r>
      <w:r w:rsidRPr="0001748B">
        <w:rPr>
          <w:rFonts w:eastAsiaTheme="minorHAnsi" w:cstheme="minorBidi"/>
          <w:sz w:val="20"/>
          <w:szCs w:val="20"/>
          <w:lang w:eastAsia="en-US"/>
        </w:rPr>
        <w:t xml:space="preserve"> tenía por misión adiestrar a los alumnos en operaciones simuladas de combate contra la guerrilla, bajo los efectos de una presión mental y física durante un período extenso. E</w:t>
      </w:r>
      <w:r w:rsidR="00680115" w:rsidRPr="0001748B">
        <w:rPr>
          <w:rFonts w:eastAsiaTheme="minorHAnsi" w:cstheme="minorBidi"/>
          <w:sz w:val="20"/>
          <w:szCs w:val="20"/>
          <w:lang w:eastAsia="en-US"/>
        </w:rPr>
        <w:t>ste</w:t>
      </w:r>
      <w:r w:rsidRPr="0001748B">
        <w:rPr>
          <w:rFonts w:eastAsiaTheme="minorHAnsi" w:cstheme="minorBidi"/>
          <w:sz w:val="20"/>
          <w:szCs w:val="20"/>
          <w:lang w:eastAsia="en-US"/>
        </w:rPr>
        <w:t xml:space="preserve"> </w:t>
      </w:r>
      <w:r w:rsidR="00680115" w:rsidRPr="0001748B">
        <w:rPr>
          <w:rFonts w:eastAsiaTheme="minorHAnsi" w:cstheme="minorBidi"/>
          <w:sz w:val="20"/>
          <w:szCs w:val="20"/>
          <w:lang w:eastAsia="en-US"/>
        </w:rPr>
        <w:t>c</w:t>
      </w:r>
      <w:r w:rsidRPr="0001748B">
        <w:rPr>
          <w:rFonts w:eastAsiaTheme="minorHAnsi" w:cstheme="minorBidi"/>
          <w:sz w:val="20"/>
          <w:szCs w:val="20"/>
          <w:lang w:eastAsia="en-US"/>
        </w:rPr>
        <w:t>urso de formación se dividía en dos fases: la primera, de instrucción doctrinaria, a desarrollarse durante las horas nocturnas y en la que los estudiantes se familiarizarían en los aspectos doctrinarios y teóricos indispensables para el combate; la segunda, en cambio, estaba orientada a la puesta en práctica de los conocimientos adquiridos.</w:t>
      </w:r>
      <w:r w:rsidR="00680115" w:rsidRPr="0001748B">
        <w:rPr>
          <w:rFonts w:eastAsiaTheme="minorHAnsi" w:cstheme="minorBidi"/>
          <w:sz w:val="20"/>
          <w:szCs w:val="20"/>
          <w:lang w:eastAsia="en-US"/>
        </w:rPr>
        <w:t xml:space="preserve"> La</w:t>
      </w:r>
      <w:r w:rsidRPr="0001748B">
        <w:rPr>
          <w:rFonts w:eastAsiaTheme="minorHAnsi" w:cstheme="minorBidi"/>
          <w:sz w:val="20"/>
          <w:szCs w:val="20"/>
          <w:lang w:eastAsia="en-US"/>
        </w:rPr>
        <w:t xml:space="preserve"> fase práctica estaba compuesta por diferentes ejercicios y canchas, entre ellos: a) tiro instintivo; b) explosivos; c) navegación; d) </w:t>
      </w:r>
      <w:r w:rsidR="000F7A84" w:rsidRPr="0001748B">
        <w:rPr>
          <w:rFonts w:eastAsiaTheme="minorHAnsi" w:cstheme="minorBidi"/>
          <w:sz w:val="20"/>
          <w:szCs w:val="20"/>
          <w:lang w:eastAsia="en-US"/>
        </w:rPr>
        <w:t>a</w:t>
      </w:r>
      <w:r w:rsidRPr="0001748B">
        <w:rPr>
          <w:rFonts w:eastAsiaTheme="minorHAnsi" w:cstheme="minorBidi"/>
          <w:sz w:val="20"/>
          <w:szCs w:val="20"/>
          <w:lang w:eastAsia="en-US"/>
        </w:rPr>
        <w:t>nti-</w:t>
      </w:r>
      <w:r w:rsidR="000F7A84" w:rsidRPr="0001748B">
        <w:rPr>
          <w:rFonts w:eastAsiaTheme="minorHAnsi" w:cstheme="minorBidi"/>
          <w:sz w:val="20"/>
          <w:szCs w:val="20"/>
          <w:lang w:eastAsia="en-US"/>
        </w:rPr>
        <w:t>s</w:t>
      </w:r>
      <w:r w:rsidRPr="0001748B">
        <w:rPr>
          <w:rFonts w:eastAsiaTheme="minorHAnsi" w:cstheme="minorBidi"/>
          <w:sz w:val="20"/>
          <w:szCs w:val="20"/>
          <w:lang w:eastAsia="en-US"/>
        </w:rPr>
        <w:t>ubversión; e) infiltración; f) técnicas de rapel, paso de comando y supervivencia en aguas; g) técnicas de patrullaje</w:t>
      </w:r>
      <w:r w:rsidR="00564158">
        <w:rPr>
          <w:rFonts w:eastAsiaTheme="minorHAnsi" w:cstheme="minorBidi"/>
          <w:sz w:val="20"/>
          <w:szCs w:val="20"/>
          <w:lang w:eastAsia="en-US"/>
        </w:rPr>
        <w:t>, y</w:t>
      </w:r>
      <w:r w:rsidRPr="0001748B">
        <w:rPr>
          <w:rFonts w:eastAsiaTheme="minorHAnsi" w:cstheme="minorBidi"/>
          <w:sz w:val="20"/>
          <w:szCs w:val="20"/>
          <w:lang w:eastAsia="en-US"/>
        </w:rPr>
        <w:t xml:space="preserve"> h) combate en áreas urbanas</w:t>
      </w:r>
      <w:r w:rsidRPr="0001748B">
        <w:rPr>
          <w:rFonts w:eastAsiaTheme="minorHAnsi" w:cstheme="minorBidi"/>
          <w:sz w:val="20"/>
          <w:szCs w:val="20"/>
          <w:vertAlign w:val="superscript"/>
          <w:lang w:eastAsia="en-US"/>
        </w:rPr>
        <w:footnoteReference w:id="34"/>
      </w:r>
      <w:r w:rsidRPr="0001748B">
        <w:rPr>
          <w:rFonts w:eastAsiaTheme="minorHAnsi" w:cstheme="minorBidi"/>
          <w:sz w:val="20"/>
          <w:szCs w:val="20"/>
          <w:lang w:eastAsia="en-US"/>
        </w:rPr>
        <w:t>.</w:t>
      </w:r>
    </w:p>
    <w:p w:rsidR="00007CFD" w:rsidRPr="0001748B" w:rsidRDefault="00007CFD" w:rsidP="00007CFD">
      <w:pPr>
        <w:widowControl/>
        <w:tabs>
          <w:tab w:val="left" w:pos="567"/>
        </w:tabs>
        <w:adjustRightInd/>
        <w:spacing w:line="240" w:lineRule="auto"/>
        <w:textAlignment w:val="auto"/>
        <w:rPr>
          <w:rFonts w:eastAsiaTheme="minorHAnsi" w:cstheme="minorBidi"/>
          <w:sz w:val="20"/>
          <w:szCs w:val="20"/>
          <w:lang w:eastAsia="en-US"/>
        </w:rPr>
      </w:pPr>
    </w:p>
    <w:p w:rsidR="00C1730D" w:rsidRPr="0001748B" w:rsidRDefault="001C5304" w:rsidP="007807A1">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Uno de los ejercicios que hacía parte de esta segunda fase era el pasaje por una de las canchas denominada “</w:t>
      </w:r>
      <w:r w:rsidR="001365FD">
        <w:rPr>
          <w:rFonts w:eastAsiaTheme="minorHAnsi" w:cstheme="minorBidi"/>
          <w:sz w:val="20"/>
          <w:szCs w:val="20"/>
          <w:lang w:eastAsia="en-US"/>
        </w:rPr>
        <w:t>c</w:t>
      </w:r>
      <w:r w:rsidRPr="0001748B">
        <w:rPr>
          <w:rFonts w:eastAsiaTheme="minorHAnsi" w:cstheme="minorBidi"/>
          <w:sz w:val="20"/>
          <w:szCs w:val="20"/>
          <w:lang w:eastAsia="en-US"/>
        </w:rPr>
        <w:t xml:space="preserve">ancha </w:t>
      </w:r>
      <w:r w:rsidR="001365FD">
        <w:rPr>
          <w:rFonts w:eastAsiaTheme="minorHAnsi" w:cstheme="minorBidi"/>
          <w:sz w:val="20"/>
          <w:szCs w:val="20"/>
          <w:lang w:eastAsia="en-US"/>
        </w:rPr>
        <w:t>a</w:t>
      </w:r>
      <w:r w:rsidRPr="0001748B">
        <w:rPr>
          <w:rFonts w:eastAsiaTheme="minorHAnsi" w:cstheme="minorBidi"/>
          <w:sz w:val="20"/>
          <w:szCs w:val="20"/>
          <w:lang w:eastAsia="en-US"/>
        </w:rPr>
        <w:t xml:space="preserve">nti-subversiva”. De conformidad con el correspondiente “Instructivo para Actividades del Batallón de Alumnos”, que integraba la Orden de Operaciones del mencionado curso, esta práctica consistía en </w:t>
      </w:r>
      <w:r w:rsidR="00F60562" w:rsidRPr="0001748B">
        <w:rPr>
          <w:rFonts w:eastAsiaTheme="minorHAnsi" w:cstheme="minorBidi"/>
          <w:sz w:val="20"/>
          <w:szCs w:val="20"/>
          <w:lang w:eastAsia="en-US"/>
        </w:rPr>
        <w:t>transitar</w:t>
      </w:r>
      <w:r w:rsidRPr="0001748B">
        <w:rPr>
          <w:rFonts w:eastAsiaTheme="minorHAnsi" w:cstheme="minorBidi"/>
          <w:sz w:val="20"/>
          <w:szCs w:val="20"/>
          <w:lang w:eastAsia="en-US"/>
        </w:rPr>
        <w:t xml:space="preserve"> </w:t>
      </w:r>
      <w:r w:rsidR="007807A1" w:rsidRPr="0001748B">
        <w:rPr>
          <w:rFonts w:eastAsiaTheme="minorHAnsi" w:cstheme="minorBidi"/>
          <w:sz w:val="20"/>
          <w:szCs w:val="20"/>
          <w:lang w:eastAsia="en-US"/>
        </w:rPr>
        <w:t xml:space="preserve">por 13 situaciones diferentes, entre las cuales </w:t>
      </w:r>
      <w:r w:rsidR="00F60562" w:rsidRPr="0001748B">
        <w:rPr>
          <w:rFonts w:eastAsiaTheme="minorHAnsi" w:cstheme="minorBidi"/>
          <w:sz w:val="20"/>
          <w:szCs w:val="20"/>
          <w:lang w:eastAsia="en-US"/>
        </w:rPr>
        <w:t xml:space="preserve">se encontraba una “zona de rampadera”. Ello implicaba pasar </w:t>
      </w:r>
      <w:r w:rsidRPr="0001748B">
        <w:rPr>
          <w:rFonts w:eastAsiaTheme="minorHAnsi" w:cstheme="minorBidi"/>
          <w:sz w:val="20"/>
          <w:szCs w:val="20"/>
          <w:lang w:eastAsia="en-US"/>
        </w:rPr>
        <w:t xml:space="preserve">de forma individual </w:t>
      </w:r>
      <w:r w:rsidR="007807A1" w:rsidRPr="0001748B">
        <w:rPr>
          <w:rFonts w:eastAsiaTheme="minorHAnsi" w:cstheme="minorBidi"/>
          <w:sz w:val="20"/>
          <w:szCs w:val="20"/>
          <w:lang w:eastAsia="en-US"/>
        </w:rPr>
        <w:t xml:space="preserve">en posición de tendido </w:t>
      </w:r>
      <w:r w:rsidRPr="0001748B">
        <w:rPr>
          <w:rFonts w:eastAsiaTheme="minorHAnsi" w:cstheme="minorBidi"/>
          <w:sz w:val="20"/>
          <w:szCs w:val="20"/>
          <w:lang w:eastAsia="en-US"/>
        </w:rPr>
        <w:t>por un</w:t>
      </w:r>
      <w:r w:rsidR="00F60562" w:rsidRPr="0001748B">
        <w:rPr>
          <w:rFonts w:eastAsiaTheme="minorHAnsi" w:cstheme="minorBidi"/>
          <w:sz w:val="20"/>
          <w:szCs w:val="20"/>
          <w:lang w:eastAsia="en-US"/>
        </w:rPr>
        <w:t xml:space="preserve"> área </w:t>
      </w:r>
      <w:r w:rsidR="007807A1" w:rsidRPr="0001748B">
        <w:rPr>
          <w:rFonts w:eastAsiaTheme="minorHAnsi" w:cstheme="minorBidi"/>
          <w:sz w:val="20"/>
          <w:szCs w:val="20"/>
          <w:lang w:eastAsia="en-US"/>
        </w:rPr>
        <w:t xml:space="preserve">de la </w:t>
      </w:r>
      <w:r w:rsidRPr="0001748B">
        <w:rPr>
          <w:rFonts w:eastAsiaTheme="minorHAnsi" w:cstheme="minorBidi"/>
          <w:sz w:val="20"/>
          <w:szCs w:val="20"/>
          <w:lang w:eastAsia="en-US"/>
        </w:rPr>
        <w:t xml:space="preserve">cancha cubierta de tierra, lodo, agua y una alambrada </w:t>
      </w:r>
      <w:r w:rsidR="00007CFD" w:rsidRPr="0001748B">
        <w:rPr>
          <w:rFonts w:eastAsiaTheme="minorHAnsi" w:cstheme="minorBidi"/>
          <w:sz w:val="20"/>
          <w:szCs w:val="20"/>
          <w:lang w:eastAsia="en-US"/>
        </w:rPr>
        <w:t>a</w:t>
      </w:r>
      <w:r w:rsidRPr="0001748B">
        <w:rPr>
          <w:rFonts w:eastAsiaTheme="minorHAnsi" w:cstheme="minorBidi"/>
          <w:sz w:val="20"/>
          <w:szCs w:val="20"/>
          <w:lang w:eastAsia="en-US"/>
        </w:rPr>
        <w:t xml:space="preserve"> 40 centímetros del suelo (</w:t>
      </w:r>
      <w:r w:rsidR="006734A3">
        <w:rPr>
          <w:rFonts w:eastAsiaTheme="minorHAnsi" w:cstheme="minorBidi"/>
          <w:sz w:val="20"/>
          <w:szCs w:val="20"/>
          <w:lang w:eastAsia="en-US"/>
        </w:rPr>
        <w:t xml:space="preserve">también </w:t>
      </w:r>
      <w:r w:rsidRPr="0001748B">
        <w:rPr>
          <w:rFonts w:eastAsiaTheme="minorHAnsi" w:cstheme="minorBidi"/>
          <w:sz w:val="20"/>
          <w:szCs w:val="20"/>
          <w:lang w:eastAsia="en-US"/>
        </w:rPr>
        <w:t>denominada “la conejera”), con el armamento orgánico (FAL) mientras un efectivo disparaba ráfagas de proyectiles</w:t>
      </w:r>
      <w:r w:rsidR="007807A1" w:rsidRPr="0001748B">
        <w:rPr>
          <w:rFonts w:eastAsiaTheme="minorHAnsi" w:cstheme="minorBidi"/>
          <w:sz w:val="20"/>
          <w:szCs w:val="20"/>
          <w:lang w:eastAsia="en-US"/>
        </w:rPr>
        <w:t xml:space="preserve"> y, una vez vencido el obstáculo, realizar dos disparos a </w:t>
      </w:r>
      <w:r w:rsidR="007807A1" w:rsidRPr="0001748B">
        <w:rPr>
          <w:rFonts w:eastAsiaTheme="minorHAnsi" w:cstheme="minorBidi"/>
          <w:sz w:val="20"/>
          <w:szCs w:val="20"/>
          <w:lang w:eastAsia="en-US"/>
        </w:rPr>
        <w:lastRenderedPageBreak/>
        <w:t>cada silueta, ambas ubicadas al lado derecho</w:t>
      </w:r>
      <w:r w:rsidRPr="0001748B">
        <w:rPr>
          <w:rFonts w:eastAsiaTheme="minorHAnsi" w:cstheme="minorBidi"/>
          <w:sz w:val="20"/>
          <w:szCs w:val="20"/>
          <w:vertAlign w:val="superscript"/>
          <w:lang w:eastAsia="en-US"/>
        </w:rPr>
        <w:footnoteReference w:id="35"/>
      </w:r>
      <w:r w:rsidRPr="0001748B">
        <w:rPr>
          <w:rFonts w:eastAsiaTheme="minorHAnsi" w:cstheme="minorBidi"/>
          <w:sz w:val="20"/>
          <w:szCs w:val="20"/>
          <w:lang w:eastAsia="en-US"/>
        </w:rPr>
        <w:t>.</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007CFD" w:rsidP="0086619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Dicho</w:t>
      </w:r>
      <w:r w:rsidR="001C5304" w:rsidRPr="0001748B">
        <w:rPr>
          <w:rFonts w:eastAsiaTheme="minorHAnsi" w:cstheme="minorBidi"/>
          <w:sz w:val="20"/>
          <w:szCs w:val="20"/>
          <w:lang w:eastAsia="en-US"/>
        </w:rPr>
        <w:t xml:space="preserve"> instructivo no especificaba el tipo de municiones con el que debían llevarse a cabo las prácticas, esto es, si debían ser proyectiles reales o de fogueo</w:t>
      </w:r>
      <w:r w:rsidR="001C5304" w:rsidRPr="0001748B">
        <w:rPr>
          <w:rFonts w:eastAsiaTheme="minorHAnsi" w:cstheme="minorBidi"/>
          <w:sz w:val="20"/>
          <w:szCs w:val="20"/>
          <w:vertAlign w:val="superscript"/>
          <w:lang w:eastAsia="en-US"/>
        </w:rPr>
        <w:footnoteReference w:id="36"/>
      </w:r>
      <w:r w:rsidR="001C5304" w:rsidRPr="0001748B">
        <w:rPr>
          <w:rFonts w:eastAsiaTheme="minorHAnsi" w:cstheme="minorBidi"/>
          <w:sz w:val="20"/>
          <w:szCs w:val="20"/>
          <w:lang w:eastAsia="en-US"/>
        </w:rPr>
        <w:t>. Sin embargo</w:t>
      </w:r>
      <w:r w:rsidR="002C1E74" w:rsidRPr="0001748B">
        <w:rPr>
          <w:rFonts w:eastAsiaTheme="minorHAnsi" w:cstheme="minorBidi"/>
          <w:sz w:val="20"/>
          <w:szCs w:val="20"/>
          <w:lang w:eastAsia="en-US"/>
        </w:rPr>
        <w:t>,</w:t>
      </w:r>
      <w:r w:rsidR="001C5304" w:rsidRPr="0001748B">
        <w:rPr>
          <w:rFonts w:eastAsiaTheme="minorHAnsi" w:cstheme="minorBidi"/>
          <w:sz w:val="20"/>
          <w:szCs w:val="20"/>
          <w:lang w:eastAsia="en-US"/>
        </w:rPr>
        <w:t xml:space="preserve"> para el desarrollo de la denominada “</w:t>
      </w:r>
      <w:r w:rsidR="00EE2984">
        <w:rPr>
          <w:rFonts w:eastAsiaTheme="minorHAnsi" w:cstheme="minorBidi"/>
          <w:sz w:val="20"/>
          <w:szCs w:val="20"/>
          <w:lang w:eastAsia="en-US"/>
        </w:rPr>
        <w:t>c</w:t>
      </w:r>
      <w:r w:rsidR="001C5304" w:rsidRPr="0001748B">
        <w:rPr>
          <w:rFonts w:eastAsiaTheme="minorHAnsi" w:cstheme="minorBidi"/>
          <w:sz w:val="20"/>
          <w:szCs w:val="20"/>
          <w:lang w:eastAsia="en-US"/>
        </w:rPr>
        <w:t>ancha de infiltración”, ejercicio diferente a la “</w:t>
      </w:r>
      <w:r w:rsidR="00EE2984">
        <w:rPr>
          <w:rFonts w:eastAsiaTheme="minorHAnsi" w:cstheme="minorBidi"/>
          <w:sz w:val="20"/>
          <w:szCs w:val="20"/>
          <w:lang w:eastAsia="en-US"/>
        </w:rPr>
        <w:t>c</w:t>
      </w:r>
      <w:r w:rsidR="001C5304" w:rsidRPr="0001748B">
        <w:rPr>
          <w:rFonts w:eastAsiaTheme="minorHAnsi" w:cstheme="minorBidi"/>
          <w:sz w:val="20"/>
          <w:szCs w:val="20"/>
          <w:lang w:eastAsia="en-US"/>
        </w:rPr>
        <w:t xml:space="preserve">ancha </w:t>
      </w:r>
      <w:r w:rsidR="00EE2984">
        <w:rPr>
          <w:rFonts w:eastAsiaTheme="minorHAnsi" w:cstheme="minorBidi"/>
          <w:sz w:val="20"/>
          <w:szCs w:val="20"/>
          <w:lang w:eastAsia="en-US"/>
        </w:rPr>
        <w:t>a</w:t>
      </w:r>
      <w:r w:rsidR="001C5304" w:rsidRPr="0001748B">
        <w:rPr>
          <w:rFonts w:eastAsiaTheme="minorHAnsi" w:cstheme="minorBidi"/>
          <w:sz w:val="20"/>
          <w:szCs w:val="20"/>
          <w:lang w:eastAsia="en-US"/>
        </w:rPr>
        <w:t>nti-subversiva”, se requería, entre otras cosas, el suministro de un total de cuatro mil quinientos (4.500) cartuchos de fogueo</w:t>
      </w:r>
      <w:r w:rsidR="001C5304" w:rsidRPr="0001748B">
        <w:rPr>
          <w:rFonts w:eastAsiaTheme="minorHAnsi" w:cstheme="minorBidi"/>
          <w:sz w:val="20"/>
          <w:szCs w:val="20"/>
          <w:vertAlign w:val="superscript"/>
          <w:lang w:eastAsia="en-US"/>
        </w:rPr>
        <w:footnoteReference w:id="37"/>
      </w:r>
      <w:r w:rsidR="001C5304" w:rsidRPr="0001748B">
        <w:rPr>
          <w:rFonts w:eastAsiaTheme="minorHAnsi" w:cstheme="minorBidi"/>
          <w:sz w:val="20"/>
          <w:szCs w:val="20"/>
          <w:lang w:eastAsia="en-US"/>
        </w:rPr>
        <w:t>.</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86619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Por el contrario, dicho instructivo sí preveía la asistencia de un puesto de socorro, conformado por un oficial de sanidad, un profesional médico y dos enfermeros, y una ambulancia</w:t>
      </w:r>
      <w:r w:rsidR="002C1E74" w:rsidRPr="0001748B">
        <w:rPr>
          <w:rFonts w:eastAsiaTheme="minorHAnsi" w:cstheme="minorBidi"/>
          <w:sz w:val="20"/>
          <w:szCs w:val="20"/>
          <w:lang w:eastAsia="en-US"/>
        </w:rPr>
        <w:t xml:space="preserve"> administrativa, además de una coordinada con el SIMA (Sistema Integral Médico Asistencial)</w:t>
      </w:r>
      <w:r w:rsidRPr="0001748B">
        <w:rPr>
          <w:rFonts w:eastAsiaTheme="minorHAnsi" w:cstheme="minorBidi"/>
          <w:sz w:val="20"/>
          <w:szCs w:val="20"/>
          <w:lang w:eastAsia="en-US"/>
        </w:rPr>
        <w:t xml:space="preserve">. Esto último, para la evacuación y hospitalización del personal ante la eventual producción de hechos que pusieran en riesgo su seguridad. </w:t>
      </w:r>
      <w:r w:rsidR="0025708A" w:rsidRPr="0001748B">
        <w:rPr>
          <w:rFonts w:eastAsiaTheme="minorHAnsi" w:cstheme="minorBidi"/>
          <w:sz w:val="20"/>
          <w:szCs w:val="20"/>
          <w:lang w:eastAsia="en-US"/>
        </w:rPr>
        <w:t>Los puntos de hospitalización previstos eran: a) el puesto de socorro del campamento; b) la enfermería del Destacamento N</w:t>
      </w:r>
      <w:r w:rsidR="004071D8" w:rsidRPr="0001748B">
        <w:rPr>
          <w:rFonts w:eastAsiaTheme="minorHAnsi" w:cstheme="minorBidi"/>
          <w:sz w:val="20"/>
          <w:szCs w:val="20"/>
          <w:lang w:eastAsia="en-US"/>
        </w:rPr>
        <w:t>°</w:t>
      </w:r>
      <w:r w:rsidR="0025708A" w:rsidRPr="0001748B">
        <w:rPr>
          <w:rFonts w:eastAsiaTheme="minorHAnsi" w:cstheme="minorBidi"/>
          <w:sz w:val="20"/>
          <w:szCs w:val="20"/>
          <w:lang w:eastAsia="en-US"/>
        </w:rPr>
        <w:t xml:space="preserve"> 19; c) el Hospital Militar, y d) el Hospital d</w:t>
      </w:r>
      <w:r w:rsidR="002448FD" w:rsidRPr="0001748B">
        <w:rPr>
          <w:rFonts w:eastAsiaTheme="minorHAnsi" w:cstheme="minorBidi"/>
          <w:sz w:val="20"/>
          <w:szCs w:val="20"/>
          <w:lang w:eastAsia="en-US"/>
        </w:rPr>
        <w:t>e E</w:t>
      </w:r>
      <w:r w:rsidR="0025708A" w:rsidRPr="0001748B">
        <w:rPr>
          <w:rFonts w:eastAsiaTheme="minorHAnsi" w:cstheme="minorBidi"/>
          <w:sz w:val="20"/>
          <w:szCs w:val="20"/>
          <w:lang w:eastAsia="en-US"/>
        </w:rPr>
        <w:t>l Piñal</w:t>
      </w:r>
      <w:r w:rsidR="0025708A" w:rsidRPr="0001748B">
        <w:rPr>
          <w:rFonts w:eastAsiaTheme="minorHAnsi" w:cstheme="minorBidi"/>
          <w:sz w:val="20"/>
          <w:szCs w:val="20"/>
          <w:vertAlign w:val="superscript"/>
          <w:lang w:eastAsia="en-US"/>
        </w:rPr>
        <w:footnoteReference w:id="38"/>
      </w:r>
      <w:r w:rsidR="0025708A" w:rsidRPr="0001748B">
        <w:rPr>
          <w:rFonts w:eastAsiaTheme="minorHAnsi" w:cstheme="minorBidi"/>
          <w:sz w:val="20"/>
          <w:szCs w:val="20"/>
          <w:lang w:eastAsia="en-US"/>
        </w:rPr>
        <w:t>.</w:t>
      </w:r>
      <w:r w:rsidR="00A06076" w:rsidRPr="0001748B">
        <w:rPr>
          <w:rFonts w:eastAsiaTheme="minorHAnsi" w:cstheme="minorBidi"/>
          <w:sz w:val="20"/>
          <w:szCs w:val="20"/>
          <w:lang w:eastAsia="en-US"/>
        </w:rPr>
        <w:t xml:space="preserve"> Vale señalar, que conforme la citada Orden de Operaciones, la conformación del puesto de socorro no se circunscribía exclusivamente al desarrollo del ejercicio de la “</w:t>
      </w:r>
      <w:r w:rsidR="001365FD">
        <w:rPr>
          <w:rFonts w:eastAsiaTheme="minorHAnsi" w:cstheme="minorBidi"/>
          <w:sz w:val="20"/>
          <w:szCs w:val="20"/>
          <w:lang w:eastAsia="en-US"/>
        </w:rPr>
        <w:t>c</w:t>
      </w:r>
      <w:r w:rsidR="00A06076" w:rsidRPr="0001748B">
        <w:rPr>
          <w:rFonts w:eastAsiaTheme="minorHAnsi" w:cstheme="minorBidi"/>
          <w:sz w:val="20"/>
          <w:szCs w:val="20"/>
          <w:lang w:eastAsia="en-US"/>
        </w:rPr>
        <w:t xml:space="preserve">ancha </w:t>
      </w:r>
      <w:r w:rsidR="001365FD">
        <w:rPr>
          <w:rFonts w:eastAsiaTheme="minorHAnsi" w:cstheme="minorBidi"/>
          <w:sz w:val="20"/>
          <w:szCs w:val="20"/>
          <w:lang w:eastAsia="en-US"/>
        </w:rPr>
        <w:t>a</w:t>
      </w:r>
      <w:r w:rsidR="00A06076" w:rsidRPr="0001748B">
        <w:rPr>
          <w:rFonts w:eastAsiaTheme="minorHAnsi" w:cstheme="minorBidi"/>
          <w:sz w:val="20"/>
          <w:szCs w:val="20"/>
          <w:lang w:eastAsia="en-US"/>
        </w:rPr>
        <w:t>nti-subversiva”</w:t>
      </w:r>
      <w:r w:rsidR="00A06076" w:rsidRPr="0001748B">
        <w:rPr>
          <w:rStyle w:val="FootnoteReference"/>
          <w:rFonts w:eastAsiaTheme="minorHAnsi" w:cstheme="minorBidi"/>
          <w:sz w:val="20"/>
          <w:szCs w:val="20"/>
          <w:lang w:eastAsia="en-US"/>
        </w:rPr>
        <w:footnoteReference w:id="39"/>
      </w:r>
      <w:r w:rsidR="00A06076" w:rsidRPr="0001748B">
        <w:rPr>
          <w:rFonts w:eastAsiaTheme="minorHAnsi" w:cstheme="minorBidi"/>
          <w:sz w:val="20"/>
          <w:szCs w:val="20"/>
          <w:lang w:eastAsia="en-US"/>
        </w:rPr>
        <w:t>, sino más bien para todos aquellos que conformaban la fase práctica del curso.</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CE1CD2" w:rsidP="00866198">
      <w:pPr>
        <w:widowControl/>
        <w:numPr>
          <w:ilvl w:val="0"/>
          <w:numId w:val="1"/>
        </w:numPr>
        <w:tabs>
          <w:tab w:val="left" w:pos="567"/>
          <w:tab w:val="num" w:pos="5057"/>
        </w:tabs>
        <w:adjustRightInd/>
        <w:spacing w:line="240" w:lineRule="auto"/>
        <w:ind w:left="0" w:firstLine="0"/>
        <w:textAlignment w:val="auto"/>
        <w:rPr>
          <w:rFonts w:eastAsiaTheme="minorHAnsi" w:cstheme="minorBidi"/>
          <w:sz w:val="20"/>
          <w:szCs w:val="20"/>
          <w:lang w:eastAsia="en-US"/>
        </w:rPr>
      </w:pPr>
      <w:r w:rsidRPr="0001748B">
        <w:rPr>
          <w:rFonts w:eastAsiaTheme="minorHAnsi" w:cstheme="minorBidi"/>
          <w:sz w:val="20"/>
          <w:szCs w:val="20"/>
          <w:lang w:eastAsia="en-US"/>
        </w:rPr>
        <w:t xml:space="preserve">En efecto, la Orden contenía diversas disposiciones generales con el objeto de garantizar la seguridad de los alumnos. </w:t>
      </w:r>
      <w:r w:rsidR="001C5304" w:rsidRPr="0001748B">
        <w:rPr>
          <w:rFonts w:eastAsiaTheme="minorHAnsi" w:cstheme="minorBidi"/>
          <w:sz w:val="20"/>
          <w:szCs w:val="20"/>
          <w:lang w:eastAsia="en-US"/>
        </w:rPr>
        <w:t>En esta línea, puede destacarse que la planificación del curso preveía, entre otr</w:t>
      </w:r>
      <w:r w:rsidR="00AC6E8D" w:rsidRPr="0001748B">
        <w:rPr>
          <w:rFonts w:eastAsiaTheme="minorHAnsi" w:cstheme="minorBidi"/>
          <w:sz w:val="20"/>
          <w:szCs w:val="20"/>
          <w:lang w:eastAsia="en-US"/>
        </w:rPr>
        <w:t>o</w:t>
      </w:r>
      <w:r w:rsidR="001C5304" w:rsidRPr="0001748B">
        <w:rPr>
          <w:rFonts w:eastAsiaTheme="minorHAnsi" w:cstheme="minorBidi"/>
          <w:sz w:val="20"/>
          <w:szCs w:val="20"/>
          <w:lang w:eastAsia="en-US"/>
        </w:rPr>
        <w:t>s: a) un plan de seguridad; b) la presencia de una ambulancia durante las 24 horas del día con su conductor; c) el uso de armas, ceñido estrictamente a lo establecido en el reglamento; d) la lectura previa a la ejecución de un ejercicio de las normas de seguridad a observar y cumplir por todos los alumnos, sin excepción</w:t>
      </w:r>
      <w:r w:rsidR="00AB00C3">
        <w:rPr>
          <w:rFonts w:eastAsiaTheme="minorHAnsi" w:cstheme="minorBidi"/>
          <w:sz w:val="20"/>
          <w:szCs w:val="20"/>
          <w:lang w:eastAsia="en-US"/>
        </w:rPr>
        <w:t>, y</w:t>
      </w:r>
      <w:r w:rsidR="001C5304" w:rsidRPr="0001748B">
        <w:rPr>
          <w:rFonts w:eastAsiaTheme="minorHAnsi" w:cstheme="minorBidi"/>
          <w:sz w:val="20"/>
          <w:szCs w:val="20"/>
          <w:lang w:eastAsia="en-US"/>
        </w:rPr>
        <w:t xml:space="preserve"> e) la necesidad de establecer un cálculo del tiempo mínimo de atención médica de urgencia en centros hospitalarios o tiempo de evacuación de heridos, que no debía ser superior a una hora, ya sea por vía terrestre o aérea</w:t>
      </w:r>
      <w:r w:rsidR="001C5304" w:rsidRPr="0001748B">
        <w:rPr>
          <w:rFonts w:eastAsiaTheme="minorHAnsi" w:cstheme="minorBidi"/>
          <w:sz w:val="20"/>
          <w:szCs w:val="20"/>
          <w:vertAlign w:val="superscript"/>
          <w:lang w:eastAsia="en-US"/>
        </w:rPr>
        <w:footnoteReference w:id="40"/>
      </w:r>
      <w:r w:rsidR="001C5304" w:rsidRPr="0001748B">
        <w:rPr>
          <w:rFonts w:eastAsiaTheme="minorHAnsi" w:cstheme="minorBidi"/>
          <w:sz w:val="20"/>
          <w:szCs w:val="20"/>
          <w:lang w:eastAsia="en-US"/>
        </w:rPr>
        <w:t>.</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86619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Asimismo, la Orden establecía una serie de normas que debían cumplir los instructores ubicados en los terrenos de la Base Administrativa del Destacamento </w:t>
      </w:r>
      <w:r w:rsidR="0093211E" w:rsidRPr="0001748B">
        <w:rPr>
          <w:rFonts w:eastAsiaTheme="minorHAnsi" w:cstheme="minorBidi"/>
          <w:sz w:val="20"/>
          <w:szCs w:val="20"/>
          <w:lang w:eastAsia="en-US"/>
        </w:rPr>
        <w:t>N° 19</w:t>
      </w:r>
      <w:r w:rsidR="0093211E">
        <w:rPr>
          <w:rFonts w:eastAsiaTheme="minorHAnsi" w:cstheme="minorBidi"/>
          <w:sz w:val="20"/>
          <w:szCs w:val="20"/>
          <w:lang w:eastAsia="en-US"/>
        </w:rPr>
        <w:t xml:space="preserve"> </w:t>
      </w:r>
      <w:r w:rsidRPr="0001748B">
        <w:rPr>
          <w:rFonts w:eastAsiaTheme="minorHAnsi" w:cstheme="minorBidi"/>
          <w:sz w:val="20"/>
          <w:szCs w:val="20"/>
          <w:lang w:eastAsia="en-US"/>
        </w:rPr>
        <w:t>de</w:t>
      </w:r>
      <w:r w:rsidR="0093211E">
        <w:rPr>
          <w:rFonts w:eastAsiaTheme="minorHAnsi" w:cstheme="minorBidi"/>
          <w:sz w:val="20"/>
          <w:szCs w:val="20"/>
          <w:lang w:eastAsia="en-US"/>
        </w:rPr>
        <w:t xml:space="preserve"> los</w:t>
      </w:r>
      <w:r w:rsidRPr="0001748B">
        <w:rPr>
          <w:rFonts w:eastAsiaTheme="minorHAnsi" w:cstheme="minorBidi"/>
          <w:sz w:val="20"/>
          <w:szCs w:val="20"/>
          <w:lang w:eastAsia="en-US"/>
        </w:rPr>
        <w:t xml:space="preserve"> Comandos Rurales donde se desarrollarían las prácticas. Según éstas, los instructores eran responsables de: a) extremar las medidas de seguridad en aquellos eventos de instrucción donde se manipulen equipos especiales, armas y/o explosivos; b) verificar la presencia permanente de personal médico y equipo de primeros auxilios en cada uno de los ejercicios. Caso contrario no iniciar el ejercicio y </w:t>
      </w:r>
      <w:r w:rsidRPr="0001748B">
        <w:rPr>
          <w:rFonts w:eastAsiaTheme="minorHAnsi" w:cstheme="minorBidi"/>
          <w:sz w:val="20"/>
          <w:szCs w:val="20"/>
          <w:lang w:eastAsia="en-US"/>
        </w:rPr>
        <w:lastRenderedPageBreak/>
        <w:t>solicitar presencia del mismo; c) verificar la disponibilidad inmediata en la cancha de ejercicio o muy cerca del mismo</w:t>
      </w:r>
      <w:r w:rsidR="003B25C5" w:rsidRPr="0001748B">
        <w:rPr>
          <w:rFonts w:eastAsiaTheme="minorHAnsi" w:cstheme="minorBidi"/>
          <w:sz w:val="20"/>
          <w:szCs w:val="20"/>
          <w:lang w:eastAsia="en-US"/>
        </w:rPr>
        <w:t xml:space="preserve"> </w:t>
      </w:r>
      <w:r w:rsidRPr="0001748B">
        <w:rPr>
          <w:rFonts w:eastAsiaTheme="minorHAnsi" w:cstheme="minorBidi"/>
          <w:sz w:val="20"/>
          <w:szCs w:val="20"/>
          <w:lang w:eastAsia="en-US"/>
        </w:rPr>
        <w:t>de cualquier medio de transporte terrestre o aéreo para evacuaciones de emergencias, en caso de presentarse heridos graves. Caso contrario no iniciar ejercicio y reclamar presencia del mismo</w:t>
      </w:r>
      <w:r w:rsidR="00F81AD8">
        <w:rPr>
          <w:rFonts w:eastAsiaTheme="minorHAnsi" w:cstheme="minorBidi"/>
          <w:sz w:val="20"/>
          <w:szCs w:val="20"/>
          <w:lang w:eastAsia="en-US"/>
        </w:rPr>
        <w:t>,</w:t>
      </w:r>
      <w:r w:rsidR="003F67B2" w:rsidRPr="0001748B">
        <w:rPr>
          <w:rFonts w:eastAsiaTheme="minorHAnsi" w:cstheme="minorBidi"/>
          <w:sz w:val="20"/>
          <w:szCs w:val="20"/>
          <w:lang w:eastAsia="en-US"/>
        </w:rPr>
        <w:t xml:space="preserve"> y</w:t>
      </w:r>
      <w:r w:rsidRPr="0001748B">
        <w:rPr>
          <w:rFonts w:eastAsiaTheme="minorHAnsi" w:cstheme="minorBidi"/>
          <w:sz w:val="20"/>
          <w:szCs w:val="20"/>
          <w:lang w:eastAsia="en-US"/>
        </w:rPr>
        <w:t xml:space="preserve"> d) no llevar a cabo acciones contrarias a lo programado y planificado para cada uno de los ejercicios</w:t>
      </w:r>
      <w:r w:rsidR="00095BF8" w:rsidRPr="0001748B">
        <w:rPr>
          <w:rFonts w:eastAsiaTheme="minorHAnsi" w:cstheme="minorBidi"/>
          <w:sz w:val="20"/>
          <w:szCs w:val="20"/>
          <w:lang w:eastAsia="en-US"/>
        </w:rPr>
        <w:t>, a</w:t>
      </w:r>
      <w:r w:rsidRPr="0001748B">
        <w:rPr>
          <w:rFonts w:eastAsiaTheme="minorHAnsi" w:cstheme="minorBidi"/>
          <w:sz w:val="20"/>
          <w:szCs w:val="20"/>
          <w:lang w:eastAsia="en-US"/>
        </w:rPr>
        <w:t>sí como no permitir que terceros interfieran sin causa justificada en la ejecución de los ejercicios, salvo aquellos que por cargo pudieren hacerlo y cuyo aporte estuviera dirigido a la seguridad en particular</w:t>
      </w:r>
      <w:r w:rsidRPr="0001748B">
        <w:rPr>
          <w:rFonts w:eastAsiaTheme="minorHAnsi" w:cstheme="minorBidi"/>
          <w:sz w:val="20"/>
          <w:szCs w:val="20"/>
          <w:vertAlign w:val="superscript"/>
          <w:lang w:eastAsia="en-US"/>
        </w:rPr>
        <w:footnoteReference w:id="41"/>
      </w:r>
      <w:r w:rsidRPr="0001748B">
        <w:rPr>
          <w:rFonts w:eastAsiaTheme="minorHAnsi" w:cstheme="minorBidi"/>
          <w:sz w:val="20"/>
          <w:szCs w:val="20"/>
          <w:lang w:eastAsia="en-US"/>
        </w:rPr>
        <w:t>.</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86619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Por último, resta señalar que la Orden de Operaciones establecía expresamente el personal a cargo de cada práctica, con sus consecuentes responsabilidades. En el caso de la “</w:t>
      </w:r>
      <w:r w:rsidR="001365FD">
        <w:rPr>
          <w:rFonts w:eastAsiaTheme="minorHAnsi" w:cstheme="minorBidi"/>
          <w:sz w:val="20"/>
          <w:szCs w:val="20"/>
          <w:lang w:eastAsia="en-US"/>
        </w:rPr>
        <w:t>c</w:t>
      </w:r>
      <w:r w:rsidRPr="0001748B">
        <w:rPr>
          <w:rFonts w:eastAsiaTheme="minorHAnsi" w:cstheme="minorBidi"/>
          <w:sz w:val="20"/>
          <w:szCs w:val="20"/>
          <w:lang w:eastAsia="en-US"/>
        </w:rPr>
        <w:t xml:space="preserve">ancha </w:t>
      </w:r>
      <w:r w:rsidR="001365FD">
        <w:rPr>
          <w:rFonts w:eastAsiaTheme="minorHAnsi" w:cstheme="minorBidi"/>
          <w:sz w:val="20"/>
          <w:szCs w:val="20"/>
          <w:lang w:eastAsia="en-US"/>
        </w:rPr>
        <w:t>a</w:t>
      </w:r>
      <w:r w:rsidRPr="0001748B">
        <w:rPr>
          <w:rFonts w:eastAsiaTheme="minorHAnsi" w:cstheme="minorBidi"/>
          <w:sz w:val="20"/>
          <w:szCs w:val="20"/>
          <w:lang w:eastAsia="en-US"/>
        </w:rPr>
        <w:t xml:space="preserve">nti-subversiva”, </w:t>
      </w:r>
      <w:r w:rsidR="001046FA">
        <w:rPr>
          <w:rFonts w:eastAsiaTheme="minorHAnsi" w:cstheme="minorBidi"/>
          <w:sz w:val="20"/>
          <w:szCs w:val="20"/>
          <w:lang w:eastAsia="en-US"/>
        </w:rPr>
        <w:t>según se indicó posteriormente en un informe, se encontraba</w:t>
      </w:r>
      <w:r w:rsidRPr="0001748B">
        <w:rPr>
          <w:rFonts w:eastAsiaTheme="minorHAnsi" w:cstheme="minorBidi"/>
          <w:sz w:val="20"/>
          <w:szCs w:val="20"/>
          <w:lang w:eastAsia="en-US"/>
        </w:rPr>
        <w:t xml:space="preserve"> dirigida por el S</w:t>
      </w:r>
      <w:r w:rsidR="003C605D" w:rsidRPr="0001748B">
        <w:rPr>
          <w:rFonts w:eastAsiaTheme="minorHAnsi" w:cstheme="minorBidi"/>
          <w:sz w:val="20"/>
          <w:szCs w:val="20"/>
          <w:lang w:eastAsia="en-US"/>
        </w:rPr>
        <w:t>ubteniente</w:t>
      </w:r>
      <w:r w:rsidRPr="0001748B">
        <w:rPr>
          <w:rFonts w:eastAsiaTheme="minorHAnsi" w:cstheme="minorBidi"/>
          <w:sz w:val="20"/>
          <w:szCs w:val="20"/>
          <w:lang w:eastAsia="en-US"/>
        </w:rPr>
        <w:t xml:space="preserve"> F</w:t>
      </w:r>
      <w:r w:rsidR="002E3D71" w:rsidRPr="0001748B">
        <w:rPr>
          <w:rFonts w:eastAsiaTheme="minorHAnsi" w:cstheme="minorBidi"/>
          <w:sz w:val="20"/>
          <w:szCs w:val="20"/>
          <w:lang w:eastAsia="en-US"/>
        </w:rPr>
        <w:t>.</w:t>
      </w:r>
      <w:r w:rsidRPr="0001748B">
        <w:rPr>
          <w:rFonts w:eastAsiaTheme="minorHAnsi" w:cstheme="minorBidi"/>
          <w:sz w:val="20"/>
          <w:szCs w:val="20"/>
          <w:lang w:eastAsia="en-US"/>
        </w:rPr>
        <w:t>R</w:t>
      </w:r>
      <w:r w:rsidR="002E3D71" w:rsidRPr="0001748B">
        <w:rPr>
          <w:rFonts w:eastAsiaTheme="minorHAnsi" w:cstheme="minorBidi"/>
          <w:sz w:val="20"/>
          <w:szCs w:val="20"/>
          <w:lang w:eastAsia="en-US"/>
        </w:rPr>
        <w:t>.</w:t>
      </w:r>
      <w:r w:rsidRPr="0001748B">
        <w:rPr>
          <w:rFonts w:eastAsiaTheme="minorHAnsi" w:cstheme="minorBidi"/>
          <w:sz w:val="20"/>
          <w:szCs w:val="20"/>
          <w:lang w:eastAsia="en-US"/>
        </w:rPr>
        <w:t>B</w:t>
      </w:r>
      <w:r w:rsidR="002E3D71" w:rsidRPr="0001748B">
        <w:rPr>
          <w:rFonts w:eastAsiaTheme="minorHAnsi" w:cstheme="minorBidi"/>
          <w:sz w:val="20"/>
          <w:szCs w:val="20"/>
          <w:lang w:eastAsia="en-US"/>
        </w:rPr>
        <w:t>.</w:t>
      </w:r>
      <w:r w:rsidRPr="0001748B">
        <w:rPr>
          <w:rFonts w:eastAsiaTheme="minorHAnsi" w:cstheme="minorBidi"/>
          <w:sz w:val="20"/>
          <w:szCs w:val="20"/>
          <w:lang w:eastAsia="en-US"/>
        </w:rPr>
        <w:t>, Oficial de Plaza del Destacamento Comando Rurales N° 19</w:t>
      </w:r>
      <w:r w:rsidR="00D853D8" w:rsidRPr="0001748B">
        <w:rPr>
          <w:rFonts w:eastAsiaTheme="minorHAnsi" w:cstheme="minorBidi"/>
          <w:sz w:val="20"/>
          <w:szCs w:val="20"/>
          <w:lang w:eastAsia="en-US"/>
        </w:rPr>
        <w:t>,</w:t>
      </w:r>
      <w:r w:rsidRPr="0001748B">
        <w:rPr>
          <w:rFonts w:eastAsiaTheme="minorHAnsi" w:cstheme="minorBidi"/>
          <w:sz w:val="20"/>
          <w:szCs w:val="20"/>
          <w:lang w:eastAsia="en-US"/>
        </w:rPr>
        <w:t xml:space="preserve"> y supervisada por el C</w:t>
      </w:r>
      <w:r w:rsidR="003C605D" w:rsidRPr="0001748B">
        <w:rPr>
          <w:rFonts w:eastAsiaTheme="minorHAnsi" w:cstheme="minorBidi"/>
          <w:sz w:val="20"/>
          <w:szCs w:val="20"/>
          <w:lang w:eastAsia="en-US"/>
        </w:rPr>
        <w:t>apitán</w:t>
      </w:r>
      <w:r w:rsidRPr="0001748B">
        <w:rPr>
          <w:rFonts w:eastAsiaTheme="minorHAnsi" w:cstheme="minorBidi"/>
          <w:sz w:val="20"/>
          <w:szCs w:val="20"/>
          <w:lang w:eastAsia="en-US"/>
        </w:rPr>
        <w:t xml:space="preserve"> E</w:t>
      </w:r>
      <w:r w:rsidR="002E3D71" w:rsidRPr="0001748B">
        <w:rPr>
          <w:rFonts w:eastAsiaTheme="minorHAnsi" w:cstheme="minorBidi"/>
          <w:sz w:val="20"/>
          <w:szCs w:val="20"/>
          <w:lang w:eastAsia="en-US"/>
        </w:rPr>
        <w:t>.</w:t>
      </w:r>
      <w:r w:rsidRPr="0001748B">
        <w:rPr>
          <w:rFonts w:eastAsiaTheme="minorHAnsi" w:cstheme="minorBidi"/>
          <w:sz w:val="20"/>
          <w:szCs w:val="20"/>
          <w:lang w:eastAsia="en-US"/>
        </w:rPr>
        <w:t>V</w:t>
      </w:r>
      <w:r w:rsidR="002E3D71" w:rsidRPr="0001748B">
        <w:rPr>
          <w:rFonts w:eastAsiaTheme="minorHAnsi" w:cstheme="minorBidi"/>
          <w:sz w:val="20"/>
          <w:szCs w:val="20"/>
          <w:lang w:eastAsia="en-US"/>
        </w:rPr>
        <w:t>.</w:t>
      </w:r>
      <w:r w:rsidRPr="0001748B">
        <w:rPr>
          <w:rFonts w:eastAsiaTheme="minorHAnsi" w:cstheme="minorBidi"/>
          <w:sz w:val="20"/>
          <w:szCs w:val="20"/>
          <w:lang w:eastAsia="en-US"/>
        </w:rPr>
        <w:t>A</w:t>
      </w:r>
      <w:r w:rsidR="002E3D71" w:rsidRPr="0001748B">
        <w:rPr>
          <w:rFonts w:eastAsiaTheme="minorHAnsi" w:cstheme="minorBidi"/>
          <w:sz w:val="20"/>
          <w:szCs w:val="20"/>
          <w:lang w:eastAsia="en-US"/>
        </w:rPr>
        <w:t>.</w:t>
      </w:r>
      <w:r w:rsidRPr="0001748B">
        <w:rPr>
          <w:rFonts w:eastAsiaTheme="minorHAnsi" w:cstheme="minorBidi"/>
          <w:sz w:val="20"/>
          <w:szCs w:val="20"/>
          <w:lang w:eastAsia="en-US"/>
        </w:rPr>
        <w:t xml:space="preserve"> de la ESGUARNAC-CORDERO</w:t>
      </w:r>
      <w:r w:rsidRPr="0001748B">
        <w:rPr>
          <w:rFonts w:eastAsiaTheme="minorHAnsi" w:cstheme="minorBidi"/>
          <w:sz w:val="20"/>
          <w:szCs w:val="20"/>
          <w:vertAlign w:val="superscript"/>
          <w:lang w:eastAsia="en-US"/>
        </w:rPr>
        <w:footnoteReference w:id="42"/>
      </w:r>
      <w:r w:rsidRPr="0001748B">
        <w:rPr>
          <w:rFonts w:eastAsiaTheme="minorHAnsi" w:cstheme="minorBidi"/>
          <w:sz w:val="20"/>
          <w:szCs w:val="20"/>
          <w:lang w:eastAsia="en-US"/>
        </w:rPr>
        <w:t>.</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C73FBC">
      <w:pPr>
        <w:pStyle w:val="ListParagraph"/>
        <w:keepNext/>
        <w:keepLines/>
        <w:widowControl/>
        <w:numPr>
          <w:ilvl w:val="0"/>
          <w:numId w:val="8"/>
        </w:numPr>
        <w:autoSpaceDE w:val="0"/>
        <w:autoSpaceDN w:val="0"/>
        <w:spacing w:line="240" w:lineRule="auto"/>
        <w:ind w:left="1134" w:hanging="567"/>
        <w:textAlignment w:val="auto"/>
        <w:outlineLvl w:val="1"/>
        <w:rPr>
          <w:rFonts w:eastAsia="Batang" w:cs="Arial"/>
          <w:b/>
          <w:i/>
          <w:sz w:val="20"/>
          <w:lang w:eastAsia="en-US"/>
        </w:rPr>
      </w:pPr>
      <w:bookmarkStart w:id="78" w:name="_Toc495658664"/>
      <w:r w:rsidRPr="0001748B">
        <w:rPr>
          <w:rFonts w:eastAsia="Batang" w:cs="Arial"/>
          <w:b/>
          <w:i/>
          <w:sz w:val="20"/>
          <w:lang w:eastAsia="en-US"/>
        </w:rPr>
        <w:t>Sobre lo ocurrido el 15 de febrero de 1998</w:t>
      </w:r>
      <w:bookmarkEnd w:id="78"/>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805AD6" w:rsidRPr="0001748B" w:rsidRDefault="001C5304" w:rsidP="00805AD6">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El 15 de febrero de 1998 a las 09:00 horas </w:t>
      </w:r>
      <w:r w:rsidR="006734A3">
        <w:rPr>
          <w:rFonts w:eastAsiaTheme="minorHAnsi" w:cstheme="minorBidi"/>
          <w:sz w:val="20"/>
          <w:szCs w:val="20"/>
          <w:lang w:eastAsia="en-US"/>
        </w:rPr>
        <w:t xml:space="preserve">de la mañana </w:t>
      </w:r>
      <w:r w:rsidRPr="0001748B">
        <w:rPr>
          <w:rFonts w:eastAsiaTheme="minorHAnsi" w:cstheme="minorBidi"/>
          <w:sz w:val="20"/>
          <w:szCs w:val="20"/>
          <w:lang w:eastAsia="en-US"/>
        </w:rPr>
        <w:t xml:space="preserve">se dio inicio, en las instalaciones del Destacamento N° 19 de </w:t>
      </w:r>
      <w:r w:rsidR="0093211E">
        <w:rPr>
          <w:rFonts w:eastAsiaTheme="minorHAnsi" w:cstheme="minorBidi"/>
          <w:sz w:val="20"/>
          <w:szCs w:val="20"/>
          <w:lang w:eastAsia="en-US"/>
        </w:rPr>
        <w:t xml:space="preserve">los </w:t>
      </w:r>
      <w:r w:rsidRPr="0001748B">
        <w:rPr>
          <w:rFonts w:eastAsiaTheme="minorHAnsi" w:cstheme="minorBidi"/>
          <w:sz w:val="20"/>
          <w:szCs w:val="20"/>
          <w:lang w:eastAsia="en-US"/>
        </w:rPr>
        <w:t xml:space="preserve">Comandos Rurales de Caño Negro, Municipio Fernández Feo </w:t>
      </w:r>
      <w:r w:rsidR="001365FD">
        <w:rPr>
          <w:rFonts w:eastAsiaTheme="minorHAnsi" w:cstheme="minorBidi"/>
          <w:sz w:val="20"/>
          <w:szCs w:val="20"/>
          <w:lang w:eastAsia="en-US"/>
        </w:rPr>
        <w:t>del e</w:t>
      </w:r>
      <w:r w:rsidRPr="0001748B">
        <w:rPr>
          <w:rFonts w:eastAsiaTheme="minorHAnsi" w:cstheme="minorBidi"/>
          <w:sz w:val="20"/>
          <w:szCs w:val="20"/>
          <w:lang w:eastAsia="en-US"/>
        </w:rPr>
        <w:t xml:space="preserve">stado </w:t>
      </w:r>
      <w:r w:rsidR="001365FD">
        <w:rPr>
          <w:rFonts w:eastAsiaTheme="minorHAnsi" w:cstheme="minorBidi"/>
          <w:sz w:val="20"/>
          <w:szCs w:val="20"/>
          <w:lang w:eastAsia="en-US"/>
        </w:rPr>
        <w:t xml:space="preserve">de </w:t>
      </w:r>
      <w:r w:rsidRPr="0001748B">
        <w:rPr>
          <w:rFonts w:eastAsiaTheme="minorHAnsi" w:cstheme="minorBidi"/>
          <w:sz w:val="20"/>
          <w:szCs w:val="20"/>
          <w:lang w:eastAsia="en-US"/>
        </w:rPr>
        <w:t>Táchira,</w:t>
      </w:r>
      <w:r w:rsidR="00234EA1">
        <w:rPr>
          <w:rFonts w:eastAsiaTheme="minorHAnsi" w:cstheme="minorBidi"/>
          <w:sz w:val="20"/>
          <w:szCs w:val="20"/>
          <w:lang w:eastAsia="en-US"/>
        </w:rPr>
        <w:t xml:space="preserve"> Venezuela,</w:t>
      </w:r>
      <w:r w:rsidRPr="0001748B">
        <w:rPr>
          <w:rFonts w:eastAsiaTheme="minorHAnsi" w:cstheme="minorBidi"/>
          <w:sz w:val="20"/>
          <w:szCs w:val="20"/>
          <w:lang w:eastAsia="en-US"/>
        </w:rPr>
        <w:t xml:space="preserve"> al ejercicio de la “</w:t>
      </w:r>
      <w:r w:rsidR="001365FD">
        <w:rPr>
          <w:rFonts w:eastAsiaTheme="minorHAnsi" w:cstheme="minorBidi"/>
          <w:sz w:val="20"/>
          <w:szCs w:val="20"/>
          <w:lang w:eastAsia="en-US"/>
        </w:rPr>
        <w:t>c</w:t>
      </w:r>
      <w:r w:rsidRPr="0001748B">
        <w:rPr>
          <w:rFonts w:eastAsiaTheme="minorHAnsi" w:cstheme="minorBidi"/>
          <w:sz w:val="20"/>
          <w:szCs w:val="20"/>
          <w:lang w:eastAsia="en-US"/>
        </w:rPr>
        <w:t xml:space="preserve">ancha </w:t>
      </w:r>
      <w:r w:rsidR="001365FD">
        <w:rPr>
          <w:rFonts w:eastAsiaTheme="minorHAnsi" w:cstheme="minorBidi"/>
          <w:sz w:val="20"/>
          <w:szCs w:val="20"/>
          <w:lang w:eastAsia="en-US"/>
        </w:rPr>
        <w:t>a</w:t>
      </w:r>
      <w:r w:rsidRPr="0001748B">
        <w:rPr>
          <w:rFonts w:eastAsiaTheme="minorHAnsi" w:cstheme="minorBidi"/>
          <w:sz w:val="20"/>
          <w:szCs w:val="20"/>
          <w:lang w:eastAsia="en-US"/>
        </w:rPr>
        <w:t>nti-subversiva”.</w:t>
      </w:r>
      <w:r w:rsidR="00EB2536" w:rsidRPr="0001748B">
        <w:rPr>
          <w:rFonts w:eastAsiaTheme="minorHAnsi" w:cstheme="minorBidi"/>
          <w:sz w:val="20"/>
          <w:szCs w:val="20"/>
          <w:lang w:eastAsia="en-US"/>
        </w:rPr>
        <w:t xml:space="preserve"> </w:t>
      </w:r>
      <w:r w:rsidR="00805AD6" w:rsidRPr="0001748B">
        <w:rPr>
          <w:rFonts w:eastAsiaTheme="minorHAnsi" w:cstheme="minorBidi"/>
          <w:sz w:val="20"/>
          <w:szCs w:val="20"/>
          <w:lang w:eastAsia="en-US"/>
        </w:rPr>
        <w:t xml:space="preserve">Cabe destacar que esta cancha es denominada de diferentes formas en </w:t>
      </w:r>
      <w:r w:rsidR="00D36176" w:rsidRPr="0001748B">
        <w:rPr>
          <w:rFonts w:eastAsiaTheme="minorHAnsi" w:cstheme="minorBidi"/>
          <w:sz w:val="20"/>
          <w:szCs w:val="20"/>
          <w:lang w:eastAsia="en-US"/>
        </w:rPr>
        <w:t>la</w:t>
      </w:r>
      <w:r w:rsidR="00805AD6" w:rsidRPr="0001748B">
        <w:rPr>
          <w:rFonts w:eastAsiaTheme="minorHAnsi" w:cstheme="minorBidi"/>
          <w:sz w:val="20"/>
          <w:szCs w:val="20"/>
          <w:lang w:eastAsia="en-US"/>
        </w:rPr>
        <w:t xml:space="preserve"> prueba</w:t>
      </w:r>
      <w:r w:rsidR="00D36176" w:rsidRPr="0001748B">
        <w:rPr>
          <w:rFonts w:eastAsiaTheme="minorHAnsi" w:cstheme="minorBidi"/>
          <w:sz w:val="20"/>
          <w:szCs w:val="20"/>
          <w:lang w:eastAsia="en-US"/>
        </w:rPr>
        <w:t xml:space="preserve"> recabada</w:t>
      </w:r>
      <w:r w:rsidR="00805AD6" w:rsidRPr="0001748B">
        <w:rPr>
          <w:rFonts w:eastAsiaTheme="minorHAnsi" w:cstheme="minorBidi"/>
          <w:sz w:val="20"/>
          <w:szCs w:val="20"/>
          <w:lang w:eastAsia="en-US"/>
        </w:rPr>
        <w:t xml:space="preserve">. En efecto, se la ha identificado como: i) “anti-subversiva”; ii) de </w:t>
      </w:r>
      <w:r w:rsidR="0034593D" w:rsidRPr="0001748B">
        <w:rPr>
          <w:rFonts w:eastAsiaTheme="minorHAnsi" w:cstheme="minorBidi"/>
          <w:sz w:val="20"/>
          <w:szCs w:val="20"/>
          <w:lang w:eastAsia="en-US"/>
        </w:rPr>
        <w:t>“</w:t>
      </w:r>
      <w:r w:rsidR="003757A8">
        <w:rPr>
          <w:rFonts w:eastAsiaTheme="minorHAnsi" w:cstheme="minorBidi"/>
          <w:sz w:val="20"/>
          <w:szCs w:val="20"/>
          <w:lang w:eastAsia="en-US"/>
        </w:rPr>
        <w:t>infiltración”,</w:t>
      </w:r>
      <w:r w:rsidR="00805AD6" w:rsidRPr="0001748B">
        <w:rPr>
          <w:rFonts w:eastAsiaTheme="minorHAnsi" w:cstheme="minorBidi"/>
          <w:sz w:val="20"/>
          <w:szCs w:val="20"/>
          <w:lang w:eastAsia="en-US"/>
        </w:rPr>
        <w:t xml:space="preserve"> y iii) del “soldado especial”. Sin embargo, conforme el instructivo mencionado, la “</w:t>
      </w:r>
      <w:r w:rsidR="00EE2984">
        <w:rPr>
          <w:rFonts w:eastAsiaTheme="minorHAnsi" w:cstheme="minorBidi"/>
          <w:sz w:val="20"/>
          <w:szCs w:val="20"/>
          <w:lang w:eastAsia="en-US"/>
        </w:rPr>
        <w:t>c</w:t>
      </w:r>
      <w:r w:rsidR="00805AD6" w:rsidRPr="0001748B">
        <w:rPr>
          <w:rFonts w:eastAsiaTheme="minorHAnsi" w:cstheme="minorBidi"/>
          <w:sz w:val="20"/>
          <w:szCs w:val="20"/>
          <w:lang w:eastAsia="en-US"/>
        </w:rPr>
        <w:t xml:space="preserve">ancha </w:t>
      </w:r>
      <w:r w:rsidR="00EE2984">
        <w:rPr>
          <w:rFonts w:eastAsiaTheme="minorHAnsi" w:cstheme="minorBidi"/>
          <w:sz w:val="20"/>
          <w:szCs w:val="20"/>
          <w:lang w:eastAsia="en-US"/>
        </w:rPr>
        <w:t>a</w:t>
      </w:r>
      <w:r w:rsidR="00805AD6" w:rsidRPr="0001748B">
        <w:rPr>
          <w:rFonts w:eastAsiaTheme="minorHAnsi" w:cstheme="minorBidi"/>
          <w:sz w:val="20"/>
          <w:szCs w:val="20"/>
          <w:lang w:eastAsia="en-US"/>
        </w:rPr>
        <w:t>nti-subversiva” y la “</w:t>
      </w:r>
      <w:r w:rsidR="00EE2984">
        <w:rPr>
          <w:rFonts w:eastAsiaTheme="minorHAnsi" w:cstheme="minorBidi"/>
          <w:sz w:val="20"/>
          <w:szCs w:val="20"/>
          <w:lang w:eastAsia="en-US"/>
        </w:rPr>
        <w:t>c</w:t>
      </w:r>
      <w:r w:rsidR="00805AD6" w:rsidRPr="0001748B">
        <w:rPr>
          <w:rFonts w:eastAsiaTheme="minorHAnsi" w:cstheme="minorBidi"/>
          <w:sz w:val="20"/>
          <w:szCs w:val="20"/>
          <w:lang w:eastAsia="en-US"/>
        </w:rPr>
        <w:t>ancha de infiltración” indicaban dos ejercicios diferentes</w:t>
      </w:r>
      <w:r w:rsidR="006734A3" w:rsidRPr="0001748B">
        <w:rPr>
          <w:rStyle w:val="FootnoteReference"/>
          <w:rFonts w:eastAsiaTheme="minorHAnsi" w:cstheme="minorBidi"/>
          <w:sz w:val="20"/>
          <w:szCs w:val="20"/>
          <w:lang w:eastAsia="en-US"/>
        </w:rPr>
        <w:footnoteReference w:id="43"/>
      </w:r>
      <w:r w:rsidR="00805AD6" w:rsidRPr="0001748B">
        <w:rPr>
          <w:rFonts w:eastAsiaTheme="minorHAnsi" w:cstheme="minorBidi"/>
          <w:sz w:val="20"/>
          <w:szCs w:val="20"/>
          <w:lang w:eastAsia="en-US"/>
        </w:rPr>
        <w:t>, siendo la primera donde se habría producido el hecho que aquí ocupa</w:t>
      </w:r>
      <w:r w:rsidR="006734A3">
        <w:rPr>
          <w:rStyle w:val="FootnoteReference"/>
          <w:rFonts w:eastAsiaTheme="minorHAnsi" w:cstheme="minorBidi"/>
          <w:sz w:val="20"/>
          <w:szCs w:val="20"/>
          <w:lang w:eastAsia="en-US"/>
        </w:rPr>
        <w:footnoteReference w:id="44"/>
      </w:r>
      <w:r w:rsidR="00805AD6" w:rsidRPr="0001748B">
        <w:rPr>
          <w:rFonts w:eastAsiaTheme="minorHAnsi" w:cstheme="minorBidi"/>
          <w:sz w:val="20"/>
          <w:szCs w:val="20"/>
          <w:lang w:eastAsia="en-US"/>
        </w:rPr>
        <w:t>.</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805AD6" w:rsidRPr="0001748B" w:rsidRDefault="001C5304" w:rsidP="008B586B">
      <w:pPr>
        <w:numPr>
          <w:ilvl w:val="0"/>
          <w:numId w:val="1"/>
        </w:numPr>
        <w:tabs>
          <w:tab w:val="left" w:pos="567"/>
          <w:tab w:val="num" w:pos="5057"/>
        </w:tabs>
        <w:spacing w:line="240" w:lineRule="auto"/>
        <w:ind w:left="0" w:firstLine="0"/>
        <w:rPr>
          <w:rFonts w:eastAsiaTheme="minorHAnsi" w:cstheme="minorBidi"/>
          <w:sz w:val="22"/>
          <w:szCs w:val="22"/>
          <w:lang w:eastAsia="en-US"/>
        </w:rPr>
      </w:pPr>
      <w:r w:rsidRPr="0001748B">
        <w:rPr>
          <w:rFonts w:eastAsiaTheme="minorHAnsi" w:cstheme="minorBidi"/>
          <w:sz w:val="20"/>
          <w:szCs w:val="20"/>
          <w:lang w:eastAsia="en-US"/>
        </w:rPr>
        <w:t>En horas del mediodía</w:t>
      </w:r>
      <w:r w:rsidRPr="0001748B">
        <w:rPr>
          <w:rFonts w:eastAsiaTheme="minorHAnsi" w:cstheme="minorBidi"/>
          <w:sz w:val="20"/>
          <w:szCs w:val="20"/>
          <w:vertAlign w:val="superscript"/>
          <w:lang w:eastAsia="en-US"/>
        </w:rPr>
        <w:footnoteReference w:id="45"/>
      </w:r>
      <w:r w:rsidRPr="0001748B">
        <w:rPr>
          <w:rFonts w:eastAsiaTheme="minorHAnsi" w:cstheme="minorBidi"/>
          <w:sz w:val="20"/>
          <w:szCs w:val="20"/>
          <w:lang w:eastAsia="en-US"/>
        </w:rPr>
        <w:t xml:space="preserve">, mientras el alumno Ortiz Hernández se encontraba aproximándose </w:t>
      </w:r>
      <w:r w:rsidRPr="0001748B">
        <w:rPr>
          <w:rFonts w:eastAsiaTheme="minorHAnsi" w:cstheme="minorBidi"/>
          <w:sz w:val="20"/>
          <w:szCs w:val="20"/>
          <w:lang w:eastAsia="en-US"/>
        </w:rPr>
        <w:lastRenderedPageBreak/>
        <w:t xml:space="preserve">al obstáculo </w:t>
      </w:r>
      <w:r w:rsidR="00A52BE4" w:rsidRPr="0001748B">
        <w:rPr>
          <w:rFonts w:eastAsiaTheme="minorHAnsi" w:cstheme="minorBidi"/>
          <w:sz w:val="20"/>
          <w:szCs w:val="20"/>
          <w:lang w:eastAsia="en-US"/>
        </w:rPr>
        <w:t>conocido como</w:t>
      </w:r>
      <w:r w:rsidR="00770503" w:rsidRPr="008F41F1">
        <w:rPr>
          <w:rFonts w:eastAsiaTheme="minorHAnsi" w:cstheme="minorBidi"/>
          <w:sz w:val="20"/>
          <w:szCs w:val="20"/>
          <w:lang w:eastAsia="en-US"/>
        </w:rPr>
        <w:t xml:space="preserve"> la “zona de rampadera”</w:t>
      </w:r>
      <w:r w:rsidR="00770503" w:rsidRPr="008031E5">
        <w:rPr>
          <w:rFonts w:eastAsiaTheme="minorHAnsi" w:cstheme="minorBidi"/>
          <w:sz w:val="20"/>
          <w:szCs w:val="20"/>
          <w:lang w:eastAsia="en-US"/>
        </w:rPr>
        <w:t>,</w:t>
      </w:r>
      <w:r w:rsidR="00770503" w:rsidRPr="00770503">
        <w:rPr>
          <w:rFonts w:eastAsiaTheme="minorHAnsi" w:cstheme="minorBidi"/>
          <w:sz w:val="20"/>
          <w:szCs w:val="20"/>
          <w:lang w:eastAsia="en-US"/>
        </w:rPr>
        <w:t xml:space="preserve"> </w:t>
      </w:r>
      <w:r w:rsidR="00805AD6" w:rsidRPr="0001748B">
        <w:rPr>
          <w:rFonts w:eastAsiaTheme="minorHAnsi" w:cstheme="minorBidi"/>
          <w:sz w:val="20"/>
          <w:szCs w:val="20"/>
          <w:lang w:eastAsia="en-US"/>
        </w:rPr>
        <w:t xml:space="preserve">que hacía parte </w:t>
      </w:r>
      <w:r w:rsidR="00671916" w:rsidRPr="00671916">
        <w:rPr>
          <w:rFonts w:eastAsiaTheme="minorHAnsi" w:cstheme="minorBidi"/>
          <w:sz w:val="20"/>
          <w:szCs w:val="20"/>
          <w:lang w:eastAsia="en-US"/>
        </w:rPr>
        <w:t>del ejercicio llamado la</w:t>
      </w:r>
      <w:r w:rsidR="00EB2536" w:rsidRPr="0001748B">
        <w:rPr>
          <w:rFonts w:eastAsiaTheme="minorHAnsi" w:cstheme="minorBidi"/>
          <w:sz w:val="20"/>
          <w:szCs w:val="20"/>
          <w:lang w:eastAsia="en-US"/>
        </w:rPr>
        <w:t xml:space="preserve"> </w:t>
      </w:r>
      <w:r w:rsidR="00805AD6" w:rsidRPr="0001748B">
        <w:rPr>
          <w:rFonts w:eastAsiaTheme="minorHAnsi" w:cstheme="minorBidi"/>
          <w:sz w:val="20"/>
          <w:szCs w:val="20"/>
          <w:lang w:eastAsia="en-US"/>
        </w:rPr>
        <w:t>“</w:t>
      </w:r>
      <w:r w:rsidR="001365FD">
        <w:rPr>
          <w:rFonts w:eastAsiaTheme="minorHAnsi" w:cstheme="minorBidi"/>
          <w:sz w:val="20"/>
          <w:szCs w:val="20"/>
          <w:lang w:eastAsia="en-US"/>
        </w:rPr>
        <w:t>c</w:t>
      </w:r>
      <w:r w:rsidR="00805AD6" w:rsidRPr="0001748B">
        <w:rPr>
          <w:rFonts w:eastAsiaTheme="minorHAnsi" w:cstheme="minorBidi"/>
          <w:sz w:val="20"/>
          <w:szCs w:val="20"/>
          <w:lang w:eastAsia="en-US"/>
        </w:rPr>
        <w:t xml:space="preserve">ancha </w:t>
      </w:r>
      <w:r w:rsidR="001365FD">
        <w:rPr>
          <w:rFonts w:eastAsiaTheme="minorHAnsi" w:cstheme="minorBidi"/>
          <w:sz w:val="20"/>
          <w:szCs w:val="20"/>
          <w:lang w:eastAsia="en-US"/>
        </w:rPr>
        <w:t>a</w:t>
      </w:r>
      <w:r w:rsidR="00805AD6" w:rsidRPr="0001748B">
        <w:rPr>
          <w:rFonts w:eastAsiaTheme="minorHAnsi" w:cstheme="minorBidi"/>
          <w:sz w:val="20"/>
          <w:szCs w:val="20"/>
          <w:lang w:eastAsia="en-US"/>
        </w:rPr>
        <w:t>nti-subversiva”</w:t>
      </w:r>
      <w:r w:rsidR="00770503">
        <w:rPr>
          <w:rFonts w:eastAsiaTheme="minorHAnsi" w:cstheme="minorBidi"/>
          <w:sz w:val="20"/>
          <w:szCs w:val="20"/>
          <w:lang w:eastAsia="en-US"/>
        </w:rPr>
        <w:t>,</w:t>
      </w:r>
      <w:r w:rsidRPr="0001748B">
        <w:rPr>
          <w:rFonts w:eastAsiaTheme="minorHAnsi" w:cstheme="minorBidi"/>
          <w:sz w:val="20"/>
          <w:szCs w:val="20"/>
          <w:lang w:eastAsia="en-US"/>
        </w:rPr>
        <w:t xml:space="preserve"> recibió</w:t>
      </w:r>
      <w:r w:rsidR="00805AD6" w:rsidRPr="0001748B">
        <w:rPr>
          <w:rFonts w:eastAsiaTheme="minorHAnsi" w:cstheme="minorBidi"/>
          <w:sz w:val="20"/>
          <w:szCs w:val="20"/>
          <w:lang w:eastAsia="en-US"/>
        </w:rPr>
        <w:t xml:space="preserve"> dos</w:t>
      </w:r>
      <w:r w:rsidR="00A35592" w:rsidRPr="0001748B">
        <w:rPr>
          <w:rFonts w:eastAsiaTheme="minorHAnsi" w:cstheme="minorBidi"/>
          <w:sz w:val="20"/>
          <w:szCs w:val="20"/>
          <w:lang w:eastAsia="en-US"/>
        </w:rPr>
        <w:t xml:space="preserve"> </w:t>
      </w:r>
      <w:r w:rsidR="00805AD6" w:rsidRPr="0001748B">
        <w:rPr>
          <w:rFonts w:eastAsiaTheme="minorHAnsi" w:cstheme="minorBidi"/>
          <w:sz w:val="20"/>
          <w:szCs w:val="20"/>
          <w:lang w:eastAsia="en-US"/>
        </w:rPr>
        <w:t>impactos de bala en la zona de su hombro derecho.</w:t>
      </w:r>
      <w:r w:rsidR="00A35592" w:rsidRPr="0001748B">
        <w:rPr>
          <w:rFonts w:eastAsiaTheme="minorHAnsi" w:cstheme="minorBidi"/>
          <w:sz w:val="20"/>
          <w:szCs w:val="20"/>
          <w:lang w:eastAsia="en-US"/>
        </w:rPr>
        <w:t xml:space="preserve"> Sin embargo, las circunstancias y el modo en que se produjo dicho hecho se encuentra</w:t>
      </w:r>
      <w:r w:rsidR="005F0371" w:rsidRPr="0001748B">
        <w:rPr>
          <w:rFonts w:eastAsiaTheme="minorHAnsi" w:cstheme="minorBidi"/>
          <w:sz w:val="20"/>
          <w:szCs w:val="20"/>
          <w:lang w:eastAsia="en-US"/>
        </w:rPr>
        <w:t>n</w:t>
      </w:r>
      <w:r w:rsidR="00A35592" w:rsidRPr="0001748B">
        <w:rPr>
          <w:rFonts w:eastAsiaTheme="minorHAnsi" w:cstheme="minorBidi"/>
          <w:sz w:val="20"/>
          <w:szCs w:val="20"/>
          <w:lang w:eastAsia="en-US"/>
        </w:rPr>
        <w:t xml:space="preserve"> controvertidas, lo cual será analizado por la Corte en el fondo (</w:t>
      </w:r>
      <w:r w:rsidR="00A35592" w:rsidRPr="0001748B">
        <w:rPr>
          <w:rFonts w:eastAsiaTheme="minorHAnsi" w:cstheme="minorBidi"/>
          <w:i/>
          <w:sz w:val="20"/>
          <w:szCs w:val="20"/>
          <w:lang w:eastAsia="en-US"/>
        </w:rPr>
        <w:t>infra</w:t>
      </w:r>
      <w:r w:rsidR="00A35592" w:rsidRPr="0001748B">
        <w:rPr>
          <w:rFonts w:eastAsiaTheme="minorHAnsi" w:cstheme="minorBidi"/>
          <w:sz w:val="20"/>
          <w:szCs w:val="20"/>
          <w:lang w:eastAsia="en-US"/>
        </w:rPr>
        <w:t xml:space="preserve"> párrs. </w:t>
      </w:r>
      <w:r w:rsidR="00963E63">
        <w:rPr>
          <w:rFonts w:eastAsiaTheme="minorHAnsi" w:cstheme="minorBidi"/>
          <w:sz w:val="20"/>
          <w:szCs w:val="20"/>
          <w:lang w:eastAsia="en-US"/>
        </w:rPr>
        <w:t>127</w:t>
      </w:r>
      <w:r w:rsidR="00007CFD" w:rsidRPr="0001748B">
        <w:rPr>
          <w:rFonts w:eastAsiaTheme="minorHAnsi" w:cstheme="minorBidi"/>
          <w:sz w:val="20"/>
          <w:szCs w:val="20"/>
          <w:lang w:eastAsia="en-US"/>
        </w:rPr>
        <w:t xml:space="preserve"> </w:t>
      </w:r>
      <w:r w:rsidR="00A35592" w:rsidRPr="0001748B">
        <w:rPr>
          <w:rFonts w:eastAsiaTheme="minorHAnsi" w:cstheme="minorBidi"/>
          <w:sz w:val="20"/>
          <w:szCs w:val="20"/>
          <w:lang w:eastAsia="en-US"/>
        </w:rPr>
        <w:t>a</w:t>
      </w:r>
      <w:r w:rsidR="00007CFD" w:rsidRPr="0001748B">
        <w:rPr>
          <w:rFonts w:eastAsiaTheme="minorHAnsi" w:cstheme="minorBidi"/>
          <w:sz w:val="20"/>
          <w:szCs w:val="20"/>
          <w:lang w:eastAsia="en-US"/>
        </w:rPr>
        <w:t xml:space="preserve"> </w:t>
      </w:r>
      <w:r w:rsidR="00963E63">
        <w:rPr>
          <w:rFonts w:eastAsiaTheme="minorHAnsi" w:cstheme="minorBidi"/>
          <w:sz w:val="20"/>
          <w:szCs w:val="20"/>
          <w:lang w:eastAsia="en-US"/>
        </w:rPr>
        <w:t>136</w:t>
      </w:r>
      <w:r w:rsidR="00A35592" w:rsidRPr="0001748B">
        <w:rPr>
          <w:rFonts w:eastAsiaTheme="minorHAnsi" w:cstheme="minorBidi"/>
          <w:sz w:val="20"/>
          <w:szCs w:val="20"/>
          <w:lang w:eastAsia="en-US"/>
        </w:rPr>
        <w:t>).</w:t>
      </w:r>
    </w:p>
    <w:p w:rsidR="008B586B" w:rsidRPr="0001748B" w:rsidRDefault="008B586B" w:rsidP="008B586B">
      <w:pPr>
        <w:tabs>
          <w:tab w:val="left" w:pos="567"/>
        </w:tabs>
        <w:spacing w:line="240" w:lineRule="auto"/>
        <w:rPr>
          <w:rFonts w:eastAsiaTheme="minorHAnsi" w:cstheme="minorBidi"/>
          <w:sz w:val="22"/>
          <w:szCs w:val="22"/>
          <w:lang w:eastAsia="en-US"/>
        </w:rPr>
      </w:pPr>
    </w:p>
    <w:p w:rsidR="001A3DE4" w:rsidRPr="0001748B" w:rsidRDefault="00A35592" w:rsidP="00866198">
      <w:pPr>
        <w:widowControl/>
        <w:numPr>
          <w:ilvl w:val="0"/>
          <w:numId w:val="1"/>
        </w:numPr>
        <w:tabs>
          <w:tab w:val="left" w:pos="567"/>
          <w:tab w:val="num" w:pos="5057"/>
        </w:tabs>
        <w:adjustRightInd/>
        <w:spacing w:line="240" w:lineRule="auto"/>
        <w:ind w:left="0" w:firstLine="0"/>
        <w:textAlignment w:val="auto"/>
        <w:rPr>
          <w:rFonts w:eastAsiaTheme="minorHAnsi" w:cstheme="minorBidi"/>
          <w:sz w:val="20"/>
          <w:szCs w:val="20"/>
          <w:lang w:eastAsia="en-US"/>
        </w:rPr>
      </w:pPr>
      <w:r w:rsidRPr="0001748B">
        <w:rPr>
          <w:rFonts w:eastAsiaTheme="minorHAnsi" w:cstheme="minorBidi"/>
          <w:sz w:val="20"/>
          <w:szCs w:val="20"/>
          <w:lang w:eastAsia="en-US"/>
        </w:rPr>
        <w:t>En efecto</w:t>
      </w:r>
      <w:r w:rsidR="001C5304" w:rsidRPr="0001748B">
        <w:rPr>
          <w:rFonts w:eastAsiaTheme="minorHAnsi" w:cstheme="minorBidi"/>
          <w:sz w:val="20"/>
          <w:szCs w:val="20"/>
          <w:lang w:eastAsia="en-US"/>
        </w:rPr>
        <w:t xml:space="preserve">, según la primera versión oficial de los hechos, </w:t>
      </w:r>
      <w:r w:rsidRPr="0001748B">
        <w:rPr>
          <w:rFonts w:eastAsiaTheme="minorHAnsi" w:cstheme="minorBidi"/>
          <w:sz w:val="20"/>
          <w:szCs w:val="20"/>
          <w:lang w:eastAsia="en-US"/>
        </w:rPr>
        <w:t xml:space="preserve">Johan Alexis recibió </w:t>
      </w:r>
      <w:r w:rsidR="001C5304" w:rsidRPr="0001748B">
        <w:rPr>
          <w:rFonts w:eastAsiaTheme="minorHAnsi" w:cstheme="minorBidi"/>
          <w:sz w:val="20"/>
          <w:szCs w:val="20"/>
          <w:lang w:eastAsia="en-US"/>
        </w:rPr>
        <w:t>“[un] impacto de bala a la altura del hombro derecho con orificio de salida en el cuello, la herida fue producida por un proyectil calibre 7.62 disparada por AFAG</w:t>
      </w:r>
      <w:r w:rsidRPr="0001748B">
        <w:rPr>
          <w:rFonts w:eastAsiaTheme="minorHAnsi" w:cstheme="minorBidi"/>
          <w:sz w:val="20"/>
          <w:szCs w:val="20"/>
          <w:lang w:eastAsia="en-US"/>
        </w:rPr>
        <w:t xml:space="preserve"> […]”</w:t>
      </w:r>
      <w:r w:rsidR="001C5304" w:rsidRPr="0001748B">
        <w:rPr>
          <w:rFonts w:eastAsiaTheme="minorHAnsi" w:cstheme="minorBidi"/>
          <w:sz w:val="20"/>
          <w:szCs w:val="20"/>
          <w:lang w:eastAsia="en-US"/>
        </w:rPr>
        <w:t xml:space="preserve">, que estaba siendo manipulada por </w:t>
      </w:r>
      <w:r w:rsidRPr="0001748B">
        <w:rPr>
          <w:rFonts w:eastAsiaTheme="minorHAnsi" w:cstheme="minorBidi"/>
          <w:sz w:val="20"/>
          <w:szCs w:val="20"/>
          <w:lang w:eastAsia="en-US"/>
        </w:rPr>
        <w:t>el guardia nacional encargado de accionarla</w:t>
      </w:r>
      <w:r w:rsidR="001C5304" w:rsidRPr="0001748B">
        <w:rPr>
          <w:rFonts w:eastAsiaTheme="minorHAnsi" w:cstheme="minorBidi"/>
          <w:sz w:val="20"/>
          <w:szCs w:val="20"/>
          <w:vertAlign w:val="superscript"/>
          <w:lang w:eastAsia="en-US"/>
        </w:rPr>
        <w:footnoteReference w:id="46"/>
      </w:r>
      <w:r w:rsidR="001C5304" w:rsidRPr="0001748B">
        <w:rPr>
          <w:rFonts w:eastAsiaTheme="minorHAnsi" w:cstheme="minorBidi"/>
          <w:sz w:val="20"/>
          <w:szCs w:val="20"/>
          <w:lang w:eastAsia="en-US"/>
        </w:rPr>
        <w:t>.</w:t>
      </w:r>
      <w:r w:rsidRPr="0001748B">
        <w:rPr>
          <w:rFonts w:eastAsiaTheme="minorHAnsi" w:cstheme="minorBidi"/>
          <w:sz w:val="20"/>
          <w:szCs w:val="20"/>
          <w:lang w:eastAsia="en-US"/>
        </w:rPr>
        <w:t xml:space="preserve"> </w:t>
      </w:r>
      <w:r w:rsidR="001C5304" w:rsidRPr="0001748B">
        <w:rPr>
          <w:rFonts w:eastAsiaTheme="minorHAnsi" w:cstheme="minorBidi"/>
          <w:sz w:val="20"/>
          <w:szCs w:val="20"/>
          <w:lang w:eastAsia="en-US"/>
        </w:rPr>
        <w:t>Con posterioridad, más precisamente el 12 de marzo de 1998, la propia ESGUARNAC-CORDERO destacó que el señor Ortiz Hernández recibió, en realidad, dos impactos de bala, en atención a que el disparo de las ráfagas de proyectiles a cargo del GN G</w:t>
      </w:r>
      <w:r w:rsidR="005D1925" w:rsidRPr="0001748B">
        <w:rPr>
          <w:rFonts w:eastAsiaTheme="minorHAnsi" w:cstheme="minorBidi"/>
          <w:sz w:val="20"/>
          <w:szCs w:val="20"/>
          <w:lang w:eastAsia="en-US"/>
        </w:rPr>
        <w:t>.</w:t>
      </w:r>
      <w:r w:rsidR="001C5304" w:rsidRPr="0001748B">
        <w:rPr>
          <w:rFonts w:eastAsiaTheme="minorHAnsi" w:cstheme="minorBidi"/>
          <w:sz w:val="20"/>
          <w:szCs w:val="20"/>
          <w:lang w:eastAsia="en-US"/>
        </w:rPr>
        <w:t>M</w:t>
      </w:r>
      <w:r w:rsidR="005D1925" w:rsidRPr="0001748B">
        <w:rPr>
          <w:rFonts w:eastAsiaTheme="minorHAnsi" w:cstheme="minorBidi"/>
          <w:sz w:val="20"/>
          <w:szCs w:val="20"/>
          <w:lang w:eastAsia="en-US"/>
        </w:rPr>
        <w:t>.</w:t>
      </w:r>
      <w:r w:rsidR="001C5304" w:rsidRPr="0001748B">
        <w:rPr>
          <w:rFonts w:eastAsiaTheme="minorHAnsi" w:cstheme="minorBidi"/>
          <w:sz w:val="20"/>
          <w:szCs w:val="20"/>
          <w:lang w:eastAsia="en-US"/>
        </w:rPr>
        <w:t>C</w:t>
      </w:r>
      <w:r w:rsidR="005D1925" w:rsidRPr="0001748B">
        <w:rPr>
          <w:rFonts w:eastAsiaTheme="minorHAnsi" w:cstheme="minorBidi"/>
          <w:sz w:val="20"/>
          <w:szCs w:val="20"/>
          <w:lang w:eastAsia="en-US"/>
        </w:rPr>
        <w:t>.</w:t>
      </w:r>
      <w:r w:rsidR="001C5304" w:rsidRPr="0001748B">
        <w:rPr>
          <w:rFonts w:eastAsiaTheme="minorHAnsi" w:cstheme="minorBidi"/>
          <w:sz w:val="20"/>
          <w:szCs w:val="20"/>
          <w:lang w:eastAsia="en-US"/>
        </w:rPr>
        <w:t xml:space="preserve"> estaba siendo efectuado, como medida de hostigamiento, con fuego real</w:t>
      </w:r>
      <w:r w:rsidR="001C5304" w:rsidRPr="0001748B">
        <w:rPr>
          <w:rFonts w:eastAsiaTheme="minorHAnsi" w:cstheme="minorBidi"/>
          <w:sz w:val="20"/>
          <w:szCs w:val="20"/>
          <w:vertAlign w:val="superscript"/>
          <w:lang w:eastAsia="en-US"/>
        </w:rPr>
        <w:footnoteReference w:id="47"/>
      </w:r>
      <w:r w:rsidR="001C5304" w:rsidRPr="0001748B">
        <w:rPr>
          <w:rFonts w:eastAsiaTheme="minorHAnsi" w:cstheme="minorBidi"/>
          <w:sz w:val="20"/>
          <w:szCs w:val="20"/>
          <w:lang w:eastAsia="en-US"/>
        </w:rPr>
        <w:t xml:space="preserve"> proveniente de una ametralladora AFAG, calibre 7,62 mm</w:t>
      </w:r>
      <w:r w:rsidR="001C5304" w:rsidRPr="0001748B">
        <w:rPr>
          <w:rFonts w:eastAsiaTheme="minorHAnsi" w:cstheme="minorBidi"/>
          <w:sz w:val="20"/>
          <w:szCs w:val="20"/>
          <w:vertAlign w:val="superscript"/>
          <w:lang w:eastAsia="en-US"/>
        </w:rPr>
        <w:footnoteReference w:id="48"/>
      </w:r>
      <w:r w:rsidR="001C5304" w:rsidRPr="0001748B">
        <w:rPr>
          <w:rFonts w:eastAsiaTheme="minorHAnsi" w:cstheme="minorBidi"/>
          <w:sz w:val="20"/>
          <w:szCs w:val="20"/>
          <w:lang w:eastAsia="en-US"/>
        </w:rPr>
        <w:t xml:space="preserve">. </w:t>
      </w:r>
      <w:r w:rsidR="001A3DE4" w:rsidRPr="0001748B">
        <w:rPr>
          <w:rFonts w:eastAsiaTheme="minorHAnsi" w:cstheme="minorBidi"/>
          <w:sz w:val="20"/>
          <w:szCs w:val="20"/>
          <w:lang w:eastAsia="en-US"/>
        </w:rPr>
        <w:t>La ametralladora AFAG, calibre 7,62 mm es un arma de guerra automática que utiliza una munición de</w:t>
      </w:r>
      <w:r w:rsidRPr="0001748B">
        <w:rPr>
          <w:rFonts w:eastAsiaTheme="minorHAnsi" w:cstheme="minorBidi"/>
          <w:sz w:val="20"/>
          <w:szCs w:val="20"/>
          <w:lang w:eastAsia="en-US"/>
        </w:rPr>
        <w:t xml:space="preserve"> a</w:t>
      </w:r>
      <w:r w:rsidR="001A3DE4" w:rsidRPr="0001748B">
        <w:rPr>
          <w:rFonts w:eastAsiaTheme="minorHAnsi" w:cstheme="minorBidi"/>
          <w:sz w:val="20"/>
          <w:szCs w:val="20"/>
          <w:lang w:eastAsia="en-US"/>
        </w:rPr>
        <w:t>lto carácter perforante dada la altísima velocidad de su trayectoria</w:t>
      </w:r>
      <w:r w:rsidR="00B52FEE" w:rsidRPr="0001748B">
        <w:rPr>
          <w:rFonts w:eastAsiaTheme="minorHAnsi" w:cstheme="minorBidi"/>
          <w:sz w:val="20"/>
          <w:szCs w:val="20"/>
          <w:lang w:eastAsia="en-US"/>
        </w:rPr>
        <w:t>. Su diseño, empleo, potencia, calibre, y tipo de munición, entre otros aspectos, obedecen a la finalidad de causar el máximo daño al enemigo, esto es, provocar su muerte</w:t>
      </w:r>
      <w:r w:rsidR="001A3DE4" w:rsidRPr="0001748B">
        <w:rPr>
          <w:rStyle w:val="FootnoteReference"/>
          <w:rFonts w:eastAsiaTheme="minorHAnsi" w:cstheme="minorBidi"/>
          <w:sz w:val="20"/>
          <w:szCs w:val="20"/>
          <w:lang w:eastAsia="en-US"/>
        </w:rPr>
        <w:footnoteReference w:id="49"/>
      </w:r>
      <w:r w:rsidR="001A3DE4" w:rsidRPr="0001748B">
        <w:rPr>
          <w:rFonts w:eastAsiaTheme="minorHAnsi" w:cstheme="minorBidi"/>
          <w:sz w:val="20"/>
          <w:szCs w:val="20"/>
          <w:lang w:eastAsia="en-US"/>
        </w:rPr>
        <w:t>.</w:t>
      </w:r>
      <w:r w:rsidR="00544CFD" w:rsidRPr="0001748B">
        <w:rPr>
          <w:rFonts w:eastAsiaTheme="minorHAnsi" w:cstheme="minorBidi"/>
          <w:sz w:val="20"/>
          <w:szCs w:val="20"/>
          <w:lang w:eastAsia="en-US"/>
        </w:rPr>
        <w:t xml:space="preserve"> En otra versión, la Fiscalía </w:t>
      </w:r>
      <w:r w:rsidR="00EB69F7" w:rsidRPr="0001748B">
        <w:rPr>
          <w:rFonts w:eastAsiaTheme="minorHAnsi" w:cstheme="minorBidi"/>
          <w:sz w:val="20"/>
          <w:szCs w:val="20"/>
          <w:lang w:eastAsia="en-US"/>
        </w:rPr>
        <w:t xml:space="preserve">a cargo de la investigación </w:t>
      </w:r>
      <w:r w:rsidR="00544CFD" w:rsidRPr="0001748B">
        <w:rPr>
          <w:rFonts w:eastAsiaTheme="minorHAnsi" w:cstheme="minorBidi"/>
          <w:sz w:val="20"/>
          <w:szCs w:val="20"/>
          <w:lang w:eastAsia="en-US"/>
        </w:rPr>
        <w:t>ha sostenido que los impactos se debieron a fragmentos de proyectil</w:t>
      </w:r>
      <w:r w:rsidR="00544CFD" w:rsidRPr="0001748B">
        <w:rPr>
          <w:rStyle w:val="FootnoteReference"/>
          <w:rFonts w:eastAsiaTheme="minorHAnsi" w:cstheme="minorBidi"/>
          <w:sz w:val="20"/>
          <w:szCs w:val="20"/>
          <w:lang w:eastAsia="en-US"/>
        </w:rPr>
        <w:footnoteReference w:id="50"/>
      </w:r>
      <w:r w:rsidR="00EB69F7" w:rsidRPr="0001748B">
        <w:rPr>
          <w:rFonts w:eastAsiaTheme="minorHAnsi" w:cstheme="minorBidi"/>
          <w:sz w:val="20"/>
          <w:szCs w:val="20"/>
          <w:lang w:eastAsia="en-US"/>
        </w:rPr>
        <w:t xml:space="preserve"> (</w:t>
      </w:r>
      <w:r w:rsidR="00EB69F7" w:rsidRPr="0001748B">
        <w:rPr>
          <w:rFonts w:eastAsiaTheme="minorHAnsi" w:cstheme="minorBidi"/>
          <w:i/>
          <w:sz w:val="20"/>
          <w:szCs w:val="20"/>
          <w:lang w:eastAsia="en-US"/>
        </w:rPr>
        <w:t>infra</w:t>
      </w:r>
      <w:r w:rsidR="00EB69F7" w:rsidRPr="0001748B">
        <w:rPr>
          <w:rFonts w:eastAsiaTheme="minorHAnsi" w:cstheme="minorBidi"/>
          <w:sz w:val="20"/>
          <w:szCs w:val="20"/>
          <w:lang w:eastAsia="en-US"/>
        </w:rPr>
        <w:t xml:space="preserve"> párr. </w:t>
      </w:r>
      <w:r w:rsidR="00334332">
        <w:rPr>
          <w:rFonts w:eastAsiaTheme="minorHAnsi" w:cstheme="minorBidi"/>
          <w:sz w:val="20"/>
          <w:szCs w:val="20"/>
          <w:lang w:eastAsia="en-US"/>
        </w:rPr>
        <w:t>87</w:t>
      </w:r>
      <w:r w:rsidR="00EB69F7" w:rsidRPr="0001748B">
        <w:rPr>
          <w:rFonts w:eastAsiaTheme="minorHAnsi" w:cstheme="minorBidi"/>
          <w:sz w:val="20"/>
          <w:szCs w:val="20"/>
          <w:lang w:eastAsia="en-US"/>
        </w:rPr>
        <w:t>)</w:t>
      </w:r>
      <w:r w:rsidR="00544CFD" w:rsidRPr="0001748B">
        <w:rPr>
          <w:rFonts w:eastAsiaTheme="minorHAnsi" w:cstheme="minorBidi"/>
          <w:sz w:val="20"/>
          <w:szCs w:val="20"/>
          <w:lang w:eastAsia="en-US"/>
        </w:rPr>
        <w:t>.</w:t>
      </w:r>
    </w:p>
    <w:p w:rsidR="001A3DE4" w:rsidRPr="0001748B" w:rsidRDefault="001A3DE4" w:rsidP="001C5304">
      <w:pPr>
        <w:widowControl/>
        <w:adjustRightInd/>
        <w:spacing w:line="240" w:lineRule="auto"/>
        <w:textAlignment w:val="auto"/>
        <w:rPr>
          <w:rFonts w:eastAsiaTheme="minorHAnsi" w:cstheme="minorBidi"/>
          <w:sz w:val="20"/>
          <w:szCs w:val="20"/>
          <w:lang w:eastAsia="en-US"/>
        </w:rPr>
      </w:pPr>
    </w:p>
    <w:p w:rsidR="001C5304" w:rsidRPr="0001748B" w:rsidRDefault="00A35592" w:rsidP="0086619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Por su parte, e</w:t>
      </w:r>
      <w:r w:rsidR="001C5304" w:rsidRPr="0001748B">
        <w:rPr>
          <w:rFonts w:eastAsiaTheme="minorHAnsi" w:cstheme="minorBidi"/>
          <w:sz w:val="20"/>
          <w:szCs w:val="20"/>
          <w:lang w:eastAsia="en-US"/>
        </w:rPr>
        <w:t xml:space="preserve">sta versión oficial fue refutada por los </w:t>
      </w:r>
      <w:r w:rsidR="00671916">
        <w:rPr>
          <w:rFonts w:eastAsiaTheme="minorHAnsi" w:cstheme="minorBidi"/>
          <w:sz w:val="20"/>
          <w:szCs w:val="20"/>
          <w:lang w:eastAsia="en-US"/>
        </w:rPr>
        <w:t>progenitores</w:t>
      </w:r>
      <w:r w:rsidR="001C5304" w:rsidRPr="0001748B">
        <w:rPr>
          <w:rFonts w:eastAsiaTheme="minorHAnsi" w:cstheme="minorBidi"/>
          <w:sz w:val="20"/>
          <w:szCs w:val="20"/>
          <w:lang w:eastAsia="en-US"/>
        </w:rPr>
        <w:t xml:space="preserve"> del señor Ortiz Hernández, quienes sostuvieron que, según los dichos de un alumno que también habría participado de la práctica, su hijo no fue lastimado en </w:t>
      </w:r>
      <w:r w:rsidR="000506B4">
        <w:rPr>
          <w:rFonts w:eastAsiaTheme="minorHAnsi" w:cstheme="minorBidi"/>
          <w:sz w:val="20"/>
          <w:szCs w:val="20"/>
          <w:lang w:eastAsia="en-US"/>
        </w:rPr>
        <w:t>el obstáculo</w:t>
      </w:r>
      <w:r w:rsidR="001C5304" w:rsidRPr="0001748B">
        <w:rPr>
          <w:rFonts w:eastAsiaTheme="minorHAnsi" w:cstheme="minorBidi"/>
          <w:sz w:val="20"/>
          <w:szCs w:val="20"/>
          <w:lang w:eastAsia="en-US"/>
        </w:rPr>
        <w:t>, sino que habría llegado herido, sosteniendo su brazo y gritando “</w:t>
      </w:r>
      <w:r w:rsidR="00741501">
        <w:rPr>
          <w:rFonts w:eastAsiaTheme="minorHAnsi" w:cstheme="minorBidi"/>
          <w:sz w:val="20"/>
          <w:szCs w:val="20"/>
          <w:lang w:eastAsia="en-US"/>
        </w:rPr>
        <w:t>m</w:t>
      </w:r>
      <w:r w:rsidR="001C5304" w:rsidRPr="0001748B">
        <w:rPr>
          <w:rFonts w:eastAsiaTheme="minorHAnsi" w:cstheme="minorBidi"/>
          <w:sz w:val="20"/>
          <w:szCs w:val="20"/>
          <w:lang w:eastAsia="en-US"/>
        </w:rPr>
        <w:t>e dio, me dio”</w:t>
      </w:r>
      <w:r w:rsidR="00E268C3" w:rsidRPr="0001748B">
        <w:rPr>
          <w:rFonts w:eastAsiaTheme="minorHAnsi" w:cstheme="minorBidi"/>
          <w:sz w:val="20"/>
          <w:szCs w:val="20"/>
          <w:vertAlign w:val="superscript"/>
          <w:lang w:eastAsia="en-US"/>
        </w:rPr>
        <w:footnoteReference w:id="51"/>
      </w:r>
      <w:r w:rsidR="001C5304" w:rsidRPr="0001748B">
        <w:rPr>
          <w:rFonts w:eastAsiaTheme="minorHAnsi" w:cstheme="minorBidi"/>
          <w:sz w:val="20"/>
          <w:szCs w:val="20"/>
          <w:lang w:eastAsia="en-US"/>
        </w:rPr>
        <w:t xml:space="preserve">. Asimismo, conectaron dicha versión de lo ocurrido con dos </w:t>
      </w:r>
      <w:r w:rsidR="008A3CCF" w:rsidRPr="0001748B">
        <w:rPr>
          <w:rFonts w:eastAsiaTheme="minorHAnsi" w:cstheme="minorBidi"/>
          <w:sz w:val="20"/>
          <w:szCs w:val="20"/>
          <w:lang w:eastAsia="en-US"/>
        </w:rPr>
        <w:lastRenderedPageBreak/>
        <w:t>posibles</w:t>
      </w:r>
      <w:r w:rsidR="001C5304" w:rsidRPr="0001748B">
        <w:rPr>
          <w:rFonts w:eastAsiaTheme="minorHAnsi" w:cstheme="minorBidi"/>
          <w:sz w:val="20"/>
          <w:szCs w:val="20"/>
          <w:lang w:eastAsia="en-US"/>
        </w:rPr>
        <w:t xml:space="preserve"> hipótesis o móviles: la primera, vincula el hecho a que el señor Ortiz Hernández se encontraba manteniendo una relación amorosa con la esposa del capitán a cargo de la supervisión de la práctica</w:t>
      </w:r>
      <w:r w:rsidR="001C5304" w:rsidRPr="0001748B">
        <w:rPr>
          <w:rFonts w:eastAsiaTheme="minorHAnsi" w:cstheme="minorBidi"/>
          <w:sz w:val="20"/>
          <w:szCs w:val="20"/>
          <w:vertAlign w:val="superscript"/>
          <w:lang w:eastAsia="en-US"/>
        </w:rPr>
        <w:footnoteReference w:id="52"/>
      </w:r>
      <w:r w:rsidR="001C5304" w:rsidRPr="0001748B">
        <w:rPr>
          <w:rFonts w:eastAsiaTheme="minorHAnsi" w:cstheme="minorBidi"/>
          <w:sz w:val="20"/>
          <w:szCs w:val="20"/>
          <w:lang w:eastAsia="en-US"/>
        </w:rPr>
        <w:t xml:space="preserve">; y la segunda, a que </w:t>
      </w:r>
      <w:r w:rsidR="00B07FA9">
        <w:rPr>
          <w:rFonts w:eastAsiaTheme="minorHAnsi" w:cstheme="minorBidi"/>
          <w:sz w:val="20"/>
          <w:szCs w:val="20"/>
          <w:lang w:eastAsia="en-US"/>
        </w:rPr>
        <w:t xml:space="preserve">el señor Ortiz Hernández </w:t>
      </w:r>
      <w:r w:rsidR="001C5304" w:rsidRPr="0001748B">
        <w:rPr>
          <w:rFonts w:eastAsiaTheme="minorHAnsi" w:cstheme="minorBidi"/>
          <w:sz w:val="20"/>
          <w:szCs w:val="20"/>
          <w:lang w:eastAsia="en-US"/>
        </w:rPr>
        <w:t>estaba investigando, conjuntamente con otros alumnos, la muerte de un compañero ocurrida un año atrás en la misma escuela</w:t>
      </w:r>
      <w:r w:rsidR="001C5304" w:rsidRPr="0001748B">
        <w:rPr>
          <w:rFonts w:eastAsiaTheme="minorHAnsi" w:cstheme="minorBidi"/>
          <w:sz w:val="20"/>
          <w:szCs w:val="20"/>
          <w:vertAlign w:val="superscript"/>
          <w:lang w:eastAsia="en-US"/>
        </w:rPr>
        <w:footnoteReference w:id="53"/>
      </w:r>
      <w:r w:rsidR="001C5304" w:rsidRPr="0001748B">
        <w:rPr>
          <w:rFonts w:eastAsiaTheme="minorHAnsi" w:cstheme="minorBidi"/>
          <w:sz w:val="20"/>
          <w:szCs w:val="20"/>
          <w:lang w:eastAsia="en-US"/>
        </w:rPr>
        <w:t>.</w:t>
      </w:r>
    </w:p>
    <w:p w:rsidR="001C5304" w:rsidRPr="0001748B" w:rsidRDefault="001C5304" w:rsidP="001C5304">
      <w:pPr>
        <w:widowControl/>
        <w:adjustRightInd/>
        <w:spacing w:line="240" w:lineRule="auto"/>
        <w:textAlignment w:val="auto"/>
        <w:rPr>
          <w:rFonts w:eastAsiaTheme="minorHAnsi" w:cstheme="minorBidi"/>
          <w:sz w:val="20"/>
          <w:szCs w:val="20"/>
          <w:highlight w:val="yellow"/>
          <w:lang w:eastAsia="en-US"/>
        </w:rPr>
      </w:pPr>
    </w:p>
    <w:p w:rsidR="001C5304" w:rsidRPr="0001748B" w:rsidRDefault="001C5304" w:rsidP="0086619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Asimismo, cabe destacar en relación con las circunstancia</w:t>
      </w:r>
      <w:r w:rsidR="005F0371" w:rsidRPr="0001748B">
        <w:rPr>
          <w:rFonts w:eastAsiaTheme="minorHAnsi" w:cstheme="minorBidi"/>
          <w:sz w:val="20"/>
          <w:szCs w:val="20"/>
          <w:lang w:eastAsia="en-US"/>
        </w:rPr>
        <w:t>s</w:t>
      </w:r>
      <w:r w:rsidRPr="0001748B">
        <w:rPr>
          <w:rFonts w:eastAsiaTheme="minorHAnsi" w:cstheme="minorBidi"/>
          <w:sz w:val="20"/>
          <w:szCs w:val="20"/>
          <w:lang w:eastAsia="en-US"/>
        </w:rPr>
        <w:t xml:space="preserve"> que rodearon al hecho, que algunas versiones periodísticas afirmaron, con base en declaraciones del personal policial interviniente en el hecho, que se </w:t>
      </w:r>
      <w:r w:rsidR="002120D8" w:rsidRPr="0001748B">
        <w:rPr>
          <w:rFonts w:eastAsiaTheme="minorHAnsi" w:cstheme="minorBidi"/>
          <w:sz w:val="20"/>
          <w:szCs w:val="20"/>
          <w:lang w:eastAsia="en-US"/>
        </w:rPr>
        <w:t xml:space="preserve">habría </w:t>
      </w:r>
      <w:r w:rsidRPr="0001748B">
        <w:rPr>
          <w:rFonts w:eastAsiaTheme="minorHAnsi" w:cstheme="minorBidi"/>
          <w:sz w:val="20"/>
          <w:szCs w:val="20"/>
          <w:lang w:eastAsia="en-US"/>
        </w:rPr>
        <w:t>trat</w:t>
      </w:r>
      <w:r w:rsidR="002120D8" w:rsidRPr="0001748B">
        <w:rPr>
          <w:rFonts w:eastAsiaTheme="minorHAnsi" w:cstheme="minorBidi"/>
          <w:sz w:val="20"/>
          <w:szCs w:val="20"/>
          <w:lang w:eastAsia="en-US"/>
        </w:rPr>
        <w:t>ado</w:t>
      </w:r>
      <w:r w:rsidRPr="0001748B">
        <w:rPr>
          <w:rFonts w:eastAsiaTheme="minorHAnsi" w:cstheme="minorBidi"/>
          <w:sz w:val="20"/>
          <w:szCs w:val="20"/>
          <w:lang w:eastAsia="en-US"/>
        </w:rPr>
        <w:t xml:space="preserve"> de un suicidio</w:t>
      </w:r>
      <w:r w:rsidRPr="0001748B">
        <w:rPr>
          <w:rFonts w:eastAsiaTheme="minorHAnsi" w:cstheme="minorBidi"/>
          <w:sz w:val="20"/>
          <w:szCs w:val="20"/>
          <w:vertAlign w:val="superscript"/>
          <w:lang w:eastAsia="en-US"/>
        </w:rPr>
        <w:footnoteReference w:id="54"/>
      </w:r>
      <w:r w:rsidRPr="0001748B">
        <w:rPr>
          <w:rFonts w:eastAsiaTheme="minorHAnsi" w:cstheme="minorBidi"/>
          <w:sz w:val="20"/>
          <w:szCs w:val="20"/>
          <w:lang w:eastAsia="en-US"/>
        </w:rPr>
        <w:t xml:space="preserve">, mientras que otras refirieron que </w:t>
      </w:r>
      <w:r w:rsidR="002120D8" w:rsidRPr="0001748B">
        <w:rPr>
          <w:rFonts w:eastAsiaTheme="minorHAnsi" w:cstheme="minorBidi"/>
          <w:sz w:val="20"/>
          <w:szCs w:val="20"/>
          <w:lang w:eastAsia="en-US"/>
        </w:rPr>
        <w:t>habría sido</w:t>
      </w:r>
      <w:r w:rsidRPr="0001748B">
        <w:rPr>
          <w:rFonts w:eastAsiaTheme="minorHAnsi" w:cstheme="minorBidi"/>
          <w:sz w:val="20"/>
          <w:szCs w:val="20"/>
          <w:lang w:eastAsia="en-US"/>
        </w:rPr>
        <w:t xml:space="preserve"> producto de una maniobra accidental de un compañero del señor Ortiz Hernández</w:t>
      </w:r>
      <w:r w:rsidRPr="0001748B">
        <w:rPr>
          <w:rFonts w:eastAsiaTheme="minorHAnsi" w:cstheme="minorBidi"/>
          <w:sz w:val="20"/>
          <w:szCs w:val="20"/>
          <w:vertAlign w:val="superscript"/>
          <w:lang w:eastAsia="en-US"/>
        </w:rPr>
        <w:footnoteReference w:id="55"/>
      </w:r>
      <w:r w:rsidRPr="0001748B">
        <w:rPr>
          <w:rFonts w:eastAsiaTheme="minorHAnsi" w:cstheme="minorBidi"/>
          <w:sz w:val="20"/>
          <w:szCs w:val="20"/>
          <w:lang w:eastAsia="en-US"/>
        </w:rPr>
        <w:t>.</w:t>
      </w:r>
    </w:p>
    <w:p w:rsidR="00935591" w:rsidRPr="0001748B" w:rsidRDefault="00935591"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C73FBC">
      <w:pPr>
        <w:pStyle w:val="ListParagraph"/>
        <w:keepNext/>
        <w:keepLines/>
        <w:widowControl/>
        <w:numPr>
          <w:ilvl w:val="0"/>
          <w:numId w:val="8"/>
        </w:numPr>
        <w:autoSpaceDE w:val="0"/>
        <w:autoSpaceDN w:val="0"/>
        <w:spacing w:line="240" w:lineRule="auto"/>
        <w:ind w:left="1134" w:hanging="567"/>
        <w:textAlignment w:val="auto"/>
        <w:outlineLvl w:val="1"/>
        <w:rPr>
          <w:rFonts w:eastAsia="Batang" w:cs="Arial"/>
          <w:b/>
          <w:i/>
          <w:sz w:val="20"/>
          <w:lang w:eastAsia="en-US"/>
        </w:rPr>
      </w:pPr>
      <w:bookmarkStart w:id="79" w:name="_Toc495658665"/>
      <w:r w:rsidRPr="0001748B">
        <w:rPr>
          <w:rFonts w:eastAsia="Batang" w:cs="Arial"/>
          <w:b/>
          <w:i/>
          <w:sz w:val="20"/>
          <w:lang w:eastAsia="en-US"/>
        </w:rPr>
        <w:t>El traslado, la asistencia médica y la autopsia</w:t>
      </w:r>
      <w:bookmarkEnd w:id="79"/>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E62E3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Luego de resultar herido, Johan Alexis </w:t>
      </w:r>
      <w:r w:rsidR="00A64A1E">
        <w:rPr>
          <w:rFonts w:eastAsiaTheme="minorHAnsi" w:cstheme="minorBidi"/>
          <w:sz w:val="20"/>
          <w:szCs w:val="20"/>
          <w:lang w:eastAsia="en-US"/>
        </w:rPr>
        <w:t xml:space="preserve">Ortiz </w:t>
      </w:r>
      <w:r w:rsidR="00A64A1E">
        <w:rPr>
          <w:rFonts w:eastAsia="Batang"/>
          <w:sz w:val="20"/>
          <w:lang w:eastAsia="en-US"/>
        </w:rPr>
        <w:t>Hernández</w:t>
      </w:r>
      <w:r w:rsidR="00A64A1E" w:rsidRPr="0001748B">
        <w:rPr>
          <w:rFonts w:eastAsiaTheme="minorHAnsi" w:cstheme="minorBidi"/>
          <w:sz w:val="20"/>
          <w:szCs w:val="20"/>
          <w:lang w:eastAsia="en-US"/>
        </w:rPr>
        <w:t xml:space="preserve"> </w:t>
      </w:r>
      <w:r w:rsidRPr="0001748B">
        <w:rPr>
          <w:rFonts w:eastAsiaTheme="minorHAnsi" w:cstheme="minorBidi"/>
          <w:sz w:val="20"/>
          <w:szCs w:val="20"/>
          <w:lang w:eastAsia="en-US"/>
        </w:rPr>
        <w:t xml:space="preserve">fue auxiliado en el campo de ejercicios por el propio instructor </w:t>
      </w:r>
      <w:r w:rsidR="006A5F54" w:rsidRPr="0001748B">
        <w:rPr>
          <w:rFonts w:eastAsiaTheme="minorHAnsi" w:cstheme="minorBidi"/>
          <w:sz w:val="20"/>
          <w:szCs w:val="20"/>
          <w:lang w:eastAsia="en-US"/>
        </w:rPr>
        <w:t xml:space="preserve">encargado de accionar la </w:t>
      </w:r>
      <w:r w:rsidR="00822722">
        <w:rPr>
          <w:rFonts w:eastAsiaTheme="minorHAnsi" w:cstheme="minorBidi"/>
          <w:sz w:val="20"/>
          <w:szCs w:val="20"/>
          <w:lang w:eastAsia="en-US"/>
        </w:rPr>
        <w:t xml:space="preserve">ametralladora </w:t>
      </w:r>
      <w:r w:rsidR="006A5F54" w:rsidRPr="0001748B">
        <w:rPr>
          <w:rFonts w:eastAsiaTheme="minorHAnsi" w:cstheme="minorBidi"/>
          <w:sz w:val="20"/>
          <w:szCs w:val="20"/>
          <w:lang w:eastAsia="en-US"/>
        </w:rPr>
        <w:t>AFAG</w:t>
      </w:r>
      <w:r w:rsidR="006F07A8" w:rsidRPr="0001748B">
        <w:rPr>
          <w:rFonts w:eastAsiaTheme="minorHAnsi" w:cstheme="minorBidi"/>
          <w:sz w:val="20"/>
          <w:szCs w:val="20"/>
          <w:lang w:eastAsia="en-US"/>
        </w:rPr>
        <w:t>, quien lo trasladó hasta el puesto de primeros auxilios</w:t>
      </w:r>
      <w:r w:rsidR="00761DE7" w:rsidRPr="0001748B">
        <w:rPr>
          <w:rStyle w:val="FootnoteReference"/>
          <w:rFonts w:eastAsiaTheme="minorHAnsi" w:cstheme="minorBidi"/>
          <w:sz w:val="20"/>
          <w:szCs w:val="20"/>
          <w:lang w:eastAsia="en-US"/>
        </w:rPr>
        <w:footnoteReference w:id="56"/>
      </w:r>
      <w:r w:rsidR="00312089" w:rsidRPr="0001748B">
        <w:rPr>
          <w:rFonts w:eastAsiaTheme="minorHAnsi" w:cstheme="minorBidi"/>
          <w:sz w:val="20"/>
          <w:szCs w:val="20"/>
          <w:lang w:eastAsia="en-US"/>
        </w:rPr>
        <w:t xml:space="preserve">. </w:t>
      </w:r>
      <w:r w:rsidR="006F07A8" w:rsidRPr="0001748B">
        <w:rPr>
          <w:rFonts w:eastAsiaTheme="minorHAnsi" w:cstheme="minorBidi"/>
          <w:sz w:val="20"/>
          <w:szCs w:val="20"/>
          <w:lang w:eastAsia="en-US"/>
        </w:rPr>
        <w:t>Allí</w:t>
      </w:r>
      <w:r w:rsidR="00312089" w:rsidRPr="0001748B">
        <w:rPr>
          <w:rFonts w:eastAsiaTheme="minorHAnsi" w:cstheme="minorBidi"/>
          <w:sz w:val="20"/>
          <w:szCs w:val="20"/>
          <w:lang w:eastAsia="en-US"/>
        </w:rPr>
        <w:t xml:space="preserve">, </w:t>
      </w:r>
      <w:r w:rsidR="00BC28D5" w:rsidRPr="0001748B">
        <w:rPr>
          <w:rFonts w:eastAsiaTheme="minorHAnsi" w:cstheme="minorBidi"/>
          <w:sz w:val="20"/>
          <w:szCs w:val="20"/>
          <w:lang w:eastAsia="en-US"/>
        </w:rPr>
        <w:t>fue</w:t>
      </w:r>
      <w:r w:rsidR="00312089" w:rsidRPr="00125C44">
        <w:rPr>
          <w:rFonts w:eastAsiaTheme="minorHAnsi" w:cstheme="minorBidi"/>
          <w:sz w:val="20"/>
          <w:szCs w:val="20"/>
          <w:lang w:eastAsia="en-US"/>
        </w:rPr>
        <w:t xml:space="preserve"> asistido por</w:t>
      </w:r>
      <w:r w:rsidR="00312089" w:rsidRPr="0001748B">
        <w:rPr>
          <w:rFonts w:eastAsiaTheme="minorHAnsi" w:cstheme="minorBidi"/>
          <w:sz w:val="20"/>
          <w:szCs w:val="20"/>
          <w:lang w:eastAsia="en-US"/>
        </w:rPr>
        <w:t xml:space="preserve"> </w:t>
      </w:r>
      <w:r w:rsidR="00837AB9" w:rsidRPr="0001748B">
        <w:rPr>
          <w:rFonts w:eastAsiaTheme="minorHAnsi" w:cstheme="minorBidi"/>
          <w:sz w:val="20"/>
          <w:szCs w:val="20"/>
          <w:lang w:eastAsia="en-US"/>
        </w:rPr>
        <w:t>el</w:t>
      </w:r>
      <w:r w:rsidRPr="0001748B">
        <w:rPr>
          <w:rFonts w:eastAsiaTheme="minorHAnsi" w:cstheme="minorBidi"/>
          <w:sz w:val="20"/>
          <w:szCs w:val="20"/>
          <w:lang w:eastAsia="en-US"/>
        </w:rPr>
        <w:t xml:space="preserve"> enfermero de la ESGUARNAC-CORDERO</w:t>
      </w:r>
      <w:r w:rsidR="00B732EC" w:rsidRPr="0001748B">
        <w:rPr>
          <w:rFonts w:eastAsiaTheme="minorHAnsi" w:cstheme="minorBidi"/>
          <w:sz w:val="20"/>
          <w:szCs w:val="20"/>
          <w:lang w:eastAsia="en-US"/>
        </w:rPr>
        <w:t xml:space="preserve">, </w:t>
      </w:r>
      <w:r w:rsidR="006C7235" w:rsidRPr="0001748B">
        <w:rPr>
          <w:rFonts w:eastAsiaTheme="minorHAnsi" w:cstheme="minorBidi"/>
          <w:sz w:val="20"/>
          <w:szCs w:val="20"/>
          <w:lang w:eastAsia="en-US"/>
        </w:rPr>
        <w:t>con el fin de</w:t>
      </w:r>
      <w:r w:rsidR="006F07A8" w:rsidRPr="0001748B">
        <w:rPr>
          <w:rFonts w:eastAsiaTheme="minorHAnsi" w:cstheme="minorBidi"/>
          <w:sz w:val="20"/>
          <w:szCs w:val="20"/>
          <w:lang w:eastAsia="en-US"/>
        </w:rPr>
        <w:t xml:space="preserve"> parar la hemorragia externa</w:t>
      </w:r>
      <w:r w:rsidRPr="0001748B">
        <w:rPr>
          <w:rFonts w:eastAsiaTheme="minorHAnsi" w:cstheme="minorBidi"/>
          <w:sz w:val="20"/>
          <w:szCs w:val="20"/>
          <w:vertAlign w:val="superscript"/>
          <w:lang w:eastAsia="en-US"/>
        </w:rPr>
        <w:footnoteReference w:id="57"/>
      </w:r>
      <w:r w:rsidR="00837AB9" w:rsidRPr="0001748B">
        <w:rPr>
          <w:rFonts w:eastAsiaTheme="minorHAnsi" w:cstheme="minorBidi"/>
          <w:sz w:val="20"/>
          <w:szCs w:val="20"/>
          <w:lang w:eastAsia="en-US"/>
        </w:rPr>
        <w:t xml:space="preserve">. </w:t>
      </w:r>
      <w:r w:rsidR="00A43051" w:rsidRPr="00216114">
        <w:rPr>
          <w:rFonts w:eastAsiaTheme="minorHAnsi" w:cstheme="minorBidi"/>
          <w:sz w:val="20"/>
          <w:szCs w:val="20"/>
          <w:lang w:eastAsia="en-US"/>
        </w:rPr>
        <w:t>S</w:t>
      </w:r>
      <w:r w:rsidR="001E7A3D" w:rsidRPr="00216114">
        <w:rPr>
          <w:rFonts w:eastAsiaTheme="minorHAnsi" w:cs="Arial"/>
          <w:sz w:val="20"/>
          <w:szCs w:val="20"/>
          <w:lang w:eastAsia="en-US"/>
        </w:rPr>
        <w:t>egún</w:t>
      </w:r>
      <w:r w:rsidR="00A43051" w:rsidRPr="00216114">
        <w:rPr>
          <w:rFonts w:eastAsiaTheme="minorHAnsi" w:cs="Arial"/>
          <w:sz w:val="20"/>
          <w:szCs w:val="20"/>
          <w:lang w:eastAsia="en-US"/>
        </w:rPr>
        <w:t xml:space="preserve"> la perita</w:t>
      </w:r>
      <w:r w:rsidR="001E7A3D" w:rsidRPr="00216114">
        <w:rPr>
          <w:rFonts w:eastAsiaTheme="minorHAnsi" w:cs="Arial"/>
          <w:sz w:val="20"/>
          <w:szCs w:val="20"/>
          <w:lang w:eastAsia="en-US"/>
        </w:rPr>
        <w:t xml:space="preserve"> Rincón Bracho, </w:t>
      </w:r>
      <w:r w:rsidR="00E62E38" w:rsidRPr="00216114">
        <w:rPr>
          <w:rFonts w:eastAsiaTheme="minorHAnsi" w:cs="Arial"/>
          <w:sz w:val="20"/>
          <w:szCs w:val="20"/>
          <w:lang w:eastAsia="en-US"/>
        </w:rPr>
        <w:t>el cuerpo de Johan Alexis no presentaba signos o marcas que indicaran que se le proporcionó atención médica de emergencia durante su traslado o antes de su fallecimiento</w:t>
      </w:r>
      <w:r w:rsidR="00E62E38" w:rsidRPr="00216114">
        <w:rPr>
          <w:rFonts w:eastAsiaTheme="minorHAnsi" w:cs="Arial"/>
          <w:sz w:val="20"/>
          <w:szCs w:val="20"/>
          <w:vertAlign w:val="superscript"/>
          <w:lang w:eastAsia="en-US"/>
        </w:rPr>
        <w:footnoteReference w:id="58"/>
      </w:r>
      <w:r w:rsidR="00A43051" w:rsidRPr="00216114">
        <w:rPr>
          <w:rFonts w:eastAsiaTheme="minorHAnsi" w:cs="Arial"/>
          <w:sz w:val="20"/>
          <w:szCs w:val="20"/>
          <w:lang w:eastAsia="en-US"/>
        </w:rPr>
        <w:t>. Agregó que</w:t>
      </w:r>
      <w:r w:rsidR="00E62E38" w:rsidRPr="00216114">
        <w:rPr>
          <w:rFonts w:eastAsiaTheme="minorHAnsi" w:cs="Arial"/>
          <w:sz w:val="20"/>
          <w:szCs w:val="20"/>
          <w:lang w:eastAsia="en-US"/>
        </w:rPr>
        <w:t xml:space="preserve"> las heridas serían </w:t>
      </w:r>
      <w:r w:rsidR="00E62E38" w:rsidRPr="00216114">
        <w:rPr>
          <w:rFonts w:eastAsiaTheme="minorHAnsi" w:cs="Arial"/>
          <w:sz w:val="20"/>
          <w:szCs w:val="20"/>
          <w:lang w:eastAsia="en-US"/>
        </w:rPr>
        <w:lastRenderedPageBreak/>
        <w:t>solucionables</w:t>
      </w:r>
      <w:r w:rsidR="00A43051" w:rsidRPr="00216114">
        <w:rPr>
          <w:rFonts w:eastAsiaTheme="minorHAnsi" w:cs="Arial"/>
          <w:sz w:val="20"/>
          <w:szCs w:val="20"/>
          <w:lang w:eastAsia="en-US"/>
        </w:rPr>
        <w:t>. Por su parte, la</w:t>
      </w:r>
      <w:r w:rsidR="00E62E38" w:rsidRPr="00216114">
        <w:rPr>
          <w:rFonts w:eastAsiaTheme="minorHAnsi" w:cs="Arial"/>
          <w:sz w:val="20"/>
          <w:szCs w:val="20"/>
          <w:lang w:eastAsia="en-US"/>
        </w:rPr>
        <w:t xml:space="preserve"> </w:t>
      </w:r>
      <w:r w:rsidR="00B732EC" w:rsidRPr="00216114">
        <w:rPr>
          <w:rFonts w:eastAsiaTheme="minorHAnsi" w:cs="Arial"/>
          <w:sz w:val="20"/>
          <w:szCs w:val="20"/>
          <w:lang w:eastAsia="en-US"/>
        </w:rPr>
        <w:t xml:space="preserve">médica tratante </w:t>
      </w:r>
      <w:r w:rsidR="00A43051" w:rsidRPr="00216114">
        <w:rPr>
          <w:rFonts w:eastAsiaTheme="minorHAnsi" w:cs="Arial"/>
          <w:sz w:val="20"/>
          <w:szCs w:val="20"/>
          <w:lang w:eastAsia="en-US"/>
        </w:rPr>
        <w:t>sostuvo</w:t>
      </w:r>
      <w:r w:rsidR="00E62E38" w:rsidRPr="00216114">
        <w:rPr>
          <w:rFonts w:eastAsiaTheme="minorHAnsi" w:cs="Arial"/>
          <w:sz w:val="20"/>
          <w:szCs w:val="20"/>
          <w:lang w:eastAsia="en-US"/>
        </w:rPr>
        <w:t xml:space="preserve"> que los primeros auxilios </w:t>
      </w:r>
      <w:r w:rsidR="00216114" w:rsidRPr="00216114">
        <w:rPr>
          <w:rFonts w:eastAsiaTheme="minorHAnsi" w:cs="Arial"/>
          <w:sz w:val="20"/>
          <w:szCs w:val="20"/>
          <w:lang w:eastAsia="en-US"/>
        </w:rPr>
        <w:t>fueron adecuados</w:t>
      </w:r>
      <w:r w:rsidR="009E2AF9">
        <w:rPr>
          <w:rStyle w:val="FootnoteReference"/>
          <w:rFonts w:eastAsiaTheme="minorHAnsi" w:cs="Arial"/>
          <w:sz w:val="20"/>
          <w:szCs w:val="20"/>
          <w:lang w:eastAsia="en-US"/>
        </w:rPr>
        <w:footnoteReference w:id="59"/>
      </w:r>
      <w:r w:rsidR="00B732EC" w:rsidRPr="00216114">
        <w:rPr>
          <w:rFonts w:eastAsiaTheme="minorHAnsi" w:cs="Arial"/>
          <w:sz w:val="20"/>
          <w:szCs w:val="20"/>
          <w:lang w:eastAsia="en-US"/>
        </w:rPr>
        <w:t>.</w:t>
      </w:r>
      <w:r w:rsidR="00E62E38" w:rsidRPr="00216114">
        <w:rPr>
          <w:rFonts w:eastAsiaTheme="minorHAnsi" w:cs="Arial"/>
          <w:sz w:val="20"/>
          <w:szCs w:val="20"/>
          <w:lang w:eastAsia="en-US"/>
        </w:rPr>
        <w:t xml:space="preserve"> La perita Bravo González </w:t>
      </w:r>
      <w:r w:rsidR="00A43051" w:rsidRPr="00216114">
        <w:rPr>
          <w:rFonts w:eastAsiaTheme="minorHAnsi" w:cs="Arial"/>
          <w:sz w:val="20"/>
          <w:szCs w:val="20"/>
          <w:lang w:eastAsia="en-US"/>
        </w:rPr>
        <w:t>manifestó</w:t>
      </w:r>
      <w:r w:rsidR="00E62E38" w:rsidRPr="00216114">
        <w:rPr>
          <w:rFonts w:eastAsiaTheme="minorHAnsi" w:cs="Arial"/>
          <w:sz w:val="20"/>
          <w:szCs w:val="20"/>
          <w:lang w:eastAsia="en-US"/>
        </w:rPr>
        <w:t xml:space="preserve"> que </w:t>
      </w:r>
      <w:r w:rsidR="009E2AF9">
        <w:rPr>
          <w:rFonts w:eastAsiaTheme="minorHAnsi" w:cs="Arial"/>
          <w:sz w:val="20"/>
          <w:szCs w:val="20"/>
          <w:lang w:eastAsia="en-US"/>
        </w:rPr>
        <w:t>“</w:t>
      </w:r>
      <w:r w:rsidR="00E62E38" w:rsidRPr="00216114">
        <w:rPr>
          <w:rFonts w:eastAsiaTheme="minorHAnsi" w:cs="Arial"/>
          <w:sz w:val="20"/>
          <w:szCs w:val="20"/>
          <w:lang w:eastAsia="en-US"/>
        </w:rPr>
        <w:t>no se describ</w:t>
      </w:r>
      <w:r w:rsidR="009E2AF9">
        <w:rPr>
          <w:rFonts w:eastAsiaTheme="minorHAnsi" w:cs="Arial"/>
          <w:sz w:val="20"/>
          <w:szCs w:val="20"/>
          <w:lang w:eastAsia="en-US"/>
        </w:rPr>
        <w:t>[</w:t>
      </w:r>
      <w:r w:rsidR="00A43051" w:rsidRPr="00216114">
        <w:rPr>
          <w:rFonts w:eastAsiaTheme="minorHAnsi" w:cs="Arial"/>
          <w:sz w:val="20"/>
          <w:szCs w:val="20"/>
          <w:lang w:eastAsia="en-US"/>
        </w:rPr>
        <w:t>iero</w:t>
      </w:r>
      <w:r w:rsidR="00E62E38" w:rsidRPr="00216114">
        <w:rPr>
          <w:rFonts w:eastAsiaTheme="minorHAnsi" w:cs="Arial"/>
          <w:sz w:val="20"/>
          <w:szCs w:val="20"/>
          <w:lang w:eastAsia="en-US"/>
        </w:rPr>
        <w:t>n</w:t>
      </w:r>
      <w:r w:rsidR="009E2AF9">
        <w:rPr>
          <w:rFonts w:eastAsiaTheme="minorHAnsi" w:cs="Arial"/>
          <w:sz w:val="20"/>
          <w:szCs w:val="20"/>
          <w:lang w:eastAsia="en-US"/>
        </w:rPr>
        <w:t>]</w:t>
      </w:r>
      <w:r w:rsidR="00E62E38" w:rsidRPr="00216114">
        <w:rPr>
          <w:rFonts w:eastAsiaTheme="minorHAnsi" w:cs="Arial"/>
          <w:sz w:val="20"/>
          <w:szCs w:val="20"/>
          <w:lang w:eastAsia="en-US"/>
        </w:rPr>
        <w:t xml:space="preserve"> en la autopsia huellas de puntura (punción) en sitios habituales o algún mecanismo de control de hemorragia</w:t>
      </w:r>
      <w:r w:rsidR="009E2AF9">
        <w:rPr>
          <w:rFonts w:eastAsiaTheme="minorHAnsi" w:cs="Arial"/>
          <w:sz w:val="20"/>
          <w:szCs w:val="20"/>
          <w:lang w:eastAsia="en-US"/>
        </w:rPr>
        <w:t>”</w:t>
      </w:r>
      <w:r w:rsidR="009E2AF9" w:rsidRPr="0001748B">
        <w:rPr>
          <w:rFonts w:eastAsiaTheme="minorHAnsi" w:cs="Arial"/>
          <w:sz w:val="20"/>
          <w:szCs w:val="20"/>
          <w:vertAlign w:val="superscript"/>
          <w:lang w:eastAsia="en-US"/>
        </w:rPr>
        <w:footnoteReference w:id="60"/>
      </w:r>
      <w:r w:rsidR="00A43051" w:rsidRPr="00216114">
        <w:rPr>
          <w:rFonts w:eastAsiaTheme="minorHAnsi" w:cs="Arial"/>
          <w:sz w:val="20"/>
          <w:szCs w:val="20"/>
          <w:lang w:eastAsia="en-US"/>
        </w:rPr>
        <w:t>.</w:t>
      </w:r>
      <w:r w:rsidR="00E62E38" w:rsidRPr="0001748B">
        <w:rPr>
          <w:rFonts w:eastAsiaTheme="minorHAnsi" w:cs="Arial"/>
          <w:sz w:val="16"/>
          <w:szCs w:val="16"/>
          <w:lang w:eastAsia="en-US"/>
        </w:rPr>
        <w:t xml:space="preserve"> </w:t>
      </w:r>
      <w:r w:rsidR="007D77C2">
        <w:rPr>
          <w:rFonts w:eastAsiaTheme="minorHAnsi" w:cstheme="minorBidi"/>
          <w:sz w:val="20"/>
          <w:szCs w:val="20"/>
          <w:lang w:eastAsia="en-US"/>
        </w:rPr>
        <w:t>Luego, f</w:t>
      </w:r>
      <w:r w:rsidRPr="0001748B">
        <w:rPr>
          <w:rFonts w:eastAsiaTheme="minorHAnsi" w:cstheme="minorBidi"/>
          <w:sz w:val="20"/>
          <w:szCs w:val="20"/>
          <w:lang w:eastAsia="en-US"/>
        </w:rPr>
        <w:t>ue trasladado al Hospital de San Rafael de El Piñal, en un vehículo militar, sin placas, marca Toyota</w:t>
      </w:r>
      <w:r w:rsidRPr="0001748B">
        <w:rPr>
          <w:rFonts w:eastAsiaTheme="minorHAnsi" w:cstheme="minorBidi"/>
          <w:sz w:val="20"/>
          <w:szCs w:val="20"/>
          <w:vertAlign w:val="superscript"/>
          <w:lang w:eastAsia="en-US"/>
        </w:rPr>
        <w:footnoteReference w:id="61"/>
      </w:r>
      <w:r w:rsidRPr="0001748B">
        <w:rPr>
          <w:rFonts w:eastAsiaTheme="minorHAnsi" w:cstheme="minorBidi"/>
          <w:sz w:val="20"/>
          <w:szCs w:val="20"/>
          <w:lang w:eastAsia="en-US"/>
        </w:rPr>
        <w:t xml:space="preserve">. Sin embargo, no existe certeza en relación con las personas que efectivamente acompañaron al señor Ortiz Hernández </w:t>
      </w:r>
      <w:r w:rsidR="00051A28" w:rsidRPr="0001748B">
        <w:rPr>
          <w:rFonts w:eastAsiaTheme="minorHAnsi" w:cstheme="minorBidi"/>
          <w:sz w:val="20"/>
          <w:szCs w:val="20"/>
          <w:lang w:eastAsia="en-US"/>
        </w:rPr>
        <w:t xml:space="preserve">en su traslado </w:t>
      </w:r>
      <w:r w:rsidRPr="0001748B">
        <w:rPr>
          <w:rFonts w:eastAsiaTheme="minorHAnsi" w:cstheme="minorBidi"/>
          <w:sz w:val="20"/>
          <w:szCs w:val="20"/>
          <w:lang w:eastAsia="en-US"/>
        </w:rPr>
        <w:t xml:space="preserve">al </w:t>
      </w:r>
      <w:r w:rsidR="006F07A8" w:rsidRPr="0001748B">
        <w:rPr>
          <w:rFonts w:eastAsiaTheme="minorHAnsi" w:cstheme="minorBidi"/>
          <w:sz w:val="20"/>
          <w:szCs w:val="20"/>
          <w:lang w:eastAsia="en-US"/>
        </w:rPr>
        <w:t xml:space="preserve">referido </w:t>
      </w:r>
      <w:r w:rsidRPr="0001748B">
        <w:rPr>
          <w:rFonts w:eastAsiaTheme="minorHAnsi" w:cstheme="minorBidi"/>
          <w:sz w:val="20"/>
          <w:szCs w:val="20"/>
          <w:lang w:eastAsia="en-US"/>
        </w:rPr>
        <w:t>nosocomio</w:t>
      </w:r>
      <w:r w:rsidR="006A5F54" w:rsidRPr="0001748B">
        <w:rPr>
          <w:rStyle w:val="FootnoteReference"/>
          <w:rFonts w:eastAsiaTheme="minorHAnsi" w:cstheme="minorBidi"/>
          <w:sz w:val="20"/>
          <w:szCs w:val="20"/>
          <w:lang w:eastAsia="en-US"/>
        </w:rPr>
        <w:footnoteReference w:id="62"/>
      </w:r>
      <w:r w:rsidRPr="0001748B">
        <w:rPr>
          <w:rFonts w:eastAsiaTheme="minorHAnsi" w:cstheme="minorBidi"/>
          <w:sz w:val="20"/>
          <w:szCs w:val="20"/>
          <w:lang w:eastAsia="en-US"/>
        </w:rPr>
        <w:t>.</w:t>
      </w:r>
    </w:p>
    <w:p w:rsidR="00FB5985" w:rsidRPr="0001748B" w:rsidRDefault="00FB5985" w:rsidP="00FB5985">
      <w:pPr>
        <w:tabs>
          <w:tab w:val="left" w:pos="567"/>
        </w:tabs>
        <w:spacing w:line="240" w:lineRule="auto"/>
        <w:rPr>
          <w:rFonts w:eastAsiaTheme="minorHAnsi" w:cstheme="minorBidi"/>
          <w:sz w:val="20"/>
          <w:szCs w:val="20"/>
          <w:lang w:eastAsia="en-US"/>
        </w:rPr>
      </w:pPr>
    </w:p>
    <w:p w:rsidR="001C5304" w:rsidRPr="0001748B" w:rsidRDefault="00503590" w:rsidP="001C5304">
      <w:pPr>
        <w:widowControl/>
        <w:numPr>
          <w:ilvl w:val="0"/>
          <w:numId w:val="1"/>
        </w:numPr>
        <w:tabs>
          <w:tab w:val="left" w:pos="567"/>
          <w:tab w:val="num" w:pos="5057"/>
        </w:tabs>
        <w:adjustRightInd/>
        <w:spacing w:line="240" w:lineRule="auto"/>
        <w:ind w:left="0" w:firstLine="0"/>
        <w:textAlignment w:val="auto"/>
        <w:rPr>
          <w:rFonts w:eastAsiaTheme="minorHAnsi" w:cstheme="minorBidi"/>
          <w:sz w:val="16"/>
          <w:szCs w:val="16"/>
          <w:lang w:eastAsia="en-US"/>
        </w:rPr>
      </w:pPr>
      <w:r w:rsidRPr="0001748B">
        <w:rPr>
          <w:rFonts w:eastAsiaTheme="minorHAnsi" w:cstheme="minorBidi"/>
          <w:sz w:val="20"/>
          <w:szCs w:val="20"/>
          <w:lang w:eastAsia="en-US"/>
        </w:rPr>
        <w:t>Según l</w:t>
      </w:r>
      <w:r w:rsidR="001C5304" w:rsidRPr="0001748B">
        <w:rPr>
          <w:rFonts w:eastAsiaTheme="minorHAnsi" w:cstheme="minorBidi"/>
          <w:sz w:val="20"/>
          <w:szCs w:val="20"/>
          <w:lang w:eastAsia="en-US"/>
        </w:rPr>
        <w:t xml:space="preserve">os informes </w:t>
      </w:r>
      <w:r w:rsidRPr="0001748B">
        <w:rPr>
          <w:rFonts w:eastAsiaTheme="minorHAnsi" w:cstheme="minorBidi"/>
          <w:sz w:val="20"/>
          <w:szCs w:val="20"/>
          <w:lang w:eastAsia="en-US"/>
        </w:rPr>
        <w:t>médicos,</w:t>
      </w:r>
      <w:r w:rsidR="001C5304" w:rsidRPr="0001748B">
        <w:rPr>
          <w:rFonts w:eastAsiaTheme="minorHAnsi" w:cstheme="minorBidi"/>
          <w:sz w:val="20"/>
          <w:szCs w:val="20"/>
          <w:lang w:eastAsia="en-US"/>
        </w:rPr>
        <w:t xml:space="preserve"> el señor Ortiz Hernández </w:t>
      </w:r>
      <w:r w:rsidRPr="0001748B">
        <w:rPr>
          <w:rFonts w:eastAsiaTheme="minorHAnsi" w:cstheme="minorBidi"/>
          <w:sz w:val="20"/>
          <w:szCs w:val="20"/>
          <w:lang w:eastAsia="en-US"/>
        </w:rPr>
        <w:t xml:space="preserve">presentaba el siguiente cuadro </w:t>
      </w:r>
      <w:r w:rsidR="001C5304" w:rsidRPr="0001748B">
        <w:rPr>
          <w:rFonts w:eastAsiaTheme="minorHAnsi" w:cstheme="minorBidi"/>
          <w:sz w:val="20"/>
          <w:szCs w:val="20"/>
          <w:lang w:eastAsia="en-US"/>
        </w:rPr>
        <w:t>al llegar al hospital</w:t>
      </w:r>
      <w:r w:rsidRPr="0001748B">
        <w:rPr>
          <w:rFonts w:eastAsiaTheme="minorHAnsi" w:cstheme="minorBidi"/>
          <w:sz w:val="20"/>
          <w:szCs w:val="20"/>
          <w:lang w:eastAsia="en-US"/>
        </w:rPr>
        <w:t>:</w:t>
      </w:r>
    </w:p>
    <w:p w:rsidR="00065E74" w:rsidRPr="008031E5" w:rsidRDefault="00065E74" w:rsidP="00065E74">
      <w:pPr>
        <w:widowControl/>
        <w:tabs>
          <w:tab w:val="left" w:pos="567"/>
        </w:tabs>
        <w:adjustRightInd/>
        <w:spacing w:line="240" w:lineRule="auto"/>
        <w:textAlignment w:val="auto"/>
        <w:rPr>
          <w:rFonts w:eastAsiaTheme="minorHAnsi" w:cstheme="minorBidi"/>
          <w:sz w:val="20"/>
          <w:szCs w:val="20"/>
          <w:lang w:eastAsia="en-US"/>
        </w:rPr>
      </w:pPr>
    </w:p>
    <w:p w:rsidR="001C5304" w:rsidRPr="0001748B" w:rsidRDefault="001C5304" w:rsidP="003653D6">
      <w:pPr>
        <w:widowControl/>
        <w:adjustRightInd/>
        <w:spacing w:line="240" w:lineRule="auto"/>
        <w:ind w:left="567" w:right="474"/>
        <w:textAlignment w:val="auto"/>
        <w:rPr>
          <w:rFonts w:eastAsiaTheme="minorHAnsi" w:cstheme="minorBidi"/>
          <w:sz w:val="16"/>
          <w:szCs w:val="16"/>
          <w:lang w:eastAsia="en-US"/>
        </w:rPr>
      </w:pPr>
      <w:r w:rsidRPr="00B849DF">
        <w:rPr>
          <w:rFonts w:eastAsiaTheme="minorHAnsi" w:cstheme="minorBidi"/>
          <w:sz w:val="16"/>
          <w:szCs w:val="16"/>
          <w:lang w:eastAsia="en-US"/>
        </w:rPr>
        <w:t xml:space="preserve">Al Examen físico, malas condiciones </w:t>
      </w:r>
      <w:r w:rsidR="00B849DF" w:rsidRPr="008031E5">
        <w:rPr>
          <w:rFonts w:eastAsiaTheme="minorHAnsi" w:cstheme="minorBidi"/>
          <w:sz w:val="16"/>
          <w:szCs w:val="16"/>
          <w:lang w:eastAsia="en-US"/>
        </w:rPr>
        <w:t>g</w:t>
      </w:r>
      <w:r w:rsidRPr="00B849DF">
        <w:rPr>
          <w:rFonts w:eastAsiaTheme="minorHAnsi" w:cstheme="minorBidi"/>
          <w:sz w:val="16"/>
          <w:szCs w:val="16"/>
          <w:lang w:eastAsia="en-US"/>
        </w:rPr>
        <w:t xml:space="preserve">enerales, pálido, sudoroso, </w:t>
      </w:r>
      <w:r w:rsidR="00B849DF" w:rsidRPr="008031E5">
        <w:rPr>
          <w:rFonts w:eastAsiaTheme="minorHAnsi" w:cstheme="minorBidi"/>
          <w:sz w:val="16"/>
          <w:szCs w:val="16"/>
          <w:lang w:eastAsia="en-US"/>
        </w:rPr>
        <w:t>[</w:t>
      </w:r>
      <w:r w:rsidRPr="00B849DF">
        <w:rPr>
          <w:rFonts w:eastAsiaTheme="minorHAnsi" w:cstheme="minorBidi"/>
          <w:sz w:val="16"/>
          <w:szCs w:val="16"/>
          <w:lang w:eastAsia="en-US"/>
        </w:rPr>
        <w:t>t</w:t>
      </w:r>
      <w:r w:rsidR="00B849DF" w:rsidRPr="008031E5">
        <w:rPr>
          <w:rFonts w:eastAsiaTheme="minorHAnsi" w:cstheme="minorBidi"/>
          <w:sz w:val="16"/>
          <w:szCs w:val="16"/>
          <w:lang w:eastAsia="en-US"/>
        </w:rPr>
        <w:t>]</w:t>
      </w:r>
      <w:r w:rsidRPr="00B849DF">
        <w:rPr>
          <w:rFonts w:eastAsiaTheme="minorHAnsi" w:cstheme="minorBidi"/>
          <w:sz w:val="16"/>
          <w:szCs w:val="16"/>
          <w:lang w:eastAsia="en-US"/>
        </w:rPr>
        <w:t>aquicárdico, somnoliento, intranquilo</w:t>
      </w:r>
      <w:r w:rsidR="00B849DF" w:rsidRPr="008031E5">
        <w:rPr>
          <w:rFonts w:eastAsiaTheme="minorHAnsi" w:cstheme="minorBidi"/>
          <w:sz w:val="16"/>
          <w:szCs w:val="16"/>
          <w:lang w:eastAsia="en-US"/>
        </w:rPr>
        <w:t>,</w:t>
      </w:r>
      <w:r w:rsidRPr="00B849DF">
        <w:rPr>
          <w:rFonts w:eastAsiaTheme="minorHAnsi" w:cstheme="minorBidi"/>
          <w:sz w:val="16"/>
          <w:szCs w:val="16"/>
          <w:lang w:eastAsia="en-US"/>
        </w:rPr>
        <w:t xml:space="preserve"> TA no auscultable, pulsos distales no palpables, llenado capilar lento, extremidades frías, herida por arma de fuego en hombro derecho con orificio de entrada a nivel de línea axilar anterior redondeado de </w:t>
      </w:r>
      <w:r w:rsidR="00B849DF" w:rsidRPr="008031E5">
        <w:rPr>
          <w:rFonts w:eastAsiaTheme="minorHAnsi" w:cstheme="minorBidi"/>
          <w:sz w:val="16"/>
          <w:szCs w:val="16"/>
          <w:lang w:eastAsia="en-US"/>
        </w:rPr>
        <w:t>± 1</w:t>
      </w:r>
      <w:r w:rsidRPr="00B849DF">
        <w:rPr>
          <w:rFonts w:eastAsiaTheme="minorHAnsi" w:cstheme="minorBidi"/>
          <w:sz w:val="16"/>
          <w:szCs w:val="16"/>
          <w:lang w:eastAsia="en-US"/>
        </w:rPr>
        <w:t>cm</w:t>
      </w:r>
      <w:r w:rsidR="00B849DF" w:rsidRPr="008031E5">
        <w:rPr>
          <w:rFonts w:eastAsiaTheme="minorHAnsi" w:cstheme="minorBidi"/>
          <w:sz w:val="16"/>
          <w:szCs w:val="16"/>
          <w:lang w:eastAsia="en-US"/>
        </w:rPr>
        <w:t>s</w:t>
      </w:r>
      <w:r w:rsidRPr="00B849DF">
        <w:rPr>
          <w:rFonts w:eastAsiaTheme="minorHAnsi" w:cstheme="minorBidi"/>
          <w:sz w:val="16"/>
          <w:szCs w:val="16"/>
          <w:lang w:eastAsia="en-US"/>
        </w:rPr>
        <w:t xml:space="preserve"> </w:t>
      </w:r>
      <w:r w:rsidR="00B849DF" w:rsidRPr="008031E5">
        <w:rPr>
          <w:rFonts w:eastAsiaTheme="minorHAnsi" w:cstheme="minorBidi"/>
          <w:sz w:val="16"/>
          <w:szCs w:val="16"/>
          <w:lang w:eastAsia="en-US"/>
        </w:rPr>
        <w:t>d</w:t>
      </w:r>
      <w:r w:rsidRPr="00B849DF">
        <w:rPr>
          <w:rFonts w:eastAsiaTheme="minorHAnsi" w:cstheme="minorBidi"/>
          <w:sz w:val="16"/>
          <w:szCs w:val="16"/>
          <w:lang w:eastAsia="en-US"/>
        </w:rPr>
        <w:t xml:space="preserve">e diámetro no sangrante y de salida en fosa supraclavicular de </w:t>
      </w:r>
      <w:r w:rsidR="00B849DF" w:rsidRPr="008031E5">
        <w:rPr>
          <w:rFonts w:eastAsiaTheme="minorHAnsi" w:cstheme="minorBidi"/>
          <w:sz w:val="16"/>
          <w:szCs w:val="16"/>
          <w:lang w:eastAsia="en-US"/>
        </w:rPr>
        <w:t xml:space="preserve">± </w:t>
      </w:r>
      <w:r w:rsidRPr="00B849DF">
        <w:rPr>
          <w:rFonts w:eastAsiaTheme="minorHAnsi" w:cstheme="minorBidi"/>
          <w:sz w:val="16"/>
          <w:szCs w:val="16"/>
          <w:lang w:eastAsia="en-US"/>
        </w:rPr>
        <w:t>3 cm</w:t>
      </w:r>
      <w:r w:rsidR="00B849DF" w:rsidRPr="008031E5">
        <w:rPr>
          <w:rFonts w:eastAsiaTheme="minorHAnsi" w:cstheme="minorBidi"/>
          <w:sz w:val="16"/>
          <w:szCs w:val="16"/>
          <w:lang w:eastAsia="en-US"/>
        </w:rPr>
        <w:t>s c</w:t>
      </w:r>
      <w:r w:rsidRPr="00B849DF">
        <w:rPr>
          <w:rFonts w:eastAsiaTheme="minorHAnsi" w:cstheme="minorBidi"/>
          <w:sz w:val="16"/>
          <w:szCs w:val="16"/>
          <w:lang w:eastAsia="en-US"/>
        </w:rPr>
        <w:t>on sangramiento activo que cede parcialmente con la compresión manual</w:t>
      </w:r>
      <w:r w:rsidRPr="00B849DF">
        <w:rPr>
          <w:rFonts w:eastAsiaTheme="minorHAnsi" w:cstheme="minorBidi"/>
          <w:sz w:val="16"/>
          <w:szCs w:val="16"/>
          <w:vertAlign w:val="superscript"/>
          <w:lang w:eastAsia="en-US"/>
        </w:rPr>
        <w:footnoteReference w:id="63"/>
      </w:r>
      <w:r w:rsidRPr="00B849DF">
        <w:rPr>
          <w:rFonts w:eastAsiaTheme="minorHAnsi" w:cstheme="minorBidi"/>
          <w:sz w:val="16"/>
          <w:szCs w:val="16"/>
          <w:lang w:eastAsia="en-US"/>
        </w:rPr>
        <w:t>.</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F6563E" w:rsidRPr="0001748B" w:rsidRDefault="00F6563E" w:rsidP="00F6563E">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En dicho nosocomio</w:t>
      </w:r>
      <w:r w:rsidR="00C509AC" w:rsidRPr="0001748B">
        <w:rPr>
          <w:rFonts w:eastAsiaTheme="minorHAnsi" w:cstheme="minorBidi"/>
          <w:sz w:val="20"/>
          <w:szCs w:val="20"/>
          <w:lang w:eastAsia="en-US"/>
        </w:rPr>
        <w:t xml:space="preserve"> fue atendido por la médica de guardia, las paramédicas y enfermeras presentes. Según las propias declaraciones de dicho personal, </w:t>
      </w:r>
      <w:r w:rsidR="00BC4D2F">
        <w:rPr>
          <w:rFonts w:eastAsiaTheme="minorHAnsi" w:cstheme="minorBidi"/>
          <w:sz w:val="20"/>
          <w:szCs w:val="20"/>
          <w:lang w:eastAsia="en-US"/>
        </w:rPr>
        <w:t xml:space="preserve">el señor Ortiz </w:t>
      </w:r>
      <w:r w:rsidR="00BC4D2F">
        <w:rPr>
          <w:rFonts w:eastAsia="Batang"/>
          <w:sz w:val="20"/>
          <w:lang w:eastAsia="en-US"/>
        </w:rPr>
        <w:t>Hernández</w:t>
      </w:r>
      <w:r w:rsidR="00C509AC" w:rsidRPr="0001748B">
        <w:rPr>
          <w:rFonts w:eastAsiaTheme="minorHAnsi" w:cstheme="minorBidi"/>
          <w:sz w:val="20"/>
          <w:szCs w:val="20"/>
          <w:lang w:eastAsia="en-US"/>
        </w:rPr>
        <w:t xml:space="preserve"> llegó con un apósito y un vendaje compresivo en la fosa supra-clavicular impregnado de sangre. En virtud del cuadro que presentaba, la médica tratante intentó localizar los vasos sangrantes, lo cual fue imposible por el sangramiento tan profuso, por lo que se mantuvo la compresión manual. Luego, procedió a colocar la vía periférica con “yelco catorce y la administración de ringer lactato a chorro”. </w:t>
      </w:r>
      <w:r w:rsidR="001356A4" w:rsidRPr="0001748B">
        <w:rPr>
          <w:rFonts w:eastAsiaTheme="minorHAnsi" w:cstheme="minorBidi"/>
          <w:sz w:val="20"/>
          <w:szCs w:val="20"/>
          <w:lang w:eastAsia="en-US"/>
        </w:rPr>
        <w:t xml:space="preserve">En ese marco, la médica solicitó </w:t>
      </w:r>
      <w:r w:rsidR="00F21658">
        <w:rPr>
          <w:rFonts w:eastAsiaTheme="minorHAnsi" w:cstheme="minorBidi"/>
          <w:sz w:val="20"/>
          <w:szCs w:val="20"/>
          <w:lang w:eastAsia="en-US"/>
        </w:rPr>
        <w:t xml:space="preserve">que </w:t>
      </w:r>
      <w:r w:rsidR="001356A4" w:rsidRPr="0001748B">
        <w:rPr>
          <w:rFonts w:eastAsiaTheme="minorHAnsi" w:cstheme="minorBidi"/>
          <w:sz w:val="20"/>
          <w:szCs w:val="20"/>
          <w:lang w:eastAsia="en-US"/>
        </w:rPr>
        <w:t xml:space="preserve">se comunicaran con una ambulancia o helicóptero </w:t>
      </w:r>
      <w:r w:rsidR="001356A4" w:rsidRPr="0001748B">
        <w:rPr>
          <w:rFonts w:eastAsiaTheme="minorHAnsi" w:cstheme="minorBidi"/>
          <w:sz w:val="20"/>
          <w:szCs w:val="20"/>
          <w:lang w:eastAsia="en-US"/>
        </w:rPr>
        <w:lastRenderedPageBreak/>
        <w:t xml:space="preserve">para trasladar al señor Ortiz </w:t>
      </w:r>
      <w:r w:rsidR="00F21658">
        <w:rPr>
          <w:rFonts w:eastAsiaTheme="minorHAnsi" w:cstheme="minorBidi"/>
          <w:sz w:val="20"/>
          <w:szCs w:val="20"/>
          <w:lang w:eastAsia="en-US"/>
        </w:rPr>
        <w:t xml:space="preserve">Hernández </w:t>
      </w:r>
      <w:r w:rsidR="001356A4" w:rsidRPr="0001748B">
        <w:rPr>
          <w:rFonts w:eastAsiaTheme="minorHAnsi" w:cstheme="minorBidi"/>
          <w:sz w:val="20"/>
          <w:szCs w:val="20"/>
          <w:lang w:eastAsia="en-US"/>
        </w:rPr>
        <w:t xml:space="preserve">a otro centro médico de mayor envergadura. </w:t>
      </w:r>
      <w:r w:rsidR="00C509AC" w:rsidRPr="0001748B">
        <w:rPr>
          <w:rFonts w:eastAsiaTheme="minorHAnsi" w:cstheme="minorBidi"/>
          <w:sz w:val="20"/>
          <w:szCs w:val="20"/>
          <w:lang w:eastAsia="en-US"/>
        </w:rPr>
        <w:t>Sin embargo, el paciente entró en paro cardio-respiratorio y</w:t>
      </w:r>
      <w:r w:rsidR="00212B46" w:rsidRPr="0001748B">
        <w:rPr>
          <w:rFonts w:eastAsiaTheme="minorHAnsi" w:cstheme="minorBidi"/>
          <w:sz w:val="20"/>
          <w:szCs w:val="20"/>
          <w:lang w:eastAsia="en-US"/>
        </w:rPr>
        <w:t>,</w:t>
      </w:r>
      <w:r w:rsidR="00C509AC" w:rsidRPr="0001748B">
        <w:rPr>
          <w:rFonts w:eastAsiaTheme="minorHAnsi" w:cstheme="minorBidi"/>
          <w:sz w:val="20"/>
          <w:szCs w:val="20"/>
          <w:lang w:eastAsia="en-US"/>
        </w:rPr>
        <w:t xml:space="preserve"> pese a que se le administró adrenalina, atropina y se realizaron maniobras de resucitación, Johan Alexis cayó en estado de shock hipovolémico y falleció</w:t>
      </w:r>
      <w:r w:rsidR="00C509AC" w:rsidRPr="0001748B">
        <w:rPr>
          <w:rFonts w:eastAsiaTheme="minorHAnsi" w:cstheme="minorBidi"/>
          <w:sz w:val="20"/>
          <w:szCs w:val="20"/>
          <w:vertAlign w:val="superscript"/>
          <w:lang w:eastAsia="en-US"/>
        </w:rPr>
        <w:footnoteReference w:id="64"/>
      </w:r>
      <w:r w:rsidR="00C509AC" w:rsidRPr="0001748B">
        <w:rPr>
          <w:rFonts w:eastAsiaTheme="minorHAnsi" w:cstheme="minorBidi"/>
          <w:sz w:val="20"/>
          <w:szCs w:val="20"/>
          <w:lang w:eastAsia="en-US"/>
        </w:rPr>
        <w:t>.</w:t>
      </w:r>
    </w:p>
    <w:p w:rsidR="00416CB0" w:rsidRPr="0001748B" w:rsidRDefault="00416CB0" w:rsidP="00416CB0">
      <w:pPr>
        <w:tabs>
          <w:tab w:val="left" w:pos="567"/>
        </w:tabs>
        <w:spacing w:line="240" w:lineRule="auto"/>
        <w:rPr>
          <w:rFonts w:eastAsiaTheme="minorHAnsi" w:cstheme="minorBidi"/>
          <w:sz w:val="20"/>
          <w:szCs w:val="20"/>
          <w:lang w:eastAsia="en-US"/>
        </w:rPr>
      </w:pPr>
    </w:p>
    <w:p w:rsidR="001C5304" w:rsidRPr="0001748B" w:rsidRDefault="001C5304" w:rsidP="0086619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Luego de su fallecimiento en el Hospital San Rafael de</w:t>
      </w:r>
      <w:r w:rsidR="00C509AC" w:rsidRPr="0001748B">
        <w:rPr>
          <w:rFonts w:eastAsiaTheme="minorHAnsi" w:cstheme="minorBidi"/>
          <w:sz w:val="20"/>
          <w:szCs w:val="20"/>
          <w:lang w:eastAsia="en-US"/>
        </w:rPr>
        <w:t xml:space="preserve"> E</w:t>
      </w:r>
      <w:r w:rsidRPr="0001748B">
        <w:rPr>
          <w:rFonts w:eastAsiaTheme="minorHAnsi" w:cstheme="minorBidi"/>
          <w:sz w:val="20"/>
          <w:szCs w:val="20"/>
          <w:lang w:eastAsia="en-US"/>
        </w:rPr>
        <w:t xml:space="preserve">l Piñal, el cuerpo del señor Ortiz Hernández fue trasladado por comisión de la Policía Técnica Judicial al Hospital Central de San Cristóbal. Según </w:t>
      </w:r>
      <w:r w:rsidR="009A2091" w:rsidRPr="0001748B">
        <w:rPr>
          <w:rFonts w:eastAsiaTheme="minorHAnsi" w:cstheme="minorBidi"/>
          <w:sz w:val="20"/>
          <w:szCs w:val="20"/>
          <w:lang w:eastAsia="en-US"/>
        </w:rPr>
        <w:t>el</w:t>
      </w:r>
      <w:r w:rsidRPr="0001748B">
        <w:rPr>
          <w:rFonts w:eastAsiaTheme="minorHAnsi" w:cstheme="minorBidi"/>
          <w:sz w:val="20"/>
          <w:szCs w:val="20"/>
          <w:lang w:eastAsia="en-US"/>
        </w:rPr>
        <w:t xml:space="preserve"> inspector del Cuerpo de Investigaciones Científicas Penales y Criminalísticas, se practicó el levantamiento del </w:t>
      </w:r>
      <w:r w:rsidR="008F5E95" w:rsidRPr="0001748B">
        <w:rPr>
          <w:rFonts w:eastAsiaTheme="minorHAnsi" w:cstheme="minorBidi"/>
          <w:sz w:val="20"/>
          <w:szCs w:val="20"/>
          <w:lang w:eastAsia="en-US"/>
        </w:rPr>
        <w:t>cadáver</w:t>
      </w:r>
      <w:r w:rsidRPr="0001748B">
        <w:rPr>
          <w:rFonts w:eastAsiaTheme="minorHAnsi" w:cstheme="minorBidi"/>
          <w:sz w:val="20"/>
          <w:szCs w:val="20"/>
          <w:lang w:eastAsia="en-US"/>
        </w:rPr>
        <w:t xml:space="preserve"> en la morgue de la Medicatura rural de la localidad de El Piñal a las 05.30 horas de la tarde del día 15 de febrero del año 1998</w:t>
      </w:r>
      <w:r w:rsidRPr="0001748B">
        <w:rPr>
          <w:rFonts w:eastAsiaTheme="minorHAnsi" w:cstheme="minorBidi"/>
          <w:sz w:val="20"/>
          <w:szCs w:val="20"/>
          <w:vertAlign w:val="superscript"/>
          <w:lang w:eastAsia="en-US"/>
        </w:rPr>
        <w:footnoteReference w:id="65"/>
      </w:r>
      <w:r w:rsidRPr="0001748B">
        <w:rPr>
          <w:rFonts w:eastAsiaTheme="minorHAnsi" w:cstheme="minorBidi"/>
          <w:sz w:val="20"/>
          <w:szCs w:val="20"/>
          <w:lang w:eastAsia="en-US"/>
        </w:rPr>
        <w:t>.</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866198">
      <w:pPr>
        <w:widowControl/>
        <w:numPr>
          <w:ilvl w:val="0"/>
          <w:numId w:val="1"/>
        </w:numPr>
        <w:tabs>
          <w:tab w:val="left" w:pos="567"/>
          <w:tab w:val="num" w:pos="5057"/>
        </w:tabs>
        <w:adjustRightInd/>
        <w:spacing w:line="240" w:lineRule="auto"/>
        <w:ind w:left="0" w:firstLine="0"/>
        <w:textAlignment w:val="auto"/>
        <w:rPr>
          <w:rFonts w:eastAsiaTheme="minorHAnsi" w:cstheme="minorBidi"/>
          <w:sz w:val="20"/>
          <w:szCs w:val="20"/>
          <w:lang w:eastAsia="en-US"/>
        </w:rPr>
      </w:pPr>
      <w:r w:rsidRPr="0001748B">
        <w:rPr>
          <w:rFonts w:eastAsiaTheme="minorHAnsi" w:cstheme="minorBidi"/>
          <w:sz w:val="20"/>
          <w:szCs w:val="20"/>
          <w:lang w:eastAsia="en-US"/>
        </w:rPr>
        <w:t xml:space="preserve">Una vez arribado a la Medicatura Forense de San Cristóbal, se practicó la autopsia a las </w:t>
      </w:r>
      <w:r w:rsidR="004154C1" w:rsidRPr="0001748B">
        <w:rPr>
          <w:rFonts w:eastAsiaTheme="minorHAnsi" w:cstheme="minorBidi"/>
          <w:sz w:val="20"/>
          <w:szCs w:val="20"/>
          <w:lang w:eastAsia="en-US"/>
        </w:rPr>
        <w:t>20:</w:t>
      </w:r>
      <w:r w:rsidRPr="0001748B">
        <w:rPr>
          <w:rFonts w:eastAsiaTheme="minorHAnsi" w:cstheme="minorBidi"/>
          <w:sz w:val="20"/>
          <w:szCs w:val="20"/>
          <w:lang w:eastAsia="en-US"/>
        </w:rPr>
        <w:t>05</w:t>
      </w:r>
      <w:r w:rsidR="004154C1" w:rsidRPr="0001748B">
        <w:rPr>
          <w:rFonts w:eastAsiaTheme="minorHAnsi" w:cstheme="minorBidi"/>
          <w:sz w:val="20"/>
          <w:szCs w:val="20"/>
          <w:lang w:eastAsia="en-US"/>
        </w:rPr>
        <w:t xml:space="preserve"> horas</w:t>
      </w:r>
      <w:r w:rsidRPr="0001748B">
        <w:rPr>
          <w:rFonts w:eastAsiaTheme="minorHAnsi" w:cstheme="minorBidi"/>
          <w:sz w:val="20"/>
          <w:szCs w:val="20"/>
          <w:lang w:eastAsia="en-US"/>
        </w:rPr>
        <w:t>. En ésta, la profesional interviniente, Dra. Ana Cecilia Rincón Bracho, constató que la muerte del señor Ortiz Hernández se produjo por un SHOCK HIPOVOLÉMICO, HEMORRAGIA INTERNA SECUNDARIA A HERIDA POR ARMA DE FUEGO DE CARÁCTER MORTAL.</w:t>
      </w:r>
      <w:r w:rsidR="008F5E95" w:rsidRPr="0001748B">
        <w:rPr>
          <w:rFonts w:eastAsiaTheme="minorHAnsi" w:cstheme="minorBidi"/>
          <w:sz w:val="20"/>
          <w:szCs w:val="20"/>
          <w:lang w:eastAsia="en-US"/>
        </w:rPr>
        <w:t xml:space="preserve"> </w:t>
      </w:r>
      <w:r w:rsidRPr="0001748B">
        <w:rPr>
          <w:rFonts w:eastAsiaTheme="minorHAnsi" w:cstheme="minorBidi"/>
          <w:sz w:val="20"/>
          <w:szCs w:val="20"/>
          <w:lang w:eastAsia="en-US"/>
        </w:rPr>
        <w:t>Al realizar su correspondiente informe, la forense destacó que el cuerpo presentaba:</w:t>
      </w:r>
    </w:p>
    <w:p w:rsidR="001C5304" w:rsidRPr="008031E5"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043AB6">
      <w:pPr>
        <w:widowControl/>
        <w:adjustRightInd/>
        <w:spacing w:line="240" w:lineRule="auto"/>
        <w:ind w:left="567" w:right="582"/>
        <w:textAlignment w:val="auto"/>
        <w:rPr>
          <w:rFonts w:eastAsiaTheme="minorHAnsi" w:cstheme="minorBidi"/>
          <w:sz w:val="16"/>
          <w:szCs w:val="16"/>
          <w:lang w:eastAsia="en-US"/>
        </w:rPr>
      </w:pPr>
      <w:r w:rsidRPr="0001748B">
        <w:rPr>
          <w:rFonts w:eastAsiaTheme="minorHAnsi" w:cstheme="minorBidi"/>
          <w:sz w:val="16"/>
          <w:szCs w:val="16"/>
          <w:lang w:eastAsia="en-US"/>
        </w:rPr>
        <w:t>1.- Herida perforante producida por disparo de arma de fuego con orificio de entrada redondeado de 2 x 1 cm en área clavicular media derecha con extenso hematoma de la zona de alrededor, sin tatuaje con halo excoriativo escaso que penetra al tórax con dirección de arriba hacia abajo en tórax anterior de delante hacia atrás penetrando a través del primer espacio intercostal hacia la cavidad torácica y provocando:</w:t>
      </w:r>
    </w:p>
    <w:p w:rsidR="001C5304" w:rsidRPr="0001748B" w:rsidRDefault="001C5304" w:rsidP="00043AB6">
      <w:pPr>
        <w:widowControl/>
        <w:adjustRightInd/>
        <w:spacing w:line="240" w:lineRule="auto"/>
        <w:ind w:left="567" w:right="582"/>
        <w:textAlignment w:val="auto"/>
        <w:rPr>
          <w:rFonts w:eastAsiaTheme="minorHAnsi" w:cstheme="minorBidi"/>
          <w:sz w:val="16"/>
          <w:szCs w:val="16"/>
          <w:lang w:eastAsia="en-US"/>
        </w:rPr>
      </w:pPr>
      <w:r w:rsidRPr="0001748B">
        <w:rPr>
          <w:rFonts w:eastAsiaTheme="minorHAnsi" w:cstheme="minorBidi"/>
          <w:sz w:val="16"/>
          <w:szCs w:val="16"/>
          <w:lang w:eastAsia="en-US"/>
        </w:rPr>
        <w:t>A) Perforación del lóbulo superior y medio pulmonar.</w:t>
      </w:r>
    </w:p>
    <w:p w:rsidR="001C5304" w:rsidRPr="0001748B" w:rsidRDefault="001C5304" w:rsidP="00043AB6">
      <w:pPr>
        <w:widowControl/>
        <w:adjustRightInd/>
        <w:spacing w:line="240" w:lineRule="auto"/>
        <w:ind w:left="567" w:right="582"/>
        <w:textAlignment w:val="auto"/>
        <w:rPr>
          <w:rFonts w:eastAsiaTheme="minorHAnsi" w:cstheme="minorBidi"/>
          <w:sz w:val="16"/>
          <w:szCs w:val="16"/>
          <w:lang w:eastAsia="en-US"/>
        </w:rPr>
      </w:pPr>
      <w:r w:rsidRPr="0001748B">
        <w:rPr>
          <w:rFonts w:eastAsiaTheme="minorHAnsi" w:cstheme="minorBidi"/>
          <w:sz w:val="16"/>
          <w:szCs w:val="16"/>
          <w:lang w:eastAsia="en-US"/>
        </w:rPr>
        <w:t>B) Hemotorax derecho.</w:t>
      </w:r>
    </w:p>
    <w:p w:rsidR="001C5304" w:rsidRPr="0001748B" w:rsidRDefault="001C5304" w:rsidP="00043AB6">
      <w:pPr>
        <w:widowControl/>
        <w:adjustRightInd/>
        <w:spacing w:line="240" w:lineRule="auto"/>
        <w:ind w:left="567" w:right="582"/>
        <w:textAlignment w:val="auto"/>
        <w:rPr>
          <w:rFonts w:eastAsiaTheme="minorHAnsi" w:cstheme="minorBidi"/>
          <w:sz w:val="16"/>
          <w:szCs w:val="16"/>
          <w:lang w:eastAsia="en-US"/>
        </w:rPr>
      </w:pPr>
      <w:r w:rsidRPr="0001748B">
        <w:rPr>
          <w:rFonts w:eastAsiaTheme="minorHAnsi" w:cstheme="minorBidi"/>
          <w:sz w:val="16"/>
          <w:szCs w:val="16"/>
          <w:lang w:eastAsia="en-US"/>
        </w:rPr>
        <w:t>C) Fractura de sexto arco costal posterior en su línea media con fragmento de proyectil (color oro) incrustado en el mismo. No hay orificio de salida.</w:t>
      </w:r>
    </w:p>
    <w:p w:rsidR="001C5304" w:rsidRPr="0001748B" w:rsidRDefault="001C5304" w:rsidP="00043AB6">
      <w:pPr>
        <w:widowControl/>
        <w:adjustRightInd/>
        <w:spacing w:line="240" w:lineRule="auto"/>
        <w:ind w:left="567" w:right="582"/>
        <w:textAlignment w:val="auto"/>
        <w:rPr>
          <w:rFonts w:eastAsiaTheme="minorHAnsi" w:cstheme="minorBidi"/>
          <w:sz w:val="16"/>
          <w:szCs w:val="16"/>
          <w:lang w:eastAsia="en-US"/>
        </w:rPr>
      </w:pPr>
      <w:r w:rsidRPr="0001748B">
        <w:rPr>
          <w:rFonts w:eastAsiaTheme="minorHAnsi" w:cstheme="minorBidi"/>
          <w:sz w:val="16"/>
          <w:szCs w:val="16"/>
          <w:lang w:eastAsia="en-US"/>
        </w:rPr>
        <w:t xml:space="preserve">2.- Herida perforante producida por disparo de arma de fuego con orificio de entrada redondeado de 2 x 1 cm con halo excoriativo a su alrededor sin tatuaje en región del hombro derecho (línea axilar anterior) hematoma de la zona que presentó dirección de delante hacia atrás dentro de masas musculares del área humeral. Sin orificio de salida y fragmento de </w:t>
      </w:r>
      <w:r w:rsidR="002A0D75" w:rsidRPr="0001748B">
        <w:rPr>
          <w:rFonts w:eastAsiaTheme="minorHAnsi" w:cstheme="minorBidi"/>
          <w:sz w:val="16"/>
          <w:szCs w:val="16"/>
          <w:lang w:eastAsia="en-US"/>
        </w:rPr>
        <w:t>proyectil alojado en región del</w:t>
      </w:r>
      <w:r w:rsidRPr="0001748B">
        <w:rPr>
          <w:rFonts w:eastAsiaTheme="minorHAnsi" w:cstheme="minorBidi"/>
          <w:sz w:val="16"/>
          <w:szCs w:val="16"/>
          <w:lang w:eastAsia="en-US"/>
        </w:rPr>
        <w:t>toidea posterior (línea axilar posterior del mismo hombro).</w:t>
      </w:r>
    </w:p>
    <w:p w:rsidR="001C5304" w:rsidRPr="0001748B" w:rsidRDefault="001C5304" w:rsidP="00043AB6">
      <w:pPr>
        <w:widowControl/>
        <w:adjustRightInd/>
        <w:spacing w:line="240" w:lineRule="auto"/>
        <w:ind w:left="567" w:right="582"/>
        <w:textAlignment w:val="auto"/>
        <w:rPr>
          <w:rFonts w:eastAsiaTheme="minorHAnsi" w:cstheme="minorBidi"/>
          <w:sz w:val="16"/>
          <w:szCs w:val="16"/>
          <w:lang w:eastAsia="en-US"/>
        </w:rPr>
      </w:pPr>
      <w:r w:rsidRPr="0001748B">
        <w:rPr>
          <w:rFonts w:eastAsiaTheme="minorHAnsi" w:cstheme="minorBidi"/>
          <w:sz w:val="16"/>
          <w:szCs w:val="16"/>
          <w:lang w:eastAsia="en-US"/>
        </w:rPr>
        <w:t>3.- Estómago con contenido líquido amarillento, no olor alcohólico.</w:t>
      </w:r>
    </w:p>
    <w:p w:rsidR="001C5304" w:rsidRPr="0001748B" w:rsidRDefault="001C5304" w:rsidP="00043AB6">
      <w:pPr>
        <w:widowControl/>
        <w:adjustRightInd/>
        <w:spacing w:line="240" w:lineRule="auto"/>
        <w:ind w:left="567" w:right="582"/>
        <w:textAlignment w:val="auto"/>
        <w:rPr>
          <w:rFonts w:eastAsiaTheme="minorHAnsi" w:cstheme="minorBidi"/>
          <w:sz w:val="16"/>
          <w:szCs w:val="16"/>
          <w:lang w:eastAsia="en-US"/>
        </w:rPr>
      </w:pPr>
      <w:r w:rsidRPr="0001748B">
        <w:rPr>
          <w:rFonts w:eastAsiaTheme="minorHAnsi" w:cstheme="minorBidi"/>
          <w:sz w:val="16"/>
          <w:szCs w:val="16"/>
          <w:lang w:eastAsia="en-US"/>
        </w:rPr>
        <w:t>4.- No hay evidencia de señales de enfermedad natural</w:t>
      </w:r>
      <w:r w:rsidRPr="0001748B">
        <w:rPr>
          <w:rFonts w:eastAsiaTheme="minorHAnsi" w:cstheme="minorBidi"/>
          <w:sz w:val="16"/>
          <w:szCs w:val="16"/>
          <w:vertAlign w:val="superscript"/>
          <w:lang w:eastAsia="en-US"/>
        </w:rPr>
        <w:footnoteReference w:id="66"/>
      </w:r>
      <w:r w:rsidRPr="0001748B">
        <w:rPr>
          <w:rFonts w:eastAsiaTheme="minorHAnsi" w:cstheme="minorBidi"/>
          <w:sz w:val="16"/>
          <w:szCs w:val="16"/>
          <w:lang w:eastAsia="en-US"/>
        </w:rPr>
        <w:t>.</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86619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Además, en oportunidad de prestar declaración judicial, la </w:t>
      </w:r>
      <w:r w:rsidR="00416CB0" w:rsidRPr="0001748B">
        <w:rPr>
          <w:rFonts w:eastAsiaTheme="minorHAnsi" w:cstheme="minorBidi"/>
          <w:sz w:val="20"/>
          <w:szCs w:val="20"/>
          <w:lang w:eastAsia="en-US"/>
        </w:rPr>
        <w:t>médica forense</w:t>
      </w:r>
      <w:r w:rsidRPr="0001748B">
        <w:rPr>
          <w:rFonts w:eastAsiaTheme="minorHAnsi" w:cstheme="minorBidi"/>
          <w:sz w:val="20"/>
          <w:szCs w:val="20"/>
          <w:lang w:eastAsia="en-US"/>
        </w:rPr>
        <w:t xml:space="preserve"> agregó, entre otras cosas, que: i) lo que impactó en el cuerpo de Johan Alexis fueron dos proyectiles completos, que intra-orgánicamente se fragmentaron en vista de que hubo choque con estructuras óseas; ii) el cadáver tenía cuatro puntos de sutura, dos en cada herida, unas con catgut de color amarillo claro y las otras con seda color negro, que no fueron reportadas en el protocolo de autopsia porque se presumió asistencia médica y</w:t>
      </w:r>
      <w:r w:rsidR="007E24CA">
        <w:rPr>
          <w:rFonts w:eastAsiaTheme="minorHAnsi" w:cstheme="minorBidi"/>
          <w:sz w:val="20"/>
          <w:szCs w:val="20"/>
          <w:lang w:eastAsia="en-US"/>
        </w:rPr>
        <w:t>,</w:t>
      </w:r>
      <w:r w:rsidRPr="0001748B">
        <w:rPr>
          <w:rFonts w:eastAsiaTheme="minorHAnsi" w:cstheme="minorBidi"/>
          <w:sz w:val="20"/>
          <w:szCs w:val="20"/>
          <w:lang w:eastAsia="en-US"/>
        </w:rPr>
        <w:t xml:space="preserve"> además</w:t>
      </w:r>
      <w:r w:rsidR="007E24CA">
        <w:rPr>
          <w:rFonts w:eastAsiaTheme="minorHAnsi" w:cstheme="minorBidi"/>
          <w:sz w:val="20"/>
          <w:szCs w:val="20"/>
          <w:lang w:eastAsia="en-US"/>
        </w:rPr>
        <w:t>,</w:t>
      </w:r>
      <w:r w:rsidRPr="0001748B">
        <w:rPr>
          <w:rFonts w:eastAsiaTheme="minorHAnsi" w:cstheme="minorBidi"/>
          <w:sz w:val="20"/>
          <w:szCs w:val="20"/>
          <w:lang w:eastAsia="en-US"/>
        </w:rPr>
        <w:t xml:space="preserve"> tenían que ser retirados para observar las características del orificio de entrada</w:t>
      </w:r>
      <w:r w:rsidRPr="0001748B">
        <w:rPr>
          <w:rFonts w:eastAsiaTheme="minorHAnsi" w:cstheme="minorBidi"/>
          <w:sz w:val="20"/>
          <w:szCs w:val="20"/>
          <w:vertAlign w:val="superscript"/>
          <w:lang w:eastAsia="en-US"/>
        </w:rPr>
        <w:footnoteReference w:id="67"/>
      </w:r>
      <w:r w:rsidRPr="0001748B">
        <w:rPr>
          <w:rFonts w:eastAsiaTheme="minorHAnsi" w:cstheme="minorBidi"/>
          <w:sz w:val="20"/>
          <w:szCs w:val="20"/>
          <w:lang w:eastAsia="en-US"/>
        </w:rPr>
        <w:t xml:space="preserve">; iii) el cadáver fue manipulado externamente por todo el personal que </w:t>
      </w:r>
      <w:r w:rsidRPr="0001748B">
        <w:rPr>
          <w:rFonts w:eastAsiaTheme="minorHAnsi" w:cstheme="minorBidi"/>
          <w:sz w:val="20"/>
          <w:szCs w:val="20"/>
          <w:lang w:eastAsia="en-US"/>
        </w:rPr>
        <w:lastRenderedPageBreak/>
        <w:t>asistió el caso desde el mismo momento del fallecimiento; iv) internamente no hubo modificación alguna de las heridas o trayectoria de los proyectiles; v) no contaron con el equipo de rayos equis necesario para la localización de proyectiles, fragmentos, esquirlas, etc.; vi) que no reconocía los proyectiles que le fueron exhibidos en la sede fiscal como los que efectivamente extrajo del cuerpo de Johan Alexis</w:t>
      </w:r>
      <w:r w:rsidRPr="0001748B">
        <w:rPr>
          <w:rFonts w:eastAsiaTheme="minorHAnsi" w:cstheme="minorBidi"/>
          <w:sz w:val="20"/>
          <w:szCs w:val="20"/>
          <w:vertAlign w:val="superscript"/>
          <w:lang w:eastAsia="en-US"/>
        </w:rPr>
        <w:footnoteReference w:id="68"/>
      </w:r>
      <w:r w:rsidR="007E24CA">
        <w:rPr>
          <w:rFonts w:eastAsiaTheme="minorHAnsi" w:cstheme="minorBidi"/>
          <w:sz w:val="20"/>
          <w:szCs w:val="20"/>
          <w:lang w:eastAsia="en-US"/>
        </w:rPr>
        <w:t>, y</w:t>
      </w:r>
      <w:r w:rsidRPr="0001748B">
        <w:rPr>
          <w:rFonts w:eastAsiaTheme="minorHAnsi" w:cstheme="minorBidi"/>
          <w:sz w:val="20"/>
          <w:szCs w:val="20"/>
          <w:lang w:eastAsia="en-US"/>
        </w:rPr>
        <w:t xml:space="preserve"> vii) que los proyectiles que impactaron en el cuerpo provinieron de un arma que estaba siendo manejada por un ser humano</w:t>
      </w:r>
      <w:r w:rsidRPr="0001748B">
        <w:rPr>
          <w:rFonts w:eastAsiaTheme="minorHAnsi" w:cstheme="minorBidi"/>
          <w:sz w:val="20"/>
          <w:szCs w:val="20"/>
          <w:vertAlign w:val="superscript"/>
          <w:lang w:eastAsia="en-US"/>
        </w:rPr>
        <w:footnoteReference w:id="69"/>
      </w:r>
      <w:r w:rsidRPr="0001748B">
        <w:rPr>
          <w:rFonts w:eastAsiaTheme="minorHAnsi" w:cstheme="minorBidi"/>
          <w:sz w:val="20"/>
          <w:szCs w:val="20"/>
          <w:lang w:eastAsia="en-US"/>
        </w:rPr>
        <w:t>. Dichas afirmaciones fueron corroboradas en su declaración ante esta Corte</w:t>
      </w:r>
      <w:r w:rsidRPr="0001748B">
        <w:rPr>
          <w:rFonts w:eastAsiaTheme="minorHAnsi" w:cstheme="minorBidi"/>
          <w:sz w:val="20"/>
          <w:szCs w:val="20"/>
          <w:vertAlign w:val="superscript"/>
          <w:lang w:eastAsia="en-US"/>
        </w:rPr>
        <w:footnoteReference w:id="70"/>
      </w:r>
      <w:r w:rsidRPr="0001748B">
        <w:rPr>
          <w:rFonts w:eastAsiaTheme="minorHAnsi" w:cstheme="minorBidi"/>
          <w:sz w:val="20"/>
          <w:szCs w:val="20"/>
          <w:lang w:eastAsia="en-US"/>
        </w:rPr>
        <w:t>.</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86619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Finalmente, resta señalar que tanto el investigador </w:t>
      </w:r>
      <w:r w:rsidR="00416CB0" w:rsidRPr="0001748B">
        <w:rPr>
          <w:rFonts w:eastAsiaTheme="minorHAnsi" w:cstheme="minorBidi"/>
          <w:sz w:val="20"/>
          <w:szCs w:val="20"/>
          <w:lang w:eastAsia="en-US"/>
        </w:rPr>
        <w:t>de la Policía Técnica Judicial</w:t>
      </w:r>
      <w:r w:rsidRPr="0001748B">
        <w:rPr>
          <w:rFonts w:eastAsiaTheme="minorHAnsi" w:cstheme="minorBidi"/>
          <w:sz w:val="20"/>
          <w:szCs w:val="20"/>
          <w:lang w:eastAsia="en-US"/>
        </w:rPr>
        <w:t xml:space="preserve"> como la profesional interviniente en la autopsia coincidieron en que el cuerpo del señor Ortiz Hernández les fue entregado limpio, esto es, lavado, vestido sólo con ropa interior</w:t>
      </w:r>
      <w:r w:rsidRPr="0001748B">
        <w:rPr>
          <w:rFonts w:eastAsiaTheme="minorHAnsi" w:cstheme="minorBidi"/>
          <w:sz w:val="20"/>
          <w:szCs w:val="20"/>
          <w:vertAlign w:val="superscript"/>
          <w:lang w:eastAsia="en-US"/>
        </w:rPr>
        <w:footnoteReference w:id="71"/>
      </w:r>
      <w:r w:rsidRPr="0001748B">
        <w:rPr>
          <w:rFonts w:eastAsiaTheme="minorHAnsi" w:cstheme="minorBidi"/>
          <w:sz w:val="20"/>
          <w:szCs w:val="20"/>
          <w:lang w:eastAsia="en-US"/>
        </w:rPr>
        <w:t>, debido a que la que portaba durante el ejercicio le habría sido quitada para el momento en que le prestaron los primeros auxilios</w:t>
      </w:r>
      <w:r w:rsidRPr="0001748B">
        <w:rPr>
          <w:rFonts w:eastAsiaTheme="minorHAnsi" w:cstheme="minorBidi"/>
          <w:sz w:val="20"/>
          <w:szCs w:val="20"/>
          <w:vertAlign w:val="superscript"/>
          <w:lang w:eastAsia="en-US"/>
        </w:rPr>
        <w:footnoteReference w:id="72"/>
      </w:r>
      <w:r w:rsidRPr="0001748B">
        <w:rPr>
          <w:rFonts w:eastAsiaTheme="minorHAnsi" w:cstheme="minorBidi"/>
          <w:sz w:val="20"/>
          <w:szCs w:val="20"/>
          <w:lang w:eastAsia="en-US"/>
        </w:rPr>
        <w:t>.</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86619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Por su parte, en relación con la vestimenta de Johan Alexis</w:t>
      </w:r>
      <w:r w:rsidR="00535E65">
        <w:rPr>
          <w:rFonts w:eastAsiaTheme="minorHAnsi" w:cstheme="minorBidi"/>
          <w:sz w:val="20"/>
          <w:szCs w:val="20"/>
          <w:lang w:eastAsia="en-US"/>
        </w:rPr>
        <w:t xml:space="preserve"> Ortiz </w:t>
      </w:r>
      <w:r w:rsidR="00535E65">
        <w:rPr>
          <w:rFonts w:eastAsia="Batang"/>
          <w:sz w:val="20"/>
          <w:lang w:eastAsia="en-US"/>
        </w:rPr>
        <w:t>Hernández</w:t>
      </w:r>
      <w:r w:rsidRPr="0001748B">
        <w:rPr>
          <w:rFonts w:eastAsiaTheme="minorHAnsi" w:cstheme="minorBidi"/>
          <w:sz w:val="20"/>
          <w:szCs w:val="20"/>
          <w:lang w:eastAsia="en-US"/>
        </w:rPr>
        <w:t xml:space="preserve">, </w:t>
      </w:r>
      <w:r w:rsidR="00C8567D" w:rsidRPr="0001748B">
        <w:rPr>
          <w:rFonts w:eastAsiaTheme="minorHAnsi" w:cstheme="minorBidi"/>
          <w:sz w:val="20"/>
          <w:szCs w:val="20"/>
          <w:lang w:eastAsia="en-US"/>
        </w:rPr>
        <w:t xml:space="preserve">la médica de guardia expuso que éste arribó al </w:t>
      </w:r>
      <w:r w:rsidR="005F3756" w:rsidRPr="0001748B">
        <w:rPr>
          <w:rFonts w:eastAsiaTheme="minorHAnsi" w:cstheme="minorBidi"/>
          <w:sz w:val="20"/>
          <w:szCs w:val="20"/>
          <w:lang w:eastAsia="en-US"/>
        </w:rPr>
        <w:t>H</w:t>
      </w:r>
      <w:r w:rsidR="00C8567D" w:rsidRPr="0001748B">
        <w:rPr>
          <w:rFonts w:eastAsiaTheme="minorHAnsi" w:cstheme="minorBidi"/>
          <w:sz w:val="20"/>
          <w:szCs w:val="20"/>
          <w:lang w:eastAsia="en-US"/>
        </w:rPr>
        <w:t xml:space="preserve">ospital </w:t>
      </w:r>
      <w:r w:rsidR="001F1BFA" w:rsidRPr="0001748B">
        <w:rPr>
          <w:rFonts w:eastAsiaTheme="minorHAnsi" w:cstheme="minorBidi"/>
          <w:sz w:val="20"/>
          <w:szCs w:val="20"/>
          <w:lang w:eastAsia="en-US"/>
        </w:rPr>
        <w:t xml:space="preserve">San Rafael </w:t>
      </w:r>
      <w:r w:rsidR="00C8567D" w:rsidRPr="0001748B">
        <w:rPr>
          <w:rFonts w:eastAsiaTheme="minorHAnsi" w:cstheme="minorBidi"/>
          <w:sz w:val="20"/>
          <w:szCs w:val="20"/>
          <w:lang w:eastAsia="en-US"/>
        </w:rPr>
        <w:t>de El Piñal con el pantalón del uniforme mojado completamente con su correa, sin botas ni medias, con una franela desgarrada mojada e impregnada de arena en su hombro derecho</w:t>
      </w:r>
      <w:r w:rsidR="00C8567D" w:rsidRPr="0001748B">
        <w:rPr>
          <w:rStyle w:val="FootnoteReference"/>
          <w:rFonts w:eastAsiaTheme="minorHAnsi" w:cstheme="minorBidi"/>
          <w:sz w:val="20"/>
          <w:szCs w:val="20"/>
          <w:lang w:eastAsia="en-US"/>
        </w:rPr>
        <w:footnoteReference w:id="73"/>
      </w:r>
      <w:r w:rsidRPr="0001748B">
        <w:rPr>
          <w:rFonts w:eastAsiaTheme="minorHAnsi" w:cstheme="minorBidi"/>
          <w:sz w:val="20"/>
          <w:szCs w:val="20"/>
          <w:lang w:eastAsia="en-US"/>
        </w:rPr>
        <w:t>.</w:t>
      </w:r>
      <w:r w:rsidR="00C05939" w:rsidRPr="0001748B">
        <w:rPr>
          <w:rFonts w:eastAsiaTheme="minorHAnsi" w:cstheme="minorBidi"/>
          <w:sz w:val="20"/>
          <w:szCs w:val="20"/>
          <w:lang w:eastAsia="en-US"/>
        </w:rPr>
        <w:t xml:space="preserve"> Por su parte, la auxiliar de enfermería declaró que </w:t>
      </w:r>
      <w:r w:rsidR="00C05939" w:rsidRPr="0001748B">
        <w:rPr>
          <w:rFonts w:eastAsiaTheme="minorHAnsi" w:cstheme="minorBidi"/>
          <w:sz w:val="20"/>
          <w:szCs w:val="20"/>
          <w:lang w:eastAsia="en-US"/>
        </w:rPr>
        <w:lastRenderedPageBreak/>
        <w:t>en ese nosocomio le quitaron la franela, el pantalón, las botas militares y las medias</w:t>
      </w:r>
      <w:r w:rsidR="002A0D75" w:rsidRPr="0001748B">
        <w:rPr>
          <w:rFonts w:eastAsiaTheme="minorHAnsi" w:cstheme="minorBidi"/>
          <w:sz w:val="20"/>
          <w:szCs w:val="20"/>
          <w:lang w:eastAsia="en-US"/>
        </w:rPr>
        <w:t xml:space="preserve"> a Johan Alexis</w:t>
      </w:r>
      <w:r w:rsidR="00C05939" w:rsidRPr="0001748B">
        <w:rPr>
          <w:rFonts w:eastAsiaTheme="minorHAnsi" w:cstheme="minorBidi"/>
          <w:sz w:val="20"/>
          <w:szCs w:val="20"/>
          <w:lang w:eastAsia="en-US"/>
        </w:rPr>
        <w:t>, todo lo cual le fue entregado a los efectivos militares que llegaron con él</w:t>
      </w:r>
      <w:r w:rsidR="00C05939" w:rsidRPr="0001748B">
        <w:rPr>
          <w:rStyle w:val="FootnoteReference"/>
          <w:rFonts w:eastAsiaTheme="minorHAnsi" w:cstheme="minorBidi"/>
          <w:sz w:val="20"/>
          <w:szCs w:val="20"/>
          <w:lang w:eastAsia="en-US"/>
        </w:rPr>
        <w:footnoteReference w:id="74"/>
      </w:r>
      <w:r w:rsidR="00C05939" w:rsidRPr="0001748B">
        <w:rPr>
          <w:rFonts w:eastAsiaTheme="minorHAnsi" w:cstheme="minorBidi"/>
          <w:sz w:val="20"/>
          <w:szCs w:val="20"/>
          <w:lang w:eastAsia="en-US"/>
        </w:rPr>
        <w:t>.</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C73FBC">
      <w:pPr>
        <w:pStyle w:val="ListParagraph"/>
        <w:keepNext/>
        <w:keepLines/>
        <w:widowControl/>
        <w:numPr>
          <w:ilvl w:val="0"/>
          <w:numId w:val="8"/>
        </w:numPr>
        <w:autoSpaceDE w:val="0"/>
        <w:autoSpaceDN w:val="0"/>
        <w:spacing w:line="240" w:lineRule="auto"/>
        <w:ind w:left="1134" w:hanging="567"/>
        <w:textAlignment w:val="auto"/>
        <w:outlineLvl w:val="1"/>
        <w:rPr>
          <w:rFonts w:eastAsia="Batang" w:cs="Arial"/>
          <w:b/>
          <w:i/>
          <w:sz w:val="20"/>
          <w:lang w:eastAsia="en-US"/>
        </w:rPr>
      </w:pPr>
      <w:bookmarkStart w:id="80" w:name="_Toc495658666"/>
      <w:r w:rsidRPr="0001748B">
        <w:rPr>
          <w:rFonts w:eastAsia="Batang" w:cs="Arial"/>
          <w:b/>
          <w:i/>
          <w:sz w:val="20"/>
          <w:lang w:eastAsia="en-US"/>
        </w:rPr>
        <w:t>La comunicación a los padres y la entrega del cuerpo a su familia</w:t>
      </w:r>
      <w:bookmarkEnd w:id="80"/>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86619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Según la declaración de la señora Hernández de Arellano en la audiencia pública ante esta Corte, se anotició del fallecimiento de su hijo el mismo día del hecho, entre las 5</w:t>
      </w:r>
      <w:r w:rsidR="00486DE8">
        <w:rPr>
          <w:rFonts w:eastAsiaTheme="minorHAnsi" w:cstheme="minorBidi"/>
          <w:sz w:val="20"/>
          <w:szCs w:val="20"/>
          <w:lang w:eastAsia="en-US"/>
        </w:rPr>
        <w:t>:00</w:t>
      </w:r>
      <w:r w:rsidRPr="0001748B">
        <w:rPr>
          <w:rFonts w:eastAsiaTheme="minorHAnsi" w:cstheme="minorBidi"/>
          <w:sz w:val="20"/>
          <w:szCs w:val="20"/>
          <w:lang w:eastAsia="en-US"/>
        </w:rPr>
        <w:t xml:space="preserve"> y 5</w:t>
      </w:r>
      <w:r w:rsidR="00486DE8">
        <w:rPr>
          <w:rFonts w:eastAsiaTheme="minorHAnsi" w:cstheme="minorBidi"/>
          <w:sz w:val="20"/>
          <w:szCs w:val="20"/>
          <w:lang w:eastAsia="en-US"/>
        </w:rPr>
        <w:t>:</w:t>
      </w:r>
      <w:r w:rsidRPr="0001748B">
        <w:rPr>
          <w:rFonts w:eastAsiaTheme="minorHAnsi" w:cstheme="minorBidi"/>
          <w:sz w:val="20"/>
          <w:szCs w:val="20"/>
          <w:lang w:eastAsia="en-US"/>
        </w:rPr>
        <w:t xml:space="preserve">30 </w:t>
      </w:r>
      <w:r w:rsidR="008B3CB2">
        <w:rPr>
          <w:rFonts w:eastAsiaTheme="minorHAnsi" w:cstheme="minorBidi"/>
          <w:sz w:val="20"/>
          <w:szCs w:val="20"/>
          <w:lang w:eastAsia="en-US"/>
        </w:rPr>
        <w:t>horas de la tarde</w:t>
      </w:r>
      <w:r w:rsidRPr="0001748B">
        <w:rPr>
          <w:rFonts w:eastAsiaTheme="minorHAnsi" w:cstheme="minorBidi"/>
          <w:sz w:val="20"/>
          <w:szCs w:val="20"/>
          <w:lang w:eastAsia="en-US"/>
        </w:rPr>
        <w:t>. Se encontraba en el culto dominical cuando el párroco le informó que era buscada por dos militares. Se trataba de un alumno, compañero de Johan Alexis, y de un oficial. Este último le manifestó que había sido comisionado por la ESGUARNAC para darle la información de que su hijo “por cobarde, por miedoso, por temeroso, se paró y dijo que no quería hacer la práctica y recibió la ráfaga de tiro de una ametralladora”</w:t>
      </w:r>
      <w:r w:rsidRPr="0001748B">
        <w:rPr>
          <w:rFonts w:eastAsiaTheme="minorHAnsi" w:cstheme="minorBidi"/>
          <w:sz w:val="20"/>
          <w:szCs w:val="20"/>
          <w:vertAlign w:val="superscript"/>
          <w:lang w:eastAsia="en-US"/>
        </w:rPr>
        <w:footnoteReference w:id="75"/>
      </w:r>
      <w:r w:rsidRPr="0001748B">
        <w:rPr>
          <w:rFonts w:eastAsiaTheme="minorHAnsi" w:cstheme="minorBidi"/>
          <w:sz w:val="20"/>
          <w:szCs w:val="20"/>
          <w:lang w:eastAsia="en-US"/>
        </w:rPr>
        <w:t>.</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86619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Tras recibir la noticia, la señora Hernández de Arellano se comunicó con el señor Ortiz Ruiz, quien se dirigió de inmediato a la casa de la primera. Allí recibió la misma comunicación por parte del oficial.</w:t>
      </w:r>
      <w:r w:rsidR="00B05B7A" w:rsidRPr="0001748B">
        <w:rPr>
          <w:rFonts w:eastAsiaTheme="minorHAnsi" w:cstheme="minorBidi"/>
          <w:sz w:val="20"/>
          <w:szCs w:val="20"/>
          <w:lang w:eastAsia="en-US"/>
        </w:rPr>
        <w:t xml:space="preserve"> </w:t>
      </w:r>
      <w:r w:rsidRPr="0001748B">
        <w:rPr>
          <w:rFonts w:eastAsiaTheme="minorHAnsi" w:cstheme="minorBidi"/>
          <w:sz w:val="20"/>
          <w:szCs w:val="20"/>
          <w:lang w:eastAsia="en-US"/>
        </w:rPr>
        <w:t xml:space="preserve">Seguidamente, </w:t>
      </w:r>
      <w:r w:rsidR="00C3001B">
        <w:rPr>
          <w:rFonts w:eastAsiaTheme="minorHAnsi" w:cstheme="minorBidi"/>
          <w:sz w:val="20"/>
          <w:szCs w:val="20"/>
          <w:lang w:eastAsia="en-US"/>
        </w:rPr>
        <w:t xml:space="preserve">el señor </w:t>
      </w:r>
      <w:r w:rsidRPr="0001748B">
        <w:rPr>
          <w:rFonts w:eastAsiaTheme="minorHAnsi" w:cstheme="minorBidi"/>
          <w:sz w:val="20"/>
          <w:szCs w:val="20"/>
          <w:lang w:eastAsia="en-US"/>
        </w:rPr>
        <w:t>Ortiz Ruiz se dirigió junto con los comisionados de la ESGUARNAC a realizar las gestiones para poder retirar el cuerpo de Johan Alexis y fue allí cuando, según la señora Hernández, ésta recibió una llamada anónima que le advirtió que su hijo había sido asesinado y que, como prueba, buscaran “en su cuerpo”.</w:t>
      </w:r>
      <w:r w:rsidR="00A051A1" w:rsidRPr="0001748B">
        <w:rPr>
          <w:rFonts w:eastAsiaTheme="minorHAnsi" w:cstheme="minorBidi"/>
          <w:sz w:val="20"/>
          <w:szCs w:val="20"/>
          <w:lang w:eastAsia="en-US"/>
        </w:rPr>
        <w:t xml:space="preserve"> </w:t>
      </w:r>
      <w:r w:rsidRPr="0001748B">
        <w:rPr>
          <w:rFonts w:eastAsiaTheme="minorHAnsi" w:cstheme="minorBidi"/>
          <w:sz w:val="20"/>
          <w:szCs w:val="20"/>
          <w:lang w:eastAsia="en-US"/>
        </w:rPr>
        <w:t xml:space="preserve">Luego de ello, la señora Hernández y el señor Ortiz se dirigieron a la Medicatura Forense del Hospital Central de San Cristóbal. Allí pudieron observar el arribo del cadáver de </w:t>
      </w:r>
      <w:r w:rsidR="00C3001B">
        <w:rPr>
          <w:rFonts w:eastAsiaTheme="minorHAnsi" w:cstheme="minorBidi"/>
          <w:sz w:val="20"/>
          <w:szCs w:val="20"/>
          <w:lang w:eastAsia="en-US"/>
        </w:rPr>
        <w:t>su hijo</w:t>
      </w:r>
      <w:r w:rsidRPr="0001748B">
        <w:rPr>
          <w:rFonts w:eastAsiaTheme="minorHAnsi" w:cstheme="minorBidi"/>
          <w:sz w:val="20"/>
          <w:szCs w:val="20"/>
          <w:lang w:eastAsia="en-US"/>
        </w:rPr>
        <w:t xml:space="preserve"> en una furgoneta proveniente del </w:t>
      </w:r>
      <w:r w:rsidR="001F1BFA">
        <w:rPr>
          <w:rFonts w:eastAsiaTheme="minorHAnsi" w:cstheme="minorBidi"/>
          <w:sz w:val="20"/>
          <w:szCs w:val="20"/>
          <w:lang w:eastAsia="en-US"/>
        </w:rPr>
        <w:t>H</w:t>
      </w:r>
      <w:r w:rsidRPr="0001748B">
        <w:rPr>
          <w:rFonts w:eastAsiaTheme="minorHAnsi" w:cstheme="minorBidi"/>
          <w:sz w:val="20"/>
          <w:szCs w:val="20"/>
          <w:lang w:eastAsia="en-US"/>
        </w:rPr>
        <w:t>ospital</w:t>
      </w:r>
      <w:r w:rsidR="001F1BFA">
        <w:rPr>
          <w:rFonts w:eastAsiaTheme="minorHAnsi" w:cstheme="minorBidi"/>
          <w:sz w:val="20"/>
          <w:szCs w:val="20"/>
          <w:lang w:eastAsia="en-US"/>
        </w:rPr>
        <w:t xml:space="preserve"> </w:t>
      </w:r>
      <w:r w:rsidR="001F1BFA" w:rsidRPr="0001748B">
        <w:rPr>
          <w:rFonts w:eastAsiaTheme="minorHAnsi" w:cstheme="minorBidi"/>
          <w:sz w:val="20"/>
          <w:szCs w:val="20"/>
          <w:lang w:eastAsia="en-US"/>
        </w:rPr>
        <w:t>San Rafael</w:t>
      </w:r>
      <w:r w:rsidRPr="0001748B">
        <w:rPr>
          <w:rFonts w:eastAsiaTheme="minorHAnsi" w:cstheme="minorBidi"/>
          <w:sz w:val="20"/>
          <w:szCs w:val="20"/>
          <w:lang w:eastAsia="en-US"/>
        </w:rPr>
        <w:t xml:space="preserve"> de El Piñal. Según la señora Hernández, “cuando abrieron la puerta de la furgoneta, vi sus pies y lo reconocí, me abalance y le quit</w:t>
      </w:r>
      <w:r w:rsidR="00C3001B">
        <w:rPr>
          <w:rFonts w:eastAsiaTheme="minorHAnsi" w:cstheme="minorBidi"/>
          <w:sz w:val="20"/>
          <w:szCs w:val="20"/>
          <w:lang w:eastAsia="en-US"/>
        </w:rPr>
        <w:t>é</w:t>
      </w:r>
      <w:r w:rsidRPr="0001748B">
        <w:rPr>
          <w:rFonts w:eastAsiaTheme="minorHAnsi" w:cstheme="minorBidi"/>
          <w:sz w:val="20"/>
          <w:szCs w:val="20"/>
          <w:lang w:eastAsia="en-US"/>
        </w:rPr>
        <w:t xml:space="preserve"> una sábana que tenía encima y recibí un golpe del detective </w:t>
      </w:r>
      <w:r w:rsidR="00E54649" w:rsidRPr="0001748B">
        <w:rPr>
          <w:rFonts w:eastAsiaTheme="minorHAnsi" w:cstheme="minorBidi"/>
          <w:sz w:val="20"/>
          <w:szCs w:val="20"/>
          <w:lang w:eastAsia="en-US"/>
        </w:rPr>
        <w:t>[…]</w:t>
      </w:r>
      <w:r w:rsidRPr="0001748B">
        <w:rPr>
          <w:rFonts w:eastAsiaTheme="minorHAnsi" w:cstheme="minorBidi"/>
          <w:sz w:val="20"/>
          <w:szCs w:val="20"/>
          <w:lang w:eastAsia="en-US"/>
        </w:rPr>
        <w:t>, porque yo no podía haber hecho lo que hice. Pero si pude ver a mi hijo, no me dejaron abrazarlo, no me dejaron tocarlo. Pero si lo vi”</w:t>
      </w:r>
      <w:r w:rsidRPr="0001748B">
        <w:rPr>
          <w:rFonts w:eastAsiaTheme="minorHAnsi" w:cstheme="minorBidi"/>
          <w:sz w:val="20"/>
          <w:szCs w:val="20"/>
          <w:vertAlign w:val="superscript"/>
          <w:lang w:eastAsia="en-US"/>
        </w:rPr>
        <w:footnoteReference w:id="76"/>
      </w:r>
      <w:r w:rsidRPr="0001748B">
        <w:rPr>
          <w:rFonts w:eastAsiaTheme="minorHAnsi" w:cstheme="minorBidi"/>
          <w:sz w:val="20"/>
          <w:szCs w:val="20"/>
          <w:lang w:eastAsia="en-US"/>
        </w:rPr>
        <w:t>.</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86619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Finalmente, el cuerpo del señor Ortiz Hernández les fue entregado recién el día 16 de febrero de 1998 en horas de la mañana</w:t>
      </w:r>
      <w:r w:rsidRPr="0001748B">
        <w:rPr>
          <w:rFonts w:eastAsiaTheme="minorHAnsi" w:cstheme="minorBidi"/>
          <w:sz w:val="20"/>
          <w:szCs w:val="20"/>
          <w:vertAlign w:val="superscript"/>
          <w:lang w:eastAsia="en-US"/>
        </w:rPr>
        <w:footnoteReference w:id="77"/>
      </w:r>
      <w:r w:rsidRPr="0001748B">
        <w:rPr>
          <w:rFonts w:eastAsiaTheme="minorHAnsi" w:cstheme="minorBidi"/>
          <w:sz w:val="20"/>
          <w:szCs w:val="20"/>
          <w:lang w:eastAsia="en-US"/>
        </w:rPr>
        <w:t xml:space="preserve">. Sus padres alegaron que éste pasó toda la noche en la morgue del </w:t>
      </w:r>
      <w:r w:rsidR="001F1BFA">
        <w:rPr>
          <w:rFonts w:eastAsiaTheme="minorHAnsi" w:cstheme="minorBidi"/>
          <w:sz w:val="20"/>
          <w:szCs w:val="20"/>
          <w:lang w:eastAsia="en-US"/>
        </w:rPr>
        <w:t>H</w:t>
      </w:r>
      <w:r w:rsidRPr="0001748B">
        <w:rPr>
          <w:rFonts w:eastAsiaTheme="minorHAnsi" w:cstheme="minorBidi"/>
          <w:sz w:val="20"/>
          <w:szCs w:val="20"/>
          <w:lang w:eastAsia="en-US"/>
        </w:rPr>
        <w:t>ospital Central de San Cristóbal sin que se adoptara medida alguna para su conservación, motivo por el cual debieron disponer su traslado inmediato al cementerio</w:t>
      </w:r>
      <w:r w:rsidRPr="0001748B">
        <w:rPr>
          <w:rFonts w:eastAsiaTheme="minorHAnsi" w:cstheme="minorBidi"/>
          <w:sz w:val="20"/>
          <w:szCs w:val="20"/>
          <w:vertAlign w:val="superscript"/>
          <w:lang w:eastAsia="en-US"/>
        </w:rPr>
        <w:footnoteReference w:id="78"/>
      </w:r>
      <w:r w:rsidRPr="0001748B">
        <w:rPr>
          <w:rFonts w:eastAsiaTheme="minorHAnsi" w:cstheme="minorBidi"/>
          <w:sz w:val="20"/>
          <w:szCs w:val="20"/>
          <w:lang w:eastAsia="en-US"/>
        </w:rPr>
        <w:t>.</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C73FBC">
      <w:pPr>
        <w:pStyle w:val="ListParagraph"/>
        <w:keepNext/>
        <w:keepLines/>
        <w:widowControl/>
        <w:numPr>
          <w:ilvl w:val="0"/>
          <w:numId w:val="8"/>
        </w:numPr>
        <w:autoSpaceDE w:val="0"/>
        <w:autoSpaceDN w:val="0"/>
        <w:spacing w:line="240" w:lineRule="auto"/>
        <w:ind w:left="1134" w:hanging="567"/>
        <w:textAlignment w:val="auto"/>
        <w:outlineLvl w:val="1"/>
        <w:rPr>
          <w:rFonts w:eastAsia="Batang" w:cs="Arial"/>
          <w:b/>
          <w:i/>
          <w:sz w:val="20"/>
          <w:lang w:eastAsia="en-US"/>
        </w:rPr>
      </w:pPr>
      <w:bookmarkStart w:id="81" w:name="_Toc495658667"/>
      <w:r w:rsidRPr="0001748B">
        <w:rPr>
          <w:rFonts w:eastAsia="Batang" w:cs="Arial"/>
          <w:b/>
          <w:i/>
          <w:sz w:val="20"/>
          <w:lang w:eastAsia="en-US"/>
        </w:rPr>
        <w:t xml:space="preserve">La </w:t>
      </w:r>
      <w:r w:rsidR="00EB69F7" w:rsidRPr="0001748B">
        <w:rPr>
          <w:rFonts w:eastAsia="Batang" w:cs="Arial"/>
          <w:b/>
          <w:i/>
          <w:sz w:val="20"/>
          <w:lang w:eastAsia="en-US"/>
        </w:rPr>
        <w:t>investigación de los hechos</w:t>
      </w:r>
      <w:r w:rsidRPr="0001748B">
        <w:rPr>
          <w:rFonts w:eastAsia="Batang" w:cs="Arial"/>
          <w:b/>
          <w:i/>
          <w:sz w:val="20"/>
          <w:lang w:eastAsia="en-US"/>
        </w:rPr>
        <w:t xml:space="preserve"> en el fuero militar</w:t>
      </w:r>
      <w:r w:rsidR="00EB69F7" w:rsidRPr="0001748B">
        <w:rPr>
          <w:rFonts w:eastAsia="Batang" w:cs="Arial"/>
          <w:b/>
          <w:i/>
          <w:sz w:val="20"/>
          <w:lang w:eastAsia="en-US"/>
        </w:rPr>
        <w:t xml:space="preserve"> y en la jurisdicción ordinaria</w:t>
      </w:r>
      <w:bookmarkEnd w:id="81"/>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EB69F7" w:rsidRPr="0001748B" w:rsidRDefault="00EB69F7" w:rsidP="00EB69F7">
      <w:pPr>
        <w:widowControl/>
        <w:numPr>
          <w:ilvl w:val="0"/>
          <w:numId w:val="1"/>
        </w:numPr>
        <w:tabs>
          <w:tab w:val="left" w:pos="567"/>
          <w:tab w:val="num" w:pos="5057"/>
        </w:tabs>
        <w:adjustRightInd/>
        <w:spacing w:line="240" w:lineRule="auto"/>
        <w:ind w:left="0" w:firstLine="0"/>
        <w:textAlignment w:val="auto"/>
        <w:rPr>
          <w:rFonts w:eastAsiaTheme="minorHAnsi" w:cstheme="minorBidi"/>
          <w:sz w:val="20"/>
          <w:szCs w:val="20"/>
          <w:lang w:eastAsia="en-US"/>
        </w:rPr>
      </w:pPr>
      <w:r w:rsidRPr="0001748B">
        <w:rPr>
          <w:rFonts w:eastAsiaTheme="minorHAnsi" w:cstheme="minorBidi"/>
          <w:sz w:val="20"/>
          <w:szCs w:val="20"/>
          <w:lang w:eastAsia="en-US"/>
        </w:rPr>
        <w:t>La investigación sobre la muerte del señor Ortiz Hernández tuvo origen en el fuero militar, bajo las disposiciones del Código Orgánico de Justicia</w:t>
      </w:r>
      <w:r w:rsidR="0077706B" w:rsidRPr="0001748B">
        <w:rPr>
          <w:rFonts w:eastAsiaTheme="minorHAnsi" w:cstheme="minorBidi"/>
          <w:sz w:val="20"/>
          <w:szCs w:val="20"/>
          <w:lang w:eastAsia="en-US"/>
        </w:rPr>
        <w:t xml:space="preserve"> Militar</w:t>
      </w:r>
      <w:r w:rsidRPr="0001748B">
        <w:rPr>
          <w:rFonts w:eastAsiaTheme="minorHAnsi" w:cstheme="minorBidi"/>
          <w:sz w:val="20"/>
          <w:szCs w:val="20"/>
          <w:lang w:eastAsia="en-US"/>
        </w:rPr>
        <w:t xml:space="preserve">. El 5 de marzo de 1998, por orden del Comandante de la Guarnición </w:t>
      </w:r>
      <w:r w:rsidR="0043321B" w:rsidRPr="0001748B">
        <w:rPr>
          <w:rFonts w:eastAsiaTheme="minorHAnsi" w:cstheme="minorBidi"/>
          <w:sz w:val="20"/>
          <w:szCs w:val="20"/>
          <w:lang w:eastAsia="en-US"/>
        </w:rPr>
        <w:t>Militar del Teatro de Operaciones N° 1</w:t>
      </w:r>
      <w:r w:rsidRPr="0001748B">
        <w:rPr>
          <w:rFonts w:eastAsiaTheme="minorHAnsi" w:cstheme="minorBidi"/>
          <w:sz w:val="20"/>
          <w:szCs w:val="20"/>
          <w:lang w:eastAsia="en-US"/>
        </w:rPr>
        <w:t>, se inició la averiguación militar sumarial N° 008-98 ante el Juez Militar de Primera Instancia</w:t>
      </w:r>
      <w:r w:rsidR="00347B88" w:rsidRPr="0001748B">
        <w:rPr>
          <w:rFonts w:eastAsiaTheme="minorHAnsi" w:cstheme="minorBidi"/>
          <w:sz w:val="20"/>
          <w:szCs w:val="20"/>
          <w:lang w:eastAsia="en-US"/>
        </w:rPr>
        <w:t xml:space="preserve"> Permanente</w:t>
      </w:r>
      <w:r w:rsidRPr="0001748B">
        <w:rPr>
          <w:rFonts w:eastAsiaTheme="minorHAnsi" w:cstheme="minorBidi"/>
          <w:sz w:val="20"/>
          <w:szCs w:val="20"/>
          <w:lang w:eastAsia="en-US"/>
        </w:rPr>
        <w:t xml:space="preserve"> </w:t>
      </w:r>
      <w:r w:rsidR="0043321B" w:rsidRPr="0001748B">
        <w:rPr>
          <w:rFonts w:eastAsiaTheme="minorHAnsi" w:cstheme="minorBidi"/>
          <w:sz w:val="20"/>
          <w:szCs w:val="20"/>
          <w:lang w:eastAsia="en-US"/>
        </w:rPr>
        <w:t xml:space="preserve">de Guasdalito </w:t>
      </w:r>
      <w:r w:rsidRPr="0001748B">
        <w:rPr>
          <w:rFonts w:eastAsiaTheme="minorHAnsi" w:cstheme="minorBidi"/>
          <w:sz w:val="20"/>
          <w:szCs w:val="20"/>
          <w:lang w:eastAsia="en-US"/>
        </w:rPr>
        <w:t xml:space="preserve">por </w:t>
      </w:r>
      <w:r w:rsidRPr="0001748B">
        <w:rPr>
          <w:rFonts w:eastAsiaTheme="minorHAnsi" w:cstheme="minorBidi"/>
          <w:sz w:val="20"/>
          <w:szCs w:val="20"/>
          <w:lang w:eastAsia="en-US"/>
        </w:rPr>
        <w:lastRenderedPageBreak/>
        <w:t>la muerte de Johan Alexis</w:t>
      </w:r>
      <w:r w:rsidR="00C630DC">
        <w:rPr>
          <w:rFonts w:eastAsiaTheme="minorHAnsi" w:cstheme="minorBidi"/>
          <w:sz w:val="20"/>
          <w:szCs w:val="20"/>
          <w:lang w:eastAsia="en-US"/>
        </w:rPr>
        <w:t xml:space="preserve"> Ortiz </w:t>
      </w:r>
      <w:r w:rsidR="00C630DC">
        <w:rPr>
          <w:rFonts w:eastAsia="Batang"/>
          <w:sz w:val="20"/>
          <w:lang w:eastAsia="en-US"/>
        </w:rPr>
        <w:t>Hernández</w:t>
      </w:r>
      <w:r w:rsidRPr="0001748B">
        <w:rPr>
          <w:rFonts w:eastAsiaTheme="minorHAnsi" w:cstheme="minorBidi"/>
          <w:sz w:val="20"/>
          <w:szCs w:val="20"/>
          <w:vertAlign w:val="superscript"/>
          <w:lang w:eastAsia="en-US"/>
        </w:rPr>
        <w:footnoteReference w:id="79"/>
      </w:r>
      <w:r w:rsidRPr="0001748B">
        <w:rPr>
          <w:rFonts w:eastAsiaTheme="minorHAnsi" w:cstheme="minorBidi"/>
          <w:sz w:val="20"/>
          <w:szCs w:val="20"/>
          <w:lang w:eastAsia="en-US"/>
        </w:rPr>
        <w:t>. Por su parte, el 10 de marzo de 1998 los progenitores del señor Ortiz Hernández solicitaron a la Fiscalía General de la República que se diera apertura a una investigación para esclarecer la muerte, en atención a que las autoridades militares se negaban a declarar ante la Policía Técnica Judicial, pese a reiteradas citaciones. Además, ya en dicha oportunidad denunciaron llamadas amenazantes</w:t>
      </w:r>
      <w:r w:rsidRPr="0001748B">
        <w:rPr>
          <w:rFonts w:eastAsiaTheme="minorHAnsi" w:cstheme="minorBidi"/>
          <w:sz w:val="20"/>
          <w:szCs w:val="20"/>
          <w:vertAlign w:val="superscript"/>
          <w:lang w:eastAsia="en-US"/>
        </w:rPr>
        <w:footnoteReference w:id="80"/>
      </w:r>
      <w:r w:rsidRPr="0001748B">
        <w:rPr>
          <w:rFonts w:eastAsiaTheme="minorHAnsi" w:cstheme="minorBidi"/>
          <w:sz w:val="20"/>
          <w:szCs w:val="20"/>
          <w:lang w:eastAsia="en-US"/>
        </w:rPr>
        <w:t>.</w:t>
      </w:r>
    </w:p>
    <w:p w:rsidR="00EB69F7" w:rsidRPr="0001748B" w:rsidRDefault="00EB69F7" w:rsidP="00EB69F7">
      <w:pPr>
        <w:tabs>
          <w:tab w:val="left" w:pos="567"/>
        </w:tabs>
        <w:spacing w:line="240" w:lineRule="auto"/>
        <w:rPr>
          <w:rFonts w:eastAsiaTheme="minorHAnsi" w:cstheme="minorBidi"/>
          <w:sz w:val="20"/>
          <w:szCs w:val="20"/>
          <w:lang w:eastAsia="en-US"/>
        </w:rPr>
      </w:pPr>
    </w:p>
    <w:p w:rsidR="00EB69F7" w:rsidRPr="0001748B" w:rsidRDefault="00EB69F7" w:rsidP="00EB69F7">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En este marco, se llevaron a cabo una multiplicidad de diligencias entre las que se destacan: a) una inspección ocular en la cancha del Destacamento N° 19 de la Guardia Nacional</w:t>
      </w:r>
      <w:r w:rsidRPr="0001748B">
        <w:rPr>
          <w:rFonts w:eastAsiaTheme="minorHAnsi" w:cstheme="minorBidi"/>
          <w:sz w:val="20"/>
          <w:szCs w:val="20"/>
          <w:vertAlign w:val="superscript"/>
          <w:lang w:eastAsia="en-US"/>
        </w:rPr>
        <w:footnoteReference w:id="81"/>
      </w:r>
      <w:r w:rsidRPr="0001748B">
        <w:rPr>
          <w:rFonts w:eastAsiaTheme="minorHAnsi" w:cstheme="minorBidi"/>
          <w:sz w:val="20"/>
          <w:szCs w:val="20"/>
          <w:lang w:eastAsia="en-US"/>
        </w:rPr>
        <w:t>; b) la exhumación del cadáver del señor Ortiz Hernández, en la que se concluyó que padeció perforaciones de dos proyectiles diferentes de pequeño calibre</w:t>
      </w:r>
      <w:r w:rsidRPr="0001748B">
        <w:rPr>
          <w:rFonts w:eastAsiaTheme="minorHAnsi" w:cstheme="minorBidi"/>
          <w:sz w:val="20"/>
          <w:szCs w:val="20"/>
          <w:vertAlign w:val="superscript"/>
          <w:lang w:eastAsia="en-US"/>
        </w:rPr>
        <w:footnoteReference w:id="82"/>
      </w:r>
      <w:r w:rsidRPr="0001748B">
        <w:rPr>
          <w:rFonts w:eastAsiaTheme="minorHAnsi" w:cstheme="minorBidi"/>
          <w:sz w:val="20"/>
          <w:szCs w:val="20"/>
          <w:lang w:eastAsia="en-US"/>
        </w:rPr>
        <w:t>, que dejaron heridas circulares en el cuerpo del occiso, y cuya dirección va de adelante-atrás, ligeramente de arriba-abajo, y ligeramente de derecha a izquierda</w:t>
      </w:r>
      <w:r w:rsidRPr="0001748B">
        <w:rPr>
          <w:rFonts w:eastAsiaTheme="minorHAnsi" w:cstheme="minorBidi"/>
          <w:sz w:val="20"/>
          <w:szCs w:val="20"/>
          <w:vertAlign w:val="superscript"/>
          <w:lang w:eastAsia="en-US"/>
        </w:rPr>
        <w:footnoteReference w:id="83"/>
      </w:r>
      <w:r w:rsidRPr="0001748B">
        <w:rPr>
          <w:rFonts w:eastAsiaTheme="minorHAnsi" w:cstheme="minorBidi"/>
          <w:sz w:val="20"/>
          <w:szCs w:val="20"/>
          <w:lang w:eastAsia="en-US"/>
        </w:rPr>
        <w:t>; c) prueba de luminol</w:t>
      </w:r>
      <w:r w:rsidRPr="0001748B">
        <w:rPr>
          <w:rFonts w:eastAsiaTheme="minorHAnsi" w:cstheme="minorBidi"/>
          <w:sz w:val="20"/>
          <w:szCs w:val="20"/>
          <w:vertAlign w:val="superscript"/>
          <w:lang w:eastAsia="en-US"/>
        </w:rPr>
        <w:footnoteReference w:id="84"/>
      </w:r>
      <w:r w:rsidRPr="0001748B">
        <w:rPr>
          <w:rFonts w:eastAsiaTheme="minorHAnsi" w:cstheme="minorBidi"/>
          <w:sz w:val="20"/>
          <w:szCs w:val="20"/>
          <w:lang w:eastAsia="en-US"/>
        </w:rPr>
        <w:t>, en la que se destacó que no se podía descartar la presencia de material de naturaleza hemática, debido a lo exiguo de la muestra existente</w:t>
      </w:r>
      <w:r w:rsidRPr="0001748B">
        <w:rPr>
          <w:rFonts w:eastAsiaTheme="minorHAnsi" w:cstheme="minorBidi"/>
          <w:sz w:val="20"/>
          <w:szCs w:val="20"/>
          <w:vertAlign w:val="superscript"/>
          <w:lang w:eastAsia="en-US"/>
        </w:rPr>
        <w:footnoteReference w:id="85"/>
      </w:r>
      <w:r w:rsidR="0021352A">
        <w:rPr>
          <w:rFonts w:eastAsiaTheme="minorHAnsi" w:cstheme="minorBidi"/>
          <w:sz w:val="20"/>
          <w:szCs w:val="20"/>
          <w:lang w:eastAsia="en-US"/>
        </w:rPr>
        <w:t>, y</w:t>
      </w:r>
      <w:r w:rsidRPr="0001748B">
        <w:rPr>
          <w:rFonts w:eastAsiaTheme="minorHAnsi" w:cstheme="minorBidi"/>
          <w:sz w:val="20"/>
          <w:szCs w:val="20"/>
          <w:lang w:eastAsia="en-US"/>
        </w:rPr>
        <w:t xml:space="preserve"> d) inspección en la sede de la ESGUARNAC, de la que surgió que el 26 de diciembre de 1997 se registró el presunto hurto de una pistola marca Bereta 7,65 mm., serial 425NM53275, arma de reglamento de una Sargento</w:t>
      </w:r>
      <w:r w:rsidR="00003B98">
        <w:rPr>
          <w:rFonts w:eastAsiaTheme="minorHAnsi" w:cstheme="minorBidi"/>
          <w:sz w:val="20"/>
          <w:szCs w:val="20"/>
          <w:lang w:eastAsia="en-US"/>
        </w:rPr>
        <w:t xml:space="preserve"> </w:t>
      </w:r>
      <w:r w:rsidRPr="0001748B">
        <w:rPr>
          <w:rFonts w:eastAsiaTheme="minorHAnsi" w:cstheme="minorBidi"/>
          <w:sz w:val="20"/>
          <w:szCs w:val="20"/>
          <w:lang w:eastAsia="en-US"/>
        </w:rPr>
        <w:t>3° de la Guardia Nacional</w:t>
      </w:r>
      <w:r w:rsidRPr="0001748B">
        <w:rPr>
          <w:rFonts w:eastAsiaTheme="minorHAnsi" w:cstheme="minorBidi"/>
          <w:sz w:val="20"/>
          <w:szCs w:val="20"/>
          <w:vertAlign w:val="superscript"/>
          <w:lang w:eastAsia="en-US"/>
        </w:rPr>
        <w:footnoteReference w:id="86"/>
      </w:r>
      <w:r w:rsidRPr="0001748B">
        <w:rPr>
          <w:rFonts w:eastAsiaTheme="minorHAnsi" w:cstheme="minorBidi"/>
          <w:sz w:val="20"/>
          <w:szCs w:val="20"/>
          <w:lang w:eastAsia="en-US"/>
        </w:rPr>
        <w:t>.</w:t>
      </w:r>
    </w:p>
    <w:p w:rsidR="00EB69F7" w:rsidRPr="0001748B" w:rsidRDefault="00EB69F7" w:rsidP="00EB69F7">
      <w:pPr>
        <w:tabs>
          <w:tab w:val="left" w:pos="567"/>
        </w:tabs>
        <w:spacing w:line="240" w:lineRule="auto"/>
        <w:rPr>
          <w:rFonts w:eastAsiaTheme="minorHAnsi" w:cstheme="minorBidi"/>
          <w:sz w:val="20"/>
          <w:szCs w:val="20"/>
          <w:lang w:eastAsia="en-US"/>
        </w:rPr>
      </w:pPr>
    </w:p>
    <w:p w:rsidR="00EB69F7" w:rsidRPr="0001748B" w:rsidRDefault="00EB69F7" w:rsidP="00EB69F7">
      <w:pPr>
        <w:widowControl/>
        <w:numPr>
          <w:ilvl w:val="0"/>
          <w:numId w:val="1"/>
        </w:numPr>
        <w:tabs>
          <w:tab w:val="left" w:pos="567"/>
          <w:tab w:val="num" w:pos="5057"/>
        </w:tabs>
        <w:adjustRightInd/>
        <w:spacing w:line="240" w:lineRule="auto"/>
        <w:ind w:left="0" w:firstLine="0"/>
        <w:textAlignment w:val="auto"/>
        <w:rPr>
          <w:rFonts w:eastAsiaTheme="minorHAnsi" w:cstheme="minorBidi"/>
          <w:sz w:val="20"/>
          <w:szCs w:val="20"/>
          <w:lang w:eastAsia="en-US"/>
        </w:rPr>
      </w:pPr>
      <w:r w:rsidRPr="0001748B">
        <w:rPr>
          <w:rFonts w:eastAsiaTheme="minorHAnsi" w:cstheme="minorBidi"/>
          <w:sz w:val="20"/>
          <w:szCs w:val="20"/>
          <w:lang w:eastAsia="en-US"/>
        </w:rPr>
        <w:t>Luego de más de tres años de investigación</w:t>
      </w:r>
      <w:r w:rsidR="009C025F" w:rsidRPr="0001748B">
        <w:rPr>
          <w:rFonts w:eastAsiaTheme="minorHAnsi" w:cstheme="minorBidi"/>
          <w:sz w:val="20"/>
          <w:szCs w:val="20"/>
          <w:lang w:eastAsia="en-US"/>
        </w:rPr>
        <w:t>,</w:t>
      </w:r>
      <w:r w:rsidRPr="0001748B">
        <w:rPr>
          <w:rFonts w:eastAsiaTheme="minorHAnsi" w:cstheme="minorBidi"/>
          <w:sz w:val="20"/>
          <w:szCs w:val="20"/>
          <w:lang w:eastAsia="en-US"/>
        </w:rPr>
        <w:t xml:space="preserve"> con base en estas diligencias y en 26 declaraciones testimoniales </w:t>
      </w:r>
      <w:r w:rsidR="00125611">
        <w:rPr>
          <w:rFonts w:eastAsiaTheme="minorHAnsi" w:cstheme="minorBidi"/>
          <w:sz w:val="20"/>
          <w:szCs w:val="20"/>
          <w:lang w:eastAsia="en-US"/>
        </w:rPr>
        <w:t xml:space="preserve">recabadas, </w:t>
      </w:r>
      <w:r w:rsidRPr="0001748B">
        <w:rPr>
          <w:rFonts w:eastAsiaTheme="minorHAnsi" w:cstheme="minorBidi"/>
          <w:sz w:val="20"/>
          <w:szCs w:val="20"/>
          <w:lang w:eastAsia="en-US"/>
        </w:rPr>
        <w:t>que incluyeron las de las máximas autoridades de la ESGUARNAC-CORDERO y del personal a cargo de la práctica en que resultó herido Johan Alexis, la justicia militar formuló acusación contra los efectivos responsables de la práctica por la comisión del delito de homicidio culposo; contra el Capitán a cargo del ejercicio por el delito de autor intelectual y material de homicidio intencional calificado; contra otros miembros de la Guardia Nacional por el delito de encubrimiento y contra quien accionó la</w:t>
      </w:r>
      <w:r w:rsidR="008D20E0">
        <w:rPr>
          <w:rFonts w:eastAsiaTheme="minorHAnsi" w:cstheme="minorBidi"/>
          <w:sz w:val="20"/>
          <w:szCs w:val="20"/>
          <w:lang w:eastAsia="en-US"/>
        </w:rPr>
        <w:t xml:space="preserve"> ametralladora</w:t>
      </w:r>
      <w:r w:rsidRPr="0001748B">
        <w:rPr>
          <w:rFonts w:eastAsiaTheme="minorHAnsi" w:cstheme="minorBidi"/>
          <w:sz w:val="20"/>
          <w:szCs w:val="20"/>
          <w:lang w:eastAsia="en-US"/>
        </w:rPr>
        <w:t xml:space="preserve"> AFAG, por el delito de encubrimiento y simulación de hecho punible o simulación objetiva</w:t>
      </w:r>
      <w:r w:rsidRPr="008031E5">
        <w:rPr>
          <w:rFonts w:eastAsiaTheme="minorHAnsi" w:cstheme="minorBidi"/>
          <w:sz w:val="20"/>
          <w:szCs w:val="20"/>
          <w:vertAlign w:val="superscript"/>
          <w:lang w:eastAsia="en-US"/>
        </w:rPr>
        <w:footnoteReference w:id="87"/>
      </w:r>
      <w:r w:rsidRPr="0001748B">
        <w:rPr>
          <w:rFonts w:eastAsiaTheme="minorHAnsi" w:cstheme="minorBidi"/>
          <w:sz w:val="20"/>
          <w:szCs w:val="20"/>
          <w:lang w:eastAsia="en-US"/>
        </w:rPr>
        <w:t>. Sin embargo, debido a diversos incidentes procesales, el proceso no avanzó más allá de la etapa intermedia.</w:t>
      </w:r>
    </w:p>
    <w:p w:rsidR="00EB69F7" w:rsidRPr="0001748B" w:rsidRDefault="00EB69F7" w:rsidP="00EB69F7">
      <w:pPr>
        <w:tabs>
          <w:tab w:val="left" w:pos="567"/>
        </w:tabs>
        <w:spacing w:line="240" w:lineRule="auto"/>
        <w:rPr>
          <w:rFonts w:eastAsiaTheme="minorHAnsi" w:cstheme="minorBidi"/>
          <w:sz w:val="20"/>
          <w:szCs w:val="20"/>
          <w:lang w:eastAsia="en-US"/>
        </w:rPr>
      </w:pPr>
    </w:p>
    <w:p w:rsidR="00EB69F7" w:rsidRPr="0001748B" w:rsidRDefault="00EB69F7" w:rsidP="00EB69F7">
      <w:pPr>
        <w:widowControl/>
        <w:numPr>
          <w:ilvl w:val="0"/>
          <w:numId w:val="1"/>
        </w:numPr>
        <w:tabs>
          <w:tab w:val="left" w:pos="567"/>
          <w:tab w:val="num" w:pos="5057"/>
        </w:tabs>
        <w:adjustRightInd/>
        <w:spacing w:line="240" w:lineRule="auto"/>
        <w:ind w:left="0" w:firstLine="0"/>
        <w:textAlignment w:val="auto"/>
        <w:rPr>
          <w:rFonts w:eastAsiaTheme="minorHAnsi" w:cstheme="minorBidi"/>
          <w:sz w:val="20"/>
          <w:szCs w:val="20"/>
          <w:lang w:eastAsia="en-US"/>
        </w:rPr>
      </w:pPr>
      <w:r w:rsidRPr="0001748B">
        <w:rPr>
          <w:rFonts w:eastAsiaTheme="minorHAnsi" w:cstheme="minorBidi"/>
          <w:sz w:val="20"/>
          <w:szCs w:val="20"/>
          <w:lang w:eastAsia="en-US"/>
        </w:rPr>
        <w:t>En virtud de ello, el señor Edgar Humberto Ortiz Ruiz, luego de que se reconociera su intervención en el proceso</w:t>
      </w:r>
      <w:r w:rsidR="000D619F" w:rsidRPr="0001748B">
        <w:rPr>
          <w:rFonts w:eastAsiaTheme="minorHAnsi" w:cstheme="minorBidi"/>
          <w:sz w:val="20"/>
          <w:szCs w:val="20"/>
          <w:lang w:eastAsia="en-US"/>
        </w:rPr>
        <w:t>,</w:t>
      </w:r>
      <w:r w:rsidRPr="0001748B">
        <w:rPr>
          <w:rFonts w:eastAsiaTheme="minorHAnsi" w:cstheme="minorBidi"/>
          <w:sz w:val="20"/>
          <w:szCs w:val="20"/>
          <w:lang w:eastAsia="en-US"/>
        </w:rPr>
        <w:t xml:space="preserve"> así como la de la señora Zaida Hernández de Arellano</w:t>
      </w:r>
      <w:r w:rsidR="000D619F" w:rsidRPr="0001748B">
        <w:rPr>
          <w:rFonts w:eastAsiaTheme="minorHAnsi" w:cstheme="minorBidi"/>
          <w:sz w:val="20"/>
          <w:szCs w:val="20"/>
          <w:lang w:eastAsia="en-US"/>
        </w:rPr>
        <w:t>,</w:t>
      </w:r>
      <w:r w:rsidRPr="0001748B">
        <w:rPr>
          <w:rFonts w:eastAsiaTheme="minorHAnsi" w:cstheme="minorBidi"/>
          <w:sz w:val="20"/>
          <w:szCs w:val="20"/>
          <w:lang w:eastAsia="en-US"/>
        </w:rPr>
        <w:t xml:space="preserve"> en su condición de “víctimas”</w:t>
      </w:r>
      <w:r w:rsidRPr="0001748B">
        <w:rPr>
          <w:rFonts w:eastAsiaTheme="minorHAnsi" w:cstheme="minorBidi"/>
          <w:sz w:val="20"/>
          <w:szCs w:val="20"/>
          <w:vertAlign w:val="superscript"/>
          <w:lang w:eastAsia="en-US"/>
        </w:rPr>
        <w:footnoteReference w:id="88"/>
      </w:r>
      <w:r w:rsidRPr="0001748B">
        <w:rPr>
          <w:rFonts w:eastAsiaTheme="minorHAnsi" w:cstheme="minorBidi"/>
          <w:sz w:val="20"/>
          <w:szCs w:val="20"/>
          <w:lang w:eastAsia="en-US"/>
        </w:rPr>
        <w:t>, promovió una acción de amparo constitucional</w:t>
      </w:r>
      <w:r w:rsidRPr="0001748B">
        <w:rPr>
          <w:rFonts w:eastAsiaTheme="minorHAnsi" w:cstheme="minorBidi"/>
          <w:sz w:val="20"/>
          <w:szCs w:val="20"/>
          <w:vertAlign w:val="superscript"/>
          <w:lang w:eastAsia="en-US"/>
        </w:rPr>
        <w:footnoteReference w:id="89"/>
      </w:r>
      <w:r w:rsidRPr="0001748B">
        <w:rPr>
          <w:rFonts w:eastAsiaTheme="minorHAnsi" w:cstheme="minorBidi"/>
          <w:sz w:val="20"/>
          <w:szCs w:val="20"/>
          <w:lang w:eastAsia="en-US"/>
        </w:rPr>
        <w:t xml:space="preserve"> con el objeto de que la investigación pasara a manos de la justicia ordinaria, debido a que las autoridades militares llevaban conociendo el caso por más de tres años y medio sin que se h</w:t>
      </w:r>
      <w:r w:rsidR="000D619F" w:rsidRPr="0001748B">
        <w:rPr>
          <w:rFonts w:eastAsiaTheme="minorHAnsi" w:cstheme="minorBidi"/>
          <w:sz w:val="20"/>
          <w:szCs w:val="20"/>
          <w:lang w:eastAsia="en-US"/>
        </w:rPr>
        <w:t>ubiera</w:t>
      </w:r>
      <w:r w:rsidRPr="0001748B">
        <w:rPr>
          <w:rFonts w:eastAsiaTheme="minorHAnsi" w:cstheme="minorBidi"/>
          <w:sz w:val="20"/>
          <w:szCs w:val="20"/>
          <w:lang w:eastAsia="en-US"/>
        </w:rPr>
        <w:t xml:space="preserve"> arribado a la verdad de lo acontecido</w:t>
      </w:r>
      <w:r w:rsidRPr="0001748B">
        <w:rPr>
          <w:rFonts w:eastAsiaTheme="minorHAnsi" w:cstheme="minorBidi"/>
          <w:sz w:val="20"/>
          <w:szCs w:val="20"/>
          <w:vertAlign w:val="superscript"/>
          <w:lang w:eastAsia="en-US"/>
        </w:rPr>
        <w:footnoteReference w:id="90"/>
      </w:r>
      <w:r w:rsidRPr="0001748B">
        <w:rPr>
          <w:rFonts w:eastAsiaTheme="minorHAnsi" w:cstheme="minorBidi"/>
          <w:sz w:val="20"/>
          <w:szCs w:val="20"/>
          <w:lang w:eastAsia="en-US"/>
        </w:rPr>
        <w:t>. El 11 de junio de 2002 la Sala Constitucional declaró con lugar la acción de amparo y ordenó la anulación de todo lo actuado en el proceso penal seguido en la jurisdicción militar, excepto aquellas pruebas que no pudieran repetirse, y la remisión del expediente al Ministerio Público para que se iniciara el procedimiento de conformidad con el Código Orgánico Procesal Penal</w:t>
      </w:r>
      <w:r w:rsidRPr="0001748B">
        <w:rPr>
          <w:rFonts w:eastAsiaTheme="minorHAnsi" w:cstheme="minorBidi"/>
          <w:sz w:val="20"/>
          <w:szCs w:val="20"/>
          <w:vertAlign w:val="superscript"/>
          <w:lang w:eastAsia="en-US"/>
        </w:rPr>
        <w:footnoteReference w:id="91"/>
      </w:r>
      <w:r w:rsidRPr="0001748B">
        <w:rPr>
          <w:rFonts w:eastAsiaTheme="minorHAnsi" w:cstheme="minorBidi"/>
          <w:sz w:val="20"/>
          <w:szCs w:val="20"/>
          <w:lang w:eastAsia="en-US"/>
        </w:rPr>
        <w:t>. Para así decidir, la Sala estimó que, de conformidad con el artículo 261</w:t>
      </w:r>
      <w:r w:rsidRPr="0001748B">
        <w:rPr>
          <w:rFonts w:eastAsiaTheme="minorHAnsi" w:cstheme="minorBidi"/>
          <w:sz w:val="20"/>
          <w:szCs w:val="20"/>
          <w:vertAlign w:val="superscript"/>
          <w:lang w:eastAsia="en-US"/>
        </w:rPr>
        <w:footnoteReference w:id="92"/>
      </w:r>
      <w:r w:rsidRPr="0001748B">
        <w:rPr>
          <w:rFonts w:eastAsiaTheme="minorHAnsi" w:cstheme="minorBidi"/>
          <w:sz w:val="20"/>
          <w:szCs w:val="20"/>
          <w:lang w:eastAsia="en-US"/>
        </w:rPr>
        <w:t xml:space="preserve"> de la nueva Constitución de la República Bolivariana de Venezuela, los delitos comunes cometidos por militares, </w:t>
      </w:r>
      <w:r w:rsidR="00045C95" w:rsidRPr="0001748B">
        <w:rPr>
          <w:rFonts w:eastAsiaTheme="minorHAnsi" w:cstheme="minorBidi"/>
          <w:sz w:val="20"/>
          <w:szCs w:val="20"/>
          <w:lang w:eastAsia="en-US"/>
        </w:rPr>
        <w:t>aun</w:t>
      </w:r>
      <w:r w:rsidRPr="0001748B">
        <w:rPr>
          <w:rFonts w:eastAsiaTheme="minorHAnsi" w:cstheme="minorBidi"/>
          <w:sz w:val="20"/>
          <w:szCs w:val="20"/>
          <w:lang w:eastAsia="en-US"/>
        </w:rPr>
        <w:t xml:space="preserve"> cuando sea en ejercicio de funciones militares, en actos de servicio, en comisiones o con ocasión de ellas o encontrándose dentro o fuera de las instalaciones militares, deben ser juzgados por los tribunales ordinarios; circunstancias que se verificaban en el presente caso.</w:t>
      </w:r>
    </w:p>
    <w:p w:rsidR="00EB69F7" w:rsidRPr="0001748B" w:rsidRDefault="00EB69F7" w:rsidP="00EB69F7">
      <w:pPr>
        <w:widowControl/>
        <w:adjustRightInd/>
        <w:spacing w:line="240" w:lineRule="auto"/>
        <w:textAlignment w:val="auto"/>
        <w:rPr>
          <w:rFonts w:eastAsiaTheme="minorHAnsi" w:cstheme="minorBidi"/>
          <w:sz w:val="20"/>
          <w:szCs w:val="20"/>
          <w:lang w:eastAsia="en-US"/>
        </w:rPr>
      </w:pPr>
    </w:p>
    <w:p w:rsidR="008C75B3" w:rsidRPr="0001748B" w:rsidRDefault="00EB69F7" w:rsidP="008C75B3">
      <w:pPr>
        <w:widowControl/>
        <w:numPr>
          <w:ilvl w:val="0"/>
          <w:numId w:val="1"/>
        </w:numPr>
        <w:tabs>
          <w:tab w:val="left" w:pos="567"/>
          <w:tab w:val="num" w:pos="5057"/>
        </w:tabs>
        <w:adjustRightInd/>
        <w:spacing w:line="240" w:lineRule="auto"/>
        <w:ind w:left="0" w:firstLine="0"/>
        <w:textAlignment w:val="auto"/>
        <w:rPr>
          <w:rFonts w:eastAsiaTheme="minorHAnsi" w:cstheme="minorBidi"/>
          <w:sz w:val="20"/>
          <w:szCs w:val="20"/>
          <w:lang w:eastAsia="en-US"/>
        </w:rPr>
      </w:pPr>
      <w:r w:rsidRPr="0001748B">
        <w:rPr>
          <w:rFonts w:eastAsiaTheme="minorHAnsi" w:cstheme="minorBidi"/>
          <w:sz w:val="20"/>
          <w:szCs w:val="20"/>
          <w:lang w:eastAsia="en-US"/>
        </w:rPr>
        <w:t xml:space="preserve">En virtud de dicha decisión, el caso fue remitido al Ministerio Público, </w:t>
      </w:r>
      <w:r w:rsidR="00D927D2" w:rsidRPr="0001748B">
        <w:rPr>
          <w:rFonts w:eastAsiaTheme="minorHAnsi" w:cstheme="minorBidi"/>
          <w:sz w:val="20"/>
          <w:szCs w:val="20"/>
          <w:lang w:eastAsia="en-US"/>
        </w:rPr>
        <w:t xml:space="preserve">el cual </w:t>
      </w:r>
      <w:r w:rsidRPr="0001748B">
        <w:rPr>
          <w:rFonts w:eastAsiaTheme="minorHAnsi" w:cstheme="minorBidi"/>
          <w:sz w:val="20"/>
          <w:szCs w:val="20"/>
          <w:lang w:eastAsia="en-US"/>
        </w:rPr>
        <w:t>ordenó el inicio de una nueva investigación</w:t>
      </w:r>
      <w:r w:rsidRPr="0001748B">
        <w:rPr>
          <w:rFonts w:eastAsiaTheme="minorHAnsi" w:cstheme="minorBidi"/>
          <w:sz w:val="20"/>
          <w:szCs w:val="20"/>
          <w:vertAlign w:val="superscript"/>
          <w:lang w:eastAsia="en-US"/>
        </w:rPr>
        <w:footnoteReference w:id="93"/>
      </w:r>
      <w:r w:rsidRPr="0001748B">
        <w:rPr>
          <w:rFonts w:eastAsiaTheme="minorHAnsi" w:cstheme="minorBidi"/>
          <w:sz w:val="20"/>
          <w:szCs w:val="20"/>
          <w:lang w:eastAsia="en-US"/>
        </w:rPr>
        <w:t xml:space="preserve">. Entre los años 2003 y 2011 el Ministerio </w:t>
      </w:r>
      <w:r w:rsidR="00723B4B" w:rsidRPr="0001748B">
        <w:rPr>
          <w:rFonts w:eastAsiaTheme="minorHAnsi" w:cstheme="minorBidi"/>
          <w:sz w:val="20"/>
          <w:szCs w:val="20"/>
          <w:lang w:eastAsia="en-US"/>
        </w:rPr>
        <w:t xml:space="preserve">Público </w:t>
      </w:r>
      <w:r w:rsidRPr="0001748B">
        <w:rPr>
          <w:rFonts w:eastAsiaTheme="minorHAnsi" w:cstheme="minorBidi"/>
          <w:sz w:val="20"/>
          <w:szCs w:val="20"/>
          <w:lang w:eastAsia="en-US"/>
        </w:rPr>
        <w:t>llevó adelante diferentes medidas de prueba que incluyeron más de 40 declaraciones testimoniales, entre las que se encuentran las del personal interviniente en el hecho y de los profesionales médicos que atendieron al señor Ortiz Hernández y realizaron su autopsia</w:t>
      </w:r>
      <w:r w:rsidRPr="0001748B">
        <w:rPr>
          <w:rFonts w:eastAsiaTheme="minorHAnsi" w:cstheme="minorBidi"/>
          <w:sz w:val="20"/>
          <w:szCs w:val="20"/>
          <w:vertAlign w:val="superscript"/>
          <w:lang w:eastAsia="en-US"/>
        </w:rPr>
        <w:footnoteReference w:id="94"/>
      </w:r>
      <w:r w:rsidRPr="0001748B">
        <w:rPr>
          <w:rFonts w:eastAsiaTheme="minorHAnsi" w:cstheme="minorBidi"/>
          <w:sz w:val="20"/>
          <w:szCs w:val="20"/>
          <w:lang w:eastAsia="en-US"/>
        </w:rPr>
        <w:t>; prueba de trayectoria balística</w:t>
      </w:r>
      <w:r w:rsidRPr="0001748B">
        <w:rPr>
          <w:rFonts w:eastAsiaTheme="minorHAnsi" w:cstheme="minorBidi"/>
          <w:sz w:val="20"/>
          <w:szCs w:val="20"/>
          <w:vertAlign w:val="superscript"/>
          <w:lang w:eastAsia="en-US"/>
        </w:rPr>
        <w:footnoteReference w:id="95"/>
      </w:r>
      <w:r w:rsidRPr="0001748B">
        <w:rPr>
          <w:rFonts w:eastAsiaTheme="minorHAnsi" w:cstheme="minorBidi"/>
          <w:sz w:val="20"/>
          <w:szCs w:val="20"/>
          <w:lang w:eastAsia="en-US"/>
        </w:rPr>
        <w:t xml:space="preserve">; reconocimiento técnico a un arma de fuego entregada por el Destacamento de los Comandos Rurales N° 19 y prueba de experticia mecánica y diseño al arma de fuego ametralladora marca FN </w:t>
      </w:r>
      <w:r w:rsidRPr="0001748B">
        <w:rPr>
          <w:rFonts w:eastAsiaTheme="minorHAnsi" w:cstheme="minorBidi"/>
          <w:sz w:val="20"/>
          <w:szCs w:val="20"/>
          <w:lang w:eastAsia="en-US"/>
        </w:rPr>
        <w:lastRenderedPageBreak/>
        <w:t>AFAG, modelo M61, calibre 7.62 mm</w:t>
      </w:r>
      <w:r w:rsidRPr="0001748B">
        <w:rPr>
          <w:rFonts w:eastAsiaTheme="minorHAnsi" w:cstheme="minorBidi"/>
          <w:sz w:val="20"/>
          <w:szCs w:val="20"/>
          <w:vertAlign w:val="superscript"/>
          <w:lang w:eastAsia="en-US"/>
        </w:rPr>
        <w:footnoteReference w:id="96"/>
      </w:r>
      <w:r w:rsidRPr="0001748B">
        <w:rPr>
          <w:rFonts w:eastAsiaTheme="minorHAnsi" w:cstheme="minorBidi"/>
          <w:sz w:val="20"/>
          <w:szCs w:val="20"/>
          <w:lang w:eastAsia="en-US"/>
        </w:rPr>
        <w:t>; experticia de reconocimiento técnico a “un fragmento de blindaje” y “fragmento de núcleo” de proyectil presuntamente extraídos del cuerpo de la víctima</w:t>
      </w:r>
      <w:r w:rsidRPr="0001748B">
        <w:rPr>
          <w:rFonts w:eastAsiaTheme="minorHAnsi" w:cstheme="minorBidi"/>
          <w:sz w:val="20"/>
          <w:szCs w:val="20"/>
          <w:vertAlign w:val="superscript"/>
          <w:lang w:eastAsia="en-US"/>
        </w:rPr>
        <w:footnoteReference w:id="97"/>
      </w:r>
      <w:r w:rsidRPr="0001748B">
        <w:rPr>
          <w:rFonts w:eastAsiaTheme="minorHAnsi" w:cstheme="minorBidi"/>
          <w:sz w:val="20"/>
          <w:szCs w:val="20"/>
          <w:lang w:eastAsia="en-US"/>
        </w:rPr>
        <w:t>; experticia de reconocimiento legal, hematológica, química y barrido al presunto uniforme de Johan Alexis</w:t>
      </w:r>
      <w:r w:rsidRPr="0001748B">
        <w:rPr>
          <w:rFonts w:eastAsiaTheme="minorHAnsi" w:cstheme="minorBidi"/>
          <w:sz w:val="20"/>
          <w:szCs w:val="20"/>
          <w:vertAlign w:val="superscript"/>
          <w:lang w:eastAsia="en-US"/>
        </w:rPr>
        <w:footnoteReference w:id="98"/>
      </w:r>
      <w:r w:rsidRPr="0001748B">
        <w:rPr>
          <w:rFonts w:eastAsiaTheme="minorHAnsi" w:cstheme="minorBidi"/>
          <w:sz w:val="20"/>
          <w:szCs w:val="20"/>
          <w:lang w:eastAsia="en-US"/>
        </w:rPr>
        <w:t>; experticia agronómica y granulometría en la cancha de obstáculos; levantamiento planimétrico; y prueba de trayecto</w:t>
      </w:r>
      <w:r w:rsidR="00536050">
        <w:rPr>
          <w:rFonts w:eastAsiaTheme="minorHAnsi" w:cstheme="minorBidi"/>
          <w:sz w:val="20"/>
          <w:szCs w:val="20"/>
          <w:lang w:eastAsia="en-US"/>
        </w:rPr>
        <w:t>ria intraorgánica, entre otras.</w:t>
      </w:r>
    </w:p>
    <w:p w:rsidR="008C75B3" w:rsidRPr="0001748B" w:rsidRDefault="008C75B3" w:rsidP="008C75B3">
      <w:pPr>
        <w:widowControl/>
        <w:tabs>
          <w:tab w:val="left" w:pos="567"/>
        </w:tabs>
        <w:adjustRightInd/>
        <w:spacing w:line="240" w:lineRule="auto"/>
        <w:textAlignment w:val="auto"/>
        <w:rPr>
          <w:rFonts w:eastAsiaTheme="minorHAnsi" w:cstheme="minorBidi"/>
          <w:sz w:val="20"/>
          <w:szCs w:val="20"/>
          <w:lang w:eastAsia="en-US"/>
        </w:rPr>
      </w:pPr>
    </w:p>
    <w:p w:rsidR="00DB6388" w:rsidRPr="0001748B" w:rsidRDefault="00DB6388" w:rsidP="00DB6388">
      <w:pPr>
        <w:widowControl/>
        <w:numPr>
          <w:ilvl w:val="0"/>
          <w:numId w:val="1"/>
        </w:numPr>
        <w:tabs>
          <w:tab w:val="left" w:pos="567"/>
          <w:tab w:val="num" w:pos="5057"/>
        </w:tabs>
        <w:adjustRightInd/>
        <w:spacing w:line="240" w:lineRule="auto"/>
        <w:ind w:left="0" w:firstLine="0"/>
        <w:textAlignment w:val="auto"/>
        <w:rPr>
          <w:rFonts w:eastAsiaTheme="minorHAnsi" w:cstheme="minorBidi"/>
          <w:sz w:val="20"/>
          <w:szCs w:val="20"/>
          <w:lang w:eastAsia="en-US"/>
        </w:rPr>
      </w:pPr>
      <w:r w:rsidRPr="0001748B">
        <w:rPr>
          <w:rFonts w:eastAsiaTheme="minorHAnsi" w:cstheme="minorBidi"/>
          <w:sz w:val="20"/>
          <w:szCs w:val="20"/>
          <w:lang w:eastAsia="en-US"/>
        </w:rPr>
        <w:t>El 24 de noviembre de 2011 el Ministerio Público presentó cargos contra el oficial encargado de disparar con la ametralladora AFAG por el delito de homicidio intencional a título de dolo eventual y uso indebido de arma de guerra</w:t>
      </w:r>
      <w:r w:rsidRPr="0001748B">
        <w:rPr>
          <w:rFonts w:eastAsiaTheme="minorHAnsi" w:cstheme="minorBidi"/>
          <w:sz w:val="20"/>
          <w:szCs w:val="20"/>
          <w:vertAlign w:val="superscript"/>
          <w:lang w:eastAsia="en-US"/>
        </w:rPr>
        <w:footnoteReference w:id="99"/>
      </w:r>
      <w:r w:rsidRPr="0001748B">
        <w:rPr>
          <w:rFonts w:eastAsiaTheme="minorHAnsi" w:cstheme="minorBidi"/>
          <w:sz w:val="20"/>
          <w:szCs w:val="20"/>
          <w:lang w:eastAsia="en-US"/>
        </w:rPr>
        <w:t>. Disconformes con dicha imputación, el 23 de marzo de 2012 los progenitores del señor Ortiz Hernández solicitaron su nulidad, alegando que la Fiscalía no había analizado las experticias que permitían demostrar que su hijo había recibido impactos de proyectiles de bajo calibre y no de esquirlas o fragmentos y que los mismos habían sido cambiados durante la investigación. Además, afirmaron que la imputación no era correcta ni completa en contra de los demás funcionarios de la G</w:t>
      </w:r>
      <w:r w:rsidR="00A939DE" w:rsidRPr="0001748B">
        <w:rPr>
          <w:rFonts w:eastAsiaTheme="minorHAnsi" w:cstheme="minorBidi"/>
          <w:sz w:val="20"/>
          <w:szCs w:val="20"/>
          <w:lang w:eastAsia="en-US"/>
        </w:rPr>
        <w:t xml:space="preserve">uardia </w:t>
      </w:r>
      <w:r w:rsidRPr="0001748B">
        <w:rPr>
          <w:rFonts w:eastAsiaTheme="minorHAnsi" w:cstheme="minorBidi"/>
          <w:sz w:val="20"/>
          <w:szCs w:val="20"/>
          <w:lang w:eastAsia="en-US"/>
        </w:rPr>
        <w:t>N</w:t>
      </w:r>
      <w:r w:rsidR="00A939DE" w:rsidRPr="0001748B">
        <w:rPr>
          <w:rFonts w:eastAsiaTheme="minorHAnsi" w:cstheme="minorBidi"/>
          <w:sz w:val="20"/>
          <w:szCs w:val="20"/>
          <w:lang w:eastAsia="en-US"/>
        </w:rPr>
        <w:t>acional</w:t>
      </w:r>
      <w:r w:rsidRPr="0001748B">
        <w:rPr>
          <w:rFonts w:eastAsiaTheme="minorHAnsi" w:cstheme="minorBidi"/>
          <w:sz w:val="20"/>
          <w:szCs w:val="20"/>
          <w:lang w:eastAsia="en-US"/>
        </w:rPr>
        <w:t xml:space="preserve"> y </w:t>
      </w:r>
      <w:r w:rsidR="00A939DE" w:rsidRPr="0001748B">
        <w:rPr>
          <w:rFonts w:eastAsiaTheme="minorHAnsi" w:cstheme="minorBidi"/>
          <w:sz w:val="20"/>
          <w:szCs w:val="20"/>
          <w:lang w:eastAsia="en-US"/>
        </w:rPr>
        <w:t xml:space="preserve">argumentaron </w:t>
      </w:r>
      <w:r w:rsidRPr="0001748B">
        <w:rPr>
          <w:rFonts w:eastAsiaTheme="minorHAnsi" w:cstheme="minorBidi"/>
          <w:sz w:val="20"/>
          <w:szCs w:val="20"/>
          <w:lang w:eastAsia="en-US"/>
        </w:rPr>
        <w:t>que su hijo hab</w:t>
      </w:r>
      <w:r w:rsidR="00A939DE" w:rsidRPr="0001748B">
        <w:rPr>
          <w:rFonts w:eastAsiaTheme="minorHAnsi" w:cstheme="minorBidi"/>
          <w:sz w:val="20"/>
          <w:szCs w:val="20"/>
          <w:lang w:eastAsia="en-US"/>
        </w:rPr>
        <w:t>r</w:t>
      </w:r>
      <w:r w:rsidRPr="0001748B">
        <w:rPr>
          <w:rFonts w:eastAsiaTheme="minorHAnsi" w:cstheme="minorBidi"/>
          <w:sz w:val="20"/>
          <w:szCs w:val="20"/>
          <w:lang w:eastAsia="en-US"/>
        </w:rPr>
        <w:t>ía sido torturado antes de morir</w:t>
      </w:r>
      <w:r w:rsidRPr="0001748B">
        <w:rPr>
          <w:rFonts w:eastAsiaTheme="minorHAnsi" w:cstheme="minorBidi"/>
          <w:sz w:val="20"/>
          <w:szCs w:val="20"/>
          <w:vertAlign w:val="superscript"/>
          <w:lang w:eastAsia="en-US"/>
        </w:rPr>
        <w:footnoteReference w:id="100"/>
      </w:r>
      <w:r w:rsidRPr="0001748B">
        <w:rPr>
          <w:rFonts w:eastAsiaTheme="minorHAnsi" w:cstheme="minorBidi"/>
          <w:sz w:val="20"/>
          <w:szCs w:val="20"/>
          <w:lang w:eastAsia="en-US"/>
        </w:rPr>
        <w:t>.</w:t>
      </w:r>
    </w:p>
    <w:p w:rsidR="00DB6388" w:rsidRPr="0001748B" w:rsidRDefault="00DB6388" w:rsidP="00DB6388">
      <w:pPr>
        <w:widowControl/>
        <w:adjustRightInd/>
        <w:spacing w:line="240" w:lineRule="auto"/>
        <w:textAlignment w:val="auto"/>
        <w:rPr>
          <w:rFonts w:eastAsiaTheme="minorHAnsi" w:cstheme="minorBidi"/>
          <w:sz w:val="20"/>
          <w:szCs w:val="20"/>
          <w:lang w:eastAsia="en-US"/>
        </w:rPr>
      </w:pPr>
    </w:p>
    <w:p w:rsidR="00DB6388" w:rsidRPr="0001748B" w:rsidRDefault="00DB6388" w:rsidP="00DB638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Luego de ello, el Tribunal de Primera Instancia en Función de Control de San Cristóbal convocó a audiencia preliminar. Sin embargo, esta fue diferida en once oportunidades, en la mayoría de ellas, debido a la incomparecencia del imputado</w:t>
      </w:r>
      <w:r w:rsidRPr="0001748B">
        <w:rPr>
          <w:rFonts w:eastAsiaTheme="minorHAnsi" w:cstheme="minorBidi"/>
          <w:sz w:val="20"/>
          <w:szCs w:val="20"/>
          <w:vertAlign w:val="superscript"/>
          <w:lang w:eastAsia="en-US"/>
        </w:rPr>
        <w:footnoteReference w:id="101"/>
      </w:r>
      <w:r w:rsidRPr="0001748B">
        <w:rPr>
          <w:rFonts w:eastAsiaTheme="minorHAnsi" w:cstheme="minorBidi"/>
          <w:sz w:val="20"/>
          <w:szCs w:val="20"/>
          <w:lang w:eastAsia="en-US"/>
        </w:rPr>
        <w:t>.</w:t>
      </w:r>
    </w:p>
    <w:p w:rsidR="00DB6388" w:rsidRPr="0001748B" w:rsidRDefault="00DB6388" w:rsidP="00DB6388">
      <w:pPr>
        <w:tabs>
          <w:tab w:val="left" w:pos="567"/>
        </w:tabs>
        <w:spacing w:line="240" w:lineRule="auto"/>
        <w:rPr>
          <w:rFonts w:eastAsiaTheme="minorHAnsi" w:cstheme="minorBidi"/>
          <w:sz w:val="20"/>
          <w:szCs w:val="20"/>
          <w:lang w:eastAsia="en-US"/>
        </w:rPr>
      </w:pPr>
    </w:p>
    <w:p w:rsidR="00DB6388" w:rsidRPr="0001748B" w:rsidRDefault="00DB6388" w:rsidP="00DB638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Finalmente, la </w:t>
      </w:r>
      <w:r w:rsidR="00802A65" w:rsidRPr="0001748B">
        <w:rPr>
          <w:rFonts w:eastAsiaTheme="minorHAnsi" w:cstheme="minorBidi"/>
          <w:sz w:val="20"/>
          <w:szCs w:val="20"/>
          <w:lang w:eastAsia="en-US"/>
        </w:rPr>
        <w:t>audiencia preliminar</w:t>
      </w:r>
      <w:r w:rsidR="00802A65" w:rsidRPr="0001748B" w:rsidDel="00802A65">
        <w:rPr>
          <w:rFonts w:eastAsiaTheme="minorHAnsi" w:cstheme="minorBidi"/>
          <w:sz w:val="20"/>
          <w:szCs w:val="20"/>
          <w:lang w:eastAsia="en-US"/>
        </w:rPr>
        <w:t xml:space="preserve"> </w:t>
      </w:r>
      <w:r w:rsidRPr="0001748B">
        <w:rPr>
          <w:rFonts w:eastAsiaTheme="minorHAnsi" w:cstheme="minorBidi"/>
          <w:sz w:val="20"/>
          <w:szCs w:val="20"/>
          <w:lang w:eastAsia="en-US"/>
        </w:rPr>
        <w:t xml:space="preserve">se celebró el 4 de octubre de 2012. En esa oportunidad, el Tribunal decidió declarar sin lugar la solicitud del Ministerio Público </w:t>
      </w:r>
      <w:r w:rsidR="00161CFF">
        <w:rPr>
          <w:rFonts w:eastAsiaTheme="minorHAnsi" w:cstheme="minorBidi"/>
          <w:sz w:val="20"/>
          <w:szCs w:val="20"/>
          <w:lang w:eastAsia="en-US"/>
        </w:rPr>
        <w:t>de medida</w:t>
      </w:r>
      <w:r w:rsidR="00EA5D76">
        <w:rPr>
          <w:rFonts w:eastAsiaTheme="minorHAnsi" w:cstheme="minorBidi"/>
          <w:sz w:val="20"/>
          <w:szCs w:val="20"/>
          <w:lang w:eastAsia="en-US"/>
        </w:rPr>
        <w:t xml:space="preserve"> de</w:t>
      </w:r>
      <w:r w:rsidR="00161CFF">
        <w:rPr>
          <w:rFonts w:eastAsiaTheme="minorHAnsi" w:cstheme="minorBidi"/>
          <w:sz w:val="20"/>
          <w:szCs w:val="20"/>
          <w:lang w:eastAsia="en-US"/>
        </w:rPr>
        <w:t xml:space="preserve"> priva</w:t>
      </w:r>
      <w:r w:rsidR="00EA5D76">
        <w:rPr>
          <w:rFonts w:eastAsiaTheme="minorHAnsi" w:cstheme="minorBidi"/>
          <w:sz w:val="20"/>
          <w:szCs w:val="20"/>
          <w:lang w:eastAsia="en-US"/>
        </w:rPr>
        <w:t>ción preventiva</w:t>
      </w:r>
      <w:r w:rsidR="00161CFF">
        <w:rPr>
          <w:rFonts w:eastAsiaTheme="minorHAnsi" w:cstheme="minorBidi"/>
          <w:sz w:val="20"/>
          <w:szCs w:val="20"/>
          <w:lang w:eastAsia="en-US"/>
        </w:rPr>
        <w:t xml:space="preserve"> de libertad </w:t>
      </w:r>
      <w:r w:rsidRPr="0001748B">
        <w:rPr>
          <w:rFonts w:eastAsiaTheme="minorHAnsi" w:cstheme="minorBidi"/>
          <w:sz w:val="20"/>
          <w:szCs w:val="20"/>
          <w:lang w:eastAsia="en-US"/>
        </w:rPr>
        <w:t>e impuso al imputado medidas cautelares sustitutivas consistentes en prohibición de salida del país, presentación cada 15 días ante la autoridad judicial</w:t>
      </w:r>
      <w:r w:rsidR="004C1F4B" w:rsidRPr="0001748B">
        <w:rPr>
          <w:rFonts w:eastAsiaTheme="minorHAnsi" w:cstheme="minorBidi"/>
          <w:sz w:val="20"/>
          <w:szCs w:val="20"/>
          <w:lang w:eastAsia="en-US"/>
        </w:rPr>
        <w:t>, así como</w:t>
      </w:r>
      <w:r w:rsidRPr="0001748B">
        <w:rPr>
          <w:rFonts w:eastAsiaTheme="minorHAnsi" w:cstheme="minorBidi"/>
          <w:sz w:val="20"/>
          <w:szCs w:val="20"/>
          <w:lang w:eastAsia="en-US"/>
        </w:rPr>
        <w:t xml:space="preserve"> acudir y someterse a todos los actos del proceso. Además, decretó la nulidad de la acusación presentada por no cumplir con los requisitos previstos en el artículo 326 del Código Orgánico Procesal Penal entonces vigente, y la inobservancia de la jurisprudencia y la no realización de una investigación integral de la causa. Por último, instó al Ministerio Público a que en un plazo no mayor a 120 días emitiera un nuevo acto conclusivo</w:t>
      </w:r>
      <w:r w:rsidRPr="0001748B">
        <w:rPr>
          <w:rFonts w:eastAsiaTheme="minorHAnsi" w:cstheme="minorBidi"/>
          <w:sz w:val="20"/>
          <w:szCs w:val="20"/>
          <w:vertAlign w:val="superscript"/>
          <w:lang w:eastAsia="en-US"/>
        </w:rPr>
        <w:footnoteReference w:id="102"/>
      </w:r>
      <w:r w:rsidRPr="0001748B">
        <w:rPr>
          <w:rFonts w:eastAsiaTheme="minorHAnsi" w:cstheme="minorBidi"/>
          <w:sz w:val="20"/>
          <w:szCs w:val="20"/>
          <w:lang w:eastAsia="en-US"/>
        </w:rPr>
        <w:t>.</w:t>
      </w:r>
    </w:p>
    <w:p w:rsidR="00DB6388" w:rsidRPr="0001748B" w:rsidRDefault="00DB6388" w:rsidP="00DB6388">
      <w:pPr>
        <w:widowControl/>
        <w:adjustRightInd/>
        <w:spacing w:line="240" w:lineRule="auto"/>
        <w:textAlignment w:val="auto"/>
        <w:rPr>
          <w:rFonts w:eastAsiaTheme="minorHAnsi" w:cstheme="minorBidi"/>
          <w:sz w:val="20"/>
          <w:szCs w:val="20"/>
          <w:lang w:eastAsia="en-US"/>
        </w:rPr>
      </w:pPr>
    </w:p>
    <w:p w:rsidR="00EB69F7" w:rsidRPr="0001748B" w:rsidRDefault="00DB6388" w:rsidP="00EB69F7">
      <w:pPr>
        <w:widowControl/>
        <w:numPr>
          <w:ilvl w:val="0"/>
          <w:numId w:val="1"/>
        </w:numPr>
        <w:tabs>
          <w:tab w:val="left" w:pos="567"/>
          <w:tab w:val="num" w:pos="5057"/>
        </w:tabs>
        <w:adjustRightInd/>
        <w:spacing w:line="240" w:lineRule="auto"/>
        <w:ind w:left="0" w:firstLine="0"/>
        <w:textAlignment w:val="auto"/>
        <w:rPr>
          <w:rFonts w:eastAsiaTheme="minorHAnsi" w:cstheme="minorBidi"/>
          <w:sz w:val="20"/>
          <w:szCs w:val="20"/>
          <w:lang w:eastAsia="en-US"/>
        </w:rPr>
      </w:pPr>
      <w:r w:rsidRPr="0001748B">
        <w:rPr>
          <w:rFonts w:eastAsiaTheme="minorHAnsi" w:cstheme="minorBidi"/>
          <w:sz w:val="20"/>
          <w:szCs w:val="20"/>
          <w:lang w:eastAsia="en-US"/>
        </w:rPr>
        <w:t xml:space="preserve">El 27 de febrero de 2013 </w:t>
      </w:r>
      <w:r w:rsidR="00C34005">
        <w:rPr>
          <w:rFonts w:eastAsiaTheme="minorHAnsi" w:cstheme="minorBidi"/>
          <w:sz w:val="20"/>
          <w:szCs w:val="20"/>
          <w:lang w:eastAsia="en-US"/>
        </w:rPr>
        <w:t>los representantes d</w:t>
      </w:r>
      <w:r w:rsidRPr="0001748B">
        <w:rPr>
          <w:rFonts w:eastAsiaTheme="minorHAnsi" w:cstheme="minorBidi"/>
          <w:sz w:val="20"/>
          <w:szCs w:val="20"/>
          <w:lang w:eastAsia="en-US"/>
        </w:rPr>
        <w:t>el Ministerio Público present</w:t>
      </w:r>
      <w:r w:rsidR="00536050">
        <w:rPr>
          <w:rFonts w:eastAsiaTheme="minorHAnsi" w:cstheme="minorBidi"/>
          <w:sz w:val="20"/>
          <w:szCs w:val="20"/>
          <w:lang w:eastAsia="en-US"/>
        </w:rPr>
        <w:t>aron</w:t>
      </w:r>
      <w:r w:rsidRPr="0001748B">
        <w:rPr>
          <w:rFonts w:eastAsiaTheme="minorHAnsi" w:cstheme="minorBidi"/>
          <w:sz w:val="20"/>
          <w:szCs w:val="20"/>
          <w:lang w:eastAsia="en-US"/>
        </w:rPr>
        <w:t xml:space="preserve"> un nuevo escrito de acusación en contra del Guardia Nacional que accionaba la </w:t>
      </w:r>
      <w:r w:rsidR="008D20E0">
        <w:rPr>
          <w:rFonts w:eastAsiaTheme="minorHAnsi" w:cstheme="minorBidi"/>
          <w:sz w:val="20"/>
          <w:szCs w:val="20"/>
          <w:lang w:eastAsia="en-US"/>
        </w:rPr>
        <w:t xml:space="preserve">ametralladora </w:t>
      </w:r>
      <w:r w:rsidRPr="0001748B">
        <w:rPr>
          <w:rFonts w:eastAsiaTheme="minorHAnsi" w:cstheme="minorBidi"/>
          <w:sz w:val="20"/>
          <w:szCs w:val="20"/>
          <w:lang w:eastAsia="en-US"/>
        </w:rPr>
        <w:t>AFAG por la presunta comisión de los delitos de homicidio intencional a título de dolo eventual y uso indebido de arma de guerra, previstos y sancionados en los artículos 407 y 282 del Código Penal. Además, solicitaron medida de privación judicial preventiva de libertad para el acusado</w:t>
      </w:r>
      <w:r w:rsidRPr="0001748B">
        <w:rPr>
          <w:rFonts w:eastAsiaTheme="minorHAnsi" w:cstheme="minorBidi"/>
          <w:sz w:val="20"/>
          <w:szCs w:val="20"/>
          <w:vertAlign w:val="superscript"/>
          <w:lang w:eastAsia="en-US"/>
        </w:rPr>
        <w:footnoteReference w:id="103"/>
      </w:r>
      <w:r w:rsidRPr="0001748B">
        <w:rPr>
          <w:rFonts w:eastAsiaTheme="minorHAnsi" w:cstheme="minorBidi"/>
          <w:sz w:val="20"/>
          <w:szCs w:val="20"/>
          <w:lang w:eastAsia="en-US"/>
        </w:rPr>
        <w:t xml:space="preserve">. </w:t>
      </w:r>
      <w:r w:rsidR="00EB69F7" w:rsidRPr="0001748B">
        <w:rPr>
          <w:rFonts w:eastAsiaTheme="minorHAnsi" w:cstheme="minorBidi"/>
          <w:sz w:val="20"/>
          <w:szCs w:val="20"/>
          <w:lang w:eastAsia="en-US"/>
        </w:rPr>
        <w:t xml:space="preserve">La tesis central del Ministerio </w:t>
      </w:r>
      <w:r w:rsidR="002A6E5F">
        <w:rPr>
          <w:rFonts w:eastAsiaTheme="minorHAnsi" w:cstheme="minorBidi"/>
          <w:sz w:val="20"/>
          <w:szCs w:val="20"/>
          <w:lang w:eastAsia="en-US"/>
        </w:rPr>
        <w:t>Público</w:t>
      </w:r>
      <w:r w:rsidR="002A6E5F" w:rsidRPr="0001748B">
        <w:rPr>
          <w:rFonts w:eastAsiaTheme="minorHAnsi" w:cstheme="minorBidi"/>
          <w:sz w:val="20"/>
          <w:szCs w:val="20"/>
          <w:lang w:eastAsia="en-US"/>
        </w:rPr>
        <w:t xml:space="preserve"> </w:t>
      </w:r>
      <w:r w:rsidR="00EB69F7" w:rsidRPr="0001748B">
        <w:rPr>
          <w:rFonts w:eastAsiaTheme="minorHAnsi" w:cstheme="minorBidi"/>
          <w:sz w:val="20"/>
          <w:szCs w:val="20"/>
          <w:lang w:eastAsia="en-US"/>
        </w:rPr>
        <w:t>fue que uno de los proyectiles disparados por el imputado impactó contra un objeto de igual o mayor cohesión molecular</w:t>
      </w:r>
      <w:r w:rsidR="00EB69F7" w:rsidRPr="0001748B">
        <w:rPr>
          <w:rFonts w:eastAsiaTheme="minorHAnsi" w:cstheme="minorBidi"/>
          <w:sz w:val="20"/>
          <w:szCs w:val="20"/>
          <w:vertAlign w:val="superscript"/>
          <w:lang w:eastAsia="en-US"/>
        </w:rPr>
        <w:footnoteReference w:id="104"/>
      </w:r>
      <w:r w:rsidR="00EB69F7" w:rsidRPr="0001748B">
        <w:rPr>
          <w:rFonts w:eastAsiaTheme="minorHAnsi" w:cstheme="minorBidi"/>
          <w:sz w:val="20"/>
          <w:szCs w:val="20"/>
          <w:lang w:eastAsia="en-US"/>
        </w:rPr>
        <w:t>, lo que originó la fragmentación de la bala, siendo dichos fragmentos los que en definitiva impactaron en la humanidad de Johan Alexis</w:t>
      </w:r>
      <w:r w:rsidR="00EB69F7" w:rsidRPr="0001748B">
        <w:rPr>
          <w:rFonts w:eastAsiaTheme="minorHAnsi" w:cstheme="minorBidi"/>
          <w:sz w:val="20"/>
          <w:szCs w:val="20"/>
          <w:vertAlign w:val="superscript"/>
          <w:lang w:eastAsia="en-US"/>
        </w:rPr>
        <w:footnoteReference w:id="105"/>
      </w:r>
      <w:r w:rsidR="005B1DBF">
        <w:rPr>
          <w:rFonts w:eastAsiaTheme="minorHAnsi" w:cstheme="minorBidi"/>
          <w:sz w:val="20"/>
          <w:szCs w:val="20"/>
          <w:lang w:eastAsia="en-US"/>
        </w:rPr>
        <w:t>.</w:t>
      </w:r>
    </w:p>
    <w:p w:rsidR="00EB69F7" w:rsidRPr="0001748B" w:rsidRDefault="00EB69F7" w:rsidP="00EB69F7">
      <w:pPr>
        <w:widowControl/>
        <w:adjustRightInd/>
        <w:spacing w:line="240" w:lineRule="auto"/>
        <w:textAlignment w:val="auto"/>
        <w:rPr>
          <w:rFonts w:eastAsiaTheme="minorHAnsi" w:cstheme="minorBidi"/>
          <w:sz w:val="20"/>
          <w:szCs w:val="20"/>
          <w:lang w:eastAsia="en-US"/>
        </w:rPr>
      </w:pPr>
    </w:p>
    <w:p w:rsidR="00EB69F7" w:rsidRPr="0001748B" w:rsidRDefault="00EB69F7" w:rsidP="00EB69F7">
      <w:pPr>
        <w:widowControl/>
        <w:numPr>
          <w:ilvl w:val="0"/>
          <w:numId w:val="1"/>
        </w:numPr>
        <w:tabs>
          <w:tab w:val="left" w:pos="567"/>
          <w:tab w:val="num" w:pos="5057"/>
        </w:tabs>
        <w:adjustRightInd/>
        <w:spacing w:line="240" w:lineRule="auto"/>
        <w:ind w:left="0" w:firstLine="0"/>
        <w:textAlignment w:val="auto"/>
        <w:rPr>
          <w:rFonts w:eastAsiaTheme="minorHAnsi" w:cstheme="minorBidi"/>
          <w:sz w:val="20"/>
          <w:szCs w:val="20"/>
          <w:lang w:eastAsia="en-US"/>
        </w:rPr>
      </w:pPr>
      <w:r w:rsidRPr="0001748B">
        <w:rPr>
          <w:rFonts w:eastAsiaTheme="minorHAnsi" w:cstheme="minorBidi"/>
          <w:sz w:val="20"/>
          <w:szCs w:val="20"/>
          <w:lang w:eastAsia="en-US"/>
        </w:rPr>
        <w:t>Tras varios intentos de llevar a cabo la audiencia preliminar</w:t>
      </w:r>
      <w:r w:rsidRPr="0001748B">
        <w:rPr>
          <w:rFonts w:eastAsiaTheme="minorHAnsi" w:cstheme="minorBidi"/>
          <w:sz w:val="20"/>
          <w:szCs w:val="20"/>
          <w:vertAlign w:val="superscript"/>
          <w:lang w:eastAsia="en-US"/>
        </w:rPr>
        <w:footnoteReference w:id="106"/>
      </w:r>
      <w:r w:rsidRPr="0001748B">
        <w:rPr>
          <w:rFonts w:eastAsiaTheme="minorHAnsi" w:cstheme="minorBidi"/>
          <w:sz w:val="20"/>
          <w:szCs w:val="20"/>
          <w:lang w:eastAsia="en-US"/>
        </w:rPr>
        <w:t xml:space="preserve">, </w:t>
      </w:r>
      <w:r w:rsidRPr="00DA36FB">
        <w:rPr>
          <w:rFonts w:eastAsiaTheme="minorHAnsi" w:cstheme="minorBidi"/>
          <w:sz w:val="20"/>
          <w:szCs w:val="20"/>
          <w:lang w:eastAsia="en-US"/>
        </w:rPr>
        <w:t xml:space="preserve">y ante la </w:t>
      </w:r>
      <w:r w:rsidR="00766D02" w:rsidRPr="00DA36FB">
        <w:rPr>
          <w:rFonts w:eastAsiaTheme="minorHAnsi" w:cstheme="minorBidi"/>
          <w:sz w:val="20"/>
          <w:szCs w:val="20"/>
          <w:lang w:eastAsia="en-US"/>
        </w:rPr>
        <w:t xml:space="preserve">no </w:t>
      </w:r>
      <w:r w:rsidRPr="00DA36FB">
        <w:rPr>
          <w:rFonts w:eastAsiaTheme="minorHAnsi" w:cstheme="minorBidi"/>
          <w:sz w:val="20"/>
          <w:szCs w:val="20"/>
          <w:lang w:eastAsia="en-US"/>
        </w:rPr>
        <w:t>comparecencia del imputado</w:t>
      </w:r>
      <w:r w:rsidRPr="0001748B">
        <w:rPr>
          <w:rFonts w:eastAsiaTheme="minorHAnsi" w:cstheme="minorBidi"/>
          <w:sz w:val="20"/>
          <w:szCs w:val="20"/>
          <w:lang w:eastAsia="en-US"/>
        </w:rPr>
        <w:t>, se dictó su orden de captura</w:t>
      </w:r>
      <w:r w:rsidRPr="0001748B">
        <w:rPr>
          <w:rFonts w:eastAsiaTheme="minorHAnsi" w:cstheme="minorBidi"/>
          <w:sz w:val="20"/>
          <w:szCs w:val="20"/>
          <w:vertAlign w:val="superscript"/>
          <w:lang w:eastAsia="en-US"/>
        </w:rPr>
        <w:footnoteReference w:id="107"/>
      </w:r>
      <w:r w:rsidRPr="0001748B">
        <w:rPr>
          <w:rFonts w:eastAsiaTheme="minorHAnsi" w:cstheme="minorBidi"/>
          <w:sz w:val="20"/>
          <w:szCs w:val="20"/>
          <w:lang w:eastAsia="en-US"/>
        </w:rPr>
        <w:t>. El 18 de agosto de 2015 el Ministerio</w:t>
      </w:r>
      <w:r w:rsidR="003800BB" w:rsidRPr="0001748B">
        <w:rPr>
          <w:rFonts w:eastAsiaTheme="minorHAnsi" w:cstheme="minorBidi"/>
          <w:sz w:val="20"/>
          <w:szCs w:val="20"/>
          <w:lang w:eastAsia="en-US"/>
        </w:rPr>
        <w:t xml:space="preserve"> Público</w:t>
      </w:r>
      <w:r w:rsidRPr="0001748B">
        <w:rPr>
          <w:rFonts w:eastAsiaTheme="minorHAnsi" w:cstheme="minorBidi"/>
          <w:sz w:val="20"/>
          <w:szCs w:val="20"/>
          <w:lang w:eastAsia="en-US"/>
        </w:rPr>
        <w:t xml:space="preserve"> informó al órgano jurisdiccional que había realizado varias diligencias a los fines de ubicar al imputado, tales como: oficiar en cuatro oportunidades al Jefe del Cuerpo de Investigaciones Científicas, Penales y Criminalísticas Sub Delegación San Cristóbal, pidiendo hacer efectiva la orden de </w:t>
      </w:r>
      <w:r w:rsidRPr="0001748B">
        <w:rPr>
          <w:rFonts w:eastAsiaTheme="minorHAnsi" w:cstheme="minorBidi"/>
          <w:sz w:val="20"/>
          <w:szCs w:val="20"/>
          <w:lang w:eastAsia="en-US"/>
        </w:rPr>
        <w:lastRenderedPageBreak/>
        <w:t>aprehensión; realizar llamada telefónica a un abonado aportado por la víctima Edgar Humberto Ortiz Ruiz, donde presuntamente podía contactarse a la progenitora del imputado</w:t>
      </w:r>
      <w:r w:rsidR="001B418A" w:rsidRPr="0001748B">
        <w:rPr>
          <w:rFonts w:eastAsiaTheme="minorHAnsi" w:cstheme="minorBidi"/>
          <w:sz w:val="20"/>
          <w:szCs w:val="20"/>
          <w:lang w:eastAsia="en-US"/>
        </w:rPr>
        <w:t>, así como</w:t>
      </w:r>
      <w:r w:rsidRPr="0001748B">
        <w:rPr>
          <w:rFonts w:eastAsiaTheme="minorHAnsi" w:cstheme="minorBidi"/>
          <w:sz w:val="20"/>
          <w:szCs w:val="20"/>
          <w:lang w:eastAsia="en-US"/>
        </w:rPr>
        <w:t xml:space="preserve"> conversar con el abogado defensor quien manifestó que no tenía comunicación con su asistido y desconocía su paradero</w:t>
      </w:r>
      <w:r w:rsidRPr="0001748B">
        <w:rPr>
          <w:rFonts w:eastAsiaTheme="minorHAnsi" w:cstheme="minorBidi"/>
          <w:sz w:val="20"/>
          <w:szCs w:val="20"/>
          <w:vertAlign w:val="superscript"/>
          <w:lang w:eastAsia="en-US"/>
        </w:rPr>
        <w:footnoteReference w:id="108"/>
      </w:r>
      <w:r w:rsidRPr="0001748B">
        <w:rPr>
          <w:rFonts w:eastAsiaTheme="minorHAnsi" w:cstheme="minorBidi"/>
          <w:sz w:val="20"/>
          <w:szCs w:val="20"/>
          <w:lang w:eastAsia="en-US"/>
        </w:rPr>
        <w:t xml:space="preserve">. Según la </w:t>
      </w:r>
      <w:r w:rsidR="001B418A" w:rsidRPr="0001748B">
        <w:rPr>
          <w:rFonts w:eastAsiaTheme="minorHAnsi" w:cstheme="minorBidi"/>
          <w:sz w:val="20"/>
          <w:szCs w:val="20"/>
          <w:lang w:eastAsia="en-US"/>
        </w:rPr>
        <w:t xml:space="preserve">Fiscal </w:t>
      </w:r>
      <w:r w:rsidRPr="0001748B">
        <w:rPr>
          <w:rFonts w:eastAsiaTheme="minorHAnsi" w:cstheme="minorBidi"/>
          <w:sz w:val="20"/>
          <w:szCs w:val="20"/>
          <w:lang w:eastAsia="en-US"/>
        </w:rPr>
        <w:t>Marelvis Mejía Molina</w:t>
      </w:r>
      <w:r w:rsidR="00F44C5A">
        <w:rPr>
          <w:rFonts w:eastAsiaTheme="minorHAnsi" w:cstheme="minorBidi"/>
          <w:sz w:val="20"/>
          <w:szCs w:val="20"/>
          <w:lang w:eastAsia="en-US"/>
        </w:rPr>
        <w:t xml:space="preserve">, </w:t>
      </w:r>
      <w:r w:rsidRPr="0001748B">
        <w:rPr>
          <w:rFonts w:eastAsiaTheme="minorHAnsi" w:cstheme="minorBidi"/>
          <w:sz w:val="20"/>
          <w:szCs w:val="20"/>
          <w:lang w:eastAsia="en-US"/>
        </w:rPr>
        <w:t xml:space="preserve">además de las diligencias señaladas precedentemente, este órgano público realizó otras </w:t>
      </w:r>
      <w:r w:rsidR="001B418A" w:rsidRPr="0001748B">
        <w:rPr>
          <w:rFonts w:eastAsiaTheme="minorHAnsi" w:cstheme="minorBidi"/>
          <w:sz w:val="20"/>
          <w:szCs w:val="20"/>
          <w:lang w:eastAsia="en-US"/>
        </w:rPr>
        <w:t xml:space="preserve">acciones </w:t>
      </w:r>
      <w:r w:rsidRPr="0001748B">
        <w:rPr>
          <w:rFonts w:eastAsiaTheme="minorHAnsi" w:cstheme="minorBidi"/>
          <w:sz w:val="20"/>
          <w:szCs w:val="20"/>
          <w:lang w:eastAsia="en-US"/>
        </w:rPr>
        <w:t>tendientes a dar con el paradero del imputado. Entre ellas destacó: la solicitud a la Guardia Nacional para que certificara si en sus registros, luego de que el imputado ya no perteneciera a dicha institución, había quedado alguna dirección o número telefónico donde pudiera ser ubicado; solicitud de los registros migratorios al sistema de identificación, obteniendo por respuesta que el imputado no registraba migración alguna; solicitud a INTERPOL para que se agregara o se dictara una notificación roja, la que al día de la fecha se encontraría vigente</w:t>
      </w:r>
      <w:r w:rsidRPr="0001748B">
        <w:rPr>
          <w:rFonts w:eastAsiaTheme="minorHAnsi" w:cstheme="minorBidi"/>
          <w:sz w:val="20"/>
          <w:szCs w:val="20"/>
          <w:vertAlign w:val="superscript"/>
          <w:lang w:eastAsia="en-US"/>
        </w:rPr>
        <w:footnoteReference w:id="109"/>
      </w:r>
      <w:r w:rsidRPr="0001748B">
        <w:rPr>
          <w:rFonts w:eastAsiaTheme="minorHAnsi" w:cstheme="minorBidi"/>
          <w:sz w:val="20"/>
          <w:szCs w:val="20"/>
          <w:lang w:eastAsia="en-US"/>
        </w:rPr>
        <w:t>. Sin embargo, ninguna de ellas tuvo resultado positivo, por lo que a la fecha, la causa se encuentra todavía en etapa preliminar a la espera de que se pueda realizar la audiencia preliminar.</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F56936" w:rsidRPr="00C73FBC" w:rsidRDefault="001C5304" w:rsidP="00C73FBC">
      <w:pPr>
        <w:pStyle w:val="ListParagraph"/>
        <w:keepNext/>
        <w:keepLines/>
        <w:widowControl/>
        <w:numPr>
          <w:ilvl w:val="0"/>
          <w:numId w:val="8"/>
        </w:numPr>
        <w:autoSpaceDE w:val="0"/>
        <w:autoSpaceDN w:val="0"/>
        <w:spacing w:line="240" w:lineRule="auto"/>
        <w:ind w:left="1134" w:hanging="567"/>
        <w:textAlignment w:val="auto"/>
        <w:outlineLvl w:val="1"/>
        <w:rPr>
          <w:rFonts w:eastAsia="Batang" w:cs="Arial"/>
          <w:b/>
          <w:i/>
          <w:sz w:val="20"/>
          <w:lang w:eastAsia="en-US"/>
        </w:rPr>
      </w:pPr>
      <w:bookmarkStart w:id="82" w:name="_Toc495658668"/>
      <w:r w:rsidRPr="0001748B">
        <w:rPr>
          <w:rFonts w:eastAsia="Batang" w:cs="Arial"/>
          <w:b/>
          <w:i/>
          <w:sz w:val="20"/>
          <w:lang w:eastAsia="en-US"/>
        </w:rPr>
        <w:t>La intervención de los padres de Ortiz Hernández en la investigación</w:t>
      </w:r>
      <w:bookmarkEnd w:id="82"/>
    </w:p>
    <w:p w:rsidR="00F56936" w:rsidRPr="0001748B" w:rsidRDefault="00F56936" w:rsidP="00C73FBC">
      <w:pPr>
        <w:widowControl/>
        <w:adjustRightInd/>
        <w:spacing w:line="240" w:lineRule="auto"/>
        <w:textAlignment w:val="auto"/>
        <w:rPr>
          <w:rFonts w:eastAsiaTheme="minorHAnsi" w:cstheme="minorBidi"/>
          <w:sz w:val="20"/>
          <w:szCs w:val="20"/>
          <w:lang w:eastAsia="en-US"/>
        </w:rPr>
      </w:pPr>
    </w:p>
    <w:p w:rsidR="00F56936" w:rsidRPr="0001748B" w:rsidRDefault="00F56936" w:rsidP="00F56936">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Durante el transcurso de la pesquisa</w:t>
      </w:r>
      <w:r w:rsidR="00ED00CA" w:rsidRPr="0001748B">
        <w:rPr>
          <w:rFonts w:eastAsiaTheme="minorHAnsi" w:cstheme="minorBidi"/>
          <w:sz w:val="20"/>
          <w:szCs w:val="20"/>
          <w:lang w:eastAsia="en-US"/>
        </w:rPr>
        <w:t xml:space="preserve"> tanto</w:t>
      </w:r>
      <w:r w:rsidRPr="0001748B">
        <w:rPr>
          <w:rFonts w:eastAsiaTheme="minorHAnsi" w:cstheme="minorBidi"/>
          <w:sz w:val="20"/>
          <w:szCs w:val="20"/>
          <w:lang w:eastAsia="en-US"/>
        </w:rPr>
        <w:t xml:space="preserve"> en e</w:t>
      </w:r>
      <w:r w:rsidR="00ED00CA" w:rsidRPr="0001748B">
        <w:rPr>
          <w:rFonts w:eastAsiaTheme="minorHAnsi" w:cstheme="minorBidi"/>
          <w:sz w:val="20"/>
          <w:szCs w:val="20"/>
          <w:lang w:eastAsia="en-US"/>
        </w:rPr>
        <w:t>l ámbito de la justicia militar</w:t>
      </w:r>
      <w:r w:rsidR="00ED00CA" w:rsidRPr="0001748B">
        <w:rPr>
          <w:rStyle w:val="FootnoteReference"/>
          <w:rFonts w:eastAsiaTheme="minorHAnsi" w:cstheme="minorBidi"/>
          <w:sz w:val="20"/>
          <w:szCs w:val="20"/>
          <w:lang w:eastAsia="en-US"/>
        </w:rPr>
        <w:footnoteReference w:id="110"/>
      </w:r>
      <w:r w:rsidR="00ED00CA" w:rsidRPr="0001748B">
        <w:rPr>
          <w:rFonts w:eastAsiaTheme="minorHAnsi" w:cstheme="minorBidi"/>
          <w:sz w:val="20"/>
          <w:szCs w:val="20"/>
          <w:lang w:eastAsia="en-US"/>
        </w:rPr>
        <w:t xml:space="preserve"> como en el fuero ordinario</w:t>
      </w:r>
      <w:r w:rsidR="00ED00CA" w:rsidRPr="0001748B">
        <w:rPr>
          <w:rStyle w:val="FootnoteReference"/>
          <w:rFonts w:eastAsiaTheme="minorHAnsi" w:cstheme="minorBidi"/>
          <w:sz w:val="20"/>
          <w:szCs w:val="20"/>
          <w:lang w:eastAsia="en-US"/>
        </w:rPr>
        <w:footnoteReference w:id="111"/>
      </w:r>
      <w:r w:rsidR="00ED00CA" w:rsidRPr="0001748B">
        <w:rPr>
          <w:rFonts w:eastAsiaTheme="minorHAnsi" w:cstheme="minorBidi"/>
          <w:sz w:val="20"/>
          <w:szCs w:val="20"/>
          <w:lang w:eastAsia="en-US"/>
        </w:rPr>
        <w:t>,</w:t>
      </w:r>
      <w:r w:rsidRPr="0001748B">
        <w:rPr>
          <w:rFonts w:eastAsiaTheme="minorHAnsi" w:cstheme="minorBidi"/>
          <w:sz w:val="20"/>
          <w:szCs w:val="20"/>
          <w:lang w:eastAsia="en-US"/>
        </w:rPr>
        <w:t xml:space="preserve"> los padres de Ortiz Hernández llevaron a cabo una multiplicidad de acciones </w:t>
      </w:r>
      <w:r w:rsidRPr="0001748B">
        <w:rPr>
          <w:rFonts w:eastAsiaTheme="minorHAnsi" w:cstheme="minorBidi"/>
          <w:sz w:val="20"/>
          <w:szCs w:val="20"/>
          <w:lang w:eastAsia="en-US"/>
        </w:rPr>
        <w:lastRenderedPageBreak/>
        <w:t>tendientes a promover la investigación del hecho, incluso más allá de su participación formal en el proceso que, como se expuso precedentemente, recién fue admitida en agosto de 1999</w:t>
      </w:r>
      <w:r w:rsidR="00536050">
        <w:rPr>
          <w:rFonts w:eastAsiaTheme="minorHAnsi" w:cstheme="minorBidi"/>
          <w:sz w:val="20"/>
          <w:szCs w:val="20"/>
          <w:lang w:eastAsia="en-US"/>
        </w:rPr>
        <w:t xml:space="preserve"> (</w:t>
      </w:r>
      <w:r w:rsidR="00536050">
        <w:rPr>
          <w:rFonts w:eastAsiaTheme="minorHAnsi" w:cstheme="minorBidi"/>
          <w:i/>
          <w:sz w:val="20"/>
          <w:szCs w:val="20"/>
          <w:lang w:eastAsia="en-US"/>
        </w:rPr>
        <w:t xml:space="preserve">supra </w:t>
      </w:r>
      <w:r w:rsidR="00536050">
        <w:rPr>
          <w:rFonts w:eastAsiaTheme="minorHAnsi" w:cstheme="minorBidi"/>
          <w:sz w:val="20"/>
          <w:szCs w:val="20"/>
          <w:lang w:eastAsia="en-US"/>
        </w:rPr>
        <w:t>párr. 82)</w:t>
      </w:r>
      <w:r w:rsidRPr="0001748B">
        <w:rPr>
          <w:rFonts w:eastAsiaTheme="minorHAnsi" w:cstheme="minorBidi"/>
          <w:sz w:val="20"/>
          <w:szCs w:val="20"/>
          <w:lang w:eastAsia="en-US"/>
        </w:rPr>
        <w:t>. En reiteradas oportunidades presentaron notas y requirieron informes y medidas de investigación con el objeto de denunciar irregularidades en el procedimiento jurisdiccional, la falta de colaboración de las autoridades públicas y procurar el esclarecimiento de las circunstancias en que se produjo el fallecimiento de su hijo, con la consecuente determinación de las responsabilidades penales y administrativas.</w:t>
      </w:r>
    </w:p>
    <w:p w:rsidR="00F56936" w:rsidRPr="0001748B" w:rsidRDefault="00F56936" w:rsidP="00F56936">
      <w:pPr>
        <w:widowControl/>
        <w:adjustRightInd/>
        <w:spacing w:line="240" w:lineRule="auto"/>
        <w:textAlignment w:val="auto"/>
        <w:rPr>
          <w:rFonts w:eastAsiaTheme="minorHAnsi" w:cstheme="minorBidi"/>
          <w:sz w:val="20"/>
          <w:szCs w:val="20"/>
          <w:lang w:eastAsia="en-US"/>
        </w:rPr>
      </w:pPr>
    </w:p>
    <w:p w:rsidR="00F56936" w:rsidRPr="0001748B" w:rsidRDefault="00D24A9E" w:rsidP="00F56936">
      <w:pPr>
        <w:widowControl/>
        <w:numPr>
          <w:ilvl w:val="0"/>
          <w:numId w:val="1"/>
        </w:numPr>
        <w:tabs>
          <w:tab w:val="left" w:pos="567"/>
          <w:tab w:val="num" w:pos="5057"/>
        </w:tabs>
        <w:adjustRightInd/>
        <w:spacing w:line="240" w:lineRule="auto"/>
        <w:ind w:left="0" w:firstLine="0"/>
        <w:textAlignment w:val="auto"/>
        <w:rPr>
          <w:rFonts w:eastAsiaTheme="minorHAnsi" w:cstheme="minorBidi"/>
          <w:sz w:val="20"/>
          <w:szCs w:val="20"/>
          <w:lang w:eastAsia="en-US"/>
        </w:rPr>
      </w:pPr>
      <w:r w:rsidRPr="0001748B">
        <w:rPr>
          <w:rFonts w:eastAsiaTheme="minorHAnsi" w:cstheme="minorBidi"/>
          <w:sz w:val="20"/>
          <w:szCs w:val="20"/>
          <w:lang w:eastAsia="en-US"/>
        </w:rPr>
        <w:t xml:space="preserve">Entre estas actuaciones se destaca la solicitud </w:t>
      </w:r>
      <w:r w:rsidR="00F56936" w:rsidRPr="0001748B">
        <w:rPr>
          <w:rFonts w:eastAsiaTheme="minorHAnsi" w:cstheme="minorBidi"/>
          <w:sz w:val="20"/>
          <w:szCs w:val="20"/>
          <w:lang w:eastAsia="en-US"/>
        </w:rPr>
        <w:t xml:space="preserve">al Presidente de la Comisión Permanente de Derechos Humanos de la Asamblea del </w:t>
      </w:r>
      <w:r w:rsidR="00D70ACD" w:rsidRPr="0001748B">
        <w:rPr>
          <w:rFonts w:eastAsiaTheme="minorHAnsi" w:cstheme="minorBidi"/>
          <w:sz w:val="20"/>
          <w:szCs w:val="20"/>
          <w:lang w:eastAsia="en-US"/>
        </w:rPr>
        <w:t>e</w:t>
      </w:r>
      <w:r w:rsidR="00F56936" w:rsidRPr="0001748B">
        <w:rPr>
          <w:rFonts w:eastAsiaTheme="minorHAnsi" w:cstheme="minorBidi"/>
          <w:sz w:val="20"/>
          <w:szCs w:val="20"/>
          <w:lang w:eastAsia="en-US"/>
        </w:rPr>
        <w:t xml:space="preserve">stado de Táchira </w:t>
      </w:r>
      <w:r w:rsidRPr="0001748B">
        <w:rPr>
          <w:rFonts w:eastAsiaTheme="minorHAnsi" w:cstheme="minorBidi"/>
          <w:sz w:val="20"/>
          <w:szCs w:val="20"/>
          <w:lang w:eastAsia="en-US"/>
        </w:rPr>
        <w:t xml:space="preserve">para </w:t>
      </w:r>
      <w:r w:rsidR="00F56936" w:rsidRPr="0001748B">
        <w:rPr>
          <w:rFonts w:eastAsiaTheme="minorHAnsi" w:cstheme="minorBidi"/>
          <w:sz w:val="20"/>
          <w:szCs w:val="20"/>
          <w:lang w:eastAsia="en-US"/>
        </w:rPr>
        <w:t>que interviniera en el esclarecimiento de los hechos</w:t>
      </w:r>
      <w:r w:rsidR="00F56936" w:rsidRPr="0001748B">
        <w:rPr>
          <w:rFonts w:eastAsiaTheme="minorHAnsi" w:cstheme="minorBidi"/>
          <w:sz w:val="20"/>
          <w:szCs w:val="20"/>
          <w:vertAlign w:val="superscript"/>
          <w:lang w:eastAsia="en-US"/>
        </w:rPr>
        <w:footnoteReference w:id="112"/>
      </w:r>
      <w:r w:rsidR="00F56936" w:rsidRPr="0001748B">
        <w:rPr>
          <w:rFonts w:eastAsiaTheme="minorHAnsi" w:cstheme="minorBidi"/>
          <w:sz w:val="20"/>
          <w:szCs w:val="20"/>
          <w:lang w:eastAsia="en-US"/>
        </w:rPr>
        <w:t>.</w:t>
      </w:r>
      <w:r w:rsidRPr="0001748B">
        <w:rPr>
          <w:rFonts w:eastAsiaTheme="minorHAnsi" w:cstheme="minorBidi"/>
          <w:sz w:val="20"/>
          <w:szCs w:val="20"/>
          <w:lang w:eastAsia="en-US"/>
        </w:rPr>
        <w:t xml:space="preserve"> En virtud de ello, la Comisión Permanente elaboró un informe </w:t>
      </w:r>
      <w:r w:rsidR="005A53D7" w:rsidRPr="0001748B">
        <w:rPr>
          <w:rFonts w:eastAsiaTheme="minorHAnsi" w:cstheme="minorBidi"/>
          <w:sz w:val="20"/>
          <w:szCs w:val="20"/>
          <w:lang w:eastAsia="en-US"/>
        </w:rPr>
        <w:t>en el que</w:t>
      </w:r>
      <w:r w:rsidR="00F56936" w:rsidRPr="0001748B">
        <w:rPr>
          <w:rFonts w:eastAsiaTheme="minorHAnsi" w:cstheme="minorBidi"/>
          <w:sz w:val="20"/>
          <w:szCs w:val="20"/>
          <w:lang w:eastAsia="en-US"/>
        </w:rPr>
        <w:t xml:space="preserve"> dio cuenta de la falta de colaboración de las autoridades militares para llevar a ca</w:t>
      </w:r>
      <w:r w:rsidR="005A53D7" w:rsidRPr="0001748B">
        <w:rPr>
          <w:rFonts w:eastAsiaTheme="minorHAnsi" w:cstheme="minorBidi"/>
          <w:sz w:val="20"/>
          <w:szCs w:val="20"/>
          <w:lang w:eastAsia="en-US"/>
        </w:rPr>
        <w:t>bo la investigación encomendada y en el que concluyó, entre otras cosas, que</w:t>
      </w:r>
      <w:r w:rsidR="00F56936" w:rsidRPr="0001748B">
        <w:rPr>
          <w:rFonts w:eastAsiaTheme="minorHAnsi" w:cstheme="minorBidi"/>
          <w:sz w:val="20"/>
          <w:szCs w:val="20"/>
          <w:lang w:eastAsia="en-US"/>
        </w:rPr>
        <w:t xml:space="preserve"> el caso del homicidio de Johan Alexis Ortiz Hernández evidencia el estado de impunidad con el que actú</w:t>
      </w:r>
      <w:r w:rsidR="001B7887" w:rsidRPr="0001748B">
        <w:rPr>
          <w:rFonts w:eastAsiaTheme="minorHAnsi" w:cstheme="minorBidi"/>
          <w:sz w:val="20"/>
          <w:szCs w:val="20"/>
          <w:lang w:eastAsia="en-US"/>
        </w:rPr>
        <w:t xml:space="preserve">an los cuerpos militares en el </w:t>
      </w:r>
      <w:r w:rsidR="001A65BF">
        <w:rPr>
          <w:rFonts w:eastAsiaTheme="minorHAnsi" w:cstheme="minorBidi"/>
          <w:sz w:val="20"/>
          <w:szCs w:val="20"/>
          <w:lang w:eastAsia="en-US"/>
        </w:rPr>
        <w:t>e</w:t>
      </w:r>
      <w:r w:rsidR="00F56936" w:rsidRPr="0001748B">
        <w:rPr>
          <w:rFonts w:eastAsiaTheme="minorHAnsi" w:cstheme="minorBidi"/>
          <w:sz w:val="20"/>
          <w:szCs w:val="20"/>
          <w:lang w:eastAsia="en-US"/>
        </w:rPr>
        <w:t xml:space="preserve">stado </w:t>
      </w:r>
      <w:r w:rsidR="001A65BF">
        <w:rPr>
          <w:rFonts w:eastAsiaTheme="minorHAnsi" w:cstheme="minorBidi"/>
          <w:sz w:val="20"/>
          <w:szCs w:val="20"/>
          <w:lang w:eastAsia="en-US"/>
        </w:rPr>
        <w:t xml:space="preserve">de </w:t>
      </w:r>
      <w:r w:rsidR="00F56936" w:rsidRPr="0001748B">
        <w:rPr>
          <w:rFonts w:eastAsiaTheme="minorHAnsi" w:cstheme="minorBidi"/>
          <w:sz w:val="20"/>
          <w:szCs w:val="20"/>
          <w:lang w:eastAsia="en-US"/>
        </w:rPr>
        <w:t>Táchira</w:t>
      </w:r>
      <w:r w:rsidR="00F56936" w:rsidRPr="0001748B">
        <w:rPr>
          <w:rFonts w:eastAsiaTheme="minorHAnsi" w:cstheme="minorBidi"/>
          <w:sz w:val="20"/>
          <w:szCs w:val="20"/>
          <w:vertAlign w:val="superscript"/>
          <w:lang w:eastAsia="en-US"/>
        </w:rPr>
        <w:footnoteReference w:id="113"/>
      </w:r>
      <w:r w:rsidR="00F56936" w:rsidRPr="0001748B">
        <w:rPr>
          <w:rFonts w:eastAsiaTheme="minorHAnsi" w:cstheme="minorBidi"/>
          <w:sz w:val="20"/>
          <w:szCs w:val="20"/>
          <w:lang w:eastAsia="en-US"/>
        </w:rPr>
        <w:t>.</w:t>
      </w:r>
      <w:r w:rsidR="005A53D7" w:rsidRPr="0001748B">
        <w:rPr>
          <w:rFonts w:eastAsiaTheme="minorHAnsi" w:cstheme="minorBidi"/>
          <w:sz w:val="20"/>
          <w:szCs w:val="20"/>
          <w:lang w:eastAsia="en-US"/>
        </w:rPr>
        <w:t xml:space="preserve"> </w:t>
      </w:r>
      <w:r w:rsidR="00F56936" w:rsidRPr="0001748B">
        <w:rPr>
          <w:rFonts w:eastAsiaTheme="minorHAnsi" w:cstheme="minorBidi"/>
          <w:sz w:val="20"/>
          <w:szCs w:val="20"/>
          <w:lang w:eastAsia="en-US"/>
        </w:rPr>
        <w:t xml:space="preserve">En virtud de todo ello, </w:t>
      </w:r>
      <w:r w:rsidR="001B7887" w:rsidRPr="0001748B">
        <w:rPr>
          <w:rFonts w:eastAsiaTheme="minorHAnsi" w:cstheme="minorBidi"/>
          <w:sz w:val="20"/>
          <w:szCs w:val="20"/>
          <w:lang w:eastAsia="en-US"/>
        </w:rPr>
        <w:t xml:space="preserve">la Comisión </w:t>
      </w:r>
      <w:r w:rsidR="00F56936" w:rsidRPr="0001748B">
        <w:rPr>
          <w:rFonts w:eastAsiaTheme="minorHAnsi" w:cstheme="minorBidi"/>
          <w:sz w:val="20"/>
          <w:szCs w:val="20"/>
          <w:lang w:eastAsia="en-US"/>
        </w:rPr>
        <w:t>formuló cuatro recomendaciones:</w:t>
      </w:r>
      <w:r w:rsidR="005A53D7" w:rsidRPr="0001748B">
        <w:rPr>
          <w:rFonts w:eastAsiaTheme="minorHAnsi" w:cstheme="minorBidi"/>
          <w:sz w:val="20"/>
          <w:szCs w:val="20"/>
          <w:lang w:eastAsia="en-US"/>
        </w:rPr>
        <w:t xml:space="preserve"> 1) </w:t>
      </w:r>
      <w:r w:rsidR="00B41308" w:rsidRPr="0001748B">
        <w:rPr>
          <w:rFonts w:eastAsiaTheme="minorHAnsi" w:cstheme="minorBidi"/>
          <w:sz w:val="20"/>
          <w:szCs w:val="20"/>
          <w:lang w:eastAsia="en-US"/>
        </w:rPr>
        <w:t>r</w:t>
      </w:r>
      <w:r w:rsidR="00F56936" w:rsidRPr="0001748B">
        <w:rPr>
          <w:rFonts w:eastAsiaTheme="minorHAnsi" w:cstheme="minorBidi"/>
          <w:sz w:val="20"/>
          <w:szCs w:val="20"/>
          <w:lang w:eastAsia="en-US"/>
        </w:rPr>
        <w:t xml:space="preserve">emitir copia del informe y presentar denuncia ante la Comisión Interamericana de Derechos Humanos por la muerte de Johan Alexis Ortiz Hernández; </w:t>
      </w:r>
      <w:r w:rsidR="005A53D7" w:rsidRPr="0001748B">
        <w:rPr>
          <w:rFonts w:eastAsiaTheme="minorHAnsi" w:cstheme="minorBidi"/>
          <w:sz w:val="20"/>
          <w:szCs w:val="20"/>
          <w:lang w:eastAsia="en-US"/>
        </w:rPr>
        <w:t xml:space="preserve">2) </w:t>
      </w:r>
      <w:r w:rsidR="00B41308" w:rsidRPr="0001748B">
        <w:rPr>
          <w:rFonts w:eastAsiaTheme="minorHAnsi" w:cstheme="minorBidi"/>
          <w:sz w:val="20"/>
          <w:szCs w:val="20"/>
          <w:lang w:eastAsia="en-US"/>
        </w:rPr>
        <w:t>d</w:t>
      </w:r>
      <w:r w:rsidR="00F56936" w:rsidRPr="0001748B">
        <w:rPr>
          <w:rFonts w:eastAsiaTheme="minorHAnsi" w:cstheme="minorBidi"/>
          <w:sz w:val="20"/>
          <w:szCs w:val="20"/>
          <w:lang w:eastAsia="en-US"/>
        </w:rPr>
        <w:t>enunciar ante el Ministro de Defensa el homicidio de Johan Alexis Ortiz</w:t>
      </w:r>
      <w:r w:rsidR="003E7E9C">
        <w:rPr>
          <w:rFonts w:eastAsiaTheme="minorHAnsi" w:cstheme="minorBidi"/>
          <w:sz w:val="20"/>
          <w:szCs w:val="20"/>
          <w:lang w:eastAsia="en-US"/>
        </w:rPr>
        <w:t xml:space="preserve"> </w:t>
      </w:r>
      <w:r w:rsidR="003E7E9C">
        <w:rPr>
          <w:rFonts w:eastAsia="Batang"/>
          <w:sz w:val="20"/>
          <w:lang w:eastAsia="en-US"/>
        </w:rPr>
        <w:t>Hernández</w:t>
      </w:r>
      <w:r w:rsidR="00F56936" w:rsidRPr="0001748B">
        <w:rPr>
          <w:rFonts w:eastAsiaTheme="minorHAnsi" w:cstheme="minorBidi"/>
          <w:sz w:val="20"/>
          <w:szCs w:val="20"/>
          <w:lang w:eastAsia="en-US"/>
        </w:rPr>
        <w:t xml:space="preserve">, con fundamento en el informe presentado, y solicitar ante la instancia militar respectiva el trámite de reposición de la causa al estado de primera actuaciones del Cuerpo Técnico de Policía Judicial; </w:t>
      </w:r>
      <w:r w:rsidR="005A53D7" w:rsidRPr="0001748B">
        <w:rPr>
          <w:rFonts w:eastAsiaTheme="minorHAnsi" w:cstheme="minorBidi"/>
          <w:sz w:val="20"/>
          <w:szCs w:val="20"/>
          <w:lang w:eastAsia="en-US"/>
        </w:rPr>
        <w:t xml:space="preserve">3) </w:t>
      </w:r>
      <w:r w:rsidR="00B41308" w:rsidRPr="0001748B">
        <w:rPr>
          <w:rFonts w:eastAsiaTheme="minorHAnsi" w:cstheme="minorBidi"/>
          <w:sz w:val="20"/>
          <w:szCs w:val="20"/>
          <w:lang w:eastAsia="en-US"/>
        </w:rPr>
        <w:t>e</w:t>
      </w:r>
      <w:r w:rsidR="00F56936" w:rsidRPr="0001748B">
        <w:rPr>
          <w:rFonts w:eastAsiaTheme="minorHAnsi" w:cstheme="minorBidi"/>
          <w:sz w:val="20"/>
          <w:szCs w:val="20"/>
          <w:lang w:eastAsia="en-US"/>
        </w:rPr>
        <w:t>xpresar públicamente una protesta por la actuación del Ministro de la Defensa y demás autoridades militares, y remitir la misma al Presidente de la República y a la Comisión de Derechos Humanos del Congreso Nacional</w:t>
      </w:r>
      <w:r w:rsidR="00B41308" w:rsidRPr="0001748B">
        <w:rPr>
          <w:rFonts w:eastAsiaTheme="minorHAnsi" w:cstheme="minorBidi"/>
          <w:sz w:val="20"/>
          <w:szCs w:val="20"/>
          <w:lang w:eastAsia="en-US"/>
        </w:rPr>
        <w:t>,</w:t>
      </w:r>
      <w:r w:rsidR="00F56936" w:rsidRPr="0001748B">
        <w:rPr>
          <w:rFonts w:eastAsiaTheme="minorHAnsi" w:cstheme="minorBidi"/>
          <w:sz w:val="20"/>
          <w:szCs w:val="20"/>
          <w:lang w:eastAsia="en-US"/>
        </w:rPr>
        <w:t xml:space="preserve"> y </w:t>
      </w:r>
      <w:r w:rsidR="005A53D7" w:rsidRPr="0001748B">
        <w:rPr>
          <w:rFonts w:eastAsiaTheme="minorHAnsi" w:cstheme="minorBidi"/>
          <w:sz w:val="20"/>
          <w:szCs w:val="20"/>
          <w:lang w:eastAsia="en-US"/>
        </w:rPr>
        <w:t xml:space="preserve">4) </w:t>
      </w:r>
      <w:r w:rsidR="00B41308" w:rsidRPr="0001748B">
        <w:rPr>
          <w:rFonts w:eastAsiaTheme="minorHAnsi" w:cstheme="minorBidi"/>
          <w:sz w:val="20"/>
          <w:szCs w:val="20"/>
          <w:lang w:eastAsia="en-US"/>
        </w:rPr>
        <w:t>m</w:t>
      </w:r>
      <w:r w:rsidR="00F56936" w:rsidRPr="0001748B">
        <w:rPr>
          <w:rFonts w:eastAsiaTheme="minorHAnsi" w:cstheme="minorBidi"/>
          <w:sz w:val="20"/>
          <w:szCs w:val="20"/>
          <w:lang w:eastAsia="en-US"/>
        </w:rPr>
        <w:t xml:space="preserve">antener abierta la investigación por parte </w:t>
      </w:r>
      <w:r w:rsidR="005A53D7" w:rsidRPr="0001748B">
        <w:rPr>
          <w:rFonts w:eastAsiaTheme="minorHAnsi" w:cstheme="minorBidi"/>
          <w:sz w:val="20"/>
          <w:szCs w:val="20"/>
          <w:lang w:eastAsia="en-US"/>
        </w:rPr>
        <w:t xml:space="preserve">de la Asamblea Legislativa del </w:t>
      </w:r>
      <w:r w:rsidR="00B41308" w:rsidRPr="0001748B">
        <w:rPr>
          <w:rFonts w:eastAsiaTheme="minorHAnsi" w:cstheme="minorBidi"/>
          <w:sz w:val="20"/>
          <w:szCs w:val="20"/>
          <w:lang w:eastAsia="en-US"/>
        </w:rPr>
        <w:t>e</w:t>
      </w:r>
      <w:r w:rsidR="00F56936" w:rsidRPr="0001748B">
        <w:rPr>
          <w:rFonts w:eastAsiaTheme="minorHAnsi" w:cstheme="minorBidi"/>
          <w:sz w:val="20"/>
          <w:szCs w:val="20"/>
          <w:lang w:eastAsia="en-US"/>
        </w:rPr>
        <w:t xml:space="preserve">stado </w:t>
      </w:r>
      <w:r w:rsidR="001A65BF">
        <w:rPr>
          <w:rFonts w:eastAsiaTheme="minorHAnsi" w:cstheme="minorBidi"/>
          <w:sz w:val="20"/>
          <w:szCs w:val="20"/>
          <w:lang w:eastAsia="en-US"/>
        </w:rPr>
        <w:t xml:space="preserve">de </w:t>
      </w:r>
      <w:r w:rsidR="00F56936" w:rsidRPr="0001748B">
        <w:rPr>
          <w:rFonts w:eastAsiaTheme="minorHAnsi" w:cstheme="minorBidi"/>
          <w:sz w:val="20"/>
          <w:szCs w:val="20"/>
          <w:lang w:eastAsia="en-US"/>
        </w:rPr>
        <w:t>Táchira.</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C73FBC">
      <w:pPr>
        <w:pStyle w:val="ListParagraph"/>
        <w:keepNext/>
        <w:keepLines/>
        <w:widowControl/>
        <w:numPr>
          <w:ilvl w:val="0"/>
          <w:numId w:val="8"/>
        </w:numPr>
        <w:autoSpaceDE w:val="0"/>
        <w:autoSpaceDN w:val="0"/>
        <w:spacing w:line="240" w:lineRule="auto"/>
        <w:ind w:left="1134" w:hanging="567"/>
        <w:textAlignment w:val="auto"/>
        <w:outlineLvl w:val="1"/>
        <w:rPr>
          <w:rFonts w:eastAsia="Batang" w:cs="Arial"/>
          <w:b/>
          <w:i/>
          <w:sz w:val="20"/>
          <w:lang w:eastAsia="en-US"/>
        </w:rPr>
      </w:pPr>
      <w:bookmarkStart w:id="83" w:name="_Toc495658669"/>
      <w:r w:rsidRPr="0001748B">
        <w:rPr>
          <w:rFonts w:eastAsia="Batang" w:cs="Arial"/>
          <w:b/>
          <w:i/>
          <w:sz w:val="20"/>
          <w:lang w:eastAsia="en-US"/>
        </w:rPr>
        <w:t>Las amenazas y hostigamiento recibidos por los familiares de Ortiz Hernández</w:t>
      </w:r>
      <w:bookmarkEnd w:id="83"/>
    </w:p>
    <w:p w:rsidR="001C5304" w:rsidRPr="0001748B" w:rsidRDefault="001C5304" w:rsidP="001C5304">
      <w:pPr>
        <w:widowControl/>
        <w:adjustRightInd/>
        <w:spacing w:line="240" w:lineRule="auto"/>
        <w:textAlignment w:val="auto"/>
        <w:rPr>
          <w:rFonts w:eastAsiaTheme="minorHAnsi" w:cstheme="minorBidi"/>
          <w:i/>
          <w:sz w:val="20"/>
          <w:szCs w:val="20"/>
          <w:lang w:eastAsia="en-US"/>
        </w:rPr>
      </w:pPr>
    </w:p>
    <w:p w:rsidR="001C5304" w:rsidRPr="0001748B" w:rsidRDefault="001C5304" w:rsidP="004A26CF">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La incesante tarea desarrollada por los </w:t>
      </w:r>
      <w:r w:rsidR="00C00DC8">
        <w:rPr>
          <w:rFonts w:eastAsia="Times"/>
          <w:sz w:val="20"/>
          <w:szCs w:val="20"/>
        </w:rPr>
        <w:t>progenitores</w:t>
      </w:r>
      <w:r w:rsidR="00C00DC8" w:rsidRPr="00852C33">
        <w:rPr>
          <w:rFonts w:eastAsia="Times"/>
          <w:sz w:val="20"/>
          <w:szCs w:val="20"/>
        </w:rPr>
        <w:t xml:space="preserve"> </w:t>
      </w:r>
      <w:r w:rsidRPr="0001748B">
        <w:rPr>
          <w:rFonts w:eastAsiaTheme="minorHAnsi" w:cstheme="minorBidi"/>
          <w:sz w:val="20"/>
          <w:szCs w:val="20"/>
          <w:lang w:eastAsia="en-US"/>
        </w:rPr>
        <w:t>de Johan Alexis durante el transcurso de las investigaciones, tanto ante el fuero militar</w:t>
      </w:r>
      <w:r w:rsidR="00224B5E" w:rsidRPr="0001748B">
        <w:rPr>
          <w:rStyle w:val="FootnoteReference"/>
          <w:rFonts w:eastAsiaTheme="minorHAnsi" w:cstheme="minorBidi"/>
          <w:sz w:val="20"/>
          <w:szCs w:val="20"/>
          <w:lang w:eastAsia="en-US"/>
        </w:rPr>
        <w:footnoteReference w:id="114"/>
      </w:r>
      <w:r w:rsidRPr="0001748B">
        <w:rPr>
          <w:rFonts w:eastAsiaTheme="minorHAnsi" w:cstheme="minorBidi"/>
          <w:sz w:val="20"/>
          <w:szCs w:val="20"/>
          <w:lang w:eastAsia="en-US"/>
        </w:rPr>
        <w:t xml:space="preserve"> como en el ordinario, se vio acompañada también </w:t>
      </w:r>
      <w:r w:rsidRPr="0001748B">
        <w:rPr>
          <w:rFonts w:eastAsiaTheme="minorHAnsi" w:cstheme="minorBidi"/>
          <w:sz w:val="20"/>
          <w:szCs w:val="20"/>
          <w:lang w:eastAsia="en-US"/>
        </w:rPr>
        <w:lastRenderedPageBreak/>
        <w:t>de la denuncia de amenazas y hostigamientos que padecieron, precisamente, a raíz de su actuación en pos de la dilucidación de lo acontecido respecto de la muerte de su hijo</w:t>
      </w:r>
      <w:r w:rsidR="008E13D7" w:rsidRPr="0001748B">
        <w:rPr>
          <w:rStyle w:val="FootnoteReference"/>
          <w:rFonts w:eastAsiaTheme="minorHAnsi" w:cstheme="minorBidi"/>
          <w:sz w:val="20"/>
          <w:szCs w:val="20"/>
          <w:lang w:eastAsia="en-US"/>
        </w:rPr>
        <w:footnoteReference w:id="115"/>
      </w:r>
      <w:r w:rsidRPr="0001748B">
        <w:rPr>
          <w:rFonts w:eastAsiaTheme="minorHAnsi" w:cstheme="minorBidi"/>
          <w:sz w:val="20"/>
          <w:szCs w:val="20"/>
          <w:lang w:eastAsia="en-US"/>
        </w:rPr>
        <w:t>.</w:t>
      </w:r>
    </w:p>
    <w:p w:rsidR="001C5304" w:rsidRPr="0001748B" w:rsidRDefault="001C5304" w:rsidP="001C5304">
      <w:pPr>
        <w:widowControl/>
        <w:adjustRightInd/>
        <w:spacing w:line="240" w:lineRule="auto"/>
        <w:textAlignment w:val="auto"/>
        <w:rPr>
          <w:rFonts w:eastAsiaTheme="minorHAnsi" w:cstheme="minorBidi"/>
          <w:sz w:val="20"/>
          <w:szCs w:val="20"/>
          <w:lang w:eastAsia="en-US"/>
        </w:rPr>
      </w:pPr>
    </w:p>
    <w:p w:rsidR="001C5304" w:rsidRPr="0001748B" w:rsidRDefault="001C5304" w:rsidP="001C5304">
      <w:pPr>
        <w:keepNext/>
        <w:keepLines/>
        <w:tabs>
          <w:tab w:val="left" w:pos="851"/>
        </w:tabs>
        <w:spacing w:line="240" w:lineRule="auto"/>
        <w:jc w:val="center"/>
        <w:outlineLvl w:val="0"/>
        <w:rPr>
          <w:rFonts w:cs="Verdana"/>
          <w:b/>
          <w:bCs/>
          <w:caps/>
          <w:snapToGrid w:val="0"/>
          <w:sz w:val="20"/>
          <w:szCs w:val="20"/>
        </w:rPr>
      </w:pPr>
      <w:bookmarkStart w:id="84" w:name="_Toc495658670"/>
      <w:r w:rsidRPr="0001748B">
        <w:rPr>
          <w:rFonts w:cs="Verdana"/>
          <w:b/>
          <w:bCs/>
          <w:caps/>
          <w:snapToGrid w:val="0"/>
          <w:sz w:val="20"/>
          <w:szCs w:val="20"/>
        </w:rPr>
        <w:t>VII</w:t>
      </w:r>
      <w:r w:rsidRPr="0001748B">
        <w:rPr>
          <w:rFonts w:cs="Verdana"/>
          <w:b/>
          <w:bCs/>
          <w:caps/>
          <w:snapToGrid w:val="0"/>
          <w:sz w:val="20"/>
          <w:szCs w:val="20"/>
        </w:rPr>
        <w:br/>
        <w:t>fondo</w:t>
      </w:r>
      <w:bookmarkEnd w:id="84"/>
    </w:p>
    <w:p w:rsidR="001C5304" w:rsidRPr="0001748B" w:rsidRDefault="001C5304" w:rsidP="001C5304">
      <w:pPr>
        <w:tabs>
          <w:tab w:val="left" w:pos="720"/>
          <w:tab w:val="num" w:pos="1569"/>
        </w:tabs>
        <w:spacing w:line="240" w:lineRule="auto"/>
        <w:ind w:right="-90"/>
        <w:rPr>
          <w:rFonts w:cs="Verdana"/>
          <w:caps/>
          <w:snapToGrid w:val="0"/>
          <w:sz w:val="20"/>
          <w:szCs w:val="20"/>
        </w:rPr>
      </w:pPr>
    </w:p>
    <w:p w:rsidR="00560B03" w:rsidRPr="0001748B" w:rsidRDefault="00560B03" w:rsidP="004A26CF">
      <w:pPr>
        <w:numPr>
          <w:ilvl w:val="0"/>
          <w:numId w:val="1"/>
        </w:numPr>
        <w:tabs>
          <w:tab w:val="left" w:pos="567"/>
          <w:tab w:val="num" w:pos="5057"/>
        </w:tabs>
        <w:spacing w:line="240" w:lineRule="auto"/>
        <w:ind w:left="0" w:firstLine="0"/>
        <w:rPr>
          <w:rFonts w:eastAsia="Batang"/>
          <w:sz w:val="20"/>
          <w:lang w:eastAsia="en-US"/>
        </w:rPr>
      </w:pPr>
      <w:r w:rsidRPr="0001748B">
        <w:rPr>
          <w:rFonts w:eastAsia="Batang"/>
          <w:sz w:val="20"/>
          <w:lang w:eastAsia="en-US"/>
        </w:rPr>
        <w:t>Como fue señalado en esta Sentencia (</w:t>
      </w:r>
      <w:r w:rsidRPr="0001748B">
        <w:rPr>
          <w:rFonts w:eastAsia="Batang"/>
          <w:i/>
          <w:sz w:val="20"/>
          <w:lang w:eastAsia="en-US"/>
        </w:rPr>
        <w:t>supra</w:t>
      </w:r>
      <w:r w:rsidRPr="0001748B">
        <w:rPr>
          <w:rFonts w:eastAsia="Batang"/>
          <w:sz w:val="20"/>
          <w:lang w:eastAsia="en-US"/>
        </w:rPr>
        <w:t xml:space="preserve"> </w:t>
      </w:r>
      <w:r w:rsidR="0005198B">
        <w:rPr>
          <w:rFonts w:eastAsia="Batang"/>
          <w:sz w:val="20"/>
          <w:lang w:eastAsia="en-US"/>
        </w:rPr>
        <w:t>Capítulo IV</w:t>
      </w:r>
      <w:r w:rsidRPr="0001748B">
        <w:rPr>
          <w:rFonts w:eastAsia="Batang"/>
          <w:sz w:val="20"/>
          <w:lang w:eastAsia="en-US"/>
        </w:rPr>
        <w:t>), la Corte aceptó el reconocimiento parcial de responsabilidad internacional efectuado por el Estado. A continuación, la Corte</w:t>
      </w:r>
      <w:r w:rsidR="00A21D73" w:rsidRPr="0001748B">
        <w:rPr>
          <w:rFonts w:eastAsia="Batang"/>
          <w:sz w:val="20"/>
          <w:lang w:eastAsia="en-US"/>
        </w:rPr>
        <w:t xml:space="preserve"> procederá a desarrollar el alcance de la responsabilidad internacional de Venezuela</w:t>
      </w:r>
      <w:r w:rsidRPr="0001748B">
        <w:rPr>
          <w:rFonts w:eastAsia="Batang"/>
          <w:sz w:val="20"/>
          <w:lang w:eastAsia="en-US"/>
        </w:rPr>
        <w:t>.</w:t>
      </w:r>
    </w:p>
    <w:p w:rsidR="00560B03" w:rsidRPr="0001748B" w:rsidRDefault="00560B03" w:rsidP="00560B03">
      <w:pPr>
        <w:widowControl/>
        <w:tabs>
          <w:tab w:val="left" w:pos="720"/>
        </w:tabs>
        <w:autoSpaceDE w:val="0"/>
        <w:autoSpaceDN w:val="0"/>
        <w:spacing w:line="240" w:lineRule="auto"/>
        <w:ind w:right="-90"/>
        <w:textAlignment w:val="auto"/>
        <w:rPr>
          <w:rFonts w:eastAsia="Batang"/>
          <w:sz w:val="20"/>
          <w:lang w:eastAsia="en-US"/>
        </w:rPr>
      </w:pPr>
    </w:p>
    <w:p w:rsidR="00560B03" w:rsidRPr="0001748B" w:rsidRDefault="00560B03" w:rsidP="00560B03">
      <w:pPr>
        <w:keepNext/>
        <w:keepLines/>
        <w:widowControl/>
        <w:tabs>
          <w:tab w:val="left" w:pos="851"/>
        </w:tabs>
        <w:autoSpaceDE w:val="0"/>
        <w:autoSpaceDN w:val="0"/>
        <w:spacing w:line="240" w:lineRule="auto"/>
        <w:jc w:val="center"/>
        <w:textAlignment w:val="auto"/>
        <w:outlineLvl w:val="0"/>
        <w:rPr>
          <w:rFonts w:cs="Arial"/>
          <w:b/>
          <w:bCs/>
          <w:caps/>
          <w:sz w:val="20"/>
          <w:szCs w:val="20"/>
          <w:lang w:eastAsia="en-US"/>
        </w:rPr>
      </w:pPr>
      <w:bookmarkStart w:id="85" w:name="_Toc438113890"/>
      <w:bookmarkStart w:id="86" w:name="_Toc495658671"/>
      <w:r w:rsidRPr="0001748B">
        <w:rPr>
          <w:rFonts w:cs="Arial"/>
          <w:b/>
          <w:bCs/>
          <w:caps/>
          <w:sz w:val="20"/>
          <w:szCs w:val="20"/>
          <w:lang w:eastAsia="en-US"/>
        </w:rPr>
        <w:t>V</w:t>
      </w:r>
      <w:r w:rsidR="00C52A25" w:rsidRPr="0001748B">
        <w:rPr>
          <w:rFonts w:cs="Arial"/>
          <w:b/>
          <w:bCs/>
          <w:caps/>
          <w:sz w:val="20"/>
          <w:szCs w:val="20"/>
          <w:lang w:eastAsia="en-US"/>
        </w:rPr>
        <w:t>I</w:t>
      </w:r>
      <w:r w:rsidRPr="0001748B">
        <w:rPr>
          <w:rFonts w:cs="Arial"/>
          <w:b/>
          <w:bCs/>
          <w:caps/>
          <w:sz w:val="20"/>
          <w:szCs w:val="20"/>
          <w:lang w:eastAsia="en-US"/>
        </w:rPr>
        <w:t>I-1</w:t>
      </w:r>
      <w:r w:rsidRPr="0001748B">
        <w:rPr>
          <w:rFonts w:cs="Arial"/>
          <w:b/>
          <w:bCs/>
          <w:caps/>
          <w:sz w:val="20"/>
          <w:szCs w:val="20"/>
          <w:lang w:eastAsia="en-US"/>
        </w:rPr>
        <w:br/>
        <w:t xml:space="preserve">derechoS a la </w:t>
      </w:r>
      <w:r w:rsidR="00C52A25" w:rsidRPr="0001748B">
        <w:rPr>
          <w:rFonts w:cs="Arial"/>
          <w:b/>
          <w:bCs/>
          <w:caps/>
          <w:sz w:val="20"/>
          <w:szCs w:val="20"/>
          <w:lang w:eastAsia="en-US"/>
        </w:rPr>
        <w:t>VIDA</w:t>
      </w:r>
      <w:r w:rsidR="007C728D" w:rsidRPr="0001748B">
        <w:rPr>
          <w:rStyle w:val="FootnoteReference"/>
          <w:rFonts w:cs="Arial"/>
          <w:b/>
          <w:bCs/>
          <w:caps/>
          <w:sz w:val="20"/>
          <w:szCs w:val="20"/>
          <w:lang w:eastAsia="en-US"/>
        </w:rPr>
        <w:footnoteReference w:id="116"/>
      </w:r>
      <w:r w:rsidR="00C52A25" w:rsidRPr="0001748B">
        <w:rPr>
          <w:rFonts w:cs="Arial"/>
          <w:b/>
          <w:bCs/>
          <w:caps/>
          <w:sz w:val="20"/>
          <w:szCs w:val="20"/>
          <w:lang w:eastAsia="en-US"/>
        </w:rPr>
        <w:t xml:space="preserve"> Y A LA </w:t>
      </w:r>
      <w:r w:rsidRPr="0001748B">
        <w:rPr>
          <w:rFonts w:cs="Arial"/>
          <w:b/>
          <w:bCs/>
          <w:caps/>
          <w:sz w:val="20"/>
          <w:szCs w:val="20"/>
          <w:lang w:eastAsia="en-US"/>
        </w:rPr>
        <w:t>INTEGRIDAD personal</w:t>
      </w:r>
      <w:r w:rsidR="007C728D" w:rsidRPr="0001748B">
        <w:rPr>
          <w:rStyle w:val="FootnoteReference"/>
          <w:rFonts w:cs="Arial"/>
          <w:b/>
          <w:bCs/>
          <w:caps/>
          <w:sz w:val="20"/>
          <w:szCs w:val="20"/>
          <w:lang w:eastAsia="en-US"/>
        </w:rPr>
        <w:footnoteReference w:id="117"/>
      </w:r>
      <w:r w:rsidRPr="0001748B">
        <w:rPr>
          <w:rFonts w:cs="Arial"/>
          <w:b/>
          <w:bCs/>
          <w:caps/>
          <w:sz w:val="20"/>
          <w:szCs w:val="20"/>
          <w:lang w:eastAsia="en-US"/>
        </w:rPr>
        <w:t xml:space="preserve"> </w:t>
      </w:r>
      <w:r w:rsidR="00C52A25" w:rsidRPr="0001748B">
        <w:rPr>
          <w:rFonts w:cs="Arial"/>
          <w:b/>
          <w:bCs/>
          <w:caps/>
          <w:sz w:val="20"/>
          <w:szCs w:val="20"/>
          <w:lang w:eastAsia="en-US"/>
        </w:rPr>
        <w:t xml:space="preserve">de johan alexis ortiz hernández </w:t>
      </w:r>
      <w:r w:rsidRPr="0001748B">
        <w:rPr>
          <w:rFonts w:cs="Arial"/>
          <w:b/>
          <w:bCs/>
          <w:caps/>
          <w:sz w:val="20"/>
          <w:szCs w:val="20"/>
          <w:lang w:eastAsia="en-US"/>
        </w:rPr>
        <w:t>en relación con la obligación de respetar y garantizar los derechos</w:t>
      </w:r>
      <w:bookmarkEnd w:id="85"/>
      <w:bookmarkEnd w:id="86"/>
    </w:p>
    <w:p w:rsidR="009175AC" w:rsidRPr="0001748B" w:rsidRDefault="009175AC"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E63098">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eastAsia="en-US"/>
        </w:rPr>
      </w:pPr>
      <w:bookmarkStart w:id="87" w:name="_Toc470180068"/>
      <w:bookmarkStart w:id="88" w:name="_Toc495658672"/>
      <w:r w:rsidRPr="0001748B">
        <w:rPr>
          <w:rFonts w:eastAsia="MS Mincho" w:cs="Arial"/>
          <w:b/>
          <w:bCs/>
          <w:i/>
          <w:sz w:val="20"/>
          <w:szCs w:val="20"/>
          <w:lang w:eastAsia="en-US"/>
        </w:rPr>
        <w:t>A.</w:t>
      </w:r>
      <w:r w:rsidRPr="0001748B">
        <w:rPr>
          <w:rFonts w:eastAsia="MS Mincho" w:cs="Arial"/>
          <w:b/>
          <w:bCs/>
          <w:i/>
          <w:sz w:val="20"/>
          <w:szCs w:val="20"/>
          <w:lang w:eastAsia="en-US"/>
        </w:rPr>
        <w:tab/>
        <w:t>Argumentos de las partes y de la Comisión</w:t>
      </w:r>
      <w:bookmarkEnd w:id="87"/>
      <w:bookmarkEnd w:id="88"/>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9A4CAA">
      <w:pPr>
        <w:pStyle w:val="Heading3"/>
        <w:spacing w:before="0" w:line="240" w:lineRule="auto"/>
        <w:ind w:left="1416"/>
        <w:rPr>
          <w:rFonts w:ascii="Verdana" w:eastAsiaTheme="minorHAnsi" w:hAnsi="Verdana" w:cstheme="minorBidi"/>
          <w:b w:val="0"/>
          <w:i/>
          <w:color w:val="auto"/>
          <w:sz w:val="20"/>
          <w:szCs w:val="20"/>
          <w:lang w:eastAsia="en-US"/>
        </w:rPr>
      </w:pPr>
      <w:bookmarkStart w:id="89" w:name="_Toc470180069"/>
      <w:bookmarkStart w:id="90" w:name="_Toc445290337"/>
      <w:bookmarkStart w:id="91" w:name="_Toc495658673"/>
      <w:r w:rsidRPr="0001748B">
        <w:rPr>
          <w:rFonts w:ascii="Verdana" w:eastAsiaTheme="minorHAnsi" w:hAnsi="Verdana" w:cstheme="minorBidi"/>
          <w:b w:val="0"/>
          <w:i/>
          <w:color w:val="auto"/>
          <w:sz w:val="20"/>
          <w:szCs w:val="20"/>
          <w:lang w:eastAsia="en-US"/>
        </w:rPr>
        <w:t>A.1</w:t>
      </w:r>
      <w:r w:rsidRPr="0001748B">
        <w:rPr>
          <w:rFonts w:ascii="Verdana" w:eastAsiaTheme="minorHAnsi" w:hAnsi="Verdana" w:cstheme="minorBidi"/>
          <w:b w:val="0"/>
          <w:i/>
          <w:color w:val="auto"/>
          <w:sz w:val="20"/>
          <w:szCs w:val="20"/>
          <w:lang w:eastAsia="en-US"/>
        </w:rPr>
        <w:tab/>
        <w:t>Argumentos sobre el derecho a la vida (artículo 4.1 de la Convención Americana)</w:t>
      </w:r>
      <w:bookmarkEnd w:id="89"/>
      <w:bookmarkEnd w:id="90"/>
      <w:bookmarkEnd w:id="91"/>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AC7ABC">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 xml:space="preserve">La </w:t>
      </w:r>
      <w:r w:rsidRPr="0001748B">
        <w:rPr>
          <w:rFonts w:eastAsiaTheme="minorHAnsi" w:cs="Arial"/>
          <w:b/>
          <w:i/>
          <w:sz w:val="20"/>
          <w:szCs w:val="20"/>
          <w:lang w:eastAsia="en-US"/>
        </w:rPr>
        <w:t>Comisión</w:t>
      </w:r>
      <w:r w:rsidRPr="0001748B">
        <w:rPr>
          <w:rFonts w:eastAsiaTheme="minorHAnsi" w:cs="Arial"/>
          <w:sz w:val="20"/>
          <w:szCs w:val="20"/>
          <w:lang w:eastAsia="en-US"/>
        </w:rPr>
        <w:t xml:space="preserve"> sostuvo que, ante el incumplimiento de las reglas sobre el plan de operación y emergencias, así como el uso de armamento y municiones para el I Curso Antisubversivo, las circunstancias particulares del caso se enmarcan en un contexto en el cual las propias autoridades militares crearon el riesgo y no implementaron las protecciones requeridas por los lineamientos del curso mismo, con la consecuencia directa en la muerte de la presunta víctima. La Comisión </w:t>
      </w:r>
      <w:r w:rsidRPr="0001748B">
        <w:rPr>
          <w:rFonts w:eastAsiaTheme="minorHAnsi" w:cs="Arial"/>
          <w:sz w:val="20"/>
          <w:szCs w:val="20"/>
          <w:lang w:eastAsia="en-US"/>
        </w:rPr>
        <w:lastRenderedPageBreak/>
        <w:t>remarcó que el sistema de vida, disciplina y sanciones de Johan Alexis estaba enteramente a cargo del Estado, que se encontraba bajo la autoridad y control de los efectivos militares que controlaban el ejercicio,</w:t>
      </w:r>
      <w:r w:rsidR="00F360C2">
        <w:rPr>
          <w:rFonts w:eastAsiaTheme="minorHAnsi" w:cs="Arial"/>
          <w:sz w:val="20"/>
          <w:szCs w:val="20"/>
          <w:lang w:eastAsia="en-US"/>
        </w:rPr>
        <w:t xml:space="preserve"> por lo tanto, el Estado tenía un deber reforzado de protección y garantía de sus derechos. Asimismo, resaltó que </w:t>
      </w:r>
      <w:r w:rsidRPr="0001748B">
        <w:rPr>
          <w:rFonts w:eastAsiaTheme="minorHAnsi" w:cs="Arial"/>
          <w:sz w:val="20"/>
          <w:szCs w:val="20"/>
          <w:lang w:eastAsia="en-US"/>
        </w:rPr>
        <w:t xml:space="preserve">el derecho a la vida no sólo obliga al Estado de abstenerse de violar este derecho de manera intencional o ilegal, sino “también se extiende en las circunstancias apropiadas </w:t>
      </w:r>
      <w:r w:rsidR="00BA17E9">
        <w:rPr>
          <w:rFonts w:eastAsiaTheme="minorHAnsi" w:cs="Arial"/>
          <w:sz w:val="20"/>
          <w:szCs w:val="20"/>
          <w:lang w:eastAsia="en-US"/>
        </w:rPr>
        <w:t xml:space="preserve">[a] </w:t>
      </w:r>
      <w:r w:rsidRPr="0001748B">
        <w:rPr>
          <w:rFonts w:eastAsiaTheme="minorHAnsi" w:cs="Arial"/>
          <w:sz w:val="20"/>
          <w:szCs w:val="20"/>
          <w:lang w:eastAsia="en-US"/>
        </w:rPr>
        <w:t xml:space="preserve">una obligación positiva de las autoridades a tomar medidas operacionales preventivas para proteger a una persona cuya vida está en riesgo”. En ese sentido, la Comisión resaltó que no existe en el expediente una explicación o justificación de la necesidad del uso de fuerza letal y el fin que perseguía el Estado al exponer la vida de Johan Alexis Ortiz </w:t>
      </w:r>
      <w:r w:rsidR="001063CE">
        <w:rPr>
          <w:rFonts w:eastAsia="Batang"/>
          <w:sz w:val="20"/>
          <w:lang w:eastAsia="en-US"/>
        </w:rPr>
        <w:t>Hernández</w:t>
      </w:r>
      <w:r w:rsidR="001063CE" w:rsidRPr="0001748B">
        <w:rPr>
          <w:rFonts w:eastAsiaTheme="minorHAnsi" w:cs="Arial"/>
          <w:sz w:val="20"/>
          <w:szCs w:val="20"/>
          <w:lang w:eastAsia="en-US"/>
        </w:rPr>
        <w:t xml:space="preserve"> </w:t>
      </w:r>
      <w:r w:rsidRPr="0001748B">
        <w:rPr>
          <w:rFonts w:eastAsiaTheme="minorHAnsi" w:cs="Arial"/>
          <w:sz w:val="20"/>
          <w:szCs w:val="20"/>
          <w:lang w:eastAsia="en-US"/>
        </w:rPr>
        <w:t>a una situación de riesgo evitable y respecto a la cual no se tomaron las medidas apropiadas para garantizar este derecho. Por ello, frente a la existencia de una posible privación arbitraria del derecho a la vida, correspondía al Estado la obligación de llevar a cabo una investigación efectiva que permitiera mediante una determinación judicial, esclarecer las circunstancias que condujeron a la muerte de la presunta víctima bajo este contexto. Agregó que no contaba con elementos adicionales para resolver la controversia sobre si Johan Alexis fue herido o no en “la conejera”, pero más allá de este debate, la Comisión encontró suficientemente acreditado que los funcionarios militares actuaron al margen del marco establecido para el uso de la fuerza en el contexto del caso, ejerciéndola además en condiciones de alto riesgo para la vida de la presunta víctima generadas por su propio actuar negligente. Adicionalmente, alegó que está suficientemente probado que, pese a esta situación de riesgo real para la vida de la presunta víctima, los agentes estatales no adoptaron las medidas necesarias para protegerlo en caso de cualquier emergencia y sostuvo que la investigación adelantada por el Estado tampoco ha permitido esclarecer las circunstancias y responsabilidades relacionadas con su muerte de manera fehaciente e integral. En consecuencia, la Comisión consideró que el Estado es responsable por la violación del artículo 4.1 de la Convención en perjuicio de Johan Alexis Ortiz</w:t>
      </w:r>
      <w:r w:rsidR="00774DFE">
        <w:rPr>
          <w:rFonts w:eastAsiaTheme="minorHAnsi" w:cs="Arial"/>
          <w:sz w:val="20"/>
          <w:szCs w:val="20"/>
          <w:lang w:eastAsia="en-US"/>
        </w:rPr>
        <w:t xml:space="preserve"> Hernández</w:t>
      </w:r>
      <w:r w:rsidRPr="0001748B">
        <w:rPr>
          <w:rFonts w:eastAsiaTheme="minorHAnsi" w:cs="Arial"/>
          <w:sz w:val="20"/>
          <w:szCs w:val="20"/>
          <w:lang w:eastAsia="en-US"/>
        </w:rPr>
        <w:t>.</w:t>
      </w:r>
    </w:p>
    <w:p w:rsidR="00E63098" w:rsidRPr="0001748B" w:rsidRDefault="00E63098" w:rsidP="00E63098">
      <w:pPr>
        <w:widowControl/>
        <w:autoSpaceDE w:val="0"/>
        <w:autoSpaceDN w:val="0"/>
        <w:spacing w:line="240" w:lineRule="auto"/>
        <w:textAlignment w:val="auto"/>
        <w:rPr>
          <w:rFonts w:eastAsiaTheme="minorHAnsi" w:cs="Arial"/>
          <w:b/>
          <w:sz w:val="20"/>
          <w:szCs w:val="20"/>
          <w:lang w:eastAsia="en-US"/>
        </w:rPr>
      </w:pPr>
    </w:p>
    <w:p w:rsidR="00E63098" w:rsidRPr="0001748B" w:rsidRDefault="00E63098" w:rsidP="0045779B">
      <w:pPr>
        <w:numPr>
          <w:ilvl w:val="0"/>
          <w:numId w:val="1"/>
        </w:numPr>
        <w:tabs>
          <w:tab w:val="left" w:pos="567"/>
          <w:tab w:val="num" w:pos="5057"/>
        </w:tabs>
        <w:spacing w:line="240" w:lineRule="auto"/>
        <w:ind w:left="0" w:firstLine="0"/>
        <w:rPr>
          <w:rFonts w:eastAsiaTheme="minorHAnsi" w:cs="Arial"/>
          <w:b/>
          <w:sz w:val="20"/>
          <w:szCs w:val="20"/>
          <w:lang w:eastAsia="en-US"/>
        </w:rPr>
      </w:pPr>
      <w:r w:rsidRPr="0001748B">
        <w:rPr>
          <w:rFonts w:eastAsiaTheme="minorHAnsi" w:cs="Arial"/>
          <w:sz w:val="20"/>
          <w:szCs w:val="20"/>
          <w:lang w:eastAsia="en-US"/>
        </w:rPr>
        <w:t xml:space="preserve">Las </w:t>
      </w:r>
      <w:r w:rsidRPr="0001748B">
        <w:rPr>
          <w:rFonts w:eastAsiaTheme="minorHAnsi" w:cs="Arial"/>
          <w:b/>
          <w:i/>
          <w:sz w:val="20"/>
          <w:szCs w:val="20"/>
          <w:lang w:eastAsia="en-US"/>
        </w:rPr>
        <w:t>representantes</w:t>
      </w:r>
      <w:r w:rsidRPr="0001748B">
        <w:rPr>
          <w:rFonts w:eastAsiaTheme="minorHAnsi" w:cs="Arial"/>
          <w:sz w:val="20"/>
          <w:szCs w:val="20"/>
          <w:lang w:eastAsia="en-US"/>
        </w:rPr>
        <w:t xml:space="preserve"> argumentaron que el Estado omitió su deber de prevención, al no aplicar todas aquellas medidas de carácter jurídico y administrativo necesarias para salvaguardar el derecho a la vida de Johan Alexis </w:t>
      </w:r>
      <w:r w:rsidR="00BA0EBB" w:rsidRPr="0001748B">
        <w:rPr>
          <w:rFonts w:eastAsiaTheme="minorHAnsi" w:cs="Arial"/>
          <w:sz w:val="20"/>
          <w:szCs w:val="20"/>
          <w:lang w:eastAsia="en-US"/>
        </w:rPr>
        <w:t>Ortiz</w:t>
      </w:r>
      <w:r w:rsidR="00BA0EBB">
        <w:rPr>
          <w:rFonts w:eastAsiaTheme="minorHAnsi" w:cs="Arial"/>
          <w:sz w:val="20"/>
          <w:szCs w:val="20"/>
          <w:lang w:eastAsia="en-US"/>
        </w:rPr>
        <w:t xml:space="preserve"> Hernández</w:t>
      </w:r>
      <w:r w:rsidR="00BA0EBB" w:rsidRPr="0001748B">
        <w:rPr>
          <w:rFonts w:eastAsiaTheme="minorHAnsi" w:cs="Arial"/>
          <w:sz w:val="20"/>
          <w:szCs w:val="20"/>
          <w:lang w:eastAsia="en-US"/>
        </w:rPr>
        <w:t xml:space="preserve"> </w:t>
      </w:r>
      <w:r w:rsidRPr="0001748B">
        <w:rPr>
          <w:rFonts w:eastAsiaTheme="minorHAnsi" w:cs="Arial"/>
          <w:sz w:val="20"/>
          <w:szCs w:val="20"/>
          <w:lang w:eastAsia="en-US"/>
        </w:rPr>
        <w:t>en el marco del entrenamiento militar. Sostuvieron que el Estado vulneró su deber de prevención, ya que permitió que Johan Alexis participara en el I Curso Antisubversivo, como práctica de último nivel para la formación de Guardias Nacionales, sin que hubiera recibido éste, sus demás compañeros alumnos y los instructores de la ESGUARNAC, la preparación oportuna, necesaria y suficiente para llevarlo a cabo. Además, consideraron que el Estado incurrió en la vulneración arbitraria de la vida de Johan Alexis</w:t>
      </w:r>
      <w:r w:rsidR="004D54AB">
        <w:rPr>
          <w:rFonts w:eastAsiaTheme="minorHAnsi" w:cs="Arial"/>
          <w:sz w:val="20"/>
          <w:szCs w:val="20"/>
          <w:lang w:eastAsia="en-US"/>
        </w:rPr>
        <w:t xml:space="preserve"> </w:t>
      </w:r>
      <w:r w:rsidR="004D54AB">
        <w:rPr>
          <w:rFonts w:eastAsiaTheme="minorHAnsi" w:cs="Arial"/>
          <w:bCs/>
          <w:sz w:val="20"/>
          <w:szCs w:val="20"/>
          <w:lang w:eastAsia="en-US"/>
        </w:rPr>
        <w:t>Ortiz Hernández</w:t>
      </w:r>
      <w:r w:rsidR="00E0627C" w:rsidRPr="0001748B">
        <w:rPr>
          <w:rFonts w:eastAsiaTheme="minorHAnsi" w:cs="Arial"/>
          <w:sz w:val="20"/>
          <w:szCs w:val="20"/>
          <w:lang w:eastAsia="en-US"/>
        </w:rPr>
        <w:t>. Al respecto, concluyeron</w:t>
      </w:r>
      <w:r w:rsidRPr="0001748B">
        <w:rPr>
          <w:rFonts w:eastAsiaTheme="minorHAnsi" w:cs="Arial"/>
          <w:sz w:val="20"/>
          <w:szCs w:val="20"/>
          <w:lang w:eastAsia="en-US"/>
        </w:rPr>
        <w:t xml:space="preserve"> que “</w:t>
      </w:r>
      <w:r w:rsidR="00F56733">
        <w:rPr>
          <w:rFonts w:eastAsiaTheme="minorHAnsi" w:cs="Arial"/>
          <w:sz w:val="20"/>
          <w:szCs w:val="20"/>
          <w:lang w:eastAsia="en-US"/>
        </w:rPr>
        <w:t>[su]</w:t>
      </w:r>
      <w:r w:rsidR="00F56733" w:rsidRPr="0001748B">
        <w:rPr>
          <w:rFonts w:eastAsiaTheme="minorHAnsi" w:cs="Arial"/>
          <w:sz w:val="20"/>
          <w:szCs w:val="20"/>
          <w:lang w:eastAsia="en-US"/>
        </w:rPr>
        <w:t xml:space="preserve"> </w:t>
      </w:r>
      <w:r w:rsidRPr="0001748B">
        <w:rPr>
          <w:rFonts w:eastAsiaTheme="minorHAnsi" w:cs="Arial"/>
          <w:sz w:val="20"/>
          <w:szCs w:val="20"/>
          <w:lang w:eastAsia="en-US"/>
        </w:rPr>
        <w:t xml:space="preserve">fallecimiento </w:t>
      </w:r>
      <w:r w:rsidR="00F56733">
        <w:rPr>
          <w:rFonts w:eastAsiaTheme="minorHAnsi" w:cs="Arial"/>
          <w:sz w:val="20"/>
          <w:szCs w:val="20"/>
          <w:lang w:eastAsia="en-US"/>
        </w:rPr>
        <w:t>[…]</w:t>
      </w:r>
      <w:r w:rsidRPr="0001748B">
        <w:rPr>
          <w:rFonts w:eastAsiaTheme="minorHAnsi" w:cs="Arial"/>
          <w:sz w:val="20"/>
          <w:szCs w:val="20"/>
          <w:lang w:eastAsia="en-US"/>
        </w:rPr>
        <w:t xml:space="preserve"> durante una práctica de formación militar, de alto riesgo, dentro de la Escuela de Formación de Cordero (ESGUARNAC), utilizando balas reales, sin haber tomado sus autoridades, las medidas de seguridad necesarias para garantizar su vida, al no contar con personal experimentado, ni suficiente, así como por no haber llevado a cabo una investigación completa, oportuna y efectiva</w:t>
      </w:r>
      <w:r w:rsidR="00F43C7F">
        <w:rPr>
          <w:rFonts w:eastAsiaTheme="minorHAnsi" w:cs="Arial"/>
          <w:sz w:val="20"/>
          <w:szCs w:val="20"/>
          <w:lang w:eastAsia="en-US"/>
        </w:rPr>
        <w:t>”</w:t>
      </w:r>
      <w:r w:rsidRPr="0001748B">
        <w:rPr>
          <w:rFonts w:eastAsiaTheme="minorHAnsi" w:cs="Arial"/>
          <w:sz w:val="20"/>
          <w:szCs w:val="20"/>
          <w:lang w:eastAsia="en-US"/>
        </w:rPr>
        <w:t xml:space="preserve">, </w:t>
      </w:r>
      <w:r w:rsidR="00F43C7F">
        <w:rPr>
          <w:rFonts w:eastAsiaTheme="minorHAnsi" w:cs="Arial"/>
          <w:sz w:val="20"/>
          <w:szCs w:val="20"/>
          <w:lang w:eastAsia="en-US"/>
        </w:rPr>
        <w:t>generó la violación de</w:t>
      </w:r>
      <w:r w:rsidRPr="0001748B">
        <w:rPr>
          <w:rFonts w:eastAsiaTheme="minorHAnsi" w:cs="Arial"/>
          <w:sz w:val="20"/>
          <w:szCs w:val="20"/>
          <w:lang w:eastAsia="en-US"/>
        </w:rPr>
        <w:t xml:space="preserve">l artículo 4.1 de la Convención. </w:t>
      </w:r>
    </w:p>
    <w:p w:rsidR="00E63098" w:rsidRPr="0001748B" w:rsidRDefault="00E63098" w:rsidP="00E63098">
      <w:pPr>
        <w:widowControl/>
        <w:autoSpaceDE w:val="0"/>
        <w:autoSpaceDN w:val="0"/>
        <w:spacing w:line="240" w:lineRule="auto"/>
        <w:textAlignment w:val="auto"/>
        <w:rPr>
          <w:rFonts w:eastAsiaTheme="minorHAnsi" w:cs="Arial"/>
          <w:bCs/>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 xml:space="preserve">El </w:t>
      </w:r>
      <w:r w:rsidRPr="0001748B">
        <w:rPr>
          <w:rFonts w:eastAsiaTheme="minorHAnsi" w:cs="Arial"/>
          <w:b/>
          <w:i/>
          <w:sz w:val="20"/>
          <w:szCs w:val="20"/>
          <w:lang w:eastAsia="en-US"/>
        </w:rPr>
        <w:t>Estado</w:t>
      </w:r>
      <w:r w:rsidRPr="0001748B">
        <w:rPr>
          <w:rFonts w:eastAsiaTheme="minorHAnsi" w:cs="Arial"/>
          <w:sz w:val="20"/>
          <w:szCs w:val="20"/>
          <w:lang w:eastAsia="en-US"/>
        </w:rPr>
        <w:t xml:space="preserve"> no se pronunció sobre la dinámica de actividades en las prácticas de fogueo, y únicamente sostuvo que la presunta víctima “desafortunadamente recibió dos impactos al pasar por un obstáculo militar llamado ‘la conejera´”.</w:t>
      </w:r>
      <w:r w:rsidR="00E32E0D">
        <w:rPr>
          <w:rFonts w:eastAsiaTheme="minorHAnsi" w:cs="Arial"/>
          <w:sz w:val="20"/>
          <w:szCs w:val="20"/>
          <w:lang w:eastAsia="en-US"/>
        </w:rPr>
        <w:t xml:space="preserve"> </w:t>
      </w:r>
      <w:r w:rsidRPr="0001748B">
        <w:rPr>
          <w:rFonts w:eastAsiaTheme="minorHAnsi" w:cs="Arial"/>
          <w:sz w:val="20"/>
          <w:szCs w:val="20"/>
          <w:lang w:eastAsia="en-US"/>
        </w:rPr>
        <w:t>Sin embargo, durante la audiencia pública, el Estado reconoció su responsabilidad internacional por la violación del derecho a la vida, consagrado en el artículo 4 de la Convención Americana, en perjuicio del joven Johan Alexis Ortiz</w:t>
      </w:r>
      <w:r w:rsidR="001103D8">
        <w:rPr>
          <w:rFonts w:eastAsiaTheme="minorHAnsi" w:cs="Arial"/>
          <w:sz w:val="20"/>
          <w:szCs w:val="20"/>
          <w:lang w:eastAsia="en-US"/>
        </w:rPr>
        <w:t xml:space="preserve"> </w:t>
      </w:r>
      <w:r w:rsidR="001103D8">
        <w:rPr>
          <w:rFonts w:eastAsia="Batang"/>
          <w:sz w:val="20"/>
          <w:lang w:eastAsia="en-US"/>
        </w:rPr>
        <w:t>Hernández</w:t>
      </w:r>
      <w:r w:rsidRPr="0001748B">
        <w:rPr>
          <w:rFonts w:eastAsiaTheme="minorHAnsi" w:cs="Arial"/>
          <w:sz w:val="20"/>
          <w:szCs w:val="20"/>
          <w:lang w:eastAsia="en-US"/>
        </w:rPr>
        <w:t>. Resaltó que “[s]e trata de una muerte arbitraria, lamentable y, sobre todo, completamente injustificada”. En particular, señaló que el Estado venezolano considera inaceptable que las autoridades de la época, hayan desatendido las regulaciones existentes para el desarrollo de este tipo de prácticas militares, incrementando ilegítimamente el riesgo, que de por sí caracteriza</w:t>
      </w:r>
      <w:r w:rsidR="00E414A7">
        <w:rPr>
          <w:rFonts w:eastAsiaTheme="minorHAnsi" w:cs="Arial"/>
          <w:sz w:val="20"/>
          <w:szCs w:val="20"/>
          <w:lang w:eastAsia="en-US"/>
        </w:rPr>
        <w:t xml:space="preserve"> a</w:t>
      </w:r>
      <w:r w:rsidRPr="0001748B">
        <w:rPr>
          <w:rFonts w:eastAsiaTheme="minorHAnsi" w:cs="Arial"/>
          <w:sz w:val="20"/>
          <w:szCs w:val="20"/>
          <w:lang w:eastAsia="en-US"/>
        </w:rPr>
        <w:t xml:space="preserve"> los ejercicios de esta naturaleza.</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9A4CAA">
      <w:pPr>
        <w:pStyle w:val="Heading3"/>
        <w:spacing w:before="0" w:line="240" w:lineRule="auto"/>
        <w:ind w:left="1416"/>
        <w:rPr>
          <w:rFonts w:ascii="Verdana" w:eastAsiaTheme="minorHAnsi" w:hAnsi="Verdana" w:cstheme="minorBidi"/>
          <w:b w:val="0"/>
          <w:i/>
          <w:color w:val="auto"/>
          <w:sz w:val="20"/>
          <w:szCs w:val="20"/>
          <w:lang w:eastAsia="en-US"/>
        </w:rPr>
      </w:pPr>
      <w:bookmarkStart w:id="92" w:name="_Toc495658674"/>
      <w:r w:rsidRPr="0001748B">
        <w:rPr>
          <w:rFonts w:ascii="Verdana" w:eastAsiaTheme="minorHAnsi" w:hAnsi="Verdana" w:cstheme="minorBidi"/>
          <w:b w:val="0"/>
          <w:i/>
          <w:color w:val="auto"/>
          <w:sz w:val="20"/>
          <w:szCs w:val="20"/>
          <w:lang w:eastAsia="en-US"/>
        </w:rPr>
        <w:lastRenderedPageBreak/>
        <w:t>A.2</w:t>
      </w:r>
      <w:r w:rsidRPr="0001748B">
        <w:rPr>
          <w:rFonts w:ascii="Verdana" w:eastAsiaTheme="minorHAnsi" w:hAnsi="Verdana" w:cstheme="minorBidi"/>
          <w:b w:val="0"/>
          <w:i/>
          <w:color w:val="auto"/>
          <w:sz w:val="20"/>
          <w:szCs w:val="20"/>
          <w:lang w:eastAsia="en-US"/>
        </w:rPr>
        <w:tab/>
        <w:t>Argumentos sobre el derecho a la integridad personal</w:t>
      </w:r>
      <w:r w:rsidR="00674DB9" w:rsidRPr="0001748B">
        <w:rPr>
          <w:rFonts w:ascii="Verdana" w:eastAsiaTheme="minorHAnsi" w:hAnsi="Verdana" w:cstheme="minorBidi"/>
          <w:b w:val="0"/>
          <w:i/>
          <w:color w:val="auto"/>
          <w:sz w:val="20"/>
          <w:szCs w:val="20"/>
          <w:lang w:eastAsia="en-US"/>
        </w:rPr>
        <w:t xml:space="preserve"> en relación con la atención en salud</w:t>
      </w:r>
      <w:r w:rsidRPr="0001748B">
        <w:rPr>
          <w:rFonts w:ascii="Verdana" w:eastAsiaTheme="minorHAnsi" w:hAnsi="Verdana" w:cstheme="minorBidi"/>
          <w:b w:val="0"/>
          <w:i/>
          <w:color w:val="auto"/>
          <w:sz w:val="20"/>
          <w:szCs w:val="20"/>
          <w:lang w:eastAsia="en-US"/>
        </w:rPr>
        <w:t xml:space="preserve"> (artículo 5.1 de la Convención Americana)</w:t>
      </w:r>
      <w:bookmarkEnd w:id="92"/>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 xml:space="preserve">La </w:t>
      </w:r>
      <w:r w:rsidRPr="0001748B">
        <w:rPr>
          <w:rFonts w:eastAsiaTheme="minorHAnsi" w:cs="Arial"/>
          <w:b/>
          <w:i/>
          <w:sz w:val="20"/>
          <w:szCs w:val="20"/>
          <w:lang w:eastAsia="en-US"/>
        </w:rPr>
        <w:t>Comisión</w:t>
      </w:r>
      <w:r w:rsidRPr="0001748B">
        <w:rPr>
          <w:rFonts w:eastAsiaTheme="minorHAnsi" w:cs="Arial"/>
          <w:sz w:val="20"/>
          <w:szCs w:val="20"/>
          <w:lang w:eastAsia="en-US"/>
        </w:rPr>
        <w:t xml:space="preserve"> </w:t>
      </w:r>
      <w:r w:rsidR="000E0856" w:rsidRPr="0001748B">
        <w:rPr>
          <w:rFonts w:eastAsiaTheme="minorHAnsi" w:cs="Arial"/>
          <w:sz w:val="20"/>
          <w:szCs w:val="20"/>
          <w:lang w:eastAsia="en-US"/>
        </w:rPr>
        <w:t xml:space="preserve">resaltó </w:t>
      </w:r>
      <w:r w:rsidRPr="0001748B">
        <w:rPr>
          <w:rFonts w:eastAsiaTheme="minorHAnsi" w:cs="Arial"/>
          <w:sz w:val="20"/>
          <w:szCs w:val="20"/>
          <w:lang w:eastAsia="en-US"/>
        </w:rPr>
        <w:t xml:space="preserve">la relación que tiene el derecho a la integridad personal con la atención en salud. En esta línea, </w:t>
      </w:r>
      <w:r w:rsidR="000E0856" w:rsidRPr="0001748B">
        <w:rPr>
          <w:rFonts w:eastAsiaTheme="minorHAnsi" w:cs="Arial"/>
          <w:sz w:val="20"/>
          <w:szCs w:val="20"/>
          <w:lang w:eastAsia="en-US"/>
        </w:rPr>
        <w:t xml:space="preserve">señaló </w:t>
      </w:r>
      <w:r w:rsidRPr="0001748B">
        <w:rPr>
          <w:rFonts w:eastAsiaTheme="minorHAnsi" w:cs="Arial"/>
          <w:sz w:val="20"/>
          <w:szCs w:val="20"/>
          <w:lang w:eastAsia="en-US"/>
        </w:rPr>
        <w:t xml:space="preserve">el hecho de que no se contara con personal médico especializado ni con una ambulancia que le permitiera recibir atención médica mientras era trasladado hasta un centro asistencial, elementos requeridos según el instructivo, y que para la Comisión constituyeron omisiones que resultan directamente atribuibles al Estado. </w:t>
      </w:r>
      <w:r w:rsidR="000E0856">
        <w:rPr>
          <w:rFonts w:eastAsiaTheme="minorHAnsi" w:cs="Arial"/>
          <w:sz w:val="20"/>
          <w:szCs w:val="20"/>
          <w:lang w:eastAsia="en-US"/>
        </w:rPr>
        <w:t>Destacó</w:t>
      </w:r>
      <w:r w:rsidR="000E0856" w:rsidRPr="0001748B">
        <w:rPr>
          <w:rFonts w:eastAsiaTheme="minorHAnsi" w:cs="Arial"/>
          <w:sz w:val="20"/>
          <w:szCs w:val="20"/>
          <w:lang w:eastAsia="en-US"/>
        </w:rPr>
        <w:t xml:space="preserve"> </w:t>
      </w:r>
      <w:r w:rsidRPr="0001748B">
        <w:rPr>
          <w:rFonts w:eastAsiaTheme="minorHAnsi" w:cs="Arial"/>
          <w:sz w:val="20"/>
          <w:szCs w:val="20"/>
          <w:lang w:eastAsia="en-US"/>
        </w:rPr>
        <w:t xml:space="preserve">que tales omisiones </w:t>
      </w:r>
      <w:r w:rsidR="006118D6">
        <w:rPr>
          <w:rFonts w:eastAsiaTheme="minorHAnsi" w:cs="Arial"/>
          <w:sz w:val="20"/>
          <w:szCs w:val="20"/>
          <w:lang w:eastAsia="en-US"/>
        </w:rPr>
        <w:t>fueron</w:t>
      </w:r>
      <w:r w:rsidR="006118D6" w:rsidRPr="0001748B">
        <w:rPr>
          <w:rFonts w:eastAsiaTheme="minorHAnsi" w:cs="Arial"/>
          <w:sz w:val="20"/>
          <w:szCs w:val="20"/>
          <w:lang w:eastAsia="en-US"/>
        </w:rPr>
        <w:t xml:space="preserve"> </w:t>
      </w:r>
      <w:r w:rsidRPr="0001748B">
        <w:rPr>
          <w:rFonts w:eastAsiaTheme="minorHAnsi" w:cs="Arial"/>
          <w:sz w:val="20"/>
          <w:szCs w:val="20"/>
          <w:lang w:eastAsia="en-US"/>
        </w:rPr>
        <w:t>de especial gravedad en las circunstancias y el lugar alejado donde se desarroll</w:t>
      </w:r>
      <w:r w:rsidR="00ED1B8A">
        <w:rPr>
          <w:rFonts w:eastAsiaTheme="minorHAnsi" w:cs="Arial"/>
          <w:sz w:val="20"/>
          <w:szCs w:val="20"/>
          <w:lang w:eastAsia="en-US"/>
        </w:rPr>
        <w:t>ó</w:t>
      </w:r>
      <w:r w:rsidRPr="0001748B">
        <w:rPr>
          <w:rFonts w:eastAsiaTheme="minorHAnsi" w:cs="Arial"/>
          <w:sz w:val="20"/>
          <w:szCs w:val="20"/>
          <w:lang w:eastAsia="en-US"/>
        </w:rPr>
        <w:t xml:space="preserve"> la práctica, pues fueron elementos que en su conjunto disminuyeron las posibilidades que </w:t>
      </w:r>
      <w:r w:rsidR="00ED1B8A">
        <w:rPr>
          <w:rFonts w:eastAsiaTheme="minorHAnsi" w:cs="Arial"/>
          <w:sz w:val="20"/>
          <w:szCs w:val="20"/>
          <w:lang w:eastAsia="en-US"/>
        </w:rPr>
        <w:t>tuvo</w:t>
      </w:r>
      <w:r w:rsidR="00ED1B8A" w:rsidRPr="0001748B">
        <w:rPr>
          <w:rFonts w:eastAsiaTheme="minorHAnsi" w:cs="Arial"/>
          <w:sz w:val="20"/>
          <w:szCs w:val="20"/>
          <w:lang w:eastAsia="en-US"/>
        </w:rPr>
        <w:t xml:space="preserve"> </w:t>
      </w:r>
      <w:r w:rsidRPr="0001748B">
        <w:rPr>
          <w:rFonts w:eastAsiaTheme="minorHAnsi" w:cs="Arial"/>
          <w:sz w:val="20"/>
          <w:szCs w:val="20"/>
          <w:lang w:eastAsia="en-US"/>
        </w:rPr>
        <w:t>el joven Johan Alexis de sobrevivir a las heridas de arma de fuego. Por esta razón, la Comisión consideró razonable inferir que la presunta víctima padeció en esos instantes profundo dolor, angustia y sufrimiento, y esto constituyó en sí misma una afectación a su integridad física, psíquica y moral. Por lo tanto, la Comisión concluyó que el Estado violó el derecho a la integridad personal establecido en el artículo 5 de la Convención, en perjuicio de Ortiz Hernández.</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 xml:space="preserve">Las </w:t>
      </w:r>
      <w:r w:rsidRPr="0001748B">
        <w:rPr>
          <w:rFonts w:eastAsiaTheme="minorHAnsi" w:cs="Arial"/>
          <w:b/>
          <w:i/>
          <w:sz w:val="20"/>
          <w:szCs w:val="20"/>
          <w:lang w:eastAsia="en-US"/>
        </w:rPr>
        <w:t xml:space="preserve">representantes </w:t>
      </w:r>
      <w:r w:rsidRPr="0001748B">
        <w:rPr>
          <w:rFonts w:eastAsiaTheme="minorHAnsi" w:cs="Arial"/>
          <w:sz w:val="20"/>
          <w:szCs w:val="20"/>
          <w:lang w:eastAsia="en-US"/>
        </w:rPr>
        <w:t xml:space="preserve">alegaron que Johan Alexis </w:t>
      </w:r>
      <w:r w:rsidR="004D54AB">
        <w:rPr>
          <w:rFonts w:eastAsiaTheme="minorHAnsi" w:cs="Arial"/>
          <w:bCs/>
          <w:sz w:val="20"/>
          <w:szCs w:val="20"/>
          <w:lang w:eastAsia="en-US"/>
        </w:rPr>
        <w:t>Ortiz Hernández</w:t>
      </w:r>
      <w:r w:rsidR="004D54AB" w:rsidRPr="0001748B">
        <w:rPr>
          <w:rFonts w:eastAsiaTheme="minorHAnsi" w:cs="Arial"/>
          <w:sz w:val="20"/>
          <w:szCs w:val="20"/>
          <w:lang w:eastAsia="en-US"/>
        </w:rPr>
        <w:t xml:space="preserve"> </w:t>
      </w:r>
      <w:r w:rsidRPr="0001748B">
        <w:rPr>
          <w:rFonts w:eastAsiaTheme="minorHAnsi" w:cs="Arial"/>
          <w:sz w:val="20"/>
          <w:szCs w:val="20"/>
          <w:lang w:eastAsia="en-US"/>
        </w:rPr>
        <w:t xml:space="preserve">no recibió la atención médica oportuna y </w:t>
      </w:r>
      <w:r w:rsidR="00ED1B8A">
        <w:rPr>
          <w:rFonts w:eastAsiaTheme="minorHAnsi" w:cs="Arial"/>
          <w:sz w:val="20"/>
          <w:szCs w:val="20"/>
          <w:lang w:eastAsia="en-US"/>
        </w:rPr>
        <w:t>adecuada</w:t>
      </w:r>
      <w:r w:rsidR="00ED1B8A" w:rsidRPr="0001748B">
        <w:rPr>
          <w:rFonts w:eastAsiaTheme="minorHAnsi" w:cs="Arial"/>
          <w:sz w:val="20"/>
          <w:szCs w:val="20"/>
          <w:lang w:eastAsia="en-US"/>
        </w:rPr>
        <w:t xml:space="preserve"> </w:t>
      </w:r>
      <w:r w:rsidRPr="0001748B">
        <w:rPr>
          <w:rFonts w:eastAsiaTheme="minorHAnsi" w:cs="Arial"/>
          <w:sz w:val="20"/>
          <w:szCs w:val="20"/>
          <w:lang w:eastAsia="en-US"/>
        </w:rPr>
        <w:t>para tratar su estado delicado de salud e impedir su deceso, ya que en el centro asistencial de El Piñal, no existían los equipos médicos y personal especializado para atender su cuadro clínico, todo ello en razón de que la ESGUARNAC no aplicó las exigencias de medidas de seguridad ante emergencias, tales como tener disponible una ambulancia o transporte aéreo para trasladarlo al Hospital Central de San Cristóbal.</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heme="minorHAnsi" w:cs="Arial"/>
          <w:b/>
          <w:bCs/>
          <w:sz w:val="20"/>
          <w:szCs w:val="20"/>
          <w:lang w:eastAsia="en-US"/>
        </w:rPr>
      </w:pPr>
      <w:r w:rsidRPr="0001748B">
        <w:rPr>
          <w:rFonts w:eastAsiaTheme="minorHAnsi" w:cs="Arial"/>
          <w:bCs/>
          <w:sz w:val="20"/>
          <w:szCs w:val="20"/>
          <w:lang w:eastAsia="en-US"/>
        </w:rPr>
        <w:t xml:space="preserve">El </w:t>
      </w:r>
      <w:r w:rsidRPr="0001748B">
        <w:rPr>
          <w:rFonts w:eastAsiaTheme="minorHAnsi" w:cs="Arial"/>
          <w:b/>
          <w:bCs/>
          <w:i/>
          <w:sz w:val="20"/>
          <w:szCs w:val="20"/>
          <w:lang w:eastAsia="en-US"/>
        </w:rPr>
        <w:t>Estado</w:t>
      </w:r>
      <w:r w:rsidRPr="0001748B">
        <w:rPr>
          <w:rFonts w:eastAsiaTheme="minorHAnsi" w:cs="Arial"/>
          <w:bCs/>
          <w:sz w:val="20"/>
          <w:szCs w:val="20"/>
          <w:lang w:eastAsia="en-US"/>
        </w:rPr>
        <w:t xml:space="preserve"> manifestó que Johan Alexis </w:t>
      </w:r>
      <w:r w:rsidR="004D54AB">
        <w:rPr>
          <w:rFonts w:eastAsiaTheme="minorHAnsi" w:cs="Arial"/>
          <w:bCs/>
          <w:sz w:val="20"/>
          <w:szCs w:val="20"/>
          <w:lang w:eastAsia="en-US"/>
        </w:rPr>
        <w:t xml:space="preserve">Ortiz Hernández </w:t>
      </w:r>
      <w:r w:rsidRPr="0001748B">
        <w:rPr>
          <w:rFonts w:eastAsiaTheme="minorHAnsi" w:cs="Arial"/>
          <w:bCs/>
          <w:sz w:val="20"/>
          <w:szCs w:val="20"/>
          <w:lang w:eastAsia="en-US"/>
        </w:rPr>
        <w:t xml:space="preserve">fue auxiliado por el instructor del ejercicio y otro funcionario que fungía </w:t>
      </w:r>
      <w:r w:rsidRPr="0001748B">
        <w:rPr>
          <w:rFonts w:eastAsiaTheme="minorHAnsi" w:cs="Arial"/>
          <w:sz w:val="20"/>
          <w:szCs w:val="20"/>
          <w:lang w:eastAsia="en-US"/>
        </w:rPr>
        <w:t>como</w:t>
      </w:r>
      <w:r w:rsidRPr="0001748B">
        <w:rPr>
          <w:rFonts w:eastAsiaTheme="minorHAnsi" w:cs="Arial"/>
          <w:bCs/>
          <w:sz w:val="20"/>
          <w:szCs w:val="20"/>
          <w:lang w:eastAsia="en-US"/>
        </w:rPr>
        <w:t xml:space="preserve"> enfermero y lo trasladaron de inmediato en un vehículo militar al Hospital.</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E63098">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eastAsia="en-US"/>
        </w:rPr>
      </w:pPr>
      <w:bookmarkStart w:id="93" w:name="_Toc470180077"/>
      <w:bookmarkStart w:id="94" w:name="_Toc495658675"/>
      <w:r w:rsidRPr="0001748B">
        <w:rPr>
          <w:rFonts w:eastAsia="MS Mincho" w:cs="Arial"/>
          <w:b/>
          <w:bCs/>
          <w:i/>
          <w:sz w:val="20"/>
          <w:szCs w:val="20"/>
          <w:lang w:eastAsia="en-US"/>
        </w:rPr>
        <w:t>B.</w:t>
      </w:r>
      <w:r w:rsidRPr="0001748B">
        <w:rPr>
          <w:rFonts w:eastAsia="MS Mincho" w:cs="Arial"/>
          <w:b/>
          <w:bCs/>
          <w:i/>
          <w:sz w:val="20"/>
          <w:szCs w:val="20"/>
          <w:lang w:eastAsia="en-US"/>
        </w:rPr>
        <w:tab/>
        <w:t>Consideraciones de la Corte</w:t>
      </w:r>
      <w:bookmarkEnd w:id="93"/>
      <w:bookmarkEnd w:id="94"/>
    </w:p>
    <w:p w:rsidR="00E63098" w:rsidRDefault="00E63098" w:rsidP="00E63098">
      <w:pPr>
        <w:widowControl/>
        <w:autoSpaceDE w:val="0"/>
        <w:autoSpaceDN w:val="0"/>
        <w:spacing w:line="240" w:lineRule="auto"/>
        <w:textAlignment w:val="auto"/>
        <w:rPr>
          <w:rFonts w:eastAsiaTheme="minorHAnsi" w:cs="Arial"/>
          <w:sz w:val="20"/>
          <w:szCs w:val="20"/>
          <w:lang w:eastAsia="en-US"/>
        </w:rPr>
      </w:pPr>
    </w:p>
    <w:p w:rsidR="007F5DFA" w:rsidRPr="002C5D51" w:rsidRDefault="00F57619" w:rsidP="002C5D51">
      <w:pPr>
        <w:numPr>
          <w:ilvl w:val="0"/>
          <w:numId w:val="1"/>
        </w:numPr>
        <w:tabs>
          <w:tab w:val="left" w:pos="567"/>
          <w:tab w:val="num" w:pos="5057"/>
        </w:tabs>
        <w:spacing w:line="240" w:lineRule="auto"/>
        <w:ind w:left="0" w:firstLine="0"/>
        <w:rPr>
          <w:rFonts w:eastAsiaTheme="minorHAnsi" w:cs="Arial"/>
          <w:sz w:val="20"/>
          <w:szCs w:val="20"/>
          <w:lang w:eastAsia="en-US"/>
        </w:rPr>
      </w:pPr>
      <w:r>
        <w:rPr>
          <w:rFonts w:eastAsiaTheme="minorHAnsi" w:cs="Arial"/>
          <w:sz w:val="20"/>
          <w:szCs w:val="20"/>
          <w:lang w:eastAsia="en-US"/>
        </w:rPr>
        <w:t>L</w:t>
      </w:r>
      <w:r w:rsidR="007F5DFA" w:rsidRPr="002C5D51">
        <w:rPr>
          <w:rFonts w:eastAsiaTheme="minorHAnsi" w:cs="Arial"/>
          <w:sz w:val="20"/>
          <w:szCs w:val="20"/>
          <w:lang w:eastAsia="en-US"/>
        </w:rPr>
        <w:t xml:space="preserve">a Corte procederá a examinar la </w:t>
      </w:r>
      <w:r>
        <w:rPr>
          <w:rFonts w:eastAsiaTheme="minorHAnsi" w:cs="Arial"/>
          <w:sz w:val="20"/>
          <w:szCs w:val="20"/>
          <w:lang w:eastAsia="en-US"/>
        </w:rPr>
        <w:t xml:space="preserve">cuestión acerca de la </w:t>
      </w:r>
      <w:r w:rsidR="007F5DFA" w:rsidRPr="002C5D51">
        <w:rPr>
          <w:rFonts w:eastAsiaTheme="minorHAnsi" w:cs="Arial"/>
          <w:sz w:val="20"/>
          <w:szCs w:val="20"/>
          <w:lang w:eastAsia="en-US"/>
        </w:rPr>
        <w:t xml:space="preserve">responsabilidad internacional del Estado por la violación de los artículos 4 y 5 de la Convención Americana en perjuicio de Johan Alexis Ortiz Hernández. Para ello, la Corte dividirá su análisis del siguiente modo: primeramente, se referirá a los criterios jurisprudenciales desarrollados en torno a los derechos referidos, para luego especificar su aplicación en el contexto concreto de este caso, esto es, el contexto militar. Posteriormente, la Corte determinará los alcances de la </w:t>
      </w:r>
      <w:r>
        <w:rPr>
          <w:rFonts w:eastAsiaTheme="minorHAnsi" w:cs="Arial"/>
          <w:sz w:val="20"/>
          <w:szCs w:val="20"/>
          <w:lang w:eastAsia="en-US"/>
        </w:rPr>
        <w:t xml:space="preserve">eventual </w:t>
      </w:r>
      <w:r w:rsidR="007F5DFA" w:rsidRPr="002C5D51">
        <w:rPr>
          <w:rFonts w:eastAsiaTheme="minorHAnsi" w:cs="Arial"/>
          <w:sz w:val="20"/>
          <w:szCs w:val="20"/>
          <w:lang w:eastAsia="en-US"/>
        </w:rPr>
        <w:t>responsabilidad del Estado a la luz de sus obligaciones internacionales.</w:t>
      </w:r>
    </w:p>
    <w:p w:rsidR="007F5DFA" w:rsidRDefault="007F5DFA" w:rsidP="00E63098">
      <w:pPr>
        <w:widowControl/>
        <w:autoSpaceDE w:val="0"/>
        <w:autoSpaceDN w:val="0"/>
        <w:spacing w:line="240" w:lineRule="auto"/>
        <w:textAlignment w:val="auto"/>
        <w:rPr>
          <w:rFonts w:eastAsiaTheme="minorHAnsi" w:cs="Arial"/>
          <w:sz w:val="20"/>
          <w:szCs w:val="20"/>
          <w:lang w:eastAsia="en-US"/>
        </w:rPr>
      </w:pPr>
    </w:p>
    <w:p w:rsidR="00E71ADD" w:rsidRPr="00E71ADD" w:rsidRDefault="00E71ADD" w:rsidP="00E71ADD">
      <w:pPr>
        <w:pStyle w:val="Heading3"/>
        <w:spacing w:before="0" w:line="240" w:lineRule="auto"/>
        <w:ind w:left="1416"/>
        <w:rPr>
          <w:rFonts w:ascii="Verdana" w:eastAsiaTheme="minorHAnsi" w:hAnsi="Verdana" w:cstheme="minorBidi"/>
          <w:b w:val="0"/>
          <w:i/>
          <w:color w:val="auto"/>
          <w:sz w:val="20"/>
          <w:szCs w:val="20"/>
          <w:lang w:eastAsia="en-US"/>
        </w:rPr>
      </w:pPr>
      <w:bookmarkStart w:id="95" w:name="_Toc495658676"/>
      <w:r w:rsidRPr="002C5D51">
        <w:rPr>
          <w:rFonts w:ascii="Verdana" w:eastAsiaTheme="minorHAnsi" w:hAnsi="Verdana" w:cstheme="minorBidi"/>
          <w:b w:val="0"/>
          <w:i/>
          <w:color w:val="auto"/>
          <w:sz w:val="20"/>
          <w:szCs w:val="20"/>
          <w:lang w:eastAsia="en-US"/>
        </w:rPr>
        <w:t xml:space="preserve">B.1 </w:t>
      </w:r>
      <w:r w:rsidRPr="002C5D51">
        <w:rPr>
          <w:rFonts w:ascii="Verdana" w:eastAsiaTheme="minorHAnsi" w:hAnsi="Verdana" w:cstheme="minorBidi"/>
          <w:b w:val="0"/>
          <w:i/>
          <w:color w:val="auto"/>
          <w:sz w:val="20"/>
          <w:szCs w:val="20"/>
          <w:lang w:eastAsia="en-US"/>
        </w:rPr>
        <w:tab/>
        <w:t>El derecho a la vida y</w:t>
      </w:r>
      <w:r w:rsidR="00007CE2">
        <w:rPr>
          <w:rFonts w:ascii="Verdana" w:eastAsiaTheme="minorHAnsi" w:hAnsi="Verdana" w:cstheme="minorBidi"/>
          <w:b w:val="0"/>
          <w:i/>
          <w:color w:val="auto"/>
          <w:sz w:val="20"/>
          <w:szCs w:val="20"/>
          <w:lang w:eastAsia="en-US"/>
        </w:rPr>
        <w:t xml:space="preserve"> a</w:t>
      </w:r>
      <w:r w:rsidRPr="002C5D51">
        <w:rPr>
          <w:rFonts w:ascii="Verdana" w:eastAsiaTheme="minorHAnsi" w:hAnsi="Verdana" w:cstheme="minorBidi"/>
          <w:b w:val="0"/>
          <w:i/>
          <w:color w:val="auto"/>
          <w:sz w:val="20"/>
          <w:szCs w:val="20"/>
          <w:lang w:eastAsia="en-US"/>
        </w:rPr>
        <w:t xml:space="preserve"> la integridad personal</w:t>
      </w:r>
      <w:bookmarkEnd w:id="95"/>
    </w:p>
    <w:p w:rsidR="00E71ADD" w:rsidRPr="0001748B" w:rsidRDefault="00E71ADD"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imes" w:cs="Arial"/>
          <w:sz w:val="20"/>
          <w:szCs w:val="20"/>
          <w:lang w:eastAsia="en-US"/>
        </w:rPr>
      </w:pPr>
      <w:r w:rsidRPr="0001748B">
        <w:rPr>
          <w:rFonts w:eastAsiaTheme="minorHAnsi" w:cs="Arial"/>
          <w:spacing w:val="-2"/>
          <w:sz w:val="20"/>
          <w:szCs w:val="20"/>
          <w:lang w:eastAsia="en-US"/>
        </w:rPr>
        <w:t xml:space="preserve">Este Tribunal ha establecido que el derecho a la vida juega un papel fundamental en la Convención </w:t>
      </w:r>
      <w:r w:rsidRPr="0001748B">
        <w:rPr>
          <w:rFonts w:eastAsiaTheme="minorHAnsi" w:cs="Arial"/>
          <w:sz w:val="20"/>
          <w:szCs w:val="20"/>
          <w:lang w:eastAsia="en-US"/>
        </w:rPr>
        <w:t>Americana</w:t>
      </w:r>
      <w:r w:rsidRPr="0001748B">
        <w:rPr>
          <w:rFonts w:eastAsiaTheme="minorHAnsi" w:cs="Arial"/>
          <w:spacing w:val="-2"/>
          <w:sz w:val="20"/>
          <w:szCs w:val="20"/>
          <w:lang w:eastAsia="en-US"/>
        </w:rPr>
        <w:t>, por ser el presupuesto esencial para el ejercicio de los demás derechos</w:t>
      </w:r>
      <w:r w:rsidRPr="0001748B">
        <w:rPr>
          <w:rFonts w:eastAsiaTheme="minorHAnsi" w:cs="Arial"/>
          <w:sz w:val="20"/>
          <w:szCs w:val="20"/>
          <w:vertAlign w:val="superscript"/>
          <w:lang w:eastAsia="en-US"/>
        </w:rPr>
        <w:footnoteReference w:id="118"/>
      </w:r>
      <w:r w:rsidRPr="0001748B">
        <w:rPr>
          <w:rFonts w:eastAsiaTheme="minorHAnsi" w:cs="Arial"/>
          <w:sz w:val="20"/>
          <w:szCs w:val="20"/>
          <w:lang w:eastAsia="en-US"/>
        </w:rPr>
        <w:t xml:space="preserve">. </w:t>
      </w:r>
      <w:r w:rsidRPr="0001748B">
        <w:rPr>
          <w:rFonts w:cs="Arial"/>
          <w:sz w:val="20"/>
          <w:szCs w:val="20"/>
          <w:lang w:eastAsia="en-US"/>
        </w:rPr>
        <w:t xml:space="preserve">La observancia del artículo 4, relacionado con el artículo 1.1 de la Convención Americana, no </w:t>
      </w:r>
      <w:r w:rsidRPr="0001748B">
        <w:rPr>
          <w:rFonts w:eastAsiaTheme="minorHAnsi" w:cs="Arial"/>
          <w:sz w:val="20"/>
          <w:szCs w:val="20"/>
          <w:lang w:eastAsia="en-US"/>
        </w:rPr>
        <w:t>sólo</w:t>
      </w:r>
      <w:r w:rsidRPr="0001748B">
        <w:rPr>
          <w:rFonts w:cs="Arial"/>
          <w:sz w:val="20"/>
          <w:szCs w:val="20"/>
          <w:lang w:eastAsia="en-US"/>
        </w:rPr>
        <w:t xml:space="preserve"> presupone que ninguna persona sea privada de su vida arbitrariamente (obligación negativa), sino que además requiere que los Estados adopten todas las medidas apropiadas para proteger y preservar el derecho a la vida (obligación positiva)</w:t>
      </w:r>
      <w:bookmarkStart w:id="96" w:name="_Ref248148354"/>
      <w:r w:rsidRPr="0001748B">
        <w:rPr>
          <w:rFonts w:cs="Arial"/>
          <w:sz w:val="20"/>
          <w:szCs w:val="20"/>
          <w:vertAlign w:val="superscript"/>
          <w:lang w:eastAsia="en-US"/>
        </w:rPr>
        <w:footnoteReference w:id="119"/>
      </w:r>
      <w:bookmarkEnd w:id="96"/>
      <w:r w:rsidRPr="0001748B">
        <w:rPr>
          <w:rFonts w:cs="Arial"/>
          <w:sz w:val="20"/>
          <w:szCs w:val="20"/>
          <w:lang w:eastAsia="en-US"/>
        </w:rPr>
        <w:t>, conforme al deber de garantizar el pleno y libre ejercicio de los derechos de todas las personas bajo su jurisdicción</w:t>
      </w:r>
      <w:r w:rsidRPr="0001748B">
        <w:rPr>
          <w:rFonts w:cs="Arial"/>
          <w:sz w:val="20"/>
          <w:szCs w:val="20"/>
          <w:vertAlign w:val="superscript"/>
          <w:lang w:eastAsia="en-US"/>
        </w:rPr>
        <w:footnoteReference w:id="120"/>
      </w:r>
      <w:r w:rsidR="002C5D51">
        <w:rPr>
          <w:rFonts w:cs="Arial"/>
          <w:sz w:val="20"/>
          <w:szCs w:val="20"/>
          <w:lang w:eastAsia="en-US"/>
        </w:rPr>
        <w:t>.</w:t>
      </w:r>
    </w:p>
    <w:p w:rsidR="00E63098" w:rsidRPr="0001748B" w:rsidRDefault="00E63098" w:rsidP="00E63098">
      <w:pPr>
        <w:widowControl/>
        <w:autoSpaceDE w:val="0"/>
        <w:autoSpaceDN w:val="0"/>
        <w:spacing w:line="240" w:lineRule="auto"/>
        <w:textAlignment w:val="auto"/>
        <w:rPr>
          <w:rFonts w:eastAsia="Times" w:cs="Arial"/>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imes" w:cs="Arial"/>
          <w:sz w:val="20"/>
          <w:szCs w:val="20"/>
          <w:lang w:eastAsia="en-US"/>
        </w:rPr>
      </w:pPr>
      <w:r w:rsidRPr="0001748B">
        <w:rPr>
          <w:rFonts w:eastAsiaTheme="minorHAnsi" w:cs="Arial"/>
          <w:sz w:val="20"/>
          <w:szCs w:val="20"/>
          <w:lang w:eastAsia="en-US"/>
        </w:rPr>
        <w:t xml:space="preserve">En consecuencia, los Estados tienen la obligación de garantizar la creación de las condiciones que </w:t>
      </w:r>
      <w:r w:rsidRPr="0001748B">
        <w:rPr>
          <w:rFonts w:eastAsia="Batang" w:cs="Times"/>
          <w:sz w:val="20"/>
          <w:szCs w:val="20"/>
          <w:lang w:eastAsia="en-US"/>
        </w:rPr>
        <w:t>se</w:t>
      </w:r>
      <w:r w:rsidRPr="0001748B">
        <w:rPr>
          <w:rFonts w:eastAsiaTheme="minorHAnsi" w:cs="Arial"/>
          <w:sz w:val="20"/>
          <w:szCs w:val="20"/>
          <w:lang w:eastAsia="en-US"/>
        </w:rPr>
        <w:t xml:space="preserve"> requieran para que no se produzcan violaciones de ese derecho inalienable y, en particular, el deber de impedir que sus agentes atenten contra el mismo. </w:t>
      </w:r>
      <w:r w:rsidRPr="0001748B">
        <w:rPr>
          <w:rFonts w:eastAsia="Times" w:cs="Arial"/>
          <w:sz w:val="20"/>
          <w:szCs w:val="20"/>
          <w:lang w:eastAsia="en-US"/>
        </w:rPr>
        <w:t>Esta protección activa del derecho a la vida por parte del Estado no sólo involucra a sus legisladores, sino a toda institución estatal y a quienes deben resguardar la seguridad, sean éstas sus fuerzas de policía o sus fuerzas armadas</w:t>
      </w:r>
      <w:r w:rsidRPr="0001748B">
        <w:rPr>
          <w:rFonts w:eastAsia="Times" w:cs="Times"/>
          <w:sz w:val="20"/>
          <w:szCs w:val="20"/>
          <w:vertAlign w:val="superscript"/>
          <w:lang w:eastAsia="en-US"/>
        </w:rPr>
        <w:footnoteReference w:id="121"/>
      </w:r>
      <w:r w:rsidRPr="0001748B">
        <w:rPr>
          <w:rFonts w:eastAsia="Times" w:cs="Arial"/>
          <w:sz w:val="20"/>
          <w:szCs w:val="20"/>
          <w:lang w:eastAsia="en-US"/>
        </w:rPr>
        <w:t>.</w:t>
      </w:r>
    </w:p>
    <w:p w:rsidR="00E63098" w:rsidRPr="0001748B" w:rsidRDefault="00E63098" w:rsidP="00E63098">
      <w:pPr>
        <w:widowControl/>
        <w:autoSpaceDE w:val="0"/>
        <w:autoSpaceDN w:val="0"/>
        <w:spacing w:line="240" w:lineRule="auto"/>
        <w:textAlignment w:val="auto"/>
        <w:rPr>
          <w:rFonts w:eastAsia="Batang" w:cs="Times"/>
          <w:sz w:val="20"/>
          <w:szCs w:val="20"/>
          <w:lang w:eastAsia="en-US"/>
        </w:rPr>
      </w:pPr>
    </w:p>
    <w:p w:rsidR="00E63098" w:rsidRPr="0001748B" w:rsidRDefault="00E63098" w:rsidP="0075413A">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 xml:space="preserve">Por otro lado, </w:t>
      </w:r>
      <w:r w:rsidR="0075413A" w:rsidRPr="0001748B">
        <w:rPr>
          <w:rFonts w:eastAsiaTheme="minorHAnsi" w:cs="Arial"/>
          <w:sz w:val="20"/>
          <w:szCs w:val="20"/>
          <w:lang w:eastAsia="en-US"/>
        </w:rPr>
        <w:t>la Convención Americana reconoce expresamente el derecho a la integridad personal, física y psíquica, cuya infracción “es una clase de violación que tiene diversas connotaciones de grado y […] cuyas secuelas físicas y psíquicas varían de intensidad según los factores endógenos y exógenos que deberán ser demostrados en cada situación concreta”</w:t>
      </w:r>
      <w:r w:rsidRPr="0001748B">
        <w:rPr>
          <w:rFonts w:eastAsiaTheme="minorHAnsi" w:cs="Arial"/>
          <w:sz w:val="20"/>
          <w:szCs w:val="20"/>
          <w:vertAlign w:val="superscript"/>
          <w:lang w:eastAsia="en-US"/>
        </w:rPr>
        <w:footnoteReference w:id="122"/>
      </w:r>
      <w:r w:rsidRPr="0001748B">
        <w:rPr>
          <w:rFonts w:eastAsiaTheme="minorHAnsi" w:cs="Arial"/>
          <w:sz w:val="20"/>
          <w:szCs w:val="20"/>
          <w:lang w:eastAsia="en-US"/>
        </w:rPr>
        <w:t>.</w:t>
      </w:r>
    </w:p>
    <w:p w:rsidR="00E63098" w:rsidRPr="0001748B" w:rsidRDefault="00E63098" w:rsidP="00E63098">
      <w:pPr>
        <w:widowControl/>
        <w:autoSpaceDE w:val="0"/>
        <w:autoSpaceDN w:val="0"/>
        <w:spacing w:line="240" w:lineRule="auto"/>
        <w:textAlignment w:val="auto"/>
        <w:rPr>
          <w:rFonts w:eastAsia="Batang" w:cs="Times"/>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Batang" w:cs="Times"/>
          <w:sz w:val="20"/>
          <w:szCs w:val="20"/>
          <w:lang w:eastAsia="en-US"/>
        </w:rPr>
      </w:pPr>
      <w:r w:rsidRPr="0001748B">
        <w:rPr>
          <w:rFonts w:eastAsia="Batang" w:cs="Times"/>
          <w:sz w:val="20"/>
          <w:szCs w:val="20"/>
          <w:lang w:eastAsia="en-US"/>
        </w:rPr>
        <w:t xml:space="preserve">Ahora bien, el artículo 4.1 de la Convención Americana dispone que nadie puede ser privado de la vida </w:t>
      </w:r>
      <w:r w:rsidRPr="0001748B">
        <w:rPr>
          <w:rFonts w:eastAsiaTheme="minorHAnsi" w:cs="Arial"/>
          <w:sz w:val="20"/>
          <w:szCs w:val="20"/>
          <w:lang w:eastAsia="en-US"/>
        </w:rPr>
        <w:t>arbitrariamente</w:t>
      </w:r>
      <w:r w:rsidRPr="0001748B">
        <w:rPr>
          <w:rFonts w:eastAsia="Batang" w:cs="Times"/>
          <w:sz w:val="20"/>
          <w:szCs w:val="20"/>
          <w:lang w:eastAsia="en-US"/>
        </w:rPr>
        <w:t>. Es decir, no cualquier privación de la vida será reputada como contraria a la Convención, sino solo aquella que se hubiera producido de manera arbitraria, por ejemplo por ser producto de</w:t>
      </w:r>
      <w:r w:rsidRPr="0001748B">
        <w:rPr>
          <w:rFonts w:eastAsiaTheme="minorHAnsi" w:cs="Verdana"/>
          <w:sz w:val="20"/>
          <w:szCs w:val="20"/>
          <w:lang w:eastAsia="en-US"/>
        </w:rPr>
        <w:t xml:space="preserve"> la utilización de la fuerza de forma </w:t>
      </w:r>
      <w:r w:rsidRPr="0001748B">
        <w:rPr>
          <w:rFonts w:eastAsia="Batang" w:cs="Times"/>
          <w:sz w:val="20"/>
          <w:szCs w:val="20"/>
          <w:lang w:eastAsia="en-US"/>
        </w:rPr>
        <w:t>ilegítima, excesiva o desproporcionada</w:t>
      </w:r>
      <w:r w:rsidRPr="0001748B">
        <w:rPr>
          <w:rFonts w:eastAsia="Batang" w:cs="Times"/>
          <w:sz w:val="20"/>
          <w:szCs w:val="20"/>
          <w:vertAlign w:val="superscript"/>
          <w:lang w:eastAsia="en-US"/>
        </w:rPr>
        <w:footnoteReference w:id="123"/>
      </w:r>
      <w:r w:rsidR="00870E02">
        <w:rPr>
          <w:rFonts w:eastAsia="Batang" w:cs="Times"/>
          <w:sz w:val="20"/>
          <w:szCs w:val="20"/>
          <w:lang w:eastAsia="en-US"/>
        </w:rPr>
        <w:t>.</w:t>
      </w:r>
    </w:p>
    <w:p w:rsidR="00E63098" w:rsidRDefault="00E63098" w:rsidP="00E63098">
      <w:pPr>
        <w:widowControl/>
        <w:tabs>
          <w:tab w:val="left" w:pos="720"/>
          <w:tab w:val="num" w:pos="5057"/>
          <w:tab w:val="num" w:pos="5625"/>
        </w:tabs>
        <w:adjustRightInd/>
        <w:spacing w:line="240" w:lineRule="auto"/>
        <w:ind w:right="-90"/>
        <w:textAlignment w:val="auto"/>
        <w:rPr>
          <w:rFonts w:eastAsia="Batang" w:cs="Times"/>
          <w:sz w:val="20"/>
          <w:szCs w:val="20"/>
          <w:lang w:eastAsia="en-US"/>
        </w:rPr>
      </w:pPr>
    </w:p>
    <w:p w:rsidR="00E71ADD" w:rsidRPr="00E71ADD" w:rsidRDefault="00E71ADD" w:rsidP="00E71ADD">
      <w:pPr>
        <w:pStyle w:val="Heading3"/>
        <w:spacing w:before="0" w:line="240" w:lineRule="auto"/>
        <w:ind w:left="1416"/>
        <w:rPr>
          <w:rFonts w:ascii="Verdana" w:eastAsiaTheme="minorHAnsi" w:hAnsi="Verdana" w:cstheme="minorBidi"/>
          <w:b w:val="0"/>
          <w:i/>
          <w:color w:val="auto"/>
          <w:sz w:val="20"/>
          <w:szCs w:val="20"/>
          <w:lang w:eastAsia="en-US"/>
        </w:rPr>
      </w:pPr>
      <w:bookmarkStart w:id="97" w:name="_Toc495658677"/>
      <w:r w:rsidRPr="00007CE2">
        <w:rPr>
          <w:rFonts w:ascii="Verdana" w:eastAsiaTheme="minorHAnsi" w:hAnsi="Verdana" w:cstheme="minorBidi"/>
          <w:b w:val="0"/>
          <w:i/>
          <w:color w:val="auto"/>
          <w:sz w:val="20"/>
          <w:szCs w:val="20"/>
          <w:lang w:eastAsia="en-US"/>
        </w:rPr>
        <w:t xml:space="preserve">B.2 </w:t>
      </w:r>
      <w:r w:rsidRPr="00007CE2">
        <w:rPr>
          <w:rFonts w:ascii="Verdana" w:eastAsiaTheme="minorHAnsi" w:hAnsi="Verdana" w:cstheme="minorBidi"/>
          <w:b w:val="0"/>
          <w:i/>
          <w:color w:val="auto"/>
          <w:sz w:val="20"/>
          <w:szCs w:val="20"/>
          <w:lang w:eastAsia="en-US"/>
        </w:rPr>
        <w:tab/>
        <w:t xml:space="preserve">El derecho a la vida y </w:t>
      </w:r>
      <w:r w:rsidR="00007CE2" w:rsidRPr="00007CE2">
        <w:rPr>
          <w:rFonts w:ascii="Verdana" w:eastAsiaTheme="minorHAnsi" w:hAnsi="Verdana" w:cstheme="minorBidi"/>
          <w:b w:val="0"/>
          <w:i/>
          <w:color w:val="auto"/>
          <w:sz w:val="20"/>
          <w:szCs w:val="20"/>
          <w:lang w:eastAsia="en-US"/>
        </w:rPr>
        <w:t xml:space="preserve">a </w:t>
      </w:r>
      <w:r w:rsidRPr="00007CE2">
        <w:rPr>
          <w:rFonts w:ascii="Verdana" w:eastAsiaTheme="minorHAnsi" w:hAnsi="Verdana" w:cstheme="minorBidi"/>
          <w:b w:val="0"/>
          <w:i/>
          <w:color w:val="auto"/>
          <w:sz w:val="20"/>
          <w:szCs w:val="20"/>
          <w:lang w:eastAsia="en-US"/>
        </w:rPr>
        <w:t>la integridad personal en el contexto militar</w:t>
      </w:r>
      <w:bookmarkEnd w:id="97"/>
    </w:p>
    <w:p w:rsidR="00E71ADD" w:rsidRPr="0001748B" w:rsidRDefault="00E71ADD" w:rsidP="00E63098">
      <w:pPr>
        <w:widowControl/>
        <w:tabs>
          <w:tab w:val="left" w:pos="720"/>
          <w:tab w:val="num" w:pos="5057"/>
          <w:tab w:val="num" w:pos="5625"/>
        </w:tabs>
        <w:adjustRightInd/>
        <w:spacing w:line="240" w:lineRule="auto"/>
        <w:ind w:right="-90"/>
        <w:textAlignment w:val="auto"/>
        <w:rPr>
          <w:rFonts w:eastAsia="Batang" w:cs="Times"/>
          <w:sz w:val="20"/>
          <w:szCs w:val="20"/>
          <w:lang w:eastAsia="en-US"/>
        </w:rPr>
      </w:pPr>
    </w:p>
    <w:p w:rsidR="00E63098" w:rsidRPr="0001748B" w:rsidRDefault="00A377E7" w:rsidP="004A26CF">
      <w:pPr>
        <w:numPr>
          <w:ilvl w:val="0"/>
          <w:numId w:val="1"/>
        </w:numPr>
        <w:tabs>
          <w:tab w:val="left" w:pos="567"/>
          <w:tab w:val="num" w:pos="5057"/>
        </w:tabs>
        <w:spacing w:line="240" w:lineRule="auto"/>
        <w:ind w:left="0" w:firstLine="0"/>
        <w:rPr>
          <w:rFonts w:eastAsia="Batang" w:cs="Times"/>
          <w:sz w:val="20"/>
          <w:szCs w:val="20"/>
          <w:lang w:eastAsia="en-US"/>
        </w:rPr>
      </w:pPr>
      <w:r w:rsidRPr="0001748B">
        <w:rPr>
          <w:rFonts w:eastAsiaTheme="minorHAnsi" w:cs="Verdana"/>
          <w:sz w:val="20"/>
          <w:szCs w:val="20"/>
          <w:lang w:eastAsia="en-US"/>
        </w:rPr>
        <w:t>Si bien</w:t>
      </w:r>
      <w:r w:rsidR="00E63098" w:rsidRPr="0001748B">
        <w:rPr>
          <w:rFonts w:eastAsiaTheme="minorHAnsi" w:cs="Verdana"/>
          <w:sz w:val="20"/>
          <w:szCs w:val="20"/>
          <w:lang w:eastAsia="en-US"/>
        </w:rPr>
        <w:t xml:space="preserve"> en casos anteriores la Corte ha establecido criterios para el análisis del uso de la fuerza</w:t>
      </w:r>
      <w:r w:rsidR="00E63098" w:rsidRPr="0001748B">
        <w:rPr>
          <w:rFonts w:eastAsiaTheme="minorHAnsi" w:cs="Verdana"/>
          <w:sz w:val="20"/>
          <w:szCs w:val="20"/>
          <w:vertAlign w:val="superscript"/>
          <w:lang w:eastAsia="en-US"/>
        </w:rPr>
        <w:footnoteReference w:id="124"/>
      </w:r>
      <w:r w:rsidR="00E63098" w:rsidRPr="0001748B">
        <w:rPr>
          <w:rFonts w:eastAsiaTheme="minorHAnsi" w:cs="Verdana"/>
          <w:sz w:val="20"/>
          <w:szCs w:val="20"/>
          <w:lang w:eastAsia="en-US"/>
        </w:rPr>
        <w:t>, lo cierto es que también ha afirmado que la evaluación sobre el uso de la fuerza debe hacerse sobre todas las circunstancias y el contexto de los hechos</w:t>
      </w:r>
      <w:r w:rsidR="00E63098" w:rsidRPr="0001748B">
        <w:rPr>
          <w:rFonts w:eastAsiaTheme="minorHAnsi" w:cs="Verdana"/>
          <w:sz w:val="20"/>
          <w:szCs w:val="20"/>
          <w:vertAlign w:val="superscript"/>
          <w:lang w:eastAsia="en-US"/>
        </w:rPr>
        <w:footnoteReference w:id="125"/>
      </w:r>
      <w:r w:rsidR="00E63098" w:rsidRPr="0001748B">
        <w:rPr>
          <w:rFonts w:eastAsiaTheme="minorHAnsi" w:cs="Verdana"/>
          <w:sz w:val="20"/>
          <w:szCs w:val="20"/>
          <w:lang w:eastAsia="en-US"/>
        </w:rPr>
        <w:t xml:space="preserve">. </w:t>
      </w:r>
      <w:r w:rsidR="00E63098" w:rsidRPr="0001748B">
        <w:rPr>
          <w:rFonts w:eastAsia="Batang" w:cs="Times"/>
          <w:sz w:val="20"/>
          <w:szCs w:val="20"/>
          <w:lang w:eastAsia="en-US"/>
        </w:rPr>
        <w:t>En el</w:t>
      </w:r>
      <w:r w:rsidR="001C707B" w:rsidRPr="0001748B">
        <w:rPr>
          <w:rFonts w:eastAsia="Batang" w:cs="Times"/>
          <w:sz w:val="20"/>
          <w:szCs w:val="20"/>
          <w:lang w:eastAsia="en-US"/>
        </w:rPr>
        <w:t xml:space="preserve"> present</w:t>
      </w:r>
      <w:r w:rsidR="00A7508A" w:rsidRPr="0001748B">
        <w:rPr>
          <w:rFonts w:eastAsia="Batang" w:cs="Times"/>
          <w:sz w:val="20"/>
          <w:szCs w:val="20"/>
          <w:lang w:eastAsia="en-US"/>
        </w:rPr>
        <w:t>e</w:t>
      </w:r>
      <w:r w:rsidR="001C707B" w:rsidRPr="0001748B">
        <w:rPr>
          <w:rFonts w:eastAsia="Batang" w:cs="Times"/>
          <w:sz w:val="20"/>
          <w:szCs w:val="20"/>
          <w:lang w:eastAsia="en-US"/>
        </w:rPr>
        <w:t xml:space="preserve"> caso, la Corte estima que el aspecto relevante que determina el alcance de </w:t>
      </w:r>
      <w:r w:rsidR="00E63098" w:rsidRPr="0001748B">
        <w:rPr>
          <w:rFonts w:eastAsia="Batang" w:cs="Times"/>
          <w:sz w:val="20"/>
          <w:szCs w:val="20"/>
          <w:lang w:eastAsia="en-US"/>
        </w:rPr>
        <w:t>las obligaciones estatales en torno a</w:t>
      </w:r>
      <w:r w:rsidR="003C6A1A">
        <w:rPr>
          <w:rFonts w:eastAsia="Batang" w:cs="Times"/>
          <w:sz w:val="20"/>
          <w:szCs w:val="20"/>
          <w:lang w:eastAsia="en-US"/>
        </w:rPr>
        <w:t xml:space="preserve"> </w:t>
      </w:r>
      <w:r w:rsidR="00E63098" w:rsidRPr="0001748B">
        <w:rPr>
          <w:rFonts w:eastAsia="Batang" w:cs="Times"/>
          <w:sz w:val="20"/>
          <w:szCs w:val="20"/>
          <w:lang w:eastAsia="en-US"/>
        </w:rPr>
        <w:t>l</w:t>
      </w:r>
      <w:r w:rsidR="003C6A1A">
        <w:rPr>
          <w:rFonts w:eastAsia="Batang" w:cs="Times"/>
          <w:sz w:val="20"/>
          <w:szCs w:val="20"/>
          <w:lang w:eastAsia="en-US"/>
        </w:rPr>
        <w:t>os</w:t>
      </w:r>
      <w:r w:rsidR="00E63098" w:rsidRPr="0001748B">
        <w:rPr>
          <w:rFonts w:eastAsia="Batang" w:cs="Times"/>
          <w:sz w:val="20"/>
          <w:szCs w:val="20"/>
          <w:lang w:eastAsia="en-US"/>
        </w:rPr>
        <w:t xml:space="preserve"> derecho</w:t>
      </w:r>
      <w:r w:rsidR="003C6A1A">
        <w:rPr>
          <w:rFonts w:eastAsia="Batang" w:cs="Times"/>
          <w:sz w:val="20"/>
          <w:szCs w:val="20"/>
          <w:lang w:eastAsia="en-US"/>
        </w:rPr>
        <w:t>s</w:t>
      </w:r>
      <w:r w:rsidR="00E63098" w:rsidRPr="0001748B">
        <w:rPr>
          <w:rFonts w:eastAsia="Batang" w:cs="Times"/>
          <w:sz w:val="20"/>
          <w:szCs w:val="20"/>
          <w:lang w:eastAsia="en-US"/>
        </w:rPr>
        <w:t xml:space="preserve"> a la vida </w:t>
      </w:r>
      <w:r w:rsidR="003C6A1A">
        <w:rPr>
          <w:rFonts w:eastAsia="Batang" w:cs="Times"/>
          <w:sz w:val="20"/>
          <w:szCs w:val="20"/>
          <w:lang w:eastAsia="en-US"/>
        </w:rPr>
        <w:t>y a la</w:t>
      </w:r>
      <w:r w:rsidR="00E63098" w:rsidRPr="0001748B">
        <w:rPr>
          <w:rFonts w:eastAsia="Batang" w:cs="Times"/>
          <w:sz w:val="20"/>
          <w:szCs w:val="20"/>
          <w:lang w:eastAsia="en-US"/>
        </w:rPr>
        <w:t xml:space="preserve"> integridad personal </w:t>
      </w:r>
      <w:r w:rsidR="001C707B" w:rsidRPr="0001748B">
        <w:rPr>
          <w:rFonts w:eastAsia="Batang" w:cs="Times"/>
          <w:sz w:val="20"/>
          <w:szCs w:val="20"/>
          <w:lang w:eastAsia="en-US"/>
        </w:rPr>
        <w:t xml:space="preserve">constituye la especial situación de sujeción en que se encontraba Johan Alexis Ortiz </w:t>
      </w:r>
      <w:r w:rsidR="00B35CF4" w:rsidRPr="0001748B">
        <w:rPr>
          <w:rFonts w:eastAsia="Batang" w:cs="Times"/>
          <w:sz w:val="20"/>
          <w:szCs w:val="20"/>
          <w:lang w:eastAsia="en-US"/>
        </w:rPr>
        <w:t xml:space="preserve">Hernández </w:t>
      </w:r>
      <w:r w:rsidR="001C707B" w:rsidRPr="0001748B">
        <w:rPr>
          <w:rFonts w:eastAsia="Batang" w:cs="Times"/>
          <w:sz w:val="20"/>
          <w:szCs w:val="20"/>
          <w:lang w:eastAsia="en-US"/>
        </w:rPr>
        <w:t xml:space="preserve">al formar parte de la </w:t>
      </w:r>
      <w:r w:rsidR="000C7DFF">
        <w:rPr>
          <w:rFonts w:eastAsia="Batang" w:cs="Times"/>
          <w:sz w:val="20"/>
          <w:szCs w:val="20"/>
          <w:lang w:eastAsia="en-US"/>
        </w:rPr>
        <w:t>E</w:t>
      </w:r>
      <w:r w:rsidR="001C707B" w:rsidRPr="0001748B">
        <w:rPr>
          <w:rFonts w:eastAsia="Batang" w:cs="Times"/>
          <w:sz w:val="20"/>
          <w:szCs w:val="20"/>
          <w:lang w:eastAsia="en-US"/>
        </w:rPr>
        <w:t xml:space="preserve">scuela de </w:t>
      </w:r>
      <w:r w:rsidR="000C7DFF">
        <w:rPr>
          <w:rFonts w:eastAsia="Batang" w:cs="Times"/>
          <w:sz w:val="20"/>
          <w:szCs w:val="20"/>
          <w:lang w:eastAsia="en-US"/>
        </w:rPr>
        <w:t>F</w:t>
      </w:r>
      <w:r w:rsidR="001C707B" w:rsidRPr="0001748B">
        <w:rPr>
          <w:rFonts w:eastAsia="Batang" w:cs="Times"/>
          <w:sz w:val="20"/>
          <w:szCs w:val="20"/>
          <w:lang w:eastAsia="en-US"/>
        </w:rPr>
        <w:t xml:space="preserve">ormación </w:t>
      </w:r>
      <w:r w:rsidR="000C7DFF">
        <w:rPr>
          <w:rFonts w:eastAsia="Batang" w:cs="Times"/>
          <w:sz w:val="20"/>
          <w:szCs w:val="20"/>
          <w:lang w:eastAsia="en-US"/>
        </w:rPr>
        <w:t>de Guardias Nacionales</w:t>
      </w:r>
      <w:r w:rsidR="000C7DFF" w:rsidRPr="0001748B">
        <w:rPr>
          <w:rFonts w:eastAsia="Batang" w:cs="Times"/>
          <w:sz w:val="20"/>
          <w:szCs w:val="20"/>
          <w:lang w:eastAsia="en-US"/>
        </w:rPr>
        <w:t xml:space="preserve"> </w:t>
      </w:r>
      <w:r w:rsidR="000C7DFF">
        <w:rPr>
          <w:rFonts w:eastAsia="Batang" w:cs="Times"/>
          <w:sz w:val="20"/>
          <w:szCs w:val="20"/>
          <w:lang w:eastAsia="en-US"/>
        </w:rPr>
        <w:t>(</w:t>
      </w:r>
      <w:r w:rsidR="001C707B" w:rsidRPr="0001748B">
        <w:rPr>
          <w:rFonts w:eastAsia="Batang" w:cs="Times"/>
          <w:sz w:val="20"/>
          <w:szCs w:val="20"/>
          <w:lang w:eastAsia="en-US"/>
        </w:rPr>
        <w:t>ESGUARNAC</w:t>
      </w:r>
      <w:r w:rsidR="000C7DFF">
        <w:rPr>
          <w:rFonts w:eastAsia="Batang" w:cs="Times"/>
          <w:sz w:val="20"/>
          <w:szCs w:val="20"/>
          <w:lang w:eastAsia="en-US"/>
        </w:rPr>
        <w:t>)</w:t>
      </w:r>
      <w:r w:rsidR="001C707B" w:rsidRPr="0001748B">
        <w:rPr>
          <w:rFonts w:eastAsia="Batang" w:cs="Times"/>
          <w:sz w:val="20"/>
          <w:szCs w:val="20"/>
          <w:lang w:eastAsia="en-US"/>
        </w:rPr>
        <w:t xml:space="preserve">. Por ello, la Corte considera que dichas obligaciones </w:t>
      </w:r>
      <w:r w:rsidR="00E63098" w:rsidRPr="0001748B">
        <w:rPr>
          <w:rFonts w:eastAsia="Batang" w:cs="Times"/>
          <w:sz w:val="20"/>
          <w:szCs w:val="20"/>
          <w:lang w:eastAsia="en-US"/>
        </w:rPr>
        <w:t>deben interpretarse en las circunstancias y el contexto específico en que se desarrollaron los hechos, esto es, en el marco de una práctica o entrenamiento militar de un aspirante a la Guardia Nacional</w:t>
      </w:r>
      <w:r w:rsidR="00E63098" w:rsidRPr="0001748B">
        <w:rPr>
          <w:rFonts w:eastAsia="Batang" w:cs="Times"/>
          <w:sz w:val="20"/>
          <w:szCs w:val="20"/>
          <w:vertAlign w:val="superscript"/>
          <w:lang w:eastAsia="en-US"/>
        </w:rPr>
        <w:footnoteReference w:id="126"/>
      </w:r>
      <w:r w:rsidR="001C707B" w:rsidRPr="0001748B">
        <w:rPr>
          <w:rFonts w:eastAsia="Batang" w:cs="Times"/>
          <w:sz w:val="20"/>
          <w:szCs w:val="20"/>
          <w:lang w:eastAsia="en-US"/>
        </w:rPr>
        <w:t xml:space="preserve"> y no en el marco de los estándares sobre el uso de la fuerza</w:t>
      </w:r>
      <w:r w:rsidR="00A7508A" w:rsidRPr="0001748B">
        <w:rPr>
          <w:rFonts w:eastAsia="Batang" w:cs="Times"/>
          <w:sz w:val="20"/>
          <w:szCs w:val="20"/>
          <w:lang w:eastAsia="en-US"/>
        </w:rPr>
        <w:t xml:space="preserve"> que han sido desarrollados para otro tipo de circunstancias</w:t>
      </w:r>
      <w:r w:rsidR="00E63098" w:rsidRPr="0001748B">
        <w:rPr>
          <w:rFonts w:eastAsia="Batang" w:cs="Times"/>
          <w:sz w:val="20"/>
          <w:szCs w:val="20"/>
          <w:lang w:eastAsia="en-US"/>
        </w:rPr>
        <w:t>.</w:t>
      </w:r>
    </w:p>
    <w:p w:rsidR="00E63098" w:rsidRPr="0001748B" w:rsidRDefault="00E63098" w:rsidP="00E63098">
      <w:pPr>
        <w:widowControl/>
        <w:autoSpaceDE w:val="0"/>
        <w:autoSpaceDN w:val="0"/>
        <w:spacing w:line="240" w:lineRule="auto"/>
        <w:textAlignment w:val="auto"/>
        <w:rPr>
          <w:rFonts w:eastAsia="Batang" w:cs="Times"/>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heme="minorEastAsia" w:cs="Arial"/>
          <w:sz w:val="20"/>
          <w:szCs w:val="20"/>
          <w:lang w:eastAsia="en-US"/>
        </w:rPr>
      </w:pPr>
      <w:r w:rsidRPr="0001748B">
        <w:rPr>
          <w:rFonts w:eastAsiaTheme="minorHAnsi" w:cs="Arial"/>
          <w:sz w:val="20"/>
          <w:szCs w:val="20"/>
          <w:lang w:eastAsia="en-US"/>
        </w:rPr>
        <w:lastRenderedPageBreak/>
        <w:t>Sobre</w:t>
      </w:r>
      <w:r w:rsidRPr="0001748B">
        <w:rPr>
          <w:rFonts w:eastAsia="Batang" w:cs="Times"/>
          <w:sz w:val="20"/>
          <w:szCs w:val="20"/>
          <w:lang w:eastAsia="en-US"/>
        </w:rPr>
        <w:t xml:space="preserve"> este punto, la Corte ya ha sostenido que </w:t>
      </w:r>
      <w:r w:rsidRPr="0001748B">
        <w:rPr>
          <w:rFonts w:eastAsiaTheme="minorEastAsia" w:cs="Arial"/>
          <w:sz w:val="20"/>
          <w:szCs w:val="20"/>
          <w:lang w:eastAsia="en-US"/>
        </w:rPr>
        <w:t>los miembros de las fuerzas armadas en servicio activo acuartelado</w:t>
      </w:r>
      <w:r w:rsidRPr="0001748B">
        <w:rPr>
          <w:rFonts w:eastAsiaTheme="minorHAnsi" w:cs="Arial"/>
          <w:sz w:val="20"/>
          <w:szCs w:val="20"/>
          <w:lang w:eastAsia="en-US"/>
        </w:rPr>
        <w:t xml:space="preserve"> </w:t>
      </w:r>
      <w:r w:rsidRPr="0001748B">
        <w:rPr>
          <w:rFonts w:eastAsiaTheme="minorEastAsia" w:cs="Arial"/>
          <w:sz w:val="20"/>
          <w:szCs w:val="20"/>
          <w:lang w:eastAsia="en-US"/>
        </w:rPr>
        <w:t xml:space="preserve">se encuentran frente a una especial situación de sujeción, lo cual a su vez impone al Estado actuar con un especial cuidado por encontrarse en una posición de garante </w:t>
      </w:r>
      <w:r w:rsidRPr="0001748B">
        <w:rPr>
          <w:rFonts w:eastAsiaTheme="minorHAnsi" w:cs="Arial"/>
          <w:sz w:val="20"/>
          <w:szCs w:val="20"/>
          <w:lang w:eastAsia="en-US"/>
        </w:rPr>
        <w:t>y custodio de los individuos sometidos a ese régimen, sin ningún tipo de distinciones por la forma en que se hayan incorporado a las fuerzas armadas o por su rango dentro de la estructura jerarquizada</w:t>
      </w:r>
      <w:r w:rsidRPr="0001748B">
        <w:rPr>
          <w:rFonts w:eastAsiaTheme="minorEastAsia" w:cs="Arial"/>
          <w:sz w:val="20"/>
          <w:szCs w:val="20"/>
          <w:vertAlign w:val="superscript"/>
          <w:lang w:eastAsia="en-US"/>
        </w:rPr>
        <w:footnoteReference w:id="127"/>
      </w:r>
      <w:r w:rsidRPr="0001748B">
        <w:rPr>
          <w:rFonts w:eastAsiaTheme="minorEastAsia" w:cs="Arial"/>
          <w:sz w:val="20"/>
          <w:szCs w:val="20"/>
          <w:lang w:eastAsia="en-US"/>
        </w:rPr>
        <w:t>.</w:t>
      </w:r>
    </w:p>
    <w:p w:rsidR="00E63098" w:rsidRPr="0001748B" w:rsidRDefault="00E63098" w:rsidP="00E63098">
      <w:pPr>
        <w:widowControl/>
        <w:autoSpaceDE w:val="0"/>
        <w:autoSpaceDN w:val="0"/>
        <w:spacing w:line="240" w:lineRule="auto"/>
        <w:textAlignment w:val="auto"/>
        <w:rPr>
          <w:rFonts w:eastAsiaTheme="minorEastAsia" w:cs="Arial"/>
          <w:sz w:val="20"/>
          <w:szCs w:val="20"/>
          <w:lang w:eastAsia="en-US"/>
        </w:rPr>
      </w:pPr>
    </w:p>
    <w:p w:rsidR="00E63098" w:rsidRDefault="00E63098" w:rsidP="004A26CF">
      <w:pPr>
        <w:numPr>
          <w:ilvl w:val="0"/>
          <w:numId w:val="1"/>
        </w:numPr>
        <w:tabs>
          <w:tab w:val="left" w:pos="567"/>
          <w:tab w:val="num" w:pos="5057"/>
        </w:tabs>
        <w:spacing w:line="240" w:lineRule="auto"/>
        <w:ind w:left="0" w:firstLine="0"/>
        <w:rPr>
          <w:rFonts w:eastAsiaTheme="minorEastAsia" w:cs="Arial"/>
          <w:sz w:val="20"/>
          <w:szCs w:val="20"/>
          <w:lang w:eastAsia="en-US"/>
        </w:rPr>
      </w:pPr>
      <w:r w:rsidRPr="0001748B">
        <w:rPr>
          <w:rFonts w:eastAsiaTheme="minorEastAsia" w:cs="Arial"/>
          <w:sz w:val="20"/>
          <w:szCs w:val="20"/>
          <w:lang w:eastAsia="en-US"/>
        </w:rPr>
        <w:t>Si bien la actividad militar conlleva en sí misma un riesgo por la naturaleza de sus funciones, el Estado se encuentra en la obligación de proteger la vida e integridad personal de los miembros de las fuerzas armadas en todos los aspectos de la vida militar, incluyendo los entrenamientos para afrontar situaciones de guerra o conflicto, así como el mantenimiento de la disciplina militar, entre otros. En esta línea, la Corte considera que recae sobre el Estado el deber de adoptar medidas preventivas de diversa índole, entre ellas de carácter administrativo o legislativo, a fin de reducir el nivel de riesgo al que se enfrentan los miembros de las fuerzas armadas en el marco de la vida militar</w:t>
      </w:r>
      <w:r w:rsidRPr="0001748B">
        <w:rPr>
          <w:rFonts w:eastAsiaTheme="minorEastAsia" w:cs="Arial"/>
          <w:sz w:val="20"/>
          <w:szCs w:val="20"/>
          <w:vertAlign w:val="superscript"/>
          <w:lang w:eastAsia="en-US"/>
        </w:rPr>
        <w:footnoteReference w:id="128"/>
      </w:r>
      <w:r w:rsidRPr="0001748B">
        <w:rPr>
          <w:rFonts w:eastAsiaTheme="minorEastAsia" w:cs="Arial"/>
          <w:sz w:val="20"/>
          <w:szCs w:val="20"/>
          <w:lang w:eastAsia="en-US"/>
        </w:rPr>
        <w:t>.</w:t>
      </w:r>
    </w:p>
    <w:p w:rsidR="007E3C68" w:rsidRPr="0001748B" w:rsidRDefault="007E3C68" w:rsidP="007E3C68">
      <w:pPr>
        <w:tabs>
          <w:tab w:val="left" w:pos="567"/>
        </w:tabs>
        <w:spacing w:line="240" w:lineRule="auto"/>
        <w:rPr>
          <w:rFonts w:eastAsiaTheme="minorEastAsia" w:cs="Arial"/>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Batang" w:cs="Times"/>
          <w:sz w:val="20"/>
          <w:szCs w:val="20"/>
          <w:lang w:eastAsia="en-US"/>
        </w:rPr>
      </w:pPr>
      <w:r w:rsidRPr="0001748B">
        <w:rPr>
          <w:rFonts w:eastAsiaTheme="minorEastAsia" w:cs="Arial"/>
          <w:sz w:val="20"/>
          <w:szCs w:val="20"/>
          <w:lang w:eastAsia="en-US"/>
        </w:rPr>
        <w:t>Así, la Corte ha interpretado que, en relación con esas personas en especial situación de sujeción, el Estado tiene el deber de</w:t>
      </w:r>
      <w:r w:rsidR="008A7242">
        <w:rPr>
          <w:rFonts w:eastAsiaTheme="minorEastAsia" w:cs="Arial"/>
          <w:sz w:val="20"/>
          <w:szCs w:val="20"/>
          <w:lang w:eastAsia="en-US"/>
        </w:rPr>
        <w:t>:</w:t>
      </w:r>
      <w:r w:rsidRPr="0001748B">
        <w:rPr>
          <w:rFonts w:eastAsiaTheme="minorEastAsia" w:cs="Arial"/>
          <w:sz w:val="20"/>
          <w:szCs w:val="20"/>
          <w:lang w:eastAsia="en-US"/>
        </w:rPr>
        <w:t xml:space="preserve"> i) salvaguardar la salud y el bienestar de los militares en servicio activo; ii) garantizar que la manera y el método de entrenamiento no excedan el nivel inevitable de sufrimiento inherente a esa condición</w:t>
      </w:r>
      <w:r w:rsidR="005F6141" w:rsidRPr="0001748B">
        <w:rPr>
          <w:rFonts w:eastAsiaTheme="minorEastAsia" w:cs="Arial"/>
          <w:sz w:val="20"/>
          <w:szCs w:val="20"/>
          <w:lang w:eastAsia="en-US"/>
        </w:rPr>
        <w:t>, y</w:t>
      </w:r>
      <w:r w:rsidRPr="0001748B">
        <w:rPr>
          <w:rFonts w:eastAsiaTheme="minorEastAsia" w:cs="Arial"/>
          <w:sz w:val="20"/>
          <w:szCs w:val="20"/>
          <w:lang w:eastAsia="en-US"/>
        </w:rPr>
        <w:t xml:space="preserve"> iii) proveer una explicación satisfactoria y convincente sobre las afectaciones a la salud y a la vida que presenten las personas que se encuentran en una especial situación de sujeción en el ámbito militar, sea que se encuentran prestando servicio militar</w:t>
      </w:r>
      <w:r w:rsidR="005F6141" w:rsidRPr="0001748B">
        <w:rPr>
          <w:rFonts w:eastAsiaTheme="minorEastAsia" w:cs="Arial"/>
          <w:sz w:val="20"/>
          <w:szCs w:val="20"/>
          <w:lang w:eastAsia="en-US"/>
        </w:rPr>
        <w:t xml:space="preserve"> de forma voluntaria u obligatoria, </w:t>
      </w:r>
      <w:r w:rsidRPr="0001748B">
        <w:rPr>
          <w:rFonts w:eastAsiaTheme="minorEastAsia" w:cs="Arial"/>
          <w:sz w:val="20"/>
          <w:szCs w:val="20"/>
          <w:lang w:eastAsia="en-US"/>
        </w:rPr>
        <w:t>o que se hayan incorporado a las fuer</w:t>
      </w:r>
      <w:r w:rsidR="0014070C" w:rsidRPr="0001748B">
        <w:rPr>
          <w:rFonts w:eastAsiaTheme="minorEastAsia" w:cs="Arial"/>
          <w:sz w:val="20"/>
          <w:szCs w:val="20"/>
          <w:lang w:eastAsia="en-US"/>
        </w:rPr>
        <w:t xml:space="preserve">zas armadas </w:t>
      </w:r>
      <w:r w:rsidR="005F6141" w:rsidRPr="0001748B">
        <w:rPr>
          <w:rFonts w:eastAsiaTheme="minorEastAsia" w:cs="Arial"/>
          <w:sz w:val="20"/>
          <w:szCs w:val="20"/>
          <w:lang w:eastAsia="en-US"/>
        </w:rPr>
        <w:t>en carácter de cadetes u ostentando un grado en la escala jerárquica militar</w:t>
      </w:r>
      <w:r w:rsidRPr="0001748B">
        <w:rPr>
          <w:rFonts w:eastAsiaTheme="minorEastAsia" w:cs="Arial"/>
          <w:sz w:val="20"/>
          <w:szCs w:val="20"/>
          <w:lang w:eastAsia="en-US"/>
        </w:rPr>
        <w:t>. En consecuencia procede la presunción de considerar responsable al Estado por las afectaciones a la integridad personal y a la vida que sufre una persona que ha estado bajo autoridad y control de funcionarios estatales</w:t>
      </w:r>
      <w:r w:rsidRPr="0001748B">
        <w:rPr>
          <w:rFonts w:eastAsiaTheme="minorEastAsia" w:cs="Arial"/>
          <w:sz w:val="20"/>
          <w:szCs w:val="20"/>
          <w:vertAlign w:val="superscript"/>
          <w:lang w:eastAsia="en-US"/>
        </w:rPr>
        <w:footnoteReference w:id="129"/>
      </w:r>
      <w:r w:rsidR="005F6141" w:rsidRPr="0001748B">
        <w:rPr>
          <w:rFonts w:eastAsiaTheme="minorEastAsia" w:cs="Arial"/>
          <w:sz w:val="20"/>
          <w:szCs w:val="20"/>
          <w:lang w:eastAsia="en-US"/>
        </w:rPr>
        <w:t>, como aquellos que participan en la instrucción o escuela militar</w:t>
      </w:r>
      <w:r w:rsidRPr="0001748B">
        <w:rPr>
          <w:rFonts w:eastAsiaTheme="minorEastAsia" w:cs="Arial"/>
          <w:sz w:val="20"/>
          <w:szCs w:val="20"/>
          <w:lang w:eastAsia="en-US"/>
        </w:rPr>
        <w:t>.</w:t>
      </w:r>
    </w:p>
    <w:p w:rsidR="00F82010" w:rsidRDefault="00F82010" w:rsidP="00E63098">
      <w:pPr>
        <w:widowControl/>
        <w:autoSpaceDE w:val="0"/>
        <w:autoSpaceDN w:val="0"/>
        <w:spacing w:line="240" w:lineRule="auto"/>
        <w:textAlignment w:val="auto"/>
        <w:rPr>
          <w:rFonts w:eastAsiaTheme="minorHAnsi" w:cs="Arial"/>
          <w:sz w:val="20"/>
          <w:szCs w:val="20"/>
          <w:lang w:eastAsia="en-US"/>
        </w:rPr>
      </w:pPr>
    </w:p>
    <w:p w:rsidR="00E71ADD" w:rsidRPr="00E71ADD" w:rsidRDefault="00E71ADD" w:rsidP="00E71ADD">
      <w:pPr>
        <w:pStyle w:val="Heading3"/>
        <w:spacing w:before="0" w:line="240" w:lineRule="auto"/>
        <w:ind w:left="1416"/>
        <w:rPr>
          <w:rFonts w:ascii="Verdana" w:eastAsiaTheme="minorHAnsi" w:hAnsi="Verdana" w:cstheme="minorBidi"/>
          <w:b w:val="0"/>
          <w:i/>
          <w:color w:val="auto"/>
          <w:sz w:val="20"/>
          <w:szCs w:val="20"/>
          <w:lang w:eastAsia="en-US"/>
        </w:rPr>
      </w:pPr>
      <w:bookmarkStart w:id="98" w:name="_Toc495658678"/>
      <w:r w:rsidRPr="00702492">
        <w:rPr>
          <w:rFonts w:ascii="Verdana" w:eastAsiaTheme="minorHAnsi" w:hAnsi="Verdana" w:cstheme="minorBidi"/>
          <w:b w:val="0"/>
          <w:i/>
          <w:color w:val="auto"/>
          <w:sz w:val="20"/>
          <w:szCs w:val="20"/>
          <w:lang w:eastAsia="en-US"/>
        </w:rPr>
        <w:t xml:space="preserve">B.3 </w:t>
      </w:r>
      <w:r w:rsidRPr="00702492">
        <w:rPr>
          <w:rFonts w:ascii="Verdana" w:eastAsiaTheme="minorHAnsi" w:hAnsi="Verdana" w:cstheme="minorBidi"/>
          <w:b w:val="0"/>
          <w:i/>
          <w:color w:val="auto"/>
          <w:sz w:val="20"/>
          <w:szCs w:val="20"/>
          <w:lang w:eastAsia="en-US"/>
        </w:rPr>
        <w:tab/>
        <w:t>La atribución de responsabilidad por la violación del derecho a la vida y a la integridad personal en el caso en concreto</w:t>
      </w:r>
      <w:bookmarkEnd w:id="98"/>
    </w:p>
    <w:p w:rsidR="00E71ADD" w:rsidRPr="0001748B" w:rsidRDefault="00E71ADD"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 xml:space="preserve">Ahora bien, la atribución de responsabilidad al Estado por la muerte de Johan Alexis Ortiz Hernández en este caso se refleja en tres planos, de acuerdo con lo alegado. Un primer plano, es el de la regulación y ejecución de la práctica o entrenamiento militar de la </w:t>
      </w:r>
      <w:r w:rsidR="001365FD">
        <w:rPr>
          <w:rFonts w:eastAsiaTheme="minorHAnsi" w:cs="Arial"/>
          <w:sz w:val="20"/>
          <w:szCs w:val="20"/>
          <w:lang w:eastAsia="en-US"/>
        </w:rPr>
        <w:t>“</w:t>
      </w:r>
      <w:r w:rsidRPr="0001748B">
        <w:rPr>
          <w:rFonts w:eastAsiaTheme="minorHAnsi" w:cs="Arial"/>
          <w:sz w:val="20"/>
          <w:szCs w:val="20"/>
          <w:lang w:eastAsia="en-US"/>
        </w:rPr>
        <w:t>cancha anti</w:t>
      </w:r>
      <w:r w:rsidR="001365FD">
        <w:rPr>
          <w:rFonts w:eastAsiaTheme="minorHAnsi" w:cs="Arial"/>
          <w:sz w:val="20"/>
          <w:szCs w:val="20"/>
          <w:lang w:eastAsia="en-US"/>
        </w:rPr>
        <w:t>-</w:t>
      </w:r>
      <w:r w:rsidRPr="0001748B">
        <w:rPr>
          <w:rFonts w:eastAsiaTheme="minorHAnsi" w:cs="Arial"/>
          <w:sz w:val="20"/>
          <w:szCs w:val="20"/>
          <w:lang w:eastAsia="en-US"/>
        </w:rPr>
        <w:t>subversiva</w:t>
      </w:r>
      <w:r w:rsidR="001365FD">
        <w:rPr>
          <w:rFonts w:eastAsiaTheme="minorHAnsi" w:cs="Arial"/>
          <w:sz w:val="20"/>
          <w:szCs w:val="20"/>
          <w:lang w:eastAsia="en-US"/>
        </w:rPr>
        <w:t>”</w:t>
      </w:r>
      <w:r w:rsidRPr="0001748B">
        <w:rPr>
          <w:rFonts w:eastAsiaTheme="minorHAnsi" w:cs="Arial"/>
          <w:sz w:val="20"/>
          <w:szCs w:val="20"/>
          <w:lang w:eastAsia="en-US"/>
        </w:rPr>
        <w:t xml:space="preserve">, en particular en lo relativo a la utilización de balas de fogueo y/o balas reales. El </w:t>
      </w:r>
      <w:r w:rsidR="00A05231">
        <w:rPr>
          <w:rFonts w:eastAsiaTheme="minorHAnsi" w:cs="Arial"/>
          <w:sz w:val="20"/>
          <w:szCs w:val="20"/>
          <w:lang w:eastAsia="en-US"/>
        </w:rPr>
        <w:t>segundo</w:t>
      </w:r>
      <w:r w:rsidRPr="0001748B">
        <w:rPr>
          <w:rFonts w:eastAsiaTheme="minorHAnsi" w:cs="Arial"/>
          <w:sz w:val="20"/>
          <w:szCs w:val="20"/>
          <w:lang w:eastAsia="en-US"/>
        </w:rPr>
        <w:t xml:space="preserve">, corresponde a la falta de cumplimiento de las medidas de seguridad para proteger el derecho </w:t>
      </w:r>
      <w:r w:rsidR="008C7FCD" w:rsidRPr="0001748B">
        <w:rPr>
          <w:rFonts w:eastAsiaTheme="minorHAnsi" w:cs="Arial"/>
          <w:sz w:val="20"/>
          <w:szCs w:val="20"/>
          <w:lang w:eastAsia="en-US"/>
        </w:rPr>
        <w:t xml:space="preserve">a la integridad personal y </w:t>
      </w:r>
      <w:r w:rsidRPr="0001748B">
        <w:rPr>
          <w:rFonts w:eastAsiaTheme="minorHAnsi" w:cs="Arial"/>
          <w:sz w:val="20"/>
          <w:szCs w:val="20"/>
          <w:lang w:eastAsia="en-US"/>
        </w:rPr>
        <w:t>a la vida, incluyendo la previsión y provisión de atención médica oportuna y adecuada. El tercero, es el atinente a</w:t>
      </w:r>
      <w:r w:rsidR="008C7FCD" w:rsidRPr="0001748B">
        <w:rPr>
          <w:rFonts w:eastAsiaTheme="minorHAnsi" w:cs="Arial"/>
          <w:sz w:val="20"/>
          <w:szCs w:val="20"/>
          <w:lang w:eastAsia="en-US"/>
        </w:rPr>
        <w:t>l carácter</w:t>
      </w:r>
      <w:r w:rsidR="00651BF1" w:rsidRPr="0001748B">
        <w:rPr>
          <w:rFonts w:eastAsiaTheme="minorHAnsi" w:cs="Arial"/>
          <w:sz w:val="20"/>
          <w:szCs w:val="20"/>
          <w:lang w:eastAsia="en-US"/>
        </w:rPr>
        <w:t xml:space="preserve"> arbitrari</w:t>
      </w:r>
      <w:r w:rsidR="008C7FCD" w:rsidRPr="0001748B">
        <w:rPr>
          <w:rFonts w:eastAsiaTheme="minorHAnsi" w:cs="Arial"/>
          <w:sz w:val="20"/>
          <w:szCs w:val="20"/>
          <w:lang w:eastAsia="en-US"/>
        </w:rPr>
        <w:t>o</w:t>
      </w:r>
      <w:r w:rsidR="00651BF1" w:rsidRPr="0001748B">
        <w:rPr>
          <w:rFonts w:eastAsiaTheme="minorHAnsi" w:cs="Arial"/>
          <w:sz w:val="20"/>
          <w:szCs w:val="20"/>
          <w:lang w:eastAsia="en-US"/>
        </w:rPr>
        <w:t xml:space="preserve"> de la muerte y</w:t>
      </w:r>
      <w:r w:rsidRPr="0001748B">
        <w:rPr>
          <w:rFonts w:eastAsiaTheme="minorHAnsi" w:cs="Arial"/>
          <w:sz w:val="20"/>
          <w:szCs w:val="20"/>
          <w:lang w:eastAsia="en-US"/>
        </w:rPr>
        <w:t xml:space="preserve"> la plausibilidad de la</w:t>
      </w:r>
      <w:r w:rsidR="00FC41C7" w:rsidRPr="0001748B">
        <w:rPr>
          <w:rFonts w:eastAsiaTheme="minorHAnsi" w:cs="Arial"/>
          <w:sz w:val="20"/>
          <w:szCs w:val="20"/>
          <w:lang w:eastAsia="en-US"/>
        </w:rPr>
        <w:t>s</w:t>
      </w:r>
      <w:r w:rsidRPr="0001748B">
        <w:rPr>
          <w:rFonts w:eastAsiaTheme="minorHAnsi" w:cs="Arial"/>
          <w:sz w:val="20"/>
          <w:szCs w:val="20"/>
          <w:lang w:eastAsia="en-US"/>
        </w:rPr>
        <w:t xml:space="preserve"> hipótesis </w:t>
      </w:r>
      <w:r w:rsidR="00FC41C7" w:rsidRPr="0001748B">
        <w:rPr>
          <w:rFonts w:eastAsiaTheme="minorHAnsi" w:cs="Arial"/>
          <w:sz w:val="20"/>
          <w:szCs w:val="20"/>
          <w:lang w:eastAsia="en-US"/>
        </w:rPr>
        <w:t>planteadas</w:t>
      </w:r>
      <w:r w:rsidR="008C7FCD" w:rsidRPr="0001748B">
        <w:rPr>
          <w:rFonts w:eastAsiaTheme="minorHAnsi" w:cs="Arial"/>
          <w:sz w:val="20"/>
          <w:szCs w:val="20"/>
          <w:lang w:eastAsia="en-US"/>
        </w:rPr>
        <w:t xml:space="preserve"> sobre cómo sucedieron los hechos</w:t>
      </w:r>
      <w:r w:rsidRPr="0001748B">
        <w:rPr>
          <w:rFonts w:eastAsiaTheme="minorHAnsi" w:cs="Arial"/>
          <w:sz w:val="20"/>
          <w:szCs w:val="20"/>
          <w:lang w:eastAsia="en-US"/>
        </w:rPr>
        <w:t xml:space="preserve">. </w:t>
      </w:r>
      <w:r w:rsidR="00651BF1" w:rsidRPr="0001748B">
        <w:rPr>
          <w:rFonts w:eastAsiaTheme="minorHAnsi" w:cs="Arial"/>
          <w:sz w:val="20"/>
          <w:szCs w:val="20"/>
          <w:lang w:eastAsia="en-US"/>
        </w:rPr>
        <w:t>Por lo tanto</w:t>
      </w:r>
      <w:r w:rsidRPr="0001748B">
        <w:rPr>
          <w:rFonts w:eastAsiaTheme="minorHAnsi" w:cs="Arial"/>
          <w:sz w:val="20"/>
          <w:szCs w:val="20"/>
          <w:lang w:eastAsia="en-US"/>
        </w:rPr>
        <w:t>,</w:t>
      </w:r>
      <w:r w:rsidR="00651BF1" w:rsidRPr="0001748B">
        <w:rPr>
          <w:rFonts w:eastAsiaTheme="minorHAnsi" w:cs="Arial"/>
          <w:sz w:val="20"/>
          <w:szCs w:val="20"/>
          <w:lang w:eastAsia="en-US"/>
        </w:rPr>
        <w:t xml:space="preserve"> de conformidad con lo alegado por las partes y el reconocimiento de responsabilidad estatal,</w:t>
      </w:r>
      <w:r w:rsidRPr="0001748B">
        <w:rPr>
          <w:rFonts w:eastAsiaTheme="minorHAnsi" w:cs="Arial"/>
          <w:sz w:val="20"/>
          <w:szCs w:val="20"/>
          <w:lang w:eastAsia="en-US"/>
        </w:rPr>
        <w:t xml:space="preserve"> la Corte anali</w:t>
      </w:r>
      <w:r w:rsidR="00651BF1" w:rsidRPr="0001748B">
        <w:rPr>
          <w:rFonts w:eastAsiaTheme="minorHAnsi" w:cs="Arial"/>
          <w:sz w:val="20"/>
          <w:szCs w:val="20"/>
          <w:lang w:eastAsia="en-US"/>
        </w:rPr>
        <w:t>zará</w:t>
      </w:r>
      <w:r w:rsidRPr="0001748B">
        <w:rPr>
          <w:rFonts w:eastAsiaTheme="minorHAnsi" w:cs="Arial"/>
          <w:sz w:val="20"/>
          <w:szCs w:val="20"/>
          <w:lang w:eastAsia="en-US"/>
        </w:rPr>
        <w:t xml:space="preserve"> las condiciones bajo las cuales los hechos de este caso pueden ser atribuidos al Estado y comprometer, en consecuencia, su responsabilidad internacional derivada de la alegada violación de los artículos </w:t>
      </w:r>
      <w:r w:rsidR="00602C5E" w:rsidRPr="0001748B">
        <w:rPr>
          <w:rFonts w:eastAsiaTheme="minorHAnsi" w:cs="Arial"/>
          <w:sz w:val="20"/>
          <w:szCs w:val="20"/>
          <w:lang w:eastAsia="en-US"/>
        </w:rPr>
        <w:t>4.1</w:t>
      </w:r>
      <w:r w:rsidR="00602C5E">
        <w:rPr>
          <w:rFonts w:eastAsiaTheme="minorHAnsi" w:cs="Arial"/>
          <w:sz w:val="20"/>
          <w:szCs w:val="20"/>
          <w:lang w:eastAsia="en-US"/>
        </w:rPr>
        <w:t xml:space="preserve"> y </w:t>
      </w:r>
      <w:r w:rsidRPr="0001748B">
        <w:rPr>
          <w:rFonts w:eastAsiaTheme="minorHAnsi" w:cs="Arial"/>
          <w:sz w:val="20"/>
          <w:szCs w:val="20"/>
          <w:lang w:eastAsia="en-US"/>
        </w:rPr>
        <w:t>5.1</w:t>
      </w:r>
      <w:r w:rsidR="008C7FCD" w:rsidRPr="0001748B">
        <w:rPr>
          <w:rFonts w:eastAsiaTheme="minorHAnsi" w:cs="Arial"/>
          <w:sz w:val="20"/>
          <w:szCs w:val="20"/>
          <w:lang w:eastAsia="en-US"/>
        </w:rPr>
        <w:t xml:space="preserve"> </w:t>
      </w:r>
      <w:r w:rsidRPr="0001748B">
        <w:rPr>
          <w:rFonts w:eastAsiaTheme="minorHAnsi" w:cs="Arial"/>
          <w:sz w:val="20"/>
          <w:szCs w:val="20"/>
          <w:lang w:eastAsia="en-US"/>
        </w:rPr>
        <w:t>de la Convención Americana, en relación con el artículo 1.1 de la misma.</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702492" w:rsidRDefault="00275A38" w:rsidP="009A4CAA">
      <w:pPr>
        <w:pStyle w:val="Heading3"/>
        <w:spacing w:before="0" w:line="240" w:lineRule="auto"/>
        <w:ind w:left="1416"/>
        <w:rPr>
          <w:rFonts w:ascii="Verdana" w:eastAsiaTheme="minorHAnsi" w:hAnsi="Verdana" w:cstheme="minorBidi"/>
          <w:b w:val="0"/>
          <w:i/>
          <w:color w:val="auto"/>
          <w:sz w:val="20"/>
          <w:szCs w:val="20"/>
          <w:lang w:eastAsia="en-US"/>
        </w:rPr>
      </w:pPr>
      <w:bookmarkStart w:id="99" w:name="_Toc495658679"/>
      <w:r>
        <w:rPr>
          <w:rFonts w:ascii="Verdana" w:eastAsiaTheme="minorHAnsi" w:hAnsi="Verdana" w:cstheme="minorBidi"/>
          <w:b w:val="0"/>
          <w:i/>
          <w:color w:val="auto"/>
          <w:sz w:val="20"/>
          <w:szCs w:val="20"/>
          <w:lang w:eastAsia="en-US"/>
        </w:rPr>
        <w:lastRenderedPageBreak/>
        <w:t>i</w:t>
      </w:r>
      <w:r w:rsidR="0059183F" w:rsidRPr="00702492">
        <w:rPr>
          <w:rFonts w:ascii="Verdana" w:eastAsiaTheme="minorHAnsi" w:hAnsi="Verdana" w:cstheme="minorBidi"/>
          <w:b w:val="0"/>
          <w:i/>
          <w:color w:val="auto"/>
          <w:sz w:val="20"/>
          <w:szCs w:val="20"/>
          <w:lang w:eastAsia="en-US"/>
        </w:rPr>
        <w:t>)</w:t>
      </w:r>
      <w:r w:rsidR="00E63098" w:rsidRPr="00702492">
        <w:rPr>
          <w:rFonts w:ascii="Verdana" w:eastAsiaTheme="minorHAnsi" w:hAnsi="Verdana" w:cstheme="minorBidi"/>
          <w:b w:val="0"/>
          <w:i/>
          <w:color w:val="auto"/>
          <w:sz w:val="20"/>
          <w:szCs w:val="20"/>
          <w:lang w:eastAsia="en-US"/>
        </w:rPr>
        <w:tab/>
      </w:r>
      <w:r w:rsidR="00666B1D" w:rsidRPr="00702492">
        <w:rPr>
          <w:rFonts w:ascii="Verdana" w:eastAsiaTheme="minorHAnsi" w:hAnsi="Verdana" w:cstheme="minorBidi"/>
          <w:b w:val="0"/>
          <w:i/>
          <w:color w:val="auto"/>
          <w:sz w:val="20"/>
          <w:szCs w:val="20"/>
          <w:lang w:eastAsia="en-US"/>
        </w:rPr>
        <w:t>L</w:t>
      </w:r>
      <w:r w:rsidR="00E63098" w:rsidRPr="00702492">
        <w:rPr>
          <w:rFonts w:ascii="Verdana" w:eastAsiaTheme="minorHAnsi" w:hAnsi="Verdana" w:cstheme="minorBidi"/>
          <w:b w:val="0"/>
          <w:i/>
          <w:color w:val="auto"/>
          <w:sz w:val="20"/>
          <w:szCs w:val="20"/>
          <w:lang w:eastAsia="en-US"/>
        </w:rPr>
        <w:t>a regulación</w:t>
      </w:r>
      <w:r w:rsidR="004D6FEC" w:rsidRPr="00702492">
        <w:rPr>
          <w:rFonts w:ascii="Verdana" w:eastAsiaTheme="minorHAnsi" w:hAnsi="Verdana" w:cstheme="minorBidi"/>
          <w:b w:val="0"/>
          <w:i/>
          <w:color w:val="auto"/>
          <w:sz w:val="20"/>
          <w:szCs w:val="20"/>
          <w:lang w:eastAsia="en-US"/>
        </w:rPr>
        <w:t xml:space="preserve">, planificación </w:t>
      </w:r>
      <w:r w:rsidR="00E63098" w:rsidRPr="00702492">
        <w:rPr>
          <w:rFonts w:ascii="Verdana" w:eastAsiaTheme="minorHAnsi" w:hAnsi="Verdana" w:cstheme="minorBidi"/>
          <w:b w:val="0"/>
          <w:i/>
          <w:color w:val="auto"/>
          <w:sz w:val="20"/>
          <w:szCs w:val="20"/>
          <w:lang w:eastAsia="en-US"/>
        </w:rPr>
        <w:t xml:space="preserve">y </w:t>
      </w:r>
      <w:r w:rsidR="004D6FEC" w:rsidRPr="00702492">
        <w:rPr>
          <w:rFonts w:ascii="Verdana" w:eastAsiaTheme="minorHAnsi" w:hAnsi="Verdana" w:cstheme="minorBidi"/>
          <w:b w:val="0"/>
          <w:i/>
          <w:color w:val="auto"/>
          <w:sz w:val="20"/>
          <w:szCs w:val="20"/>
          <w:lang w:eastAsia="en-US"/>
        </w:rPr>
        <w:t>puesta en práctica</w:t>
      </w:r>
      <w:r w:rsidR="00E63098" w:rsidRPr="00702492">
        <w:rPr>
          <w:rFonts w:ascii="Verdana" w:eastAsiaTheme="minorHAnsi" w:hAnsi="Verdana" w:cstheme="minorBidi"/>
          <w:b w:val="0"/>
          <w:i/>
          <w:color w:val="auto"/>
          <w:sz w:val="20"/>
          <w:szCs w:val="20"/>
          <w:lang w:eastAsia="en-US"/>
        </w:rPr>
        <w:t xml:space="preserve"> del entrenamiento</w:t>
      </w:r>
      <w:bookmarkEnd w:id="99"/>
    </w:p>
    <w:p w:rsidR="00E63098" w:rsidRPr="00702492"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heme="minorHAnsi" w:cs="Arial"/>
          <w:color w:val="000000" w:themeColor="text1"/>
          <w:sz w:val="20"/>
          <w:szCs w:val="20"/>
          <w:lang w:eastAsia="en-US"/>
        </w:rPr>
      </w:pPr>
      <w:r w:rsidRPr="00702492">
        <w:rPr>
          <w:rFonts w:eastAsiaTheme="minorHAnsi" w:cs="Arial"/>
          <w:color w:val="000000" w:themeColor="text1"/>
          <w:sz w:val="20"/>
          <w:szCs w:val="20"/>
          <w:lang w:eastAsia="en-US"/>
        </w:rPr>
        <w:t>Sobre este aspecto, l</w:t>
      </w:r>
      <w:r w:rsidRPr="0001748B">
        <w:rPr>
          <w:rFonts w:eastAsiaTheme="minorHAnsi" w:cs="Arial"/>
          <w:color w:val="000000" w:themeColor="text1"/>
          <w:sz w:val="20"/>
          <w:szCs w:val="20"/>
          <w:lang w:eastAsia="en-US"/>
        </w:rPr>
        <w:t xml:space="preserve">a cuestión central que ha sido abordada por la Comisión como por las </w:t>
      </w:r>
      <w:r w:rsidRPr="0001748B">
        <w:rPr>
          <w:rFonts w:eastAsiaTheme="minorHAnsi" w:cs="Arial"/>
          <w:sz w:val="20"/>
          <w:szCs w:val="20"/>
          <w:lang w:eastAsia="en-US"/>
        </w:rPr>
        <w:t>representantes</w:t>
      </w:r>
      <w:r w:rsidRPr="0001748B">
        <w:rPr>
          <w:rFonts w:eastAsiaTheme="minorHAnsi" w:cs="Arial"/>
          <w:color w:val="000000" w:themeColor="text1"/>
          <w:sz w:val="20"/>
          <w:szCs w:val="20"/>
          <w:lang w:eastAsia="en-US"/>
        </w:rPr>
        <w:t xml:space="preserve"> radica en el hecho de que la orden de operaciones del curso establecía, según su entendimiento, el uso de “cartuchos de fogueo” dentro del material específico de la práctica y que, a pesar de ello, en la ejecución de la misma se utilizaron municiones reales. En particular, la Comisión sostuvo que el instructivo contenía una descripción de los diferentes ejercicios a realizar, uno de ellos denominado “cancha de infiltración” que constaba de nueve situaciones u obstáculos. Según la Comisión, se indicaría dentro del material requerido para esta práctica el uso de “cuatro mil quintos (4.500) cartuchos de fogueo”</w:t>
      </w:r>
      <w:r w:rsidR="00143F0E">
        <w:rPr>
          <w:rFonts w:eastAsiaTheme="minorHAnsi" w:cs="Arial"/>
          <w:color w:val="000000" w:themeColor="text1"/>
          <w:sz w:val="20"/>
          <w:szCs w:val="20"/>
          <w:lang w:eastAsia="en-US"/>
        </w:rPr>
        <w:t xml:space="preserve"> y, conforme a</w:t>
      </w:r>
      <w:r w:rsidR="00560343" w:rsidRPr="0001748B">
        <w:rPr>
          <w:rFonts w:eastAsiaTheme="minorHAnsi" w:cs="Arial"/>
          <w:color w:val="000000" w:themeColor="text1"/>
          <w:sz w:val="20"/>
          <w:szCs w:val="20"/>
          <w:lang w:eastAsia="en-US"/>
        </w:rPr>
        <w:t xml:space="preserve"> su entender</w:t>
      </w:r>
      <w:r w:rsidR="00143F0E">
        <w:rPr>
          <w:rFonts w:eastAsiaTheme="minorHAnsi" w:cs="Arial"/>
          <w:color w:val="000000" w:themeColor="text1"/>
          <w:sz w:val="20"/>
          <w:szCs w:val="20"/>
          <w:lang w:eastAsia="en-US"/>
        </w:rPr>
        <w:t>,</w:t>
      </w:r>
      <w:r w:rsidR="00560343" w:rsidRPr="0001748B">
        <w:rPr>
          <w:rFonts w:eastAsiaTheme="minorHAnsi" w:cs="Arial"/>
          <w:color w:val="000000" w:themeColor="text1"/>
          <w:sz w:val="20"/>
          <w:szCs w:val="20"/>
          <w:lang w:eastAsia="en-US"/>
        </w:rPr>
        <w:t xml:space="preserve"> no se podrían utilizar balas reales en los entrenamientos.</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El artículo 4 de la Convención prescribe no solo el derecho de todo ser humano de no ser privado de la vida arbitrariamente (</w:t>
      </w:r>
      <w:r w:rsidRPr="0001748B">
        <w:rPr>
          <w:rFonts w:eastAsiaTheme="minorHAnsi" w:cs="Arial"/>
          <w:i/>
          <w:sz w:val="20"/>
          <w:szCs w:val="20"/>
          <w:lang w:eastAsia="en-US"/>
        </w:rPr>
        <w:t>supra</w:t>
      </w:r>
      <w:r w:rsidRPr="0001748B">
        <w:rPr>
          <w:rFonts w:eastAsiaTheme="minorHAnsi" w:cs="Arial"/>
          <w:sz w:val="20"/>
          <w:szCs w:val="20"/>
          <w:lang w:eastAsia="en-US"/>
        </w:rPr>
        <w:t xml:space="preserve"> párr</w:t>
      </w:r>
      <w:r w:rsidR="00EE0657">
        <w:rPr>
          <w:rFonts w:eastAsiaTheme="minorHAnsi" w:cs="Arial"/>
          <w:sz w:val="20"/>
          <w:szCs w:val="20"/>
          <w:lang w:eastAsia="en-US"/>
        </w:rPr>
        <w:t>s</w:t>
      </w:r>
      <w:r w:rsidRPr="0001748B">
        <w:rPr>
          <w:rFonts w:eastAsiaTheme="minorHAnsi" w:cs="Arial"/>
          <w:sz w:val="20"/>
          <w:szCs w:val="20"/>
          <w:lang w:eastAsia="en-US"/>
        </w:rPr>
        <w:t xml:space="preserve">. </w:t>
      </w:r>
      <w:r w:rsidR="00070CDD">
        <w:rPr>
          <w:rFonts w:eastAsiaTheme="minorHAnsi" w:cs="Arial"/>
          <w:sz w:val="20"/>
          <w:szCs w:val="20"/>
          <w:lang w:eastAsia="en-US"/>
        </w:rPr>
        <w:t>100</w:t>
      </w:r>
      <w:r w:rsidR="00EE0657">
        <w:rPr>
          <w:rFonts w:eastAsiaTheme="minorHAnsi" w:cs="Arial"/>
          <w:sz w:val="20"/>
          <w:szCs w:val="20"/>
          <w:lang w:eastAsia="en-US"/>
        </w:rPr>
        <w:t xml:space="preserve"> y 103</w:t>
      </w:r>
      <w:r w:rsidRPr="0001748B">
        <w:rPr>
          <w:rFonts w:eastAsiaTheme="minorHAnsi" w:cs="Arial"/>
          <w:sz w:val="20"/>
          <w:szCs w:val="20"/>
          <w:lang w:eastAsia="en-US"/>
        </w:rPr>
        <w:t>), sino que garantiza, además, el deber de los Estados de adoptar las medidas necesarias para crear un marco normativo adecuado que disuada cualquier amenaza al derecho a la vida</w:t>
      </w:r>
      <w:r w:rsidRPr="0001748B">
        <w:rPr>
          <w:rFonts w:eastAsiaTheme="minorHAnsi" w:cs="Arial"/>
          <w:sz w:val="20"/>
          <w:szCs w:val="20"/>
          <w:vertAlign w:val="superscript"/>
          <w:lang w:eastAsia="en-US"/>
        </w:rPr>
        <w:footnoteReference w:id="130"/>
      </w:r>
      <w:r w:rsidRPr="0001748B">
        <w:rPr>
          <w:rFonts w:eastAsiaTheme="minorHAnsi" w:cs="Arial"/>
          <w:sz w:val="20"/>
          <w:szCs w:val="20"/>
          <w:lang w:eastAsia="en-US"/>
        </w:rPr>
        <w:t xml:space="preserve">. </w:t>
      </w:r>
      <w:r w:rsidRPr="0001748B">
        <w:rPr>
          <w:rFonts w:eastAsiaTheme="minorHAnsi" w:cs="Verdana"/>
          <w:sz w:val="20"/>
          <w:szCs w:val="20"/>
          <w:lang w:eastAsia="en-US"/>
        </w:rPr>
        <w:t>En este sentido, la Corte ha establecido que no basta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w:t>
      </w:r>
      <w:r w:rsidRPr="0001748B">
        <w:rPr>
          <w:rFonts w:eastAsiaTheme="minorHAnsi" w:cs="Verdana"/>
          <w:sz w:val="20"/>
          <w:szCs w:val="20"/>
          <w:vertAlign w:val="superscript"/>
          <w:lang w:eastAsia="en-US"/>
        </w:rPr>
        <w:footnoteReference w:id="131"/>
      </w:r>
      <w:r w:rsidRPr="0001748B">
        <w:rPr>
          <w:rFonts w:eastAsiaTheme="minorHAnsi" w:cs="Verdana"/>
          <w:sz w:val="20"/>
          <w:szCs w:val="20"/>
          <w:lang w:eastAsia="en-US"/>
        </w:rPr>
        <w:t>.</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La Corte nota que, tal como fue expuesto previamente (</w:t>
      </w:r>
      <w:r w:rsidRPr="0001748B">
        <w:rPr>
          <w:rFonts w:eastAsiaTheme="minorHAnsi" w:cs="Arial"/>
          <w:i/>
          <w:sz w:val="20"/>
          <w:szCs w:val="20"/>
          <w:lang w:eastAsia="en-US"/>
        </w:rPr>
        <w:t>supra</w:t>
      </w:r>
      <w:r w:rsidRPr="0001748B">
        <w:rPr>
          <w:rFonts w:eastAsiaTheme="minorHAnsi" w:cs="Arial"/>
          <w:sz w:val="20"/>
          <w:szCs w:val="20"/>
          <w:lang w:eastAsia="en-US"/>
        </w:rPr>
        <w:t xml:space="preserve"> párrs. </w:t>
      </w:r>
      <w:r w:rsidR="009A52DB">
        <w:rPr>
          <w:rFonts w:eastAsiaTheme="minorHAnsi" w:cs="Arial"/>
          <w:sz w:val="20"/>
          <w:szCs w:val="20"/>
          <w:lang w:eastAsia="en-US"/>
        </w:rPr>
        <w:t>55</w:t>
      </w:r>
      <w:r w:rsidRPr="0001748B">
        <w:rPr>
          <w:rFonts w:eastAsiaTheme="minorHAnsi" w:cs="Arial"/>
          <w:sz w:val="20"/>
          <w:szCs w:val="20"/>
          <w:lang w:eastAsia="en-US"/>
        </w:rPr>
        <w:t xml:space="preserve"> a </w:t>
      </w:r>
      <w:r w:rsidR="009A52DB">
        <w:rPr>
          <w:rFonts w:eastAsiaTheme="minorHAnsi" w:cs="Arial"/>
          <w:sz w:val="20"/>
          <w:szCs w:val="20"/>
          <w:lang w:eastAsia="en-US"/>
        </w:rPr>
        <w:t>62</w:t>
      </w:r>
      <w:r w:rsidRPr="0001748B">
        <w:rPr>
          <w:rFonts w:eastAsiaTheme="minorHAnsi" w:cs="Arial"/>
          <w:sz w:val="20"/>
          <w:szCs w:val="20"/>
          <w:lang w:eastAsia="en-US"/>
        </w:rPr>
        <w:t>), el diseño del ejercicio denominado “</w:t>
      </w:r>
      <w:r w:rsidR="001365FD">
        <w:rPr>
          <w:rFonts w:eastAsiaTheme="minorHAnsi" w:cs="Arial"/>
          <w:sz w:val="20"/>
          <w:szCs w:val="20"/>
          <w:lang w:eastAsia="en-US"/>
        </w:rPr>
        <w:t>c</w:t>
      </w:r>
      <w:r w:rsidRPr="0001748B">
        <w:rPr>
          <w:rFonts w:eastAsiaTheme="minorHAnsi" w:cs="Arial"/>
          <w:sz w:val="20"/>
          <w:szCs w:val="20"/>
          <w:lang w:eastAsia="en-US"/>
        </w:rPr>
        <w:t xml:space="preserve">ancha </w:t>
      </w:r>
      <w:r w:rsidR="001365FD">
        <w:rPr>
          <w:rFonts w:eastAsiaTheme="minorHAnsi" w:cs="Arial"/>
          <w:sz w:val="20"/>
          <w:szCs w:val="20"/>
          <w:lang w:eastAsia="en-US"/>
        </w:rPr>
        <w:t>a</w:t>
      </w:r>
      <w:r w:rsidRPr="0001748B">
        <w:rPr>
          <w:rFonts w:eastAsiaTheme="minorHAnsi" w:cs="Arial"/>
          <w:sz w:val="20"/>
          <w:szCs w:val="20"/>
          <w:lang w:eastAsia="en-US"/>
        </w:rPr>
        <w:t>nti-subversiva” estaba previsto y contenido en la Orden de Operaciones. Allí se establecía la planeación estructurada de los diferentes obstáculos que iban a pasar los alumnos, incluyendo los elementos que se iban a utilizar; la disposición de un servicio de sanidad de primer contacto; la evacuación por medio de una ambulancia, y las medidas de seguridad. El objetivo del ejercicio consistía en simular operaciones de combate contra la guerrilla (</w:t>
      </w:r>
      <w:r w:rsidRPr="0001748B">
        <w:rPr>
          <w:rFonts w:eastAsiaTheme="minorHAnsi" w:cs="Arial"/>
          <w:i/>
          <w:sz w:val="20"/>
          <w:szCs w:val="20"/>
          <w:lang w:eastAsia="en-US"/>
        </w:rPr>
        <w:t>supra</w:t>
      </w:r>
      <w:r w:rsidRPr="0001748B">
        <w:rPr>
          <w:rFonts w:eastAsiaTheme="minorHAnsi" w:cs="Arial"/>
          <w:sz w:val="20"/>
          <w:szCs w:val="20"/>
          <w:lang w:eastAsia="en-US"/>
        </w:rPr>
        <w:t xml:space="preserve"> párr. </w:t>
      </w:r>
      <w:r w:rsidR="00CB1A2D">
        <w:rPr>
          <w:rFonts w:eastAsiaTheme="minorHAnsi" w:cs="Arial"/>
          <w:sz w:val="20"/>
          <w:szCs w:val="20"/>
          <w:lang w:eastAsia="en-US"/>
        </w:rPr>
        <w:t>56</w:t>
      </w:r>
      <w:r w:rsidRPr="0001748B">
        <w:rPr>
          <w:rFonts w:eastAsiaTheme="minorHAnsi" w:cs="Arial"/>
          <w:sz w:val="20"/>
          <w:szCs w:val="20"/>
          <w:lang w:eastAsia="en-US"/>
        </w:rPr>
        <w:t>) para personas que se encontraban en una etapa de formación y aspiraban a convertirse en Guardias Nacionales.</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 xml:space="preserve">Al respecto, la Corte nota que, si bien la recreación de condiciones similares a las que podrían enfrentarse en </w:t>
      </w:r>
      <w:r w:rsidRPr="0001748B">
        <w:rPr>
          <w:rFonts w:eastAsiaTheme="minorEastAsia" w:cs="Arial"/>
          <w:sz w:val="20"/>
          <w:szCs w:val="20"/>
          <w:lang w:eastAsia="en-US"/>
        </w:rPr>
        <w:t>razón de las funciones que le son propias</w:t>
      </w:r>
      <w:r w:rsidRPr="0001748B">
        <w:rPr>
          <w:rFonts w:eastAsiaTheme="minorHAnsi" w:cs="Arial"/>
          <w:sz w:val="20"/>
          <w:szCs w:val="20"/>
          <w:lang w:eastAsia="en-US"/>
        </w:rPr>
        <w:t xml:space="preserve">, de acuerdo a la misión encomendada a las fuerzas militares, pueden ser legítimas a fin de que el entrenamiento militar se realice en condiciones que se acerquen, en la mayor medida de lo posible, a situaciones </w:t>
      </w:r>
      <w:r w:rsidRPr="0001748B">
        <w:rPr>
          <w:rFonts w:eastAsiaTheme="minorEastAsia" w:cs="Arial"/>
          <w:sz w:val="20"/>
          <w:szCs w:val="20"/>
          <w:lang w:eastAsia="en-US"/>
        </w:rPr>
        <w:t>de la realidad</w:t>
      </w:r>
      <w:r w:rsidRPr="0001748B">
        <w:rPr>
          <w:rFonts w:eastAsiaTheme="minorHAnsi" w:cs="Arial"/>
          <w:sz w:val="20"/>
          <w:szCs w:val="20"/>
          <w:lang w:eastAsia="en-US"/>
        </w:rPr>
        <w:t xml:space="preserve">, tales condiciones no pueden </w:t>
      </w:r>
      <w:r w:rsidRPr="0001748B">
        <w:rPr>
          <w:rFonts w:eastAsiaTheme="minorEastAsia" w:cs="Arial"/>
          <w:sz w:val="20"/>
          <w:szCs w:val="20"/>
          <w:lang w:eastAsia="en-US"/>
        </w:rPr>
        <w:t>generar riesgos excesivos sobre la vida e integridad de las personas</w:t>
      </w:r>
      <w:r w:rsidRPr="0001748B">
        <w:rPr>
          <w:rFonts w:eastAsiaTheme="minorEastAsia" w:cs="Arial"/>
          <w:sz w:val="20"/>
          <w:szCs w:val="20"/>
          <w:vertAlign w:val="superscript"/>
          <w:lang w:eastAsia="en-US"/>
        </w:rPr>
        <w:footnoteReference w:id="132"/>
      </w:r>
      <w:r w:rsidRPr="0001748B">
        <w:rPr>
          <w:rFonts w:eastAsiaTheme="minorEastAsia" w:cs="Arial"/>
          <w:sz w:val="20"/>
          <w:szCs w:val="20"/>
          <w:lang w:eastAsia="en-US"/>
        </w:rPr>
        <w:t>.</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En efecto, según señaló la perita Elizabeth Salmón:</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254ECA">
      <w:pPr>
        <w:widowControl/>
        <w:tabs>
          <w:tab w:val="left" w:pos="9498"/>
        </w:tabs>
        <w:autoSpaceDE w:val="0"/>
        <w:autoSpaceDN w:val="0"/>
        <w:spacing w:line="240" w:lineRule="auto"/>
        <w:ind w:left="567" w:right="582"/>
        <w:textAlignment w:val="auto"/>
        <w:rPr>
          <w:rFonts w:eastAsiaTheme="minorHAnsi" w:cs="Arial"/>
          <w:sz w:val="16"/>
          <w:szCs w:val="16"/>
          <w:lang w:eastAsia="en-US"/>
        </w:rPr>
      </w:pPr>
      <w:r w:rsidRPr="0001748B">
        <w:rPr>
          <w:rFonts w:eastAsiaTheme="minorHAnsi" w:cs="Arial"/>
          <w:sz w:val="16"/>
          <w:szCs w:val="16"/>
          <w:lang w:eastAsia="en-US"/>
        </w:rPr>
        <w:t>[…] debe tomarse en cuenta que si bien el entrenamiento de los miembros de las Fuerzas Armadas tiene que ser lo más similar a una circunstancia real que pueden enfrentar, este requerimiento debe ser compatibilizado con las obligaciones estatales en materia de derechos humanos. En consecuencia, considerando que no es posible establecer limitaciones al derecho a la vida y a la integridad, el entrenamiento deberá garantizar condiciones tales que no pongan en riesgo estos derechos</w:t>
      </w:r>
      <w:r w:rsidRPr="0001748B">
        <w:rPr>
          <w:rFonts w:eastAsiaTheme="minorEastAsia" w:cs="Arial"/>
          <w:sz w:val="16"/>
          <w:szCs w:val="16"/>
          <w:vertAlign w:val="superscript"/>
          <w:lang w:eastAsia="en-US"/>
        </w:rPr>
        <w:footnoteReference w:id="133"/>
      </w:r>
      <w:r w:rsidRPr="0001748B">
        <w:rPr>
          <w:rFonts w:eastAsiaTheme="minorHAnsi" w:cs="Arial"/>
          <w:sz w:val="16"/>
          <w:szCs w:val="16"/>
          <w:lang w:eastAsia="en-US"/>
        </w:rPr>
        <w:t>.</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De igual forma, el perito Maurice Larée Quevedo indicó que, si bien el uso de una ametralladora durante una determinada instrucción obedece a la intención de generar mayor realismo a la instrucción de combate militar, éste debe circunscribirse a las medidas de seguridad que demanda la debida protección de la integridad física de los alumnos</w:t>
      </w:r>
      <w:r w:rsidRPr="0001748B">
        <w:rPr>
          <w:rFonts w:eastAsiaTheme="minorEastAsia" w:cs="Arial"/>
          <w:sz w:val="20"/>
          <w:szCs w:val="20"/>
          <w:vertAlign w:val="superscript"/>
          <w:lang w:eastAsia="en-US"/>
        </w:rPr>
        <w:footnoteReference w:id="134"/>
      </w:r>
      <w:r w:rsidRPr="0001748B">
        <w:rPr>
          <w:rFonts w:eastAsiaTheme="minorHAnsi" w:cs="Arial"/>
          <w:sz w:val="20"/>
          <w:szCs w:val="20"/>
          <w:lang w:eastAsia="en-US"/>
        </w:rPr>
        <w:t>.</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Sobre este aspecto, la Corte estima que los Estados tienen la facultad de regular y disponer la forma apropiada en que se llevará a cabo la formación y entrenamiento de sus fuerzas de seguridad, siempre que se encuentre en el marco de los límites establecidos en los párrafos precedentes</w:t>
      </w:r>
      <w:r w:rsidR="00870E02">
        <w:rPr>
          <w:rFonts w:eastAsiaTheme="minorHAnsi" w:cs="Arial"/>
          <w:sz w:val="20"/>
          <w:szCs w:val="20"/>
          <w:lang w:eastAsia="en-US"/>
        </w:rPr>
        <w:t>.</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2F01CC" w:rsidRPr="0001748B" w:rsidRDefault="00E63098"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En relación con la munición a emplear específicamente en el ejercicio denominado “</w:t>
      </w:r>
      <w:r w:rsidR="001365FD">
        <w:rPr>
          <w:rFonts w:eastAsiaTheme="minorHAnsi" w:cs="Arial"/>
          <w:sz w:val="20"/>
          <w:szCs w:val="20"/>
          <w:lang w:eastAsia="en-US"/>
        </w:rPr>
        <w:t>c</w:t>
      </w:r>
      <w:r w:rsidRPr="0001748B">
        <w:rPr>
          <w:rFonts w:eastAsiaTheme="minorHAnsi" w:cs="Arial"/>
          <w:sz w:val="20"/>
          <w:szCs w:val="20"/>
          <w:lang w:eastAsia="en-US"/>
        </w:rPr>
        <w:t xml:space="preserve">ancha </w:t>
      </w:r>
      <w:r w:rsidR="001365FD">
        <w:rPr>
          <w:rFonts w:eastAsiaTheme="minorHAnsi" w:cs="Arial"/>
          <w:sz w:val="20"/>
          <w:szCs w:val="20"/>
          <w:lang w:eastAsia="en-US"/>
        </w:rPr>
        <w:t>a</w:t>
      </w:r>
      <w:r w:rsidRPr="0001748B">
        <w:rPr>
          <w:rFonts w:eastAsiaTheme="minorHAnsi" w:cs="Arial"/>
          <w:sz w:val="20"/>
          <w:szCs w:val="20"/>
          <w:lang w:eastAsia="en-US"/>
        </w:rPr>
        <w:t xml:space="preserve">nti-subversiva” en el marco del cual el joven Ortiz Hernández resultó herido, es preciso notar que la </w:t>
      </w:r>
      <w:r w:rsidR="00F6083A" w:rsidRPr="0001748B">
        <w:rPr>
          <w:rFonts w:eastAsiaTheme="minorHAnsi" w:cs="Arial"/>
          <w:sz w:val="20"/>
          <w:szCs w:val="20"/>
          <w:lang w:eastAsia="en-US"/>
        </w:rPr>
        <w:t>O</w:t>
      </w:r>
      <w:r w:rsidRPr="0001748B">
        <w:rPr>
          <w:rFonts w:eastAsiaTheme="minorHAnsi" w:cs="Arial"/>
          <w:sz w:val="20"/>
          <w:szCs w:val="20"/>
          <w:lang w:eastAsia="en-US"/>
        </w:rPr>
        <w:t xml:space="preserve">rden de </w:t>
      </w:r>
      <w:r w:rsidR="00F6083A" w:rsidRPr="0001748B">
        <w:rPr>
          <w:rFonts w:eastAsiaTheme="minorHAnsi" w:cs="Arial"/>
          <w:sz w:val="20"/>
          <w:szCs w:val="20"/>
          <w:lang w:eastAsia="en-US"/>
        </w:rPr>
        <w:t>O</w:t>
      </w:r>
      <w:r w:rsidRPr="0001748B">
        <w:rPr>
          <w:rFonts w:eastAsiaTheme="minorHAnsi" w:cs="Arial"/>
          <w:sz w:val="20"/>
          <w:szCs w:val="20"/>
          <w:lang w:eastAsia="en-US"/>
        </w:rPr>
        <w:t>peraciones efectivamente contenía disposiciones según las cuales el uso de armas debía estar ceñido estrictamente a lo establecido en el reglamento y las normas jurídicas que regulan su uso. Sin embargo, la Corte advierte que la Orden de Operaciones</w:t>
      </w:r>
      <w:r w:rsidR="00CB17DD" w:rsidRPr="0001748B">
        <w:rPr>
          <w:rFonts w:eastAsiaTheme="minorHAnsi" w:cs="Arial"/>
          <w:sz w:val="20"/>
          <w:szCs w:val="20"/>
          <w:lang w:eastAsia="en-US"/>
        </w:rPr>
        <w:t xml:space="preserve"> con la que cuenta </w:t>
      </w:r>
      <w:r w:rsidRPr="0001748B">
        <w:rPr>
          <w:rFonts w:eastAsiaTheme="minorHAnsi" w:cs="Arial"/>
          <w:sz w:val="20"/>
          <w:szCs w:val="20"/>
          <w:lang w:eastAsia="en-US"/>
        </w:rPr>
        <w:t xml:space="preserve">no especificaba de forma expresa el tipo de munición o bala que debía utilizarse en </w:t>
      </w:r>
      <w:r w:rsidR="00F6083A" w:rsidRPr="0001748B">
        <w:rPr>
          <w:rFonts w:eastAsiaTheme="minorHAnsi" w:cs="Arial"/>
          <w:sz w:val="20"/>
          <w:szCs w:val="20"/>
          <w:lang w:eastAsia="en-US"/>
        </w:rPr>
        <w:t>e</w:t>
      </w:r>
      <w:r w:rsidRPr="0001748B">
        <w:rPr>
          <w:rFonts w:eastAsiaTheme="minorHAnsi" w:cs="Arial"/>
          <w:sz w:val="20"/>
          <w:szCs w:val="20"/>
          <w:lang w:eastAsia="en-US"/>
        </w:rPr>
        <w:t>l referid</w:t>
      </w:r>
      <w:r w:rsidR="00F6083A" w:rsidRPr="0001748B">
        <w:rPr>
          <w:rFonts w:eastAsiaTheme="minorHAnsi" w:cs="Arial"/>
          <w:sz w:val="20"/>
          <w:szCs w:val="20"/>
          <w:lang w:eastAsia="en-US"/>
        </w:rPr>
        <w:t>o entrenamiento</w:t>
      </w:r>
      <w:r w:rsidRPr="0001748B">
        <w:rPr>
          <w:rFonts w:eastAsiaTheme="minorHAnsi" w:cs="Arial"/>
          <w:sz w:val="20"/>
          <w:szCs w:val="20"/>
          <w:lang w:eastAsia="en-US"/>
        </w:rPr>
        <w:t xml:space="preserve"> (</w:t>
      </w:r>
      <w:r w:rsidRPr="0001748B">
        <w:rPr>
          <w:rFonts w:eastAsiaTheme="minorHAnsi" w:cs="Arial"/>
          <w:i/>
          <w:sz w:val="20"/>
          <w:szCs w:val="20"/>
          <w:lang w:eastAsia="en-US"/>
        </w:rPr>
        <w:t>supra</w:t>
      </w:r>
      <w:r w:rsidRPr="0001748B">
        <w:rPr>
          <w:rFonts w:eastAsiaTheme="minorHAnsi" w:cs="Arial"/>
          <w:sz w:val="20"/>
          <w:szCs w:val="20"/>
          <w:lang w:eastAsia="en-US"/>
        </w:rPr>
        <w:t xml:space="preserve"> párr. </w:t>
      </w:r>
      <w:r w:rsidR="00947D6D">
        <w:rPr>
          <w:rFonts w:eastAsiaTheme="minorHAnsi" w:cs="Arial"/>
          <w:sz w:val="20"/>
          <w:szCs w:val="20"/>
          <w:lang w:eastAsia="en-US"/>
        </w:rPr>
        <w:t>58</w:t>
      </w:r>
      <w:r w:rsidRPr="0001748B">
        <w:rPr>
          <w:rFonts w:eastAsiaTheme="minorHAnsi" w:cs="Arial"/>
          <w:sz w:val="20"/>
          <w:szCs w:val="20"/>
          <w:lang w:eastAsia="en-US"/>
        </w:rPr>
        <w:t>)</w:t>
      </w:r>
      <w:r w:rsidR="00F6083A" w:rsidRPr="0001748B">
        <w:rPr>
          <w:rFonts w:eastAsiaTheme="minorHAnsi" w:cs="Arial"/>
          <w:sz w:val="20"/>
          <w:szCs w:val="20"/>
          <w:lang w:eastAsia="en-US"/>
        </w:rPr>
        <w:t xml:space="preserve">. </w:t>
      </w:r>
      <w:r w:rsidRPr="0001748B">
        <w:rPr>
          <w:rFonts w:eastAsiaTheme="minorHAnsi" w:cs="Arial"/>
          <w:sz w:val="20"/>
          <w:szCs w:val="20"/>
          <w:lang w:eastAsia="en-US"/>
        </w:rPr>
        <w:t>La Corte reconoce que existen indicios de que dicha orden podría haber sido modificada o alterada en ese punto</w:t>
      </w:r>
      <w:r w:rsidR="00FB00E8" w:rsidRPr="0001748B">
        <w:rPr>
          <w:rFonts w:eastAsiaTheme="minorHAnsi" w:cs="Arial"/>
          <w:sz w:val="20"/>
          <w:szCs w:val="20"/>
          <w:vertAlign w:val="superscript"/>
          <w:lang w:eastAsia="en-US"/>
        </w:rPr>
        <w:footnoteReference w:id="135"/>
      </w:r>
      <w:r w:rsidRPr="0001748B">
        <w:rPr>
          <w:rFonts w:eastAsiaTheme="minorHAnsi" w:cs="Arial"/>
          <w:sz w:val="20"/>
          <w:szCs w:val="20"/>
          <w:lang w:eastAsia="en-US"/>
        </w:rPr>
        <w:t>, lo que cual no ha sido esclarecido en la investigación interna. Tampoco ha sido dilucidado quién, en su caso, ordenó que se emplearan balas reales</w:t>
      </w:r>
      <w:r w:rsidR="0032026B" w:rsidRPr="0001748B">
        <w:rPr>
          <w:rFonts w:eastAsiaTheme="minorHAnsi" w:cstheme="minorBidi"/>
          <w:sz w:val="20"/>
          <w:szCs w:val="20"/>
          <w:vertAlign w:val="superscript"/>
          <w:lang w:eastAsia="en-US"/>
        </w:rPr>
        <w:footnoteReference w:id="136"/>
      </w:r>
      <w:r w:rsidRPr="0001748B">
        <w:rPr>
          <w:rFonts w:eastAsiaTheme="minorHAnsi" w:cs="Arial"/>
          <w:sz w:val="20"/>
          <w:szCs w:val="20"/>
          <w:lang w:eastAsia="en-US"/>
        </w:rPr>
        <w:t>.</w:t>
      </w:r>
      <w:r w:rsidR="002F01CC" w:rsidRPr="0001748B">
        <w:rPr>
          <w:rFonts w:eastAsiaTheme="minorHAnsi" w:cs="Arial"/>
          <w:sz w:val="20"/>
          <w:szCs w:val="20"/>
          <w:lang w:eastAsia="en-US"/>
        </w:rPr>
        <w:t xml:space="preserve"> </w:t>
      </w:r>
      <w:r w:rsidRPr="0001748B">
        <w:rPr>
          <w:rFonts w:eastAsiaTheme="minorHAnsi" w:cs="Arial"/>
          <w:sz w:val="20"/>
          <w:szCs w:val="20"/>
          <w:lang w:eastAsia="en-US"/>
        </w:rPr>
        <w:t xml:space="preserve">Más allá de lo anterior, </w:t>
      </w:r>
      <w:r w:rsidR="00F6083A" w:rsidRPr="0001748B">
        <w:rPr>
          <w:rFonts w:eastAsiaTheme="minorHAnsi" w:cs="Arial"/>
          <w:sz w:val="20"/>
          <w:szCs w:val="20"/>
          <w:lang w:eastAsia="en-US"/>
        </w:rPr>
        <w:t>lo cierto es que en la puesta en práctica del ejercicio de la “</w:t>
      </w:r>
      <w:r w:rsidR="001365FD">
        <w:rPr>
          <w:rFonts w:eastAsiaTheme="minorHAnsi" w:cs="Arial"/>
          <w:sz w:val="20"/>
          <w:szCs w:val="20"/>
          <w:lang w:eastAsia="en-US"/>
        </w:rPr>
        <w:t>c</w:t>
      </w:r>
      <w:r w:rsidR="00F6083A" w:rsidRPr="0001748B">
        <w:rPr>
          <w:rFonts w:eastAsiaTheme="minorHAnsi" w:cs="Arial"/>
          <w:sz w:val="20"/>
          <w:szCs w:val="20"/>
          <w:lang w:eastAsia="en-US"/>
        </w:rPr>
        <w:t xml:space="preserve">ancha </w:t>
      </w:r>
      <w:r w:rsidR="001365FD">
        <w:rPr>
          <w:rFonts w:eastAsiaTheme="minorHAnsi" w:cs="Arial"/>
          <w:sz w:val="20"/>
          <w:szCs w:val="20"/>
          <w:lang w:eastAsia="en-US"/>
        </w:rPr>
        <w:t>a</w:t>
      </w:r>
      <w:r w:rsidR="00F6083A" w:rsidRPr="0001748B">
        <w:rPr>
          <w:rFonts w:eastAsiaTheme="minorHAnsi" w:cs="Arial"/>
          <w:sz w:val="20"/>
          <w:szCs w:val="20"/>
          <w:lang w:eastAsia="en-US"/>
        </w:rPr>
        <w:t>nti-subversiva” se realizaba el disparo de ráfagas de proyectiles con fuego real proveniente de una ametralladora AFAG, calibre 7,62 mm, como medida de hostigamiento, mientras los alumnos pasaban por el obstáculo</w:t>
      </w:r>
      <w:r w:rsidR="003F00A6">
        <w:rPr>
          <w:rFonts w:eastAsiaTheme="minorHAnsi" w:cs="Arial"/>
          <w:sz w:val="20"/>
          <w:szCs w:val="20"/>
          <w:lang w:eastAsia="en-US"/>
        </w:rPr>
        <w:t xml:space="preserve"> N° 5</w:t>
      </w:r>
      <w:r w:rsidR="00F6083A" w:rsidRPr="0001748B">
        <w:rPr>
          <w:rFonts w:eastAsiaTheme="minorHAnsi" w:cs="Arial"/>
          <w:sz w:val="20"/>
          <w:szCs w:val="20"/>
          <w:lang w:eastAsia="en-US"/>
        </w:rPr>
        <w:t xml:space="preserve"> (</w:t>
      </w:r>
      <w:r w:rsidR="00F6083A" w:rsidRPr="0001748B">
        <w:rPr>
          <w:rFonts w:eastAsiaTheme="minorHAnsi" w:cs="Arial"/>
          <w:i/>
          <w:sz w:val="20"/>
          <w:szCs w:val="20"/>
          <w:lang w:eastAsia="en-US"/>
        </w:rPr>
        <w:t>supra</w:t>
      </w:r>
      <w:r w:rsidR="00F6083A" w:rsidRPr="0001748B">
        <w:rPr>
          <w:rFonts w:eastAsiaTheme="minorHAnsi" w:cs="Arial"/>
          <w:sz w:val="20"/>
          <w:szCs w:val="20"/>
          <w:lang w:eastAsia="en-US"/>
        </w:rPr>
        <w:t xml:space="preserve"> párr. </w:t>
      </w:r>
      <w:r w:rsidR="00947D6D">
        <w:rPr>
          <w:rFonts w:eastAsiaTheme="minorHAnsi" w:cs="Arial"/>
          <w:sz w:val="20"/>
          <w:szCs w:val="20"/>
          <w:lang w:eastAsia="en-US"/>
        </w:rPr>
        <w:t>57</w:t>
      </w:r>
      <w:r w:rsidR="00F6083A" w:rsidRPr="0001748B">
        <w:rPr>
          <w:rFonts w:eastAsiaTheme="minorHAnsi" w:cs="Arial"/>
          <w:sz w:val="20"/>
          <w:szCs w:val="20"/>
          <w:lang w:eastAsia="en-US"/>
        </w:rPr>
        <w:t xml:space="preserve">) y que </w:t>
      </w:r>
      <w:r w:rsidRPr="0001748B">
        <w:rPr>
          <w:rFonts w:eastAsiaTheme="minorHAnsi" w:cs="Arial"/>
          <w:sz w:val="20"/>
          <w:szCs w:val="20"/>
          <w:lang w:eastAsia="en-US"/>
        </w:rPr>
        <w:t>el Estado reconoció que las autoridades de las fuerzas de seguridad deben ejercer una máxima vigilancia y precaución en el diseño de estos ejercicios, lo que n</w:t>
      </w:r>
      <w:r w:rsidR="00062EC1">
        <w:rPr>
          <w:rFonts w:eastAsiaTheme="minorHAnsi" w:cs="Arial"/>
          <w:sz w:val="20"/>
          <w:szCs w:val="20"/>
          <w:lang w:eastAsia="en-US"/>
        </w:rPr>
        <w:t>o habría sucedido en este caso.</w:t>
      </w:r>
    </w:p>
    <w:p w:rsidR="00E63098" w:rsidRPr="009F5A59" w:rsidRDefault="00E63098" w:rsidP="00E63098">
      <w:pPr>
        <w:widowControl/>
        <w:autoSpaceDE w:val="0"/>
        <w:autoSpaceDN w:val="0"/>
        <w:spacing w:line="240" w:lineRule="auto"/>
        <w:textAlignment w:val="auto"/>
        <w:rPr>
          <w:rFonts w:eastAsiaTheme="minorHAnsi" w:cs="Arial"/>
          <w:sz w:val="20"/>
          <w:szCs w:val="20"/>
          <w:lang w:eastAsia="en-US"/>
        </w:rPr>
      </w:pPr>
    </w:p>
    <w:p w:rsidR="00BB3E6B" w:rsidRPr="009F5A59" w:rsidRDefault="009F5A59" w:rsidP="009F5A59">
      <w:pPr>
        <w:numPr>
          <w:ilvl w:val="0"/>
          <w:numId w:val="1"/>
        </w:numPr>
        <w:tabs>
          <w:tab w:val="left" w:pos="567"/>
          <w:tab w:val="num" w:pos="5057"/>
        </w:tabs>
        <w:spacing w:line="240" w:lineRule="auto"/>
        <w:ind w:left="0" w:firstLine="0"/>
        <w:rPr>
          <w:rFonts w:eastAsiaTheme="minorHAnsi" w:cs="Arial"/>
          <w:sz w:val="20"/>
          <w:szCs w:val="20"/>
          <w:lang w:eastAsia="en-US"/>
        </w:rPr>
      </w:pPr>
      <w:r w:rsidRPr="009F5A59">
        <w:rPr>
          <w:rFonts w:eastAsiaTheme="minorHAnsi" w:cs="Arial"/>
          <w:sz w:val="20"/>
          <w:szCs w:val="20"/>
          <w:lang w:eastAsia="en-US"/>
        </w:rPr>
        <w:t>Aun</w:t>
      </w:r>
      <w:r w:rsidR="00BB3E6B" w:rsidRPr="009F5A59">
        <w:rPr>
          <w:rFonts w:eastAsiaTheme="minorHAnsi" w:cs="Arial"/>
          <w:sz w:val="20"/>
          <w:szCs w:val="20"/>
          <w:lang w:eastAsia="en-US"/>
        </w:rPr>
        <w:t xml:space="preserve"> cuando en los hechos se diese la hipótesis de un homicidio doloso extraño a la práctica con proyectiles reales, no puede negar</w:t>
      </w:r>
      <w:r w:rsidR="004C2573">
        <w:rPr>
          <w:rFonts w:eastAsiaTheme="minorHAnsi" w:cs="Arial"/>
          <w:sz w:val="20"/>
          <w:szCs w:val="20"/>
          <w:lang w:eastAsia="en-US"/>
        </w:rPr>
        <w:t>se</w:t>
      </w:r>
      <w:r w:rsidR="004C2573" w:rsidRPr="004C2573">
        <w:rPr>
          <w:rFonts w:eastAsiaTheme="minorHAnsi" w:cs="Arial"/>
          <w:sz w:val="20"/>
          <w:szCs w:val="20"/>
          <w:lang w:eastAsia="en-US"/>
        </w:rPr>
        <w:t xml:space="preserve"> </w:t>
      </w:r>
      <w:r w:rsidR="004C2573" w:rsidRPr="009F5A59">
        <w:rPr>
          <w:rFonts w:eastAsiaTheme="minorHAnsi" w:cs="Arial"/>
          <w:sz w:val="20"/>
          <w:szCs w:val="20"/>
          <w:lang w:eastAsia="en-US"/>
        </w:rPr>
        <w:t>en modo alguno</w:t>
      </w:r>
      <w:r w:rsidR="00BB3E6B" w:rsidRPr="009F5A59">
        <w:rPr>
          <w:rFonts w:eastAsiaTheme="minorHAnsi" w:cs="Arial"/>
          <w:sz w:val="20"/>
          <w:szCs w:val="20"/>
          <w:lang w:eastAsia="en-US"/>
        </w:rPr>
        <w:t xml:space="preserve"> la existencia de un deber especial de cuidado por parte del Estado cuando provee armas de fuego o </w:t>
      </w:r>
      <w:r w:rsidR="004C2573">
        <w:rPr>
          <w:rFonts w:eastAsiaTheme="minorHAnsi" w:cs="Arial"/>
          <w:sz w:val="20"/>
          <w:szCs w:val="20"/>
          <w:lang w:eastAsia="en-US"/>
        </w:rPr>
        <w:t xml:space="preserve">en el marco de </w:t>
      </w:r>
      <w:r w:rsidR="00BB3E6B" w:rsidRPr="009F5A59">
        <w:rPr>
          <w:rFonts w:eastAsiaTheme="minorHAnsi" w:cs="Arial"/>
          <w:sz w:val="20"/>
          <w:szCs w:val="20"/>
          <w:lang w:eastAsia="en-US"/>
        </w:rPr>
        <w:t>contextos que pueden dar ocasión a la comisión u ocultamiento de delitos dolosos</w:t>
      </w:r>
      <w:r w:rsidR="004C2573">
        <w:rPr>
          <w:rFonts w:eastAsiaTheme="minorHAnsi" w:cs="Arial"/>
          <w:sz w:val="20"/>
          <w:szCs w:val="20"/>
          <w:lang w:eastAsia="en-US"/>
        </w:rPr>
        <w:t>, como por ejemplo dentro de establecimientos castrenses o en el transcurso de prácticas militares</w:t>
      </w:r>
      <w:r w:rsidR="00BB3E6B" w:rsidRPr="009F5A59">
        <w:rPr>
          <w:rFonts w:eastAsiaTheme="minorHAnsi" w:cs="Arial"/>
          <w:sz w:val="20"/>
          <w:szCs w:val="20"/>
          <w:lang w:eastAsia="en-US"/>
        </w:rPr>
        <w:t>.</w:t>
      </w:r>
    </w:p>
    <w:p w:rsidR="00BB3E6B" w:rsidRPr="009F5A59" w:rsidRDefault="00BB3E6B" w:rsidP="00E63098">
      <w:pPr>
        <w:widowControl/>
        <w:autoSpaceDE w:val="0"/>
        <w:autoSpaceDN w:val="0"/>
        <w:spacing w:line="240" w:lineRule="auto"/>
        <w:textAlignment w:val="auto"/>
        <w:rPr>
          <w:rFonts w:eastAsiaTheme="minorHAnsi" w:cs="Arial"/>
          <w:sz w:val="20"/>
          <w:szCs w:val="20"/>
          <w:lang w:eastAsia="en-US"/>
        </w:rPr>
      </w:pPr>
    </w:p>
    <w:p w:rsidR="00E63098" w:rsidRPr="00F52A66" w:rsidRDefault="00E63098"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 xml:space="preserve">Por lo tanto, atendiendo al reconocimiento de responsabilidad efectuado por el Estado, la Corte concluye que Venezuela incurrió en responsabilidad internacional por la violación </w:t>
      </w:r>
      <w:r w:rsidR="003739D6">
        <w:rPr>
          <w:rFonts w:eastAsiaTheme="minorHAnsi" w:cs="Arial"/>
          <w:sz w:val="20"/>
          <w:szCs w:val="20"/>
          <w:lang w:eastAsia="en-US"/>
        </w:rPr>
        <w:t>d</w:t>
      </w:r>
      <w:r w:rsidRPr="0001748B">
        <w:rPr>
          <w:rFonts w:eastAsiaTheme="minorHAnsi" w:cs="Arial"/>
          <w:sz w:val="20"/>
          <w:szCs w:val="20"/>
          <w:lang w:eastAsia="en-US"/>
        </w:rPr>
        <w:t>el artículo 4</w:t>
      </w:r>
      <w:r w:rsidR="00E46F2A" w:rsidRPr="0001748B">
        <w:rPr>
          <w:rFonts w:eastAsiaTheme="minorHAnsi" w:cs="Arial"/>
          <w:sz w:val="20"/>
          <w:szCs w:val="20"/>
          <w:lang w:eastAsia="en-US"/>
        </w:rPr>
        <w:t>.1</w:t>
      </w:r>
      <w:r w:rsidRPr="0001748B">
        <w:rPr>
          <w:rFonts w:eastAsiaTheme="minorHAnsi" w:cs="Arial"/>
          <w:sz w:val="20"/>
          <w:szCs w:val="20"/>
          <w:lang w:eastAsia="en-US"/>
        </w:rPr>
        <w:t xml:space="preserve"> de la Convención Americana, en tanto no adoptó las medidas de seguridad necesarias a fin de garantizar la vida de Johan Alexis Ortiz Hernández en el marco de su formación como miembro de las fuerzas de seguri</w:t>
      </w:r>
      <w:r w:rsidRPr="00F52A66">
        <w:rPr>
          <w:rFonts w:eastAsiaTheme="minorHAnsi" w:cs="Arial"/>
          <w:sz w:val="20"/>
          <w:szCs w:val="20"/>
          <w:lang w:eastAsia="en-US"/>
        </w:rPr>
        <w:t>dad del Estado.</w:t>
      </w:r>
    </w:p>
    <w:p w:rsidR="00E63098" w:rsidRPr="00F52A66"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F52A66" w:rsidRDefault="00275A38" w:rsidP="009A4CAA">
      <w:pPr>
        <w:pStyle w:val="Heading3"/>
        <w:spacing w:before="0" w:line="240" w:lineRule="auto"/>
        <w:ind w:left="1416"/>
        <w:rPr>
          <w:rFonts w:ascii="Verdana" w:eastAsiaTheme="minorHAnsi" w:hAnsi="Verdana" w:cstheme="minorBidi"/>
          <w:b w:val="0"/>
          <w:i/>
          <w:color w:val="auto"/>
          <w:sz w:val="20"/>
          <w:szCs w:val="20"/>
          <w:lang w:eastAsia="en-US"/>
        </w:rPr>
      </w:pPr>
      <w:bookmarkStart w:id="100" w:name="_Toc495658680"/>
      <w:r>
        <w:rPr>
          <w:rFonts w:ascii="Verdana" w:eastAsiaTheme="minorHAnsi" w:hAnsi="Verdana" w:cstheme="minorBidi"/>
          <w:b w:val="0"/>
          <w:i/>
          <w:color w:val="auto"/>
          <w:sz w:val="20"/>
          <w:szCs w:val="20"/>
          <w:lang w:eastAsia="en-US"/>
        </w:rPr>
        <w:lastRenderedPageBreak/>
        <w:t>ii</w:t>
      </w:r>
      <w:r w:rsidR="0059183F" w:rsidRPr="00F52A66">
        <w:rPr>
          <w:rFonts w:ascii="Verdana" w:eastAsiaTheme="minorHAnsi" w:hAnsi="Verdana" w:cstheme="minorBidi"/>
          <w:b w:val="0"/>
          <w:i/>
          <w:color w:val="auto"/>
          <w:sz w:val="20"/>
          <w:szCs w:val="20"/>
          <w:lang w:eastAsia="en-US"/>
        </w:rPr>
        <w:t>)</w:t>
      </w:r>
      <w:r w:rsidR="00E63098" w:rsidRPr="00F52A66">
        <w:rPr>
          <w:rFonts w:ascii="Verdana" w:eastAsiaTheme="minorHAnsi" w:hAnsi="Verdana" w:cstheme="minorBidi"/>
          <w:b w:val="0"/>
          <w:i/>
          <w:color w:val="auto"/>
          <w:sz w:val="20"/>
          <w:szCs w:val="20"/>
          <w:lang w:eastAsia="en-US"/>
        </w:rPr>
        <w:tab/>
      </w:r>
      <w:r w:rsidR="00666B1D" w:rsidRPr="00F52A66">
        <w:rPr>
          <w:rFonts w:ascii="Verdana" w:eastAsiaTheme="minorHAnsi" w:hAnsi="Verdana" w:cstheme="minorBidi"/>
          <w:b w:val="0"/>
          <w:i/>
          <w:color w:val="auto"/>
          <w:sz w:val="20"/>
          <w:szCs w:val="20"/>
          <w:lang w:eastAsia="en-US"/>
        </w:rPr>
        <w:t>L</w:t>
      </w:r>
      <w:r w:rsidR="00E63098" w:rsidRPr="00F52A66">
        <w:rPr>
          <w:rFonts w:ascii="Verdana" w:eastAsiaTheme="minorHAnsi" w:hAnsi="Verdana" w:cstheme="minorBidi"/>
          <w:b w:val="0"/>
          <w:i/>
          <w:color w:val="auto"/>
          <w:sz w:val="20"/>
          <w:szCs w:val="20"/>
          <w:lang w:eastAsia="en-US"/>
        </w:rPr>
        <w:t>a atención médica oportuna y adecuada</w:t>
      </w:r>
      <w:bookmarkEnd w:id="100"/>
    </w:p>
    <w:p w:rsidR="00E63098" w:rsidRPr="00F52A66"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F52A66">
        <w:rPr>
          <w:rFonts w:eastAsiaTheme="minorHAnsi" w:cs="Arial"/>
          <w:sz w:val="20"/>
          <w:szCs w:val="20"/>
          <w:lang w:eastAsia="en-US"/>
        </w:rPr>
        <w:t>La Corte ha afir</w:t>
      </w:r>
      <w:r w:rsidRPr="0001748B">
        <w:rPr>
          <w:rFonts w:eastAsiaTheme="minorHAnsi" w:cs="Arial"/>
          <w:sz w:val="20"/>
          <w:szCs w:val="20"/>
          <w:lang w:eastAsia="en-US"/>
        </w:rPr>
        <w:t>mado que los derechos a la vida y a la integridad personal se hallan directa e inmediatamente vinculados con la atención a la salud humana</w:t>
      </w:r>
      <w:r w:rsidRPr="0001748B">
        <w:rPr>
          <w:rFonts w:eastAsiaTheme="minorHAnsi" w:cs="Arial"/>
          <w:bCs/>
          <w:sz w:val="20"/>
          <w:szCs w:val="20"/>
          <w:vertAlign w:val="superscript"/>
          <w:lang w:eastAsia="en-US"/>
        </w:rPr>
        <w:footnoteReference w:id="137"/>
      </w:r>
      <w:r w:rsidRPr="0001748B">
        <w:rPr>
          <w:rFonts w:eastAsiaTheme="minorHAnsi" w:cs="Arial"/>
          <w:sz w:val="20"/>
          <w:szCs w:val="20"/>
          <w:lang w:eastAsia="en-US"/>
        </w:rPr>
        <w:t xml:space="preserve"> </w:t>
      </w:r>
      <w:r w:rsidRPr="0001748B">
        <w:rPr>
          <w:rFonts w:eastAsiaTheme="minorHAnsi" w:cs="Arial"/>
          <w:bCs/>
          <w:sz w:val="20"/>
          <w:szCs w:val="20"/>
          <w:lang w:eastAsia="en-US"/>
        </w:rPr>
        <w:t>y que la falta de atención médica adecuada puede conllevar la vulneración del artículo 5.1 de la Convención</w:t>
      </w:r>
      <w:r w:rsidRPr="0001748B">
        <w:rPr>
          <w:rFonts w:eastAsiaTheme="minorHAnsi" w:cs="Arial"/>
          <w:bCs/>
          <w:sz w:val="20"/>
          <w:szCs w:val="20"/>
          <w:vertAlign w:val="superscript"/>
          <w:lang w:eastAsia="en-US"/>
        </w:rPr>
        <w:footnoteReference w:id="138"/>
      </w:r>
      <w:r w:rsidRPr="0001748B">
        <w:rPr>
          <w:rFonts w:eastAsiaTheme="minorHAnsi" w:cs="Arial"/>
          <w:bCs/>
          <w:sz w:val="20"/>
          <w:szCs w:val="20"/>
          <w:lang w:eastAsia="en-US"/>
        </w:rPr>
        <w:t>.</w:t>
      </w:r>
      <w:r w:rsidRPr="0001748B">
        <w:rPr>
          <w:rFonts w:eastAsiaTheme="minorHAnsi" w:cs="Arial"/>
          <w:sz w:val="20"/>
          <w:szCs w:val="20"/>
          <w:lang w:eastAsia="en-US"/>
        </w:rPr>
        <w:t xml:space="preserve"> Así, la Corte estima que, entre las medidas de seguridad que es preciso adoptar en el marco de los procesos de formación de las fuerzas militares, se encuentra la de contar con atención médica adecuada y de calidad en el transcurso de los entrenamientos militares, ya sea dentro de los cuarteles o en el exterior, incluyendo la asistencia médica de emergencia y especializada que se considere pertinente</w:t>
      </w:r>
      <w:r w:rsidRPr="0001748B">
        <w:rPr>
          <w:rFonts w:eastAsiaTheme="minorEastAsia" w:cs="Arial"/>
          <w:sz w:val="20"/>
          <w:szCs w:val="20"/>
          <w:vertAlign w:val="superscript"/>
          <w:lang w:eastAsia="en-US"/>
        </w:rPr>
        <w:footnoteReference w:id="139"/>
      </w:r>
      <w:r w:rsidRPr="0001748B">
        <w:rPr>
          <w:rFonts w:eastAsiaTheme="minorHAnsi" w:cs="Arial"/>
          <w:sz w:val="20"/>
          <w:szCs w:val="20"/>
          <w:lang w:eastAsia="en-US"/>
        </w:rPr>
        <w:t>.</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Default="00E63098"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 xml:space="preserve">La Corte recuerda que la Orden de Operaciones establecía que, durante la realización del curso, debía contarse con las siguientes previsiones: a) ambulancia administrativa; b) ambulancia coordinada con el Sistema Integral Médico Asistencial (SIMA), Defensa Civil del </w:t>
      </w:r>
      <w:r w:rsidR="00D70ACD" w:rsidRPr="0001748B">
        <w:rPr>
          <w:rFonts w:eastAsiaTheme="minorHAnsi" w:cs="Arial"/>
          <w:sz w:val="20"/>
          <w:szCs w:val="20"/>
          <w:lang w:eastAsia="en-US"/>
        </w:rPr>
        <w:t>e</w:t>
      </w:r>
      <w:r w:rsidRPr="0001748B">
        <w:rPr>
          <w:rFonts w:eastAsiaTheme="minorHAnsi" w:cs="Arial"/>
          <w:sz w:val="20"/>
          <w:szCs w:val="20"/>
          <w:lang w:eastAsia="en-US"/>
        </w:rPr>
        <w:t xml:space="preserve">stado de Táchira, para los ejercicios de mayor riesgo; c) cualquier otro medio con que se cuente para el momento de la emergencia; d) puesto de Socorro del Campamento; e) enfermería del Destacamento N° 19 de Comandos Rurales; f) </w:t>
      </w:r>
      <w:r w:rsidR="000F0C23">
        <w:rPr>
          <w:rFonts w:eastAsiaTheme="minorHAnsi" w:cs="Arial"/>
          <w:sz w:val="20"/>
          <w:szCs w:val="20"/>
          <w:lang w:eastAsia="en-US"/>
        </w:rPr>
        <w:t>H</w:t>
      </w:r>
      <w:r w:rsidRPr="0001748B">
        <w:rPr>
          <w:rFonts w:eastAsiaTheme="minorHAnsi" w:cs="Arial"/>
          <w:sz w:val="20"/>
          <w:szCs w:val="20"/>
          <w:lang w:eastAsia="en-US"/>
        </w:rPr>
        <w:t xml:space="preserve">ospital </w:t>
      </w:r>
      <w:r w:rsidR="000F0C23">
        <w:rPr>
          <w:rFonts w:eastAsiaTheme="minorHAnsi" w:cs="Arial"/>
          <w:sz w:val="20"/>
          <w:szCs w:val="20"/>
          <w:lang w:eastAsia="en-US"/>
        </w:rPr>
        <w:t>M</w:t>
      </w:r>
      <w:r w:rsidRPr="0001748B">
        <w:rPr>
          <w:rFonts w:eastAsiaTheme="minorHAnsi" w:cs="Arial"/>
          <w:sz w:val="20"/>
          <w:szCs w:val="20"/>
          <w:lang w:eastAsia="en-US"/>
        </w:rPr>
        <w:t>ilitar; g) Hospital de El Piñal</w:t>
      </w:r>
      <w:r w:rsidRPr="0001748B">
        <w:rPr>
          <w:rFonts w:eastAsiaTheme="minorHAnsi" w:cs="Arial"/>
          <w:sz w:val="20"/>
          <w:szCs w:val="20"/>
          <w:vertAlign w:val="superscript"/>
          <w:lang w:eastAsia="en-US"/>
        </w:rPr>
        <w:footnoteReference w:id="140"/>
      </w:r>
      <w:r w:rsidRPr="0001748B">
        <w:rPr>
          <w:rFonts w:eastAsiaTheme="minorHAnsi" w:cs="Arial"/>
          <w:sz w:val="20"/>
          <w:szCs w:val="20"/>
          <w:lang w:eastAsia="en-US"/>
        </w:rPr>
        <w:t>.</w:t>
      </w:r>
    </w:p>
    <w:p w:rsidR="00961C38" w:rsidRPr="0001748B" w:rsidRDefault="00961C38" w:rsidP="00961C38">
      <w:pPr>
        <w:tabs>
          <w:tab w:val="left" w:pos="567"/>
        </w:tabs>
        <w:spacing w:line="240" w:lineRule="auto"/>
        <w:rPr>
          <w:rFonts w:eastAsiaTheme="minorHAnsi" w:cs="Arial"/>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 xml:space="preserve">Sin embargo, la Corte nota que, de la prueba obrante en el expediente, surge que no se contaba en el transcurso del entrenamiento con la presencia de un profesional médico, como había sido previsto, y que </w:t>
      </w:r>
      <w:r w:rsidR="00A44E64">
        <w:rPr>
          <w:rFonts w:eastAsiaTheme="minorHAnsi" w:cs="Arial"/>
          <w:sz w:val="20"/>
          <w:szCs w:val="20"/>
          <w:lang w:eastAsia="en-US"/>
        </w:rPr>
        <w:t xml:space="preserve">el señor </w:t>
      </w:r>
      <w:r w:rsidRPr="0001748B">
        <w:rPr>
          <w:rFonts w:eastAsiaTheme="minorHAnsi" w:cs="Arial"/>
          <w:sz w:val="20"/>
          <w:szCs w:val="20"/>
          <w:lang w:eastAsia="en-US"/>
        </w:rPr>
        <w:t>Ortiz Hernández no recibió ningún tipo de tratamiento médico en el mismo lugar donde ocurrieron los hechos</w:t>
      </w:r>
      <w:r w:rsidRPr="0001748B">
        <w:rPr>
          <w:rFonts w:eastAsiaTheme="minorHAnsi" w:cs="Arial"/>
          <w:sz w:val="20"/>
          <w:szCs w:val="20"/>
          <w:vertAlign w:val="superscript"/>
          <w:lang w:eastAsia="en-US"/>
        </w:rPr>
        <w:footnoteReference w:id="141"/>
      </w:r>
      <w:r w:rsidRPr="0001748B">
        <w:rPr>
          <w:rFonts w:eastAsiaTheme="minorHAnsi" w:cs="Arial"/>
          <w:sz w:val="20"/>
          <w:szCs w:val="20"/>
          <w:lang w:eastAsia="en-US"/>
        </w:rPr>
        <w:t xml:space="preserve">. Asimismo, la ambulancia no se encontraba en las instalaciones del Destacamento N° 19 de </w:t>
      </w:r>
      <w:r w:rsidR="00062EC1">
        <w:rPr>
          <w:rFonts w:eastAsiaTheme="minorHAnsi" w:cs="Arial"/>
          <w:sz w:val="20"/>
          <w:szCs w:val="20"/>
          <w:lang w:eastAsia="en-US"/>
        </w:rPr>
        <w:t xml:space="preserve">los </w:t>
      </w:r>
      <w:r w:rsidRPr="0001748B">
        <w:rPr>
          <w:rFonts w:eastAsiaTheme="minorHAnsi" w:cs="Arial"/>
          <w:sz w:val="20"/>
          <w:szCs w:val="20"/>
          <w:lang w:eastAsia="en-US"/>
        </w:rPr>
        <w:t xml:space="preserve">Comandos Rurales de Caño Negro debido a la irregularidad del terreno, de modo tal que </w:t>
      </w:r>
      <w:r w:rsidR="00A44E64">
        <w:rPr>
          <w:rFonts w:eastAsiaTheme="minorHAnsi" w:cs="Arial"/>
          <w:sz w:val="20"/>
          <w:szCs w:val="20"/>
          <w:lang w:eastAsia="en-US"/>
        </w:rPr>
        <w:t xml:space="preserve">Johan Alexis </w:t>
      </w:r>
      <w:r w:rsidRPr="0001748B">
        <w:rPr>
          <w:rFonts w:eastAsiaTheme="minorHAnsi" w:cs="Arial"/>
          <w:sz w:val="20"/>
          <w:szCs w:val="20"/>
          <w:lang w:eastAsia="en-US"/>
        </w:rPr>
        <w:t>Ortiz Hernández fue trasladado al Hospital San Rafael de</w:t>
      </w:r>
      <w:r w:rsidR="000F0C23">
        <w:rPr>
          <w:rFonts w:eastAsiaTheme="minorHAnsi" w:cs="Arial"/>
          <w:sz w:val="20"/>
          <w:szCs w:val="20"/>
          <w:lang w:eastAsia="en-US"/>
        </w:rPr>
        <w:t xml:space="preserve"> E</w:t>
      </w:r>
      <w:r w:rsidRPr="0001748B">
        <w:rPr>
          <w:rFonts w:eastAsiaTheme="minorHAnsi" w:cs="Arial"/>
          <w:sz w:val="20"/>
          <w:szCs w:val="20"/>
          <w:lang w:eastAsia="en-US"/>
        </w:rPr>
        <w:t>l Piñal en un vehículo militar (</w:t>
      </w:r>
      <w:r w:rsidRPr="0001748B">
        <w:rPr>
          <w:rFonts w:eastAsiaTheme="minorHAnsi" w:cs="Arial"/>
          <w:i/>
          <w:sz w:val="20"/>
          <w:szCs w:val="20"/>
          <w:lang w:eastAsia="en-US"/>
        </w:rPr>
        <w:t>supra</w:t>
      </w:r>
      <w:r w:rsidRPr="0001748B">
        <w:rPr>
          <w:rFonts w:eastAsiaTheme="minorHAnsi" w:cs="Arial"/>
          <w:sz w:val="20"/>
          <w:szCs w:val="20"/>
          <w:lang w:eastAsia="en-US"/>
        </w:rPr>
        <w:t xml:space="preserve"> párr. </w:t>
      </w:r>
      <w:r w:rsidR="000F0C23">
        <w:rPr>
          <w:rFonts w:eastAsiaTheme="minorHAnsi" w:cs="Arial"/>
          <w:sz w:val="20"/>
          <w:szCs w:val="20"/>
          <w:lang w:eastAsia="en-US"/>
        </w:rPr>
        <w:t>68</w:t>
      </w:r>
      <w:r w:rsidRPr="0001748B">
        <w:rPr>
          <w:rFonts w:eastAsiaTheme="minorHAnsi" w:cs="Arial"/>
          <w:sz w:val="20"/>
          <w:szCs w:val="20"/>
          <w:lang w:eastAsia="en-US"/>
        </w:rPr>
        <w:t>).</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 xml:space="preserve">Sobre este primer momento, que abarca desde que </w:t>
      </w:r>
      <w:r w:rsidR="00A94D9E">
        <w:rPr>
          <w:rFonts w:eastAsiaTheme="minorHAnsi" w:cs="Arial"/>
          <w:sz w:val="20"/>
          <w:szCs w:val="20"/>
          <w:lang w:eastAsia="en-US"/>
        </w:rPr>
        <w:t xml:space="preserve">Johan Alexis </w:t>
      </w:r>
      <w:r w:rsidRPr="0001748B">
        <w:rPr>
          <w:rFonts w:eastAsiaTheme="minorHAnsi" w:cs="Arial"/>
          <w:sz w:val="20"/>
          <w:szCs w:val="20"/>
          <w:lang w:eastAsia="en-US"/>
        </w:rPr>
        <w:t>Ortiz Hernández fue impactado con arma de fuego hasta que fue recibido en el Hospital</w:t>
      </w:r>
      <w:r w:rsidR="001F1BFA">
        <w:rPr>
          <w:rFonts w:eastAsiaTheme="minorHAnsi" w:cs="Arial"/>
          <w:sz w:val="20"/>
          <w:szCs w:val="20"/>
          <w:lang w:eastAsia="en-US"/>
        </w:rPr>
        <w:t xml:space="preserve"> </w:t>
      </w:r>
      <w:r w:rsidR="001F1BFA" w:rsidRPr="0001748B">
        <w:rPr>
          <w:rFonts w:eastAsiaTheme="minorHAnsi" w:cstheme="minorBidi"/>
          <w:sz w:val="20"/>
          <w:szCs w:val="20"/>
          <w:lang w:eastAsia="en-US"/>
        </w:rPr>
        <w:t>San Rafael</w:t>
      </w:r>
      <w:r w:rsidRPr="0001748B">
        <w:rPr>
          <w:rFonts w:eastAsiaTheme="minorHAnsi" w:cs="Arial"/>
          <w:sz w:val="20"/>
          <w:szCs w:val="20"/>
          <w:lang w:eastAsia="en-US"/>
        </w:rPr>
        <w:t xml:space="preserve"> de El Piñal, es preciso destacar dos cuestiones que podrían haber </w:t>
      </w:r>
      <w:r w:rsidR="00674DB9" w:rsidRPr="0001748B">
        <w:rPr>
          <w:rFonts w:eastAsiaTheme="minorHAnsi" w:cs="Arial"/>
          <w:sz w:val="20"/>
          <w:szCs w:val="20"/>
          <w:lang w:eastAsia="en-US"/>
        </w:rPr>
        <w:t>tenido consecuencias</w:t>
      </w:r>
      <w:r w:rsidRPr="0001748B">
        <w:rPr>
          <w:rFonts w:eastAsiaTheme="minorHAnsi" w:cs="Arial"/>
          <w:sz w:val="20"/>
          <w:szCs w:val="20"/>
          <w:lang w:eastAsia="en-US"/>
        </w:rPr>
        <w:t xml:space="preserve"> en </w:t>
      </w:r>
      <w:r w:rsidR="00345581" w:rsidRPr="0001748B">
        <w:rPr>
          <w:rFonts w:eastAsiaTheme="minorHAnsi" w:cs="Arial"/>
          <w:sz w:val="20"/>
          <w:szCs w:val="20"/>
          <w:lang w:eastAsia="en-US"/>
        </w:rPr>
        <w:t>su</w:t>
      </w:r>
      <w:r w:rsidRPr="0001748B">
        <w:rPr>
          <w:rFonts w:eastAsiaTheme="minorHAnsi" w:cs="Arial"/>
          <w:sz w:val="20"/>
          <w:szCs w:val="20"/>
          <w:lang w:eastAsia="en-US"/>
        </w:rPr>
        <w:t xml:space="preserve"> estado de salud. Por un lado, la falta de certeza sobre el tiempo que transcurrió entre que Ortiz Hernández fue herido y que se dispuso su traslado al nosocomio, pudiendo haber transcurrido incluso un lapso de una hora. Por el otro lado, la falta de </w:t>
      </w:r>
      <w:r w:rsidR="00596A09" w:rsidRPr="0001748B">
        <w:rPr>
          <w:rFonts w:eastAsiaTheme="minorHAnsi" w:cs="Arial"/>
          <w:sz w:val="20"/>
          <w:szCs w:val="20"/>
          <w:lang w:eastAsia="en-US"/>
        </w:rPr>
        <w:t xml:space="preserve">presencia de </w:t>
      </w:r>
      <w:r w:rsidRPr="0001748B">
        <w:rPr>
          <w:rFonts w:eastAsiaTheme="minorHAnsi" w:cs="Arial"/>
          <w:sz w:val="20"/>
          <w:szCs w:val="20"/>
          <w:lang w:eastAsia="en-US"/>
        </w:rPr>
        <w:t>un profesional médico que podría haber estabilizado la condición de salud del paciente a través de los primeros auxilios requeridos. En efecto, según lo señalado por la perita médica legista, María del Carmen Bravo González, “[s]e puede inferir que desde ocurrido el hecho traumático […] hasta el momento de la atención de urgencia en el Hospital El Piñal, transcurrió un tiempo suficiente como para presentar al ingreso ya un estado de shock hipovolémico avanzado, sin respuestas a las medidas básicas otorgadas en un [h]ospital de baja complejidad y capacidad resolutiva”</w:t>
      </w:r>
      <w:r w:rsidRPr="0001748B">
        <w:rPr>
          <w:rFonts w:eastAsiaTheme="minorHAnsi" w:cs="Arial"/>
          <w:sz w:val="20"/>
          <w:szCs w:val="20"/>
          <w:vertAlign w:val="superscript"/>
          <w:lang w:eastAsia="en-US"/>
        </w:rPr>
        <w:footnoteReference w:id="142"/>
      </w:r>
      <w:r w:rsidRPr="0001748B">
        <w:rPr>
          <w:rFonts w:eastAsiaTheme="minorHAnsi" w:cs="Arial"/>
          <w:sz w:val="20"/>
          <w:szCs w:val="20"/>
          <w:lang w:eastAsia="en-US"/>
        </w:rPr>
        <w:t>.</w:t>
      </w:r>
      <w:r w:rsidR="00596A09" w:rsidRPr="0001748B">
        <w:rPr>
          <w:rFonts w:eastAsiaTheme="minorHAnsi" w:cs="Arial"/>
          <w:sz w:val="20"/>
          <w:szCs w:val="20"/>
          <w:lang w:eastAsia="en-US"/>
        </w:rPr>
        <w:t xml:space="preserve"> De este modo, la Corte nota que, debido a que no recibió </w:t>
      </w:r>
      <w:r w:rsidR="00596A09" w:rsidRPr="0001748B">
        <w:rPr>
          <w:rFonts w:eastAsiaTheme="minorHAnsi" w:cs="Arial"/>
          <w:sz w:val="20"/>
          <w:szCs w:val="20"/>
          <w:lang w:eastAsia="en-US"/>
        </w:rPr>
        <w:lastRenderedPageBreak/>
        <w:t>los primeros auxilios requeridos, Johan Alexis</w:t>
      </w:r>
      <w:r w:rsidR="009E38F5">
        <w:rPr>
          <w:rFonts w:eastAsiaTheme="minorHAnsi" w:cs="Arial"/>
          <w:sz w:val="20"/>
          <w:szCs w:val="20"/>
          <w:lang w:eastAsia="en-US"/>
        </w:rPr>
        <w:t xml:space="preserve"> Ortiz Hernández</w:t>
      </w:r>
      <w:r w:rsidR="00596A09" w:rsidRPr="0001748B">
        <w:rPr>
          <w:rFonts w:eastAsiaTheme="minorHAnsi" w:cs="Arial"/>
          <w:sz w:val="20"/>
          <w:szCs w:val="20"/>
          <w:lang w:eastAsia="en-US"/>
        </w:rPr>
        <w:t xml:space="preserve"> llegó al Hospital </w:t>
      </w:r>
      <w:r w:rsidR="001F1BFA" w:rsidRPr="0001748B">
        <w:rPr>
          <w:rFonts w:eastAsiaTheme="minorHAnsi" w:cstheme="minorBidi"/>
          <w:sz w:val="20"/>
          <w:szCs w:val="20"/>
          <w:lang w:eastAsia="en-US"/>
        </w:rPr>
        <w:t>San Rafael</w:t>
      </w:r>
      <w:r w:rsidR="001F1BFA" w:rsidRPr="0001748B">
        <w:rPr>
          <w:rFonts w:eastAsiaTheme="minorHAnsi" w:cs="Arial"/>
          <w:sz w:val="20"/>
          <w:szCs w:val="20"/>
          <w:lang w:eastAsia="en-US"/>
        </w:rPr>
        <w:t xml:space="preserve"> </w:t>
      </w:r>
      <w:r w:rsidR="00596A09" w:rsidRPr="0001748B">
        <w:rPr>
          <w:rFonts w:eastAsiaTheme="minorHAnsi" w:cs="Arial"/>
          <w:sz w:val="20"/>
          <w:szCs w:val="20"/>
          <w:lang w:eastAsia="en-US"/>
        </w:rPr>
        <w:t>de El Piñal con un estado de salud comprometido.</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320C99"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Adicionalmente</w:t>
      </w:r>
      <w:r w:rsidR="00E63098" w:rsidRPr="0001748B">
        <w:rPr>
          <w:rFonts w:eastAsiaTheme="minorHAnsi" w:cs="Arial"/>
          <w:sz w:val="20"/>
          <w:szCs w:val="20"/>
          <w:lang w:eastAsia="en-US"/>
        </w:rPr>
        <w:t xml:space="preserve">, es preciso </w:t>
      </w:r>
      <w:r w:rsidR="0085420E">
        <w:rPr>
          <w:rFonts w:eastAsiaTheme="minorHAnsi" w:cs="Arial"/>
          <w:sz w:val="20"/>
          <w:szCs w:val="20"/>
          <w:lang w:eastAsia="en-US"/>
        </w:rPr>
        <w:t>advertir</w:t>
      </w:r>
      <w:r w:rsidR="00E63098" w:rsidRPr="0001748B">
        <w:rPr>
          <w:rFonts w:eastAsiaTheme="minorHAnsi" w:cs="Arial"/>
          <w:sz w:val="20"/>
          <w:szCs w:val="20"/>
          <w:lang w:eastAsia="en-US"/>
        </w:rPr>
        <w:t xml:space="preserve"> que el nosocomio al que fue trasladado Johan Alexis, esto es al Hospital San Rafael de</w:t>
      </w:r>
      <w:r w:rsidR="001F1BFA">
        <w:rPr>
          <w:rFonts w:eastAsiaTheme="minorHAnsi" w:cs="Arial"/>
          <w:sz w:val="20"/>
          <w:szCs w:val="20"/>
          <w:lang w:eastAsia="en-US"/>
        </w:rPr>
        <w:t xml:space="preserve"> E</w:t>
      </w:r>
      <w:r w:rsidR="00E63098" w:rsidRPr="0001748B">
        <w:rPr>
          <w:rFonts w:eastAsiaTheme="minorHAnsi" w:cs="Arial"/>
          <w:sz w:val="20"/>
          <w:szCs w:val="20"/>
          <w:lang w:eastAsia="en-US"/>
        </w:rPr>
        <w:t xml:space="preserve">l Piñal, no era de alta complejidad como se requería y, por tanto, no contaba con capacidad </w:t>
      </w:r>
      <w:r w:rsidR="00CD5AE9">
        <w:rPr>
          <w:rFonts w:eastAsiaTheme="minorHAnsi" w:cs="Arial"/>
          <w:sz w:val="20"/>
          <w:szCs w:val="20"/>
          <w:lang w:eastAsia="en-US"/>
        </w:rPr>
        <w:t>para</w:t>
      </w:r>
      <w:r w:rsidR="00E63098" w:rsidRPr="0001748B">
        <w:rPr>
          <w:rFonts w:eastAsiaTheme="minorHAnsi" w:cs="Arial"/>
          <w:sz w:val="20"/>
          <w:szCs w:val="20"/>
          <w:lang w:eastAsia="en-US"/>
        </w:rPr>
        <w:t xml:space="preserve"> realizar reanimación y eventual manejo quirúrgico de las lesiones que causaban un riesgo a su vida</w:t>
      </w:r>
      <w:r w:rsidR="00E63098" w:rsidRPr="0001748B">
        <w:rPr>
          <w:rFonts w:eastAsiaTheme="minorHAnsi" w:cs="Arial"/>
          <w:sz w:val="20"/>
          <w:szCs w:val="20"/>
          <w:vertAlign w:val="superscript"/>
          <w:lang w:eastAsia="en-US"/>
        </w:rPr>
        <w:footnoteReference w:id="143"/>
      </w:r>
      <w:r w:rsidR="004D45E4" w:rsidRPr="0001748B">
        <w:rPr>
          <w:rFonts w:eastAsiaTheme="minorHAnsi" w:cs="Arial"/>
          <w:sz w:val="20"/>
          <w:szCs w:val="20"/>
          <w:lang w:eastAsia="en-US"/>
        </w:rPr>
        <w:t>.</w:t>
      </w:r>
      <w:r w:rsidR="00345581" w:rsidRPr="0001748B">
        <w:rPr>
          <w:rFonts w:eastAsiaTheme="minorHAnsi" w:cs="Arial"/>
          <w:sz w:val="20"/>
          <w:szCs w:val="20"/>
          <w:lang w:eastAsia="en-US"/>
        </w:rPr>
        <w:t xml:space="preserve"> </w:t>
      </w:r>
      <w:r w:rsidR="004D45E4" w:rsidRPr="0001748B">
        <w:rPr>
          <w:rFonts w:eastAsiaTheme="minorHAnsi" w:cs="Arial"/>
          <w:sz w:val="20"/>
          <w:szCs w:val="20"/>
          <w:lang w:eastAsia="en-US"/>
        </w:rPr>
        <w:t>E</w:t>
      </w:r>
      <w:r w:rsidR="00E63098" w:rsidRPr="0001748B">
        <w:rPr>
          <w:rFonts w:eastAsiaTheme="minorHAnsi" w:cs="Arial"/>
          <w:sz w:val="20"/>
          <w:szCs w:val="20"/>
          <w:lang w:eastAsia="en-US"/>
        </w:rPr>
        <w:t xml:space="preserve">n suma, </w:t>
      </w:r>
      <w:r w:rsidR="00345581" w:rsidRPr="0001748B">
        <w:rPr>
          <w:rFonts w:eastAsiaTheme="minorHAnsi" w:cs="Arial"/>
          <w:sz w:val="20"/>
          <w:szCs w:val="20"/>
          <w:lang w:eastAsia="en-US"/>
        </w:rPr>
        <w:t xml:space="preserve">dicho establecimiento </w:t>
      </w:r>
      <w:r w:rsidR="00E63098" w:rsidRPr="0001748B">
        <w:rPr>
          <w:rFonts w:eastAsiaTheme="minorHAnsi" w:cs="Arial"/>
          <w:sz w:val="20"/>
          <w:szCs w:val="20"/>
          <w:lang w:eastAsia="en-US"/>
        </w:rPr>
        <w:t>no estaba preparado para los requerimientos de salud que presentaba en atención a las heridas de arma de fuego recibidas</w:t>
      </w:r>
      <w:r w:rsidR="00E63098" w:rsidRPr="0001748B">
        <w:rPr>
          <w:rFonts w:eastAsiaTheme="minorHAnsi" w:cs="Arial"/>
          <w:sz w:val="20"/>
          <w:szCs w:val="20"/>
          <w:vertAlign w:val="superscript"/>
          <w:lang w:eastAsia="en-US"/>
        </w:rPr>
        <w:footnoteReference w:id="144"/>
      </w:r>
      <w:r w:rsidR="00E63098" w:rsidRPr="0001748B">
        <w:rPr>
          <w:rFonts w:eastAsiaTheme="minorHAnsi" w:cs="Arial"/>
          <w:sz w:val="20"/>
          <w:szCs w:val="20"/>
          <w:lang w:eastAsia="en-US"/>
        </w:rPr>
        <w:t>. Sobre el particular, la prueba es conteste en indicar que se trata</w:t>
      </w:r>
      <w:r w:rsidR="00D77C65">
        <w:rPr>
          <w:rFonts w:eastAsiaTheme="minorHAnsi" w:cs="Arial"/>
          <w:sz w:val="20"/>
          <w:szCs w:val="20"/>
          <w:lang w:eastAsia="en-US"/>
        </w:rPr>
        <w:t>ba</w:t>
      </w:r>
      <w:r w:rsidR="00E63098" w:rsidRPr="0001748B">
        <w:rPr>
          <w:rFonts w:eastAsiaTheme="minorHAnsi" w:cs="Arial"/>
          <w:sz w:val="20"/>
          <w:szCs w:val="20"/>
          <w:lang w:eastAsia="en-US"/>
        </w:rPr>
        <w:t xml:space="preserve"> de un hospital de primer grado, que no contaba con los espacios e insumos necesarios para brindar una atención en salud adecuada respecto a su condición de salud y a las lesiones que presentaba. De hecho, la médica de guardia solicitó su traslado al Hospital Central de San Cristóbal, lo cual no pudo concretarse toda vez que cuando llegaron los medios de transporte requeridos, esto es un helicóptero y una ambulancia del SIMA, ya se había producido el deceso</w:t>
      </w:r>
      <w:r w:rsidR="00E63098" w:rsidRPr="0001748B">
        <w:rPr>
          <w:rFonts w:eastAsiaTheme="minorHAnsi" w:cs="Arial"/>
          <w:sz w:val="20"/>
          <w:szCs w:val="20"/>
          <w:vertAlign w:val="superscript"/>
          <w:lang w:eastAsia="en-US"/>
        </w:rPr>
        <w:footnoteReference w:id="145"/>
      </w:r>
      <w:r w:rsidR="00E63098" w:rsidRPr="0001748B">
        <w:rPr>
          <w:rFonts w:eastAsiaTheme="minorHAnsi" w:cs="Arial"/>
          <w:sz w:val="20"/>
          <w:szCs w:val="20"/>
          <w:lang w:eastAsia="en-US"/>
        </w:rPr>
        <w:t>.</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E63098"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 xml:space="preserve">Sobre </w:t>
      </w:r>
      <w:r w:rsidR="00221F7C" w:rsidRPr="0001748B">
        <w:rPr>
          <w:rFonts w:eastAsiaTheme="minorHAnsi" w:cs="Arial"/>
          <w:sz w:val="20"/>
          <w:szCs w:val="20"/>
          <w:lang w:eastAsia="en-US"/>
        </w:rPr>
        <w:t>este aspecto</w:t>
      </w:r>
      <w:r w:rsidRPr="0001748B">
        <w:rPr>
          <w:rFonts w:eastAsiaTheme="minorHAnsi" w:cs="Arial"/>
          <w:sz w:val="20"/>
          <w:szCs w:val="20"/>
          <w:lang w:eastAsia="en-US"/>
        </w:rPr>
        <w:t xml:space="preserve">, la perita Bravo González señaló que las lesiones por arma de fuego en tórax son potencialmente mortales si la persona no recibe una adecuada y oportuna atención por personal especializado. El tratamiento debe iniciarse en el lugar donde ocurre el evento traumático y debe ocurrir su traslado inmediato a un centro hospitalario de mayor complejidad y resolución ante la eventualidad de requerir tratamiento </w:t>
      </w:r>
      <w:r w:rsidR="00302B9A">
        <w:rPr>
          <w:rFonts w:eastAsiaTheme="minorHAnsi" w:cs="Arial"/>
          <w:sz w:val="20"/>
          <w:szCs w:val="20"/>
          <w:lang w:eastAsia="en-US"/>
        </w:rPr>
        <w:t>quirúrgico</w:t>
      </w:r>
      <w:r w:rsidRPr="0001748B">
        <w:rPr>
          <w:rFonts w:eastAsiaTheme="minorHAnsi" w:cs="Arial"/>
          <w:sz w:val="20"/>
          <w:szCs w:val="20"/>
          <w:vertAlign w:val="superscript"/>
          <w:lang w:eastAsia="en-US"/>
        </w:rPr>
        <w:footnoteReference w:id="146"/>
      </w:r>
      <w:r w:rsidRPr="0001748B">
        <w:rPr>
          <w:rFonts w:eastAsiaTheme="minorHAnsi" w:cs="Arial"/>
          <w:sz w:val="20"/>
          <w:szCs w:val="20"/>
          <w:lang w:eastAsia="en-US"/>
        </w:rPr>
        <w:t>. En el presente caso nada de ello ocurrió</w:t>
      </w:r>
      <w:r w:rsidR="00302B9A">
        <w:rPr>
          <w:rFonts w:eastAsiaTheme="minorHAnsi" w:cs="Arial"/>
          <w:sz w:val="20"/>
          <w:szCs w:val="20"/>
          <w:lang w:eastAsia="en-US"/>
        </w:rPr>
        <w:t>, ya que</w:t>
      </w:r>
      <w:r w:rsidRPr="0001748B">
        <w:rPr>
          <w:rFonts w:eastAsiaTheme="minorHAnsi" w:cs="Arial"/>
          <w:sz w:val="20"/>
          <w:szCs w:val="20"/>
          <w:lang w:eastAsia="en-US"/>
        </w:rPr>
        <w:t xml:space="preserve"> Johan Alexis Ortiz Hernández </w:t>
      </w:r>
      <w:r w:rsidR="00C53FE5">
        <w:rPr>
          <w:rFonts w:eastAsiaTheme="minorHAnsi" w:cs="Arial"/>
          <w:sz w:val="20"/>
          <w:szCs w:val="20"/>
          <w:lang w:eastAsia="en-US"/>
        </w:rPr>
        <w:t>no recibió</w:t>
      </w:r>
      <w:r w:rsidRPr="0001748B">
        <w:rPr>
          <w:rFonts w:eastAsiaTheme="minorHAnsi" w:cs="Arial"/>
          <w:sz w:val="20"/>
          <w:szCs w:val="20"/>
          <w:lang w:eastAsia="en-US"/>
        </w:rPr>
        <w:t xml:space="preserve"> adecuada y oportuna atención por personal </w:t>
      </w:r>
      <w:r w:rsidR="006E1B68" w:rsidRPr="0001748B">
        <w:rPr>
          <w:rFonts w:eastAsiaTheme="minorHAnsi" w:cs="Arial"/>
          <w:sz w:val="20"/>
          <w:szCs w:val="20"/>
          <w:lang w:eastAsia="en-US"/>
        </w:rPr>
        <w:t xml:space="preserve">médico </w:t>
      </w:r>
      <w:r w:rsidRPr="0001748B">
        <w:rPr>
          <w:rFonts w:eastAsiaTheme="minorHAnsi" w:cs="Arial"/>
          <w:sz w:val="20"/>
          <w:szCs w:val="20"/>
          <w:lang w:eastAsia="en-US"/>
        </w:rPr>
        <w:t>especializado</w:t>
      </w:r>
      <w:r w:rsidR="00C53FE5">
        <w:rPr>
          <w:rFonts w:eastAsiaTheme="minorHAnsi" w:cs="Arial"/>
          <w:sz w:val="20"/>
          <w:szCs w:val="20"/>
          <w:lang w:eastAsia="en-US"/>
        </w:rPr>
        <w:t xml:space="preserve">, lo cual </w:t>
      </w:r>
      <w:r w:rsidR="00933150">
        <w:rPr>
          <w:rFonts w:eastAsiaTheme="minorHAnsi" w:cs="Arial"/>
          <w:sz w:val="20"/>
          <w:szCs w:val="20"/>
          <w:lang w:eastAsia="en-US"/>
        </w:rPr>
        <w:t>podría</w:t>
      </w:r>
      <w:r w:rsidR="00C53FE5">
        <w:rPr>
          <w:rFonts w:eastAsiaTheme="minorHAnsi" w:cs="Arial"/>
          <w:sz w:val="20"/>
          <w:szCs w:val="20"/>
          <w:lang w:eastAsia="en-US"/>
        </w:rPr>
        <w:t xml:space="preserve"> </w:t>
      </w:r>
      <w:r w:rsidR="00933150">
        <w:rPr>
          <w:rFonts w:eastAsiaTheme="minorHAnsi" w:cs="Arial"/>
          <w:sz w:val="20"/>
          <w:szCs w:val="20"/>
          <w:lang w:eastAsia="en-US"/>
        </w:rPr>
        <w:t xml:space="preserve">haber </w:t>
      </w:r>
      <w:r w:rsidR="00C53FE5">
        <w:rPr>
          <w:rFonts w:eastAsiaTheme="minorHAnsi" w:cs="Arial"/>
          <w:sz w:val="20"/>
          <w:szCs w:val="20"/>
          <w:lang w:eastAsia="en-US"/>
        </w:rPr>
        <w:t>eventualmente salva</w:t>
      </w:r>
      <w:r w:rsidR="00933150">
        <w:rPr>
          <w:rFonts w:eastAsiaTheme="minorHAnsi" w:cs="Arial"/>
          <w:sz w:val="20"/>
          <w:szCs w:val="20"/>
          <w:lang w:eastAsia="en-US"/>
        </w:rPr>
        <w:t>do</w:t>
      </w:r>
      <w:r w:rsidR="00C53FE5">
        <w:rPr>
          <w:rFonts w:eastAsiaTheme="minorHAnsi" w:cs="Arial"/>
          <w:sz w:val="20"/>
          <w:szCs w:val="20"/>
          <w:lang w:eastAsia="en-US"/>
        </w:rPr>
        <w:t xml:space="preserve"> su vida</w:t>
      </w:r>
      <w:r w:rsidRPr="0001748B">
        <w:rPr>
          <w:rFonts w:eastAsiaTheme="minorHAnsi" w:cs="Arial"/>
          <w:sz w:val="20"/>
          <w:szCs w:val="20"/>
          <w:lang w:eastAsia="en-US"/>
        </w:rPr>
        <w:t>.</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80259F"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 xml:space="preserve">Aunado a la falta de atención médica oportuna y adecuada, la Corte estima que la muerte de Johan Alexis </w:t>
      </w:r>
      <w:r w:rsidR="00721264" w:rsidRPr="0001748B">
        <w:rPr>
          <w:rFonts w:eastAsiaTheme="minorHAnsi" w:cs="Arial"/>
          <w:sz w:val="20"/>
          <w:szCs w:val="20"/>
          <w:lang w:eastAsia="en-US"/>
        </w:rPr>
        <w:t xml:space="preserve">Ortiz Hernández </w:t>
      </w:r>
      <w:r w:rsidRPr="0001748B">
        <w:rPr>
          <w:rFonts w:eastAsiaTheme="minorHAnsi" w:cs="Arial"/>
          <w:sz w:val="20"/>
          <w:szCs w:val="20"/>
          <w:lang w:eastAsia="en-US"/>
        </w:rPr>
        <w:t>fue precedida por una violación de su derecho a la integridad personal, física como psicológica, en tanto</w:t>
      </w:r>
      <w:r w:rsidR="00E63098" w:rsidRPr="0001748B">
        <w:rPr>
          <w:rFonts w:eastAsiaTheme="minorHAnsi" w:cs="Arial"/>
          <w:sz w:val="20"/>
          <w:szCs w:val="20"/>
          <w:lang w:eastAsia="en-US"/>
        </w:rPr>
        <w:t xml:space="preserve"> de la prueba recolectada, es posible colegir que la víctima efectivamente sufrió un profundo temor y angustia desde el momento </w:t>
      </w:r>
      <w:r w:rsidR="004F3EDE">
        <w:rPr>
          <w:rFonts w:eastAsiaTheme="minorHAnsi" w:cs="Arial"/>
          <w:sz w:val="20"/>
          <w:szCs w:val="20"/>
          <w:lang w:eastAsia="en-US"/>
        </w:rPr>
        <w:t xml:space="preserve">en </w:t>
      </w:r>
      <w:r w:rsidR="00E63098" w:rsidRPr="0001748B">
        <w:rPr>
          <w:rFonts w:eastAsiaTheme="minorHAnsi" w:cs="Arial"/>
          <w:sz w:val="20"/>
          <w:szCs w:val="20"/>
          <w:lang w:eastAsia="en-US"/>
        </w:rPr>
        <w:t>que fue herido hasta su deceso, al evidenciarse que tomó conciencia de que los hechos que acontecían lo conducirían a su eventual muerte</w:t>
      </w:r>
      <w:r w:rsidR="00E63098" w:rsidRPr="0001748B">
        <w:rPr>
          <w:rFonts w:eastAsiaTheme="minorHAnsi" w:cs="Arial"/>
          <w:sz w:val="20"/>
          <w:szCs w:val="20"/>
          <w:vertAlign w:val="superscript"/>
          <w:lang w:eastAsia="en-US"/>
        </w:rPr>
        <w:footnoteReference w:id="147"/>
      </w:r>
      <w:r w:rsidR="00E63098" w:rsidRPr="0001748B">
        <w:rPr>
          <w:rFonts w:eastAsiaTheme="minorHAnsi" w:cs="Arial"/>
          <w:sz w:val="20"/>
          <w:szCs w:val="20"/>
          <w:lang w:eastAsia="en-US"/>
        </w:rPr>
        <w:t>. Ello se desprende de las propias declaraciones de la médica de guardia y las enfermeras, quienes señalaron que Ortiz Hernández solicitó que lo comunicaran con su madre, que “la quería ver ya que iba a morir”, tal como efectivamente ocurrió</w:t>
      </w:r>
      <w:r w:rsidR="00E63098" w:rsidRPr="0001748B">
        <w:rPr>
          <w:rFonts w:eastAsiaTheme="minorHAnsi" w:cs="Arial"/>
          <w:sz w:val="20"/>
          <w:szCs w:val="20"/>
          <w:vertAlign w:val="superscript"/>
          <w:lang w:eastAsia="en-US"/>
        </w:rPr>
        <w:footnoteReference w:id="148"/>
      </w:r>
      <w:r w:rsidR="00E63098" w:rsidRPr="0001748B">
        <w:rPr>
          <w:rFonts w:eastAsiaTheme="minorHAnsi" w:cs="Arial"/>
          <w:sz w:val="20"/>
          <w:szCs w:val="20"/>
          <w:lang w:eastAsia="en-US"/>
        </w:rPr>
        <w:t>.</w:t>
      </w:r>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340068" w:rsidRDefault="00E63098" w:rsidP="004A26CF">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lastRenderedPageBreak/>
        <w:t xml:space="preserve">En definitiva, la Corte nota que la atención médica que debió proporcionarse al señor Ortiz Hernández no fue oportuna ni adecuada para evitar su muerte, </w:t>
      </w:r>
      <w:r w:rsidRPr="0001748B">
        <w:rPr>
          <w:rFonts w:eastAsiaTheme="minorHAnsi" w:cs="Arial"/>
          <w:bCs/>
          <w:iCs/>
          <w:sz w:val="20"/>
          <w:szCs w:val="20"/>
          <w:lang w:eastAsia="en-US"/>
        </w:rPr>
        <w:t>lo cual compromete la responsabilidad internacional del Estado</w:t>
      </w:r>
      <w:r w:rsidRPr="0001748B">
        <w:rPr>
          <w:rFonts w:eastAsiaTheme="minorHAnsi" w:cs="Arial"/>
          <w:sz w:val="20"/>
          <w:szCs w:val="20"/>
          <w:lang w:eastAsia="en-US"/>
        </w:rPr>
        <w:t xml:space="preserve"> por la violación de</w:t>
      </w:r>
      <w:r w:rsidR="000C2FE8" w:rsidRPr="0001748B">
        <w:rPr>
          <w:rFonts w:eastAsiaTheme="minorHAnsi" w:cs="Arial"/>
          <w:sz w:val="20"/>
          <w:szCs w:val="20"/>
          <w:lang w:eastAsia="en-US"/>
        </w:rPr>
        <w:t xml:space="preserve"> </w:t>
      </w:r>
      <w:r w:rsidRPr="0001748B">
        <w:rPr>
          <w:rFonts w:eastAsiaTheme="minorHAnsi" w:cs="Arial"/>
          <w:sz w:val="20"/>
          <w:szCs w:val="20"/>
          <w:lang w:eastAsia="en-US"/>
        </w:rPr>
        <w:t>l</w:t>
      </w:r>
      <w:r w:rsidR="000C2FE8" w:rsidRPr="0001748B">
        <w:rPr>
          <w:rFonts w:eastAsiaTheme="minorHAnsi" w:cs="Arial"/>
          <w:sz w:val="20"/>
          <w:szCs w:val="20"/>
          <w:lang w:eastAsia="en-US"/>
        </w:rPr>
        <w:t>os derechos a la vida y a</w:t>
      </w:r>
      <w:r w:rsidRPr="0001748B">
        <w:rPr>
          <w:rFonts w:eastAsiaTheme="minorHAnsi" w:cs="Arial"/>
          <w:sz w:val="20"/>
          <w:szCs w:val="20"/>
          <w:lang w:eastAsia="en-US"/>
        </w:rPr>
        <w:t xml:space="preserve"> la integridad personal de Johan Alexis Ortiz Hernández, reconocido</w:t>
      </w:r>
      <w:r w:rsidR="000C2FE8" w:rsidRPr="0001748B">
        <w:rPr>
          <w:rFonts w:eastAsiaTheme="minorHAnsi" w:cs="Arial"/>
          <w:sz w:val="20"/>
          <w:szCs w:val="20"/>
          <w:lang w:eastAsia="en-US"/>
        </w:rPr>
        <w:t xml:space="preserve">s en </w:t>
      </w:r>
      <w:r w:rsidRPr="0001748B">
        <w:rPr>
          <w:rFonts w:eastAsiaTheme="minorHAnsi" w:cs="Arial"/>
          <w:sz w:val="20"/>
          <w:szCs w:val="20"/>
          <w:lang w:eastAsia="en-US"/>
        </w:rPr>
        <w:t>l</w:t>
      </w:r>
      <w:r w:rsidR="000C2FE8" w:rsidRPr="0001748B">
        <w:rPr>
          <w:rFonts w:eastAsiaTheme="minorHAnsi" w:cs="Arial"/>
          <w:sz w:val="20"/>
          <w:szCs w:val="20"/>
          <w:lang w:eastAsia="en-US"/>
        </w:rPr>
        <w:t>os</w:t>
      </w:r>
      <w:r w:rsidRPr="0001748B">
        <w:rPr>
          <w:rFonts w:eastAsiaTheme="minorHAnsi" w:cs="Arial"/>
          <w:sz w:val="20"/>
          <w:szCs w:val="20"/>
          <w:lang w:eastAsia="en-US"/>
        </w:rPr>
        <w:t xml:space="preserve"> artículo</w:t>
      </w:r>
      <w:r w:rsidR="000C2FE8" w:rsidRPr="0001748B">
        <w:rPr>
          <w:rFonts w:eastAsiaTheme="minorHAnsi" w:cs="Arial"/>
          <w:sz w:val="20"/>
          <w:szCs w:val="20"/>
          <w:lang w:eastAsia="en-US"/>
        </w:rPr>
        <w:t xml:space="preserve">s 4.1 y </w:t>
      </w:r>
      <w:r w:rsidRPr="0001748B">
        <w:rPr>
          <w:rFonts w:eastAsiaTheme="minorHAnsi" w:cs="Arial"/>
          <w:sz w:val="20"/>
          <w:szCs w:val="20"/>
          <w:lang w:eastAsia="en-US"/>
        </w:rPr>
        <w:t>5.1 de la Convención</w:t>
      </w:r>
      <w:r w:rsidR="00C10961">
        <w:rPr>
          <w:rFonts w:eastAsiaTheme="minorHAnsi" w:cs="Arial"/>
          <w:sz w:val="20"/>
          <w:szCs w:val="20"/>
          <w:lang w:eastAsia="en-US"/>
        </w:rPr>
        <w:t xml:space="preserve"> Americ</w:t>
      </w:r>
      <w:r w:rsidR="00C10961" w:rsidRPr="00340068">
        <w:rPr>
          <w:rFonts w:eastAsiaTheme="minorHAnsi" w:cs="Arial"/>
          <w:sz w:val="20"/>
          <w:szCs w:val="20"/>
          <w:lang w:eastAsia="en-US"/>
        </w:rPr>
        <w:t>ana</w:t>
      </w:r>
      <w:r w:rsidR="00A87503">
        <w:rPr>
          <w:rFonts w:eastAsiaTheme="minorHAnsi" w:cs="Arial"/>
          <w:sz w:val="20"/>
          <w:szCs w:val="20"/>
          <w:lang w:eastAsia="en-US"/>
        </w:rPr>
        <w:t>, en relación con el artículo 1.1 de la misma</w:t>
      </w:r>
      <w:r w:rsidRPr="00340068">
        <w:rPr>
          <w:rFonts w:eastAsiaTheme="minorHAnsi" w:cs="Arial"/>
          <w:sz w:val="20"/>
          <w:szCs w:val="20"/>
          <w:lang w:eastAsia="en-US"/>
        </w:rPr>
        <w:t>.</w:t>
      </w:r>
    </w:p>
    <w:p w:rsidR="00E63098" w:rsidRPr="00340068" w:rsidRDefault="00E63098" w:rsidP="00E63098">
      <w:pPr>
        <w:widowControl/>
        <w:autoSpaceDE w:val="0"/>
        <w:autoSpaceDN w:val="0"/>
        <w:spacing w:line="240" w:lineRule="auto"/>
        <w:textAlignment w:val="auto"/>
        <w:rPr>
          <w:rFonts w:eastAsiaTheme="minorHAnsi" w:cs="Arial"/>
          <w:sz w:val="20"/>
          <w:szCs w:val="20"/>
          <w:lang w:eastAsia="en-US"/>
        </w:rPr>
      </w:pPr>
    </w:p>
    <w:p w:rsidR="00B62523" w:rsidRPr="00340068" w:rsidRDefault="00275A38" w:rsidP="009A4CAA">
      <w:pPr>
        <w:pStyle w:val="Heading3"/>
        <w:spacing w:before="0" w:line="240" w:lineRule="auto"/>
        <w:ind w:left="1416"/>
        <w:rPr>
          <w:rFonts w:ascii="Verdana" w:eastAsiaTheme="minorHAnsi" w:hAnsi="Verdana" w:cstheme="minorBidi"/>
          <w:b w:val="0"/>
          <w:i/>
          <w:color w:val="auto"/>
          <w:sz w:val="20"/>
          <w:szCs w:val="20"/>
          <w:lang w:eastAsia="en-US"/>
        </w:rPr>
      </w:pPr>
      <w:bookmarkStart w:id="101" w:name="_Toc495658681"/>
      <w:r>
        <w:rPr>
          <w:rFonts w:ascii="Verdana" w:eastAsiaTheme="minorHAnsi" w:hAnsi="Verdana" w:cstheme="minorBidi"/>
          <w:b w:val="0"/>
          <w:i/>
          <w:color w:val="auto"/>
          <w:sz w:val="20"/>
          <w:szCs w:val="20"/>
          <w:lang w:eastAsia="en-US"/>
        </w:rPr>
        <w:t>iii</w:t>
      </w:r>
      <w:r w:rsidR="0059183F" w:rsidRPr="00340068">
        <w:rPr>
          <w:rFonts w:ascii="Verdana" w:eastAsiaTheme="minorHAnsi" w:hAnsi="Verdana" w:cstheme="minorBidi"/>
          <w:b w:val="0"/>
          <w:i/>
          <w:color w:val="auto"/>
          <w:sz w:val="20"/>
          <w:szCs w:val="20"/>
          <w:lang w:eastAsia="en-US"/>
        </w:rPr>
        <w:t>)</w:t>
      </w:r>
      <w:r w:rsidR="00E63098" w:rsidRPr="00340068">
        <w:rPr>
          <w:rFonts w:ascii="Verdana" w:eastAsiaTheme="minorHAnsi" w:hAnsi="Verdana" w:cstheme="minorBidi"/>
          <w:b w:val="0"/>
          <w:i/>
          <w:color w:val="auto"/>
          <w:sz w:val="20"/>
          <w:szCs w:val="20"/>
          <w:lang w:eastAsia="en-US"/>
        </w:rPr>
        <w:t xml:space="preserve"> </w:t>
      </w:r>
      <w:r w:rsidR="00E63098" w:rsidRPr="00340068">
        <w:rPr>
          <w:rFonts w:ascii="Verdana" w:eastAsiaTheme="minorHAnsi" w:hAnsi="Verdana" w:cstheme="minorBidi"/>
          <w:b w:val="0"/>
          <w:i/>
          <w:color w:val="auto"/>
          <w:sz w:val="20"/>
          <w:szCs w:val="20"/>
          <w:lang w:eastAsia="en-US"/>
        </w:rPr>
        <w:tab/>
      </w:r>
      <w:r w:rsidR="005C2721" w:rsidRPr="00340068">
        <w:rPr>
          <w:rFonts w:ascii="Verdana" w:eastAsiaTheme="minorHAnsi" w:hAnsi="Verdana" w:cstheme="minorBidi"/>
          <w:b w:val="0"/>
          <w:i/>
          <w:color w:val="auto"/>
          <w:sz w:val="20"/>
          <w:szCs w:val="20"/>
          <w:lang w:eastAsia="en-US"/>
        </w:rPr>
        <w:t>L</w:t>
      </w:r>
      <w:r w:rsidR="00B62523" w:rsidRPr="00340068">
        <w:rPr>
          <w:rFonts w:ascii="Verdana" w:eastAsiaTheme="minorHAnsi" w:hAnsi="Verdana" w:cstheme="minorBidi"/>
          <w:b w:val="0"/>
          <w:i/>
          <w:color w:val="auto"/>
          <w:sz w:val="20"/>
          <w:szCs w:val="20"/>
          <w:lang w:eastAsia="en-US"/>
        </w:rPr>
        <w:t>a privación arbitraria de la vida</w:t>
      </w:r>
      <w:bookmarkEnd w:id="101"/>
    </w:p>
    <w:p w:rsidR="00B62523" w:rsidRPr="00340068" w:rsidRDefault="00B62523" w:rsidP="00B62523">
      <w:pPr>
        <w:widowControl/>
        <w:autoSpaceDE w:val="0"/>
        <w:autoSpaceDN w:val="0"/>
        <w:spacing w:line="240" w:lineRule="auto"/>
        <w:textAlignment w:val="auto"/>
        <w:rPr>
          <w:rFonts w:eastAsiaTheme="minorHAnsi" w:cs="Arial"/>
          <w:sz w:val="20"/>
          <w:szCs w:val="20"/>
          <w:lang w:eastAsia="en-US"/>
        </w:rPr>
      </w:pPr>
    </w:p>
    <w:p w:rsidR="00386375" w:rsidRPr="0001748B" w:rsidRDefault="00386375" w:rsidP="00386375">
      <w:pPr>
        <w:numPr>
          <w:ilvl w:val="0"/>
          <w:numId w:val="1"/>
        </w:numPr>
        <w:tabs>
          <w:tab w:val="left" w:pos="567"/>
          <w:tab w:val="num" w:pos="5057"/>
        </w:tabs>
        <w:spacing w:line="240" w:lineRule="auto"/>
        <w:ind w:left="0" w:firstLine="0"/>
        <w:rPr>
          <w:rFonts w:eastAsia="MS Mincho"/>
          <w:sz w:val="20"/>
          <w:szCs w:val="20"/>
          <w:lang w:eastAsia="en-US" w:bidi="en-US"/>
        </w:rPr>
      </w:pPr>
      <w:r w:rsidRPr="00340068">
        <w:rPr>
          <w:rFonts w:eastAsia="MS Mincho"/>
          <w:sz w:val="20"/>
          <w:szCs w:val="20"/>
          <w:lang w:eastAsia="en-US" w:bidi="en-US"/>
        </w:rPr>
        <w:t xml:space="preserve">La Corte </w:t>
      </w:r>
      <w:r w:rsidR="00272C23" w:rsidRPr="00340068">
        <w:rPr>
          <w:rFonts w:eastAsia="MS Mincho"/>
          <w:sz w:val="20"/>
          <w:szCs w:val="20"/>
          <w:lang w:eastAsia="en-US" w:bidi="en-US"/>
        </w:rPr>
        <w:t>recuer</w:t>
      </w:r>
      <w:r w:rsidR="00272C23" w:rsidRPr="0001748B">
        <w:rPr>
          <w:rFonts w:eastAsia="MS Mincho"/>
          <w:sz w:val="20"/>
          <w:szCs w:val="20"/>
          <w:lang w:eastAsia="en-US" w:bidi="en-US"/>
        </w:rPr>
        <w:t xml:space="preserve">da </w:t>
      </w:r>
      <w:r w:rsidRPr="0001748B">
        <w:rPr>
          <w:rFonts w:eastAsia="MS Mincho"/>
          <w:sz w:val="20"/>
          <w:szCs w:val="20"/>
          <w:lang w:eastAsia="en-US" w:bidi="en-US"/>
        </w:rPr>
        <w:t xml:space="preserve">que el presente caso se vincula con la muerte de un alumno de una fuerza de seguridad estatal, producida en el marco de una práctica de formación. Es decir, que se trata de analizar la responsabilidad internacional del Estado respecto de la muerte de una persona que se encontraba bajo su custodia o en una especial situación de sujeción. Es precisamente por esta situación especial de custodia que el Estado no sólo tiene el deber de prevenir cualquier </w:t>
      </w:r>
      <w:r w:rsidR="000C075B">
        <w:rPr>
          <w:rFonts w:eastAsia="MS Mincho"/>
          <w:sz w:val="20"/>
          <w:szCs w:val="20"/>
          <w:lang w:eastAsia="en-US" w:bidi="en-US"/>
        </w:rPr>
        <w:t>circunstancia</w:t>
      </w:r>
      <w:r w:rsidR="00BB67C4" w:rsidRPr="0001748B">
        <w:rPr>
          <w:rFonts w:eastAsia="MS Mincho"/>
          <w:sz w:val="20"/>
          <w:szCs w:val="20"/>
          <w:lang w:eastAsia="en-US" w:bidi="en-US"/>
        </w:rPr>
        <w:t xml:space="preserve"> </w:t>
      </w:r>
      <w:r w:rsidRPr="0001748B">
        <w:rPr>
          <w:rFonts w:eastAsia="MS Mincho"/>
          <w:sz w:val="20"/>
          <w:szCs w:val="20"/>
          <w:lang w:eastAsia="en-US" w:bidi="en-US"/>
        </w:rPr>
        <w:t xml:space="preserve">que pueda vulnerar los derechos de las personas que están sujetas a él, sino que ante una efectiva afectación </w:t>
      </w:r>
      <w:r w:rsidR="005A0237" w:rsidRPr="0001748B">
        <w:rPr>
          <w:rFonts w:eastAsia="MS Mincho"/>
          <w:sz w:val="20"/>
          <w:szCs w:val="20"/>
          <w:lang w:eastAsia="en-US" w:bidi="en-US"/>
        </w:rPr>
        <w:t>-</w:t>
      </w:r>
      <w:r w:rsidRPr="0001748B">
        <w:rPr>
          <w:rFonts w:eastAsia="MS Mincho"/>
          <w:sz w:val="20"/>
          <w:szCs w:val="20"/>
          <w:lang w:eastAsia="en-US" w:bidi="en-US"/>
        </w:rPr>
        <w:t>como la analizada en el presente caso</w:t>
      </w:r>
      <w:r w:rsidR="005A0237" w:rsidRPr="0001748B">
        <w:rPr>
          <w:rFonts w:eastAsia="MS Mincho"/>
          <w:sz w:val="20"/>
          <w:szCs w:val="20"/>
          <w:lang w:eastAsia="en-US" w:bidi="en-US"/>
        </w:rPr>
        <w:t>-</w:t>
      </w:r>
      <w:r w:rsidRPr="0001748B">
        <w:rPr>
          <w:rFonts w:eastAsia="MS Mincho"/>
          <w:sz w:val="20"/>
          <w:szCs w:val="20"/>
          <w:lang w:eastAsia="en-US" w:bidi="en-US"/>
        </w:rPr>
        <w:t xml:space="preserve"> debe proveer una explicación inmediata, satisfactoria y convincente de lo sucedido y, en consecuencia, garantizar el desarrollo de una investigación con la debida diligencia que permita esclarecer la verdad de lo acontecido</w:t>
      </w:r>
      <w:r w:rsidRPr="0001748B">
        <w:rPr>
          <w:rFonts w:eastAsia="MS Mincho"/>
          <w:sz w:val="20"/>
          <w:szCs w:val="20"/>
          <w:vertAlign w:val="superscript"/>
          <w:lang w:eastAsia="en-US" w:bidi="en-US"/>
        </w:rPr>
        <w:footnoteReference w:id="149"/>
      </w:r>
      <w:r w:rsidRPr="0001748B">
        <w:rPr>
          <w:rFonts w:eastAsia="MS Mincho"/>
          <w:sz w:val="20"/>
          <w:szCs w:val="20"/>
          <w:lang w:eastAsia="en-US" w:bidi="en-US"/>
        </w:rPr>
        <w:t>.</w:t>
      </w:r>
    </w:p>
    <w:p w:rsidR="00386375" w:rsidRPr="0001748B" w:rsidRDefault="00386375" w:rsidP="00B62523">
      <w:pPr>
        <w:widowControl/>
        <w:autoSpaceDE w:val="0"/>
        <w:autoSpaceDN w:val="0"/>
        <w:spacing w:line="240" w:lineRule="auto"/>
        <w:textAlignment w:val="auto"/>
        <w:rPr>
          <w:rFonts w:eastAsiaTheme="minorHAnsi" w:cs="Arial"/>
          <w:sz w:val="20"/>
          <w:szCs w:val="20"/>
          <w:lang w:eastAsia="en-US"/>
        </w:rPr>
      </w:pPr>
    </w:p>
    <w:p w:rsidR="00B62523" w:rsidRPr="0001748B" w:rsidRDefault="00B62523" w:rsidP="00BF17CF">
      <w:pPr>
        <w:numPr>
          <w:ilvl w:val="0"/>
          <w:numId w:val="1"/>
        </w:numPr>
        <w:tabs>
          <w:tab w:val="left" w:pos="567"/>
          <w:tab w:val="num" w:pos="5057"/>
        </w:tabs>
        <w:spacing w:line="240" w:lineRule="auto"/>
        <w:ind w:left="0" w:firstLine="0"/>
        <w:rPr>
          <w:rFonts w:eastAsiaTheme="minorHAnsi" w:cstheme="minorBidi"/>
          <w:b/>
          <w:i/>
          <w:sz w:val="20"/>
          <w:szCs w:val="20"/>
          <w:lang w:eastAsia="en-US"/>
        </w:rPr>
      </w:pPr>
      <w:r w:rsidRPr="0001748B">
        <w:rPr>
          <w:rFonts w:eastAsia="Batang" w:cs="Tahoma"/>
          <w:color w:val="000000"/>
          <w:sz w:val="20"/>
          <w:szCs w:val="20"/>
          <w:lang w:eastAsia="en-US"/>
        </w:rPr>
        <w:t xml:space="preserve">Tal como </w:t>
      </w:r>
      <w:r w:rsidRPr="0001748B">
        <w:rPr>
          <w:rFonts w:eastAsia="Calibri" w:cs="Calibri"/>
          <w:sz w:val="20"/>
          <w:szCs w:val="20"/>
          <w:lang w:eastAsia="en-US"/>
        </w:rPr>
        <w:t>fue</w:t>
      </w:r>
      <w:r w:rsidRPr="0001748B">
        <w:rPr>
          <w:rFonts w:eastAsia="Batang" w:cs="Tahoma"/>
          <w:color w:val="000000"/>
          <w:sz w:val="20"/>
          <w:szCs w:val="20"/>
          <w:lang w:eastAsia="en-US"/>
        </w:rPr>
        <w:t xml:space="preserve"> resaltado anteriormente (</w:t>
      </w:r>
      <w:r w:rsidRPr="0001748B">
        <w:rPr>
          <w:rFonts w:eastAsia="Batang" w:cs="Tahoma"/>
          <w:i/>
          <w:color w:val="000000"/>
          <w:sz w:val="20"/>
          <w:szCs w:val="20"/>
          <w:lang w:eastAsia="en-US"/>
        </w:rPr>
        <w:t xml:space="preserve">supra </w:t>
      </w:r>
      <w:r w:rsidRPr="0001748B">
        <w:rPr>
          <w:rFonts w:eastAsia="Batang" w:cs="Tahoma"/>
          <w:color w:val="000000"/>
          <w:sz w:val="20"/>
          <w:szCs w:val="20"/>
          <w:lang w:eastAsia="en-US"/>
        </w:rPr>
        <w:t xml:space="preserve">párr. </w:t>
      </w:r>
      <w:r w:rsidR="001F311F">
        <w:rPr>
          <w:rFonts w:eastAsia="Batang" w:cs="Tahoma"/>
          <w:color w:val="000000"/>
          <w:sz w:val="20"/>
          <w:szCs w:val="20"/>
          <w:lang w:eastAsia="en-US"/>
        </w:rPr>
        <w:t>14</w:t>
      </w:r>
      <w:r w:rsidRPr="0001748B">
        <w:rPr>
          <w:rFonts w:eastAsia="Batang" w:cs="Tahoma"/>
          <w:color w:val="000000"/>
          <w:sz w:val="20"/>
          <w:szCs w:val="20"/>
          <w:lang w:eastAsia="en-US"/>
        </w:rPr>
        <w:t xml:space="preserve">), </w:t>
      </w:r>
      <w:r w:rsidR="00051791" w:rsidRPr="0001748B">
        <w:rPr>
          <w:rFonts w:eastAsia="Batang" w:cs="Tahoma"/>
          <w:color w:val="000000"/>
          <w:sz w:val="20"/>
          <w:szCs w:val="20"/>
          <w:lang w:eastAsia="en-US"/>
        </w:rPr>
        <w:t xml:space="preserve">el Estado reconoció su responsabilidad por la muerte arbitraria de Johan Alexis Ortiz Hernández. No obstante, </w:t>
      </w:r>
      <w:r w:rsidRPr="0001748B">
        <w:rPr>
          <w:rFonts w:eastAsia="Batang" w:cs="Tahoma"/>
          <w:color w:val="000000"/>
          <w:sz w:val="20"/>
          <w:szCs w:val="20"/>
          <w:lang w:eastAsia="en-US"/>
        </w:rPr>
        <w:t>las circunstancias en que se produjo la muerte violenta de Ortiz Hernández es una cuestión que permanece controvertida a nivel interno, ya que desde un comienzo se manejaron diferentes versiones de los hechos ocurridos en las instalaciones en donde tuvo lugar la práctica denominada “</w:t>
      </w:r>
      <w:r w:rsidR="001365FD">
        <w:rPr>
          <w:rFonts w:eastAsia="Batang" w:cs="Tahoma"/>
          <w:color w:val="000000"/>
          <w:sz w:val="20"/>
          <w:szCs w:val="20"/>
          <w:lang w:eastAsia="en-US"/>
        </w:rPr>
        <w:t>c</w:t>
      </w:r>
      <w:r w:rsidRPr="0001748B">
        <w:rPr>
          <w:rFonts w:eastAsia="Batang" w:cs="Tahoma"/>
          <w:color w:val="000000"/>
          <w:sz w:val="20"/>
          <w:szCs w:val="20"/>
          <w:lang w:eastAsia="en-US"/>
        </w:rPr>
        <w:t xml:space="preserve">ancha </w:t>
      </w:r>
      <w:r w:rsidR="001365FD">
        <w:rPr>
          <w:rFonts w:eastAsia="Batang" w:cs="Tahoma"/>
          <w:color w:val="000000"/>
          <w:sz w:val="20"/>
          <w:szCs w:val="20"/>
          <w:lang w:eastAsia="en-US"/>
        </w:rPr>
        <w:t>a</w:t>
      </w:r>
      <w:r w:rsidRPr="0001748B">
        <w:rPr>
          <w:rFonts w:eastAsia="Batang" w:cs="Tahoma"/>
          <w:color w:val="000000"/>
          <w:sz w:val="20"/>
          <w:szCs w:val="20"/>
          <w:lang w:eastAsia="en-US"/>
        </w:rPr>
        <w:t xml:space="preserve">nti-subversiva” y los tribunales internos no han proferido una decisión final en el proceso penal </w:t>
      </w:r>
      <w:r w:rsidRPr="0001748B">
        <w:rPr>
          <w:rFonts w:eastAsia="Calibri"/>
          <w:spacing w:val="-2"/>
          <w:sz w:val="20"/>
          <w:szCs w:val="20"/>
          <w:lang w:eastAsia="en-US"/>
        </w:rPr>
        <w:t>mediante la cual se esclarezca cómo sucedieron los hechos y se determinen las responsabilidades correspondientes</w:t>
      </w:r>
      <w:r w:rsidRPr="0001748B">
        <w:rPr>
          <w:rFonts w:eastAsia="Batang" w:cs="Tahoma"/>
          <w:color w:val="000000"/>
          <w:sz w:val="20"/>
          <w:szCs w:val="20"/>
          <w:lang w:eastAsia="en-US"/>
        </w:rPr>
        <w:t xml:space="preserve">. Por otra parte, ante esta Corte, </w:t>
      </w:r>
      <w:r w:rsidRPr="0001748B">
        <w:rPr>
          <w:rFonts w:eastAsiaTheme="minorHAnsi" w:cs="Arial"/>
          <w:sz w:val="20"/>
          <w:szCs w:val="20"/>
          <w:lang w:eastAsia="en-US"/>
        </w:rPr>
        <w:t xml:space="preserve">se han expuesto varias hipótesis sobre la autoría de la privación de la vida del señor Ortiz Hernández. Si bien </w:t>
      </w:r>
      <w:r w:rsidRPr="0001748B">
        <w:rPr>
          <w:rFonts w:eastAsiaTheme="minorHAnsi" w:cs="Arial"/>
          <w:sz w:val="20"/>
          <w:szCs w:val="20"/>
          <w:lang w:eastAsia="de-DE"/>
        </w:rPr>
        <w:t xml:space="preserve">“corresponde a los tribunales del Estado el examen de los hechos y las pruebas </w:t>
      </w:r>
      <w:r w:rsidRPr="0001748B">
        <w:rPr>
          <w:rFonts w:eastAsiaTheme="minorHAnsi" w:cs="Arial"/>
          <w:color w:val="000000"/>
          <w:sz w:val="20"/>
          <w:szCs w:val="20"/>
          <w:lang w:eastAsia="en-US"/>
        </w:rPr>
        <w:t>presentadas</w:t>
      </w:r>
      <w:r w:rsidRPr="0001748B">
        <w:rPr>
          <w:rFonts w:eastAsiaTheme="minorHAnsi" w:cs="Arial"/>
          <w:sz w:val="20"/>
          <w:szCs w:val="20"/>
          <w:lang w:eastAsia="de-DE"/>
        </w:rPr>
        <w:t xml:space="preserve"> en las causas particulares</w:t>
      </w:r>
      <w:r w:rsidRPr="00DC6F19">
        <w:rPr>
          <w:rFonts w:eastAsiaTheme="minorHAnsi" w:cs="Arial"/>
          <w:sz w:val="20"/>
          <w:szCs w:val="20"/>
          <w:lang w:eastAsia="de-DE"/>
        </w:rPr>
        <w:t>”</w:t>
      </w:r>
      <w:r w:rsidRPr="00DC6F19">
        <w:rPr>
          <w:rFonts w:eastAsiaTheme="minorHAnsi" w:cs="Arial"/>
          <w:sz w:val="20"/>
          <w:szCs w:val="20"/>
          <w:vertAlign w:val="superscript"/>
          <w:lang w:eastAsia="de-DE"/>
        </w:rPr>
        <w:footnoteReference w:id="150"/>
      </w:r>
      <w:r w:rsidRPr="00DC6F19">
        <w:rPr>
          <w:rFonts w:eastAsiaTheme="minorHAnsi" w:cs="Arial"/>
          <w:sz w:val="20"/>
          <w:szCs w:val="20"/>
          <w:lang w:eastAsia="de-DE"/>
        </w:rPr>
        <w:t>,</w:t>
      </w:r>
      <w:r w:rsidRPr="00DC6F19">
        <w:rPr>
          <w:rFonts w:eastAsiaTheme="minorHAnsi" w:cs="Arial"/>
          <w:sz w:val="20"/>
          <w:szCs w:val="20"/>
          <w:lang w:eastAsia="en-US"/>
        </w:rPr>
        <w:t xml:space="preserve"> es</w:t>
      </w:r>
      <w:r w:rsidRPr="0001748B">
        <w:rPr>
          <w:rFonts w:eastAsiaTheme="minorHAnsi" w:cs="Arial"/>
          <w:sz w:val="20"/>
          <w:szCs w:val="20"/>
          <w:lang w:eastAsia="en-US"/>
        </w:rPr>
        <w:t xml:space="preserve"> claro que, en el presente caso, la investigación iniciada debía ser conducida de tal forma que pudiese garantizar el debido análisis de las hipótesis de autoría surgidas a raíz de la misma</w:t>
      </w:r>
      <w:r w:rsidRPr="0001748B">
        <w:rPr>
          <w:rFonts w:eastAsiaTheme="minorHAnsi" w:cs="Arial"/>
          <w:sz w:val="20"/>
          <w:szCs w:val="20"/>
          <w:vertAlign w:val="superscript"/>
          <w:lang w:eastAsia="en-US"/>
        </w:rPr>
        <w:footnoteReference w:id="151"/>
      </w:r>
      <w:r w:rsidRPr="0001748B">
        <w:rPr>
          <w:rFonts w:eastAsiaTheme="minorHAnsi" w:cs="Arial"/>
          <w:sz w:val="20"/>
          <w:szCs w:val="20"/>
          <w:lang w:eastAsia="en-US"/>
        </w:rPr>
        <w:t xml:space="preserve">, teniendo en cuenta que la muerte se produjo bajo la custodia del Estado y que éste guarda el control sobre los medios probatorios. En particular, la Corte considera de importancia destacar que los órganos encargados de conducir la investigación, tanto en </w:t>
      </w:r>
      <w:r w:rsidR="00B773A5" w:rsidRPr="0001748B">
        <w:rPr>
          <w:rFonts w:eastAsiaTheme="minorHAnsi" w:cs="Arial"/>
          <w:sz w:val="20"/>
          <w:szCs w:val="20"/>
          <w:lang w:eastAsia="en-US"/>
        </w:rPr>
        <w:t xml:space="preserve">la </w:t>
      </w:r>
      <w:r w:rsidRPr="0001748B">
        <w:rPr>
          <w:rFonts w:eastAsiaTheme="minorHAnsi" w:cs="Arial"/>
          <w:sz w:val="20"/>
          <w:szCs w:val="20"/>
          <w:lang w:eastAsia="en-US"/>
        </w:rPr>
        <w:t xml:space="preserve">jurisdicción militar como </w:t>
      </w:r>
      <w:r w:rsidR="00B773A5" w:rsidRPr="0001748B">
        <w:rPr>
          <w:rFonts w:eastAsiaTheme="minorHAnsi" w:cs="Arial"/>
          <w:sz w:val="20"/>
          <w:szCs w:val="20"/>
          <w:lang w:eastAsia="en-US"/>
        </w:rPr>
        <w:t xml:space="preserve">en la </w:t>
      </w:r>
      <w:r w:rsidRPr="0001748B">
        <w:rPr>
          <w:rFonts w:eastAsiaTheme="minorHAnsi" w:cs="Arial"/>
          <w:sz w:val="20"/>
          <w:szCs w:val="20"/>
          <w:lang w:eastAsia="en-US"/>
        </w:rPr>
        <w:t>ordinaria, se apegaron en su línea investigativa a la versión rendida por las autoridades de la Guardia Nacional desde el primer momento</w:t>
      </w:r>
      <w:r w:rsidR="004F3EDE">
        <w:rPr>
          <w:rFonts w:eastAsiaTheme="minorHAnsi" w:cs="Arial"/>
          <w:sz w:val="20"/>
          <w:szCs w:val="20"/>
          <w:lang w:eastAsia="en-US"/>
        </w:rPr>
        <w:t>,</w:t>
      </w:r>
      <w:r w:rsidRPr="0001748B">
        <w:rPr>
          <w:rFonts w:eastAsiaTheme="minorHAnsi" w:cs="Arial"/>
          <w:sz w:val="20"/>
          <w:szCs w:val="20"/>
          <w:lang w:eastAsia="en-US"/>
        </w:rPr>
        <w:t xml:space="preserve"> que señalaban que lo ocurrido fue un “trágico accidente”</w:t>
      </w:r>
      <w:r w:rsidRPr="0001748B">
        <w:rPr>
          <w:rFonts w:eastAsiaTheme="minorHAnsi" w:cs="Arial"/>
          <w:sz w:val="20"/>
          <w:szCs w:val="20"/>
          <w:vertAlign w:val="superscript"/>
          <w:lang w:eastAsia="en-US"/>
        </w:rPr>
        <w:footnoteReference w:id="152"/>
      </w:r>
      <w:r w:rsidRPr="0001748B">
        <w:rPr>
          <w:rFonts w:eastAsiaTheme="minorHAnsi" w:cs="Arial"/>
          <w:sz w:val="20"/>
          <w:szCs w:val="20"/>
          <w:lang w:eastAsia="en-US"/>
        </w:rPr>
        <w:t xml:space="preserve">, sin descartar </w:t>
      </w:r>
      <w:r w:rsidR="00910347" w:rsidRPr="0001748B">
        <w:rPr>
          <w:rFonts w:eastAsiaTheme="minorHAnsi" w:cs="Arial"/>
          <w:sz w:val="20"/>
          <w:szCs w:val="20"/>
          <w:lang w:eastAsia="en-US"/>
        </w:rPr>
        <w:t>otra</w:t>
      </w:r>
      <w:r w:rsidRPr="0001748B">
        <w:rPr>
          <w:rFonts w:eastAsiaTheme="minorHAnsi" w:cs="Arial"/>
          <w:sz w:val="20"/>
          <w:szCs w:val="20"/>
          <w:lang w:eastAsia="en-US"/>
        </w:rPr>
        <w:t xml:space="preserve"> hipótesis sustentada en diversos medios de prueba.</w:t>
      </w:r>
      <w:r w:rsidR="00910347" w:rsidRPr="0001748B">
        <w:rPr>
          <w:rFonts w:eastAsia="Batang" w:cs="Times"/>
          <w:sz w:val="20"/>
          <w:lang w:eastAsia="en-US"/>
        </w:rPr>
        <w:t xml:space="preserve"> </w:t>
      </w:r>
      <w:r w:rsidRPr="0001748B">
        <w:rPr>
          <w:rFonts w:eastAsia="Batang" w:cs="Times"/>
          <w:sz w:val="20"/>
          <w:lang w:eastAsia="en-US"/>
        </w:rPr>
        <w:t xml:space="preserve">En este </w:t>
      </w:r>
      <w:r w:rsidRPr="0001748B">
        <w:rPr>
          <w:rFonts w:eastAsia="Batang" w:cs="Times"/>
          <w:sz w:val="20"/>
          <w:lang w:eastAsia="en-US"/>
        </w:rPr>
        <w:lastRenderedPageBreak/>
        <w:t>sentido, si bien la</w:t>
      </w:r>
      <w:r w:rsidRPr="0001748B">
        <w:rPr>
          <w:rFonts w:eastAsiaTheme="minorHAnsi" w:cs="Arial"/>
          <w:sz w:val="20"/>
          <w:szCs w:val="20"/>
          <w:lang w:eastAsia="en-US"/>
        </w:rPr>
        <w:t xml:space="preserve"> Corte no es un tribunal en el que pueda determinarse la </w:t>
      </w:r>
      <w:r w:rsidRPr="0001748B">
        <w:rPr>
          <w:rFonts w:eastAsia="Calibri" w:cs="Calibri"/>
          <w:sz w:val="20"/>
          <w:szCs w:val="20"/>
          <w:lang w:eastAsia="en-US"/>
        </w:rPr>
        <w:t>responsabilidad</w:t>
      </w:r>
      <w:r w:rsidRPr="0001748B">
        <w:rPr>
          <w:rFonts w:eastAsiaTheme="minorHAnsi" w:cs="Arial"/>
          <w:sz w:val="20"/>
          <w:szCs w:val="20"/>
          <w:lang w:eastAsia="en-US"/>
        </w:rPr>
        <w:t xml:space="preserve"> penal de los individuos</w:t>
      </w:r>
      <w:r w:rsidRPr="0001748B">
        <w:rPr>
          <w:rFonts w:eastAsiaTheme="minorHAnsi" w:cs="Arial"/>
          <w:sz w:val="20"/>
          <w:szCs w:val="20"/>
          <w:vertAlign w:val="superscript"/>
          <w:lang w:eastAsia="en-US"/>
        </w:rPr>
        <w:footnoteReference w:id="153"/>
      </w:r>
      <w:r w:rsidRPr="0001748B">
        <w:rPr>
          <w:rFonts w:eastAsiaTheme="minorHAnsi" w:cs="Arial"/>
          <w:sz w:val="20"/>
          <w:szCs w:val="20"/>
          <w:lang w:eastAsia="en-US"/>
        </w:rPr>
        <w:t xml:space="preserve">, es necesario analizar la plausibilidad de los elementos que apuntan a que la muerte </w:t>
      </w:r>
      <w:r w:rsidR="001352A1" w:rsidRPr="0001748B">
        <w:rPr>
          <w:rFonts w:eastAsiaTheme="minorHAnsi" w:cs="Arial"/>
          <w:sz w:val="20"/>
          <w:szCs w:val="20"/>
          <w:lang w:eastAsia="en-US"/>
        </w:rPr>
        <w:t xml:space="preserve">pudo haber sido </w:t>
      </w:r>
      <w:r w:rsidRPr="0001748B">
        <w:rPr>
          <w:rFonts w:eastAsiaTheme="minorHAnsi" w:cs="Arial"/>
          <w:sz w:val="20"/>
          <w:szCs w:val="20"/>
          <w:lang w:eastAsia="en-US"/>
        </w:rPr>
        <w:t xml:space="preserve">causada por </w:t>
      </w:r>
      <w:r w:rsidR="002E08D2" w:rsidRPr="0001748B">
        <w:rPr>
          <w:rFonts w:eastAsiaTheme="minorHAnsi" w:cs="Arial"/>
          <w:sz w:val="20"/>
          <w:szCs w:val="20"/>
          <w:lang w:eastAsia="en-US"/>
        </w:rPr>
        <w:t xml:space="preserve">la acción de un </w:t>
      </w:r>
      <w:r w:rsidR="001352A1" w:rsidRPr="0001748B">
        <w:rPr>
          <w:rFonts w:eastAsiaTheme="minorHAnsi" w:cs="Arial"/>
          <w:sz w:val="20"/>
          <w:szCs w:val="20"/>
          <w:lang w:eastAsia="en-US"/>
        </w:rPr>
        <w:t>arma corta</w:t>
      </w:r>
      <w:r w:rsidR="00BC50C3">
        <w:rPr>
          <w:rFonts w:eastAsiaTheme="minorHAnsi" w:cs="Arial"/>
          <w:sz w:val="20"/>
          <w:szCs w:val="20"/>
          <w:lang w:eastAsia="en-US"/>
        </w:rPr>
        <w:t xml:space="preserve"> </w:t>
      </w:r>
      <w:r w:rsidR="00BC50C3" w:rsidRPr="002B3FAF">
        <w:rPr>
          <w:rFonts w:eastAsiaTheme="minorHAnsi" w:cs="Arial"/>
          <w:sz w:val="20"/>
          <w:szCs w:val="20"/>
          <w:lang w:eastAsia="en-US"/>
        </w:rPr>
        <w:t>y eventualmente de un homicidio doloso</w:t>
      </w:r>
      <w:r w:rsidR="002E08D2" w:rsidRPr="0001748B">
        <w:rPr>
          <w:rFonts w:eastAsiaTheme="minorHAnsi" w:cs="Arial"/>
          <w:sz w:val="20"/>
          <w:szCs w:val="20"/>
          <w:lang w:eastAsia="en-US"/>
        </w:rPr>
        <w:t>,</w:t>
      </w:r>
      <w:r w:rsidRPr="0001748B">
        <w:rPr>
          <w:rFonts w:eastAsiaTheme="minorHAnsi" w:cs="Arial"/>
          <w:sz w:val="20"/>
          <w:szCs w:val="20"/>
          <w:lang w:eastAsia="en-US"/>
        </w:rPr>
        <w:t xml:space="preserve"> y no sólo por no haber adoptado las medidas de seguridad y prevención requeridas</w:t>
      </w:r>
      <w:r w:rsidR="001352A1" w:rsidRPr="0001748B">
        <w:rPr>
          <w:rFonts w:eastAsiaTheme="minorHAnsi" w:cs="Arial"/>
          <w:sz w:val="20"/>
          <w:szCs w:val="20"/>
          <w:lang w:eastAsia="en-US"/>
        </w:rPr>
        <w:t xml:space="preserve"> en el manejo de la ametralladora AFAG</w:t>
      </w:r>
      <w:r w:rsidRPr="0001748B">
        <w:rPr>
          <w:rFonts w:eastAsiaTheme="minorHAnsi" w:cs="Arial"/>
          <w:sz w:val="20"/>
          <w:szCs w:val="20"/>
          <w:lang w:eastAsia="en-US"/>
        </w:rPr>
        <w:t>.</w:t>
      </w:r>
    </w:p>
    <w:p w:rsidR="00910347" w:rsidRPr="0001748B" w:rsidRDefault="00910347" w:rsidP="0045779B">
      <w:pPr>
        <w:tabs>
          <w:tab w:val="left" w:pos="567"/>
        </w:tabs>
        <w:spacing w:line="240" w:lineRule="auto"/>
        <w:rPr>
          <w:rFonts w:eastAsiaTheme="minorHAnsi" w:cstheme="minorBidi"/>
          <w:b/>
          <w:i/>
          <w:sz w:val="20"/>
          <w:szCs w:val="20"/>
          <w:lang w:eastAsia="en-US"/>
        </w:rPr>
      </w:pPr>
    </w:p>
    <w:p w:rsidR="00B62523" w:rsidRPr="0001748B" w:rsidRDefault="00B62523" w:rsidP="00B62523">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 xml:space="preserve">A diferencia de la versión oficial mantenida hasta la acusación formulada por el Ministerio </w:t>
      </w:r>
      <w:r w:rsidR="00436FAB">
        <w:rPr>
          <w:rFonts w:eastAsiaTheme="minorHAnsi" w:cs="Arial"/>
          <w:sz w:val="20"/>
          <w:szCs w:val="20"/>
          <w:lang w:eastAsia="en-US"/>
        </w:rPr>
        <w:t>Público</w:t>
      </w:r>
      <w:r w:rsidR="00436FAB" w:rsidRPr="0001748B">
        <w:rPr>
          <w:rFonts w:eastAsiaTheme="minorHAnsi" w:cs="Arial"/>
          <w:sz w:val="20"/>
          <w:szCs w:val="20"/>
          <w:lang w:eastAsia="en-US"/>
        </w:rPr>
        <w:t xml:space="preserve"> </w:t>
      </w:r>
      <w:r w:rsidRPr="0001748B">
        <w:rPr>
          <w:rFonts w:eastAsiaTheme="minorHAnsi" w:cs="Arial"/>
          <w:sz w:val="20"/>
          <w:szCs w:val="20"/>
          <w:lang w:eastAsia="en-US"/>
        </w:rPr>
        <w:t xml:space="preserve">en la jurisdicción ordinaria, que indica que fue que uno de los proyectiles disparados por la ametralladora AFAG, calibre 7,62 mm, el que habría impactado contra un objeto de igual o mayor cohesión molecular, lo que originó la fragmentación de la bala, siendo dichos fragmentos los que en definitiva </w:t>
      </w:r>
      <w:r w:rsidRPr="0001748B">
        <w:rPr>
          <w:rFonts w:eastAsia="Calibri" w:cs="Calibri"/>
          <w:sz w:val="20"/>
          <w:szCs w:val="20"/>
          <w:lang w:eastAsia="en-US"/>
        </w:rPr>
        <w:t>impactaron</w:t>
      </w:r>
      <w:r w:rsidRPr="0001748B">
        <w:rPr>
          <w:rFonts w:eastAsiaTheme="minorHAnsi" w:cs="Arial"/>
          <w:sz w:val="20"/>
          <w:szCs w:val="20"/>
          <w:lang w:eastAsia="en-US"/>
        </w:rPr>
        <w:t xml:space="preserve"> en la humanidad de Johan Alexis</w:t>
      </w:r>
      <w:r w:rsidRPr="0001748B">
        <w:rPr>
          <w:rFonts w:eastAsiaTheme="minorHAnsi" w:cs="Arial"/>
          <w:sz w:val="20"/>
          <w:szCs w:val="20"/>
          <w:vertAlign w:val="superscript"/>
          <w:lang w:eastAsia="en-US"/>
        </w:rPr>
        <w:footnoteReference w:id="154"/>
      </w:r>
      <w:r w:rsidRPr="0001748B">
        <w:rPr>
          <w:rFonts w:eastAsiaTheme="minorHAnsi" w:cs="Arial"/>
          <w:sz w:val="20"/>
          <w:szCs w:val="20"/>
          <w:lang w:eastAsia="en-US"/>
        </w:rPr>
        <w:t xml:space="preserve">, las pruebas y experticias recibidas ante esta Corte muestran una hipótesis </w:t>
      </w:r>
      <w:r w:rsidR="00A2129A">
        <w:rPr>
          <w:rFonts w:eastAsiaTheme="minorHAnsi" w:cs="Arial"/>
          <w:sz w:val="20"/>
          <w:szCs w:val="20"/>
          <w:lang w:eastAsia="en-US"/>
        </w:rPr>
        <w:t>distinta</w:t>
      </w:r>
      <w:r w:rsidRPr="0001748B">
        <w:rPr>
          <w:rFonts w:eastAsiaTheme="minorHAnsi" w:cs="Arial"/>
          <w:sz w:val="20"/>
          <w:szCs w:val="20"/>
          <w:lang w:eastAsia="en-US"/>
        </w:rPr>
        <w:t xml:space="preserve"> de lo acontecido con Ortiz Hernández. En efecto, l</w:t>
      </w:r>
      <w:r w:rsidR="00A2129A">
        <w:rPr>
          <w:rFonts w:eastAsiaTheme="minorHAnsi" w:cs="Arial"/>
          <w:sz w:val="20"/>
          <w:szCs w:val="20"/>
          <w:lang w:eastAsia="en-US"/>
        </w:rPr>
        <w:t>os elementos de</w:t>
      </w:r>
      <w:r w:rsidRPr="0001748B">
        <w:rPr>
          <w:rFonts w:eastAsiaTheme="minorHAnsi" w:cs="Arial"/>
          <w:sz w:val="20"/>
          <w:szCs w:val="20"/>
          <w:lang w:eastAsia="en-US"/>
        </w:rPr>
        <w:t xml:space="preserve"> prueba</w:t>
      </w:r>
      <w:r w:rsidR="00A2129A">
        <w:rPr>
          <w:rFonts w:eastAsiaTheme="minorHAnsi" w:cs="Arial"/>
          <w:sz w:val="20"/>
          <w:szCs w:val="20"/>
          <w:lang w:eastAsia="en-US"/>
        </w:rPr>
        <w:t xml:space="preserve"> sugieren</w:t>
      </w:r>
      <w:r w:rsidRPr="0001748B">
        <w:rPr>
          <w:rFonts w:eastAsiaTheme="minorHAnsi" w:cs="Arial"/>
          <w:sz w:val="20"/>
          <w:szCs w:val="20"/>
          <w:lang w:eastAsia="en-US"/>
        </w:rPr>
        <w:t xml:space="preserve"> que se trató de dos heridas provocadas por proyectiles enteros provenientes de un arma corta.</w:t>
      </w:r>
    </w:p>
    <w:p w:rsidR="00B62523" w:rsidRPr="0001748B" w:rsidRDefault="00B62523" w:rsidP="00B62523">
      <w:pPr>
        <w:widowControl/>
        <w:autoSpaceDE w:val="0"/>
        <w:autoSpaceDN w:val="0"/>
        <w:spacing w:line="240" w:lineRule="auto"/>
        <w:textAlignment w:val="auto"/>
        <w:rPr>
          <w:rFonts w:eastAsiaTheme="minorHAnsi" w:cs="Arial"/>
          <w:sz w:val="20"/>
          <w:szCs w:val="20"/>
          <w:lang w:eastAsia="en-US"/>
        </w:rPr>
      </w:pPr>
    </w:p>
    <w:p w:rsidR="00B62523" w:rsidRPr="0001748B" w:rsidRDefault="00B454CA" w:rsidP="00B62523">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Como sustento de ello</w:t>
      </w:r>
      <w:r w:rsidR="00B62523" w:rsidRPr="0001748B">
        <w:rPr>
          <w:rFonts w:eastAsiaTheme="minorHAnsi" w:cs="Arial"/>
          <w:sz w:val="20"/>
          <w:szCs w:val="20"/>
          <w:lang w:eastAsia="en-US"/>
        </w:rPr>
        <w:t>, cabe señalar en primer lugar el acta de la autopsia del cadáver de Johan Alexis, según el cual las heridas que presentaba poseían orificios de entrada “redondeados” y no existían orificios de salida</w:t>
      </w:r>
      <w:r w:rsidR="00B62523" w:rsidRPr="0001748B">
        <w:rPr>
          <w:rFonts w:eastAsiaTheme="minorHAnsi" w:cs="Arial"/>
          <w:sz w:val="20"/>
          <w:szCs w:val="20"/>
          <w:vertAlign w:val="superscript"/>
          <w:lang w:eastAsia="en-US"/>
        </w:rPr>
        <w:footnoteReference w:id="155"/>
      </w:r>
      <w:r w:rsidR="00B62523" w:rsidRPr="0001748B">
        <w:rPr>
          <w:rFonts w:eastAsiaTheme="minorHAnsi" w:cs="Arial"/>
          <w:sz w:val="20"/>
          <w:szCs w:val="20"/>
          <w:lang w:eastAsia="en-US"/>
        </w:rPr>
        <w:t xml:space="preserve">. Asimismo, la propia médica forense que participó en dicha diligencia, Dra. Ana Cecilia </w:t>
      </w:r>
      <w:r w:rsidR="00B62523" w:rsidRPr="0001748B">
        <w:rPr>
          <w:rFonts w:eastAsia="Calibri" w:cs="Calibri"/>
          <w:sz w:val="20"/>
          <w:szCs w:val="20"/>
          <w:lang w:eastAsia="en-US"/>
        </w:rPr>
        <w:t>Rincón</w:t>
      </w:r>
      <w:r w:rsidR="00B62523" w:rsidRPr="0001748B">
        <w:rPr>
          <w:rFonts w:eastAsiaTheme="minorHAnsi" w:cs="Arial"/>
          <w:sz w:val="20"/>
          <w:szCs w:val="20"/>
          <w:lang w:eastAsia="en-US"/>
        </w:rPr>
        <w:t xml:space="preserve"> Bracho, afirmó que lo que impactó en el cuerpo de</w:t>
      </w:r>
      <w:r w:rsidR="0050619F">
        <w:rPr>
          <w:rFonts w:eastAsiaTheme="minorHAnsi" w:cs="Arial"/>
          <w:sz w:val="20"/>
          <w:szCs w:val="20"/>
          <w:lang w:eastAsia="en-US"/>
        </w:rPr>
        <w:t xml:space="preserve">l señor Ortiz </w:t>
      </w:r>
      <w:r w:rsidR="0050619F">
        <w:rPr>
          <w:rFonts w:eastAsia="Batang"/>
          <w:sz w:val="20"/>
          <w:lang w:eastAsia="en-US"/>
        </w:rPr>
        <w:t>Hernández</w:t>
      </w:r>
      <w:r w:rsidR="00B62523" w:rsidRPr="0001748B">
        <w:rPr>
          <w:rFonts w:eastAsiaTheme="minorHAnsi" w:cs="Arial"/>
          <w:sz w:val="20"/>
          <w:szCs w:val="20"/>
          <w:lang w:eastAsia="en-US"/>
        </w:rPr>
        <w:t xml:space="preserve"> fueron dos proyectiles “completos” y señaló que pudo verificar en la parte interna del cuerpo que del orificio continuaba completamente un túnel limpio</w:t>
      </w:r>
      <w:r w:rsidR="00B62523" w:rsidRPr="0001748B">
        <w:rPr>
          <w:rFonts w:eastAsiaTheme="minorHAnsi" w:cs="Arial"/>
          <w:sz w:val="20"/>
          <w:szCs w:val="20"/>
          <w:vertAlign w:val="superscript"/>
          <w:lang w:eastAsia="en-US"/>
        </w:rPr>
        <w:footnoteReference w:id="156"/>
      </w:r>
      <w:r w:rsidR="00B62523" w:rsidRPr="0001748B">
        <w:rPr>
          <w:rFonts w:eastAsiaTheme="minorHAnsi" w:cs="Arial"/>
          <w:sz w:val="20"/>
          <w:szCs w:val="20"/>
          <w:lang w:eastAsia="en-US"/>
        </w:rPr>
        <w:t>. Ante esta Corte, reafirmó sus conclusiones al sostener que, “[d]e acuerdo con lo que se explica en la literatura y lo que nosotros tenemos como experiencia de los casos practicados, las heridas redondeadas en ojal son provocadas por proyectiles completos”</w:t>
      </w:r>
      <w:r w:rsidR="00B62523" w:rsidRPr="0001748B">
        <w:rPr>
          <w:rFonts w:eastAsiaTheme="minorHAnsi" w:cs="Arial"/>
          <w:sz w:val="20"/>
          <w:szCs w:val="20"/>
          <w:vertAlign w:val="superscript"/>
          <w:lang w:eastAsia="en-US"/>
        </w:rPr>
        <w:footnoteReference w:id="157"/>
      </w:r>
      <w:r w:rsidR="00B62523" w:rsidRPr="0001748B">
        <w:rPr>
          <w:rFonts w:eastAsiaTheme="minorHAnsi" w:cs="Arial"/>
          <w:sz w:val="20"/>
          <w:szCs w:val="20"/>
          <w:lang w:eastAsia="en-US"/>
        </w:rPr>
        <w:t>, concluyendo que “[h]asta el día de hoy me atrevo a asegurar que es una herida por arma de fuego de tipo corta”</w:t>
      </w:r>
      <w:r w:rsidR="00B62523" w:rsidRPr="0001748B">
        <w:rPr>
          <w:rFonts w:eastAsiaTheme="minorHAnsi" w:cs="Arial"/>
          <w:sz w:val="20"/>
          <w:szCs w:val="20"/>
          <w:vertAlign w:val="superscript"/>
          <w:lang w:eastAsia="en-US"/>
        </w:rPr>
        <w:footnoteReference w:id="158"/>
      </w:r>
      <w:r w:rsidR="00B62523" w:rsidRPr="0001748B">
        <w:rPr>
          <w:rFonts w:eastAsiaTheme="minorHAnsi" w:cs="Arial"/>
          <w:sz w:val="20"/>
          <w:szCs w:val="20"/>
          <w:lang w:eastAsia="en-US"/>
        </w:rPr>
        <w:t>. En este sentido, la perita aclaró que si se tratara de un arma de fuego de alta potencia, al ser disparada a gran distancia, generalmente las entradas se</w:t>
      </w:r>
      <w:r w:rsidR="00A33A8E" w:rsidRPr="0001748B">
        <w:rPr>
          <w:rFonts w:eastAsiaTheme="minorHAnsi" w:cs="Arial"/>
          <w:sz w:val="20"/>
          <w:szCs w:val="20"/>
          <w:lang w:eastAsia="en-US"/>
        </w:rPr>
        <w:t>rí</w:t>
      </w:r>
      <w:r w:rsidR="00B62523" w:rsidRPr="0001748B">
        <w:rPr>
          <w:rFonts w:eastAsiaTheme="minorHAnsi" w:cs="Arial"/>
          <w:sz w:val="20"/>
          <w:szCs w:val="20"/>
          <w:lang w:eastAsia="en-US"/>
        </w:rPr>
        <w:t>an puntiformes y las salidas boquetes amplios</w:t>
      </w:r>
      <w:r w:rsidR="00A33A8E" w:rsidRPr="0001748B">
        <w:rPr>
          <w:rFonts w:eastAsiaTheme="minorHAnsi" w:cs="Arial"/>
          <w:sz w:val="20"/>
          <w:szCs w:val="20"/>
          <w:lang w:eastAsia="en-US"/>
        </w:rPr>
        <w:t>. Así</w:t>
      </w:r>
      <w:r w:rsidR="00B62523" w:rsidRPr="0001748B">
        <w:rPr>
          <w:rFonts w:eastAsiaTheme="minorHAnsi" w:cs="Arial"/>
          <w:sz w:val="20"/>
          <w:szCs w:val="20"/>
          <w:lang w:eastAsia="en-US"/>
        </w:rPr>
        <w:t xml:space="preserve">, mientras más cerca se encuentre el arma de alta potencia, el </w:t>
      </w:r>
      <w:r w:rsidR="00A33A8E" w:rsidRPr="0001748B">
        <w:rPr>
          <w:rFonts w:eastAsiaTheme="minorHAnsi" w:cs="Arial"/>
          <w:sz w:val="20"/>
          <w:szCs w:val="20"/>
          <w:lang w:eastAsia="en-US"/>
        </w:rPr>
        <w:t xml:space="preserve">orificio de entrada </w:t>
      </w:r>
      <w:r w:rsidR="00B62523" w:rsidRPr="0001748B">
        <w:rPr>
          <w:rFonts w:eastAsiaTheme="minorHAnsi" w:cs="Arial"/>
          <w:sz w:val="20"/>
          <w:szCs w:val="20"/>
          <w:lang w:eastAsia="en-US"/>
        </w:rPr>
        <w:t>ya no será un punto sino que será un boquete</w:t>
      </w:r>
      <w:r w:rsidR="00A33A8E" w:rsidRPr="0001748B">
        <w:rPr>
          <w:rFonts w:eastAsiaTheme="minorHAnsi" w:cs="Arial"/>
          <w:sz w:val="20"/>
          <w:szCs w:val="20"/>
          <w:lang w:eastAsia="en-US"/>
        </w:rPr>
        <w:t>,</w:t>
      </w:r>
      <w:r w:rsidR="00B62523" w:rsidRPr="0001748B">
        <w:rPr>
          <w:rFonts w:eastAsiaTheme="minorHAnsi" w:cs="Arial"/>
          <w:sz w:val="20"/>
          <w:szCs w:val="20"/>
          <w:lang w:eastAsia="en-US"/>
        </w:rPr>
        <w:t xml:space="preserve"> y </w:t>
      </w:r>
      <w:r w:rsidR="00A33A8E" w:rsidRPr="0001748B">
        <w:rPr>
          <w:rFonts w:eastAsiaTheme="minorHAnsi" w:cs="Arial"/>
          <w:sz w:val="20"/>
          <w:szCs w:val="20"/>
          <w:lang w:eastAsia="en-US"/>
        </w:rPr>
        <w:t xml:space="preserve">en la salida se constatará </w:t>
      </w:r>
      <w:r w:rsidR="00B62523" w:rsidRPr="0001748B">
        <w:rPr>
          <w:rFonts w:eastAsiaTheme="minorHAnsi" w:cs="Arial"/>
          <w:sz w:val="20"/>
          <w:szCs w:val="20"/>
          <w:lang w:eastAsia="en-US"/>
        </w:rPr>
        <w:t>un boquete más amplio</w:t>
      </w:r>
      <w:r w:rsidR="00B62523" w:rsidRPr="0001748B">
        <w:rPr>
          <w:rFonts w:eastAsiaTheme="minorHAnsi" w:cs="Arial"/>
          <w:sz w:val="20"/>
          <w:szCs w:val="20"/>
          <w:vertAlign w:val="superscript"/>
          <w:lang w:eastAsia="en-US"/>
        </w:rPr>
        <w:footnoteReference w:id="159"/>
      </w:r>
      <w:r w:rsidR="00B62523" w:rsidRPr="0001748B">
        <w:rPr>
          <w:rFonts w:eastAsiaTheme="minorHAnsi" w:cs="Arial"/>
          <w:sz w:val="20"/>
          <w:szCs w:val="20"/>
          <w:lang w:eastAsia="en-US"/>
        </w:rPr>
        <w:t>.</w:t>
      </w:r>
    </w:p>
    <w:p w:rsidR="00B62523" w:rsidRPr="0001748B" w:rsidRDefault="00B62523" w:rsidP="00B62523">
      <w:pPr>
        <w:widowControl/>
        <w:autoSpaceDE w:val="0"/>
        <w:autoSpaceDN w:val="0"/>
        <w:spacing w:line="240" w:lineRule="auto"/>
        <w:textAlignment w:val="auto"/>
        <w:rPr>
          <w:rFonts w:eastAsiaTheme="minorHAnsi" w:cs="Arial"/>
          <w:sz w:val="20"/>
          <w:szCs w:val="20"/>
          <w:lang w:eastAsia="en-US"/>
        </w:rPr>
      </w:pPr>
    </w:p>
    <w:p w:rsidR="00B62523" w:rsidRPr="0001748B" w:rsidRDefault="00B62523" w:rsidP="00B62523">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 xml:space="preserve">Además, uno de los profesionales intervinientes en el acto de exhumación del cadáver que tuvo lugar el 7 de mayo de 1998, al prestar declaración testimonial ante el Juzgado Militar remarcó, por un lado, </w:t>
      </w:r>
      <w:r w:rsidRPr="0001748B">
        <w:rPr>
          <w:rFonts w:eastAsia="Calibri" w:cs="Calibri"/>
          <w:sz w:val="20"/>
          <w:szCs w:val="20"/>
          <w:lang w:eastAsia="en-US"/>
        </w:rPr>
        <w:t>que</w:t>
      </w:r>
      <w:r w:rsidRPr="0001748B">
        <w:rPr>
          <w:rFonts w:eastAsiaTheme="minorHAnsi" w:cs="Arial"/>
          <w:sz w:val="20"/>
          <w:szCs w:val="20"/>
          <w:lang w:eastAsia="en-US"/>
        </w:rPr>
        <w:t xml:space="preserve"> el orificio corroborado en el cadáver del señor Ortiz Hernández era </w:t>
      </w:r>
      <w:r w:rsidRPr="0001748B">
        <w:rPr>
          <w:rFonts w:eastAsiaTheme="minorHAnsi" w:cs="Arial"/>
          <w:sz w:val="20"/>
          <w:szCs w:val="20"/>
          <w:lang w:eastAsia="en-US"/>
        </w:rPr>
        <w:lastRenderedPageBreak/>
        <w:t xml:space="preserve">circular y, por otro, que una esquirla de un proyectil deja una trayectoria completamente diferente a un proyectil completo. Pero, además, agregó que el orificio en cuestión pertenecía a un proyectil de pequeño calibre, que no se corresponde con el producido por un arma del calibre de la </w:t>
      </w:r>
      <w:r w:rsidR="008D20E0">
        <w:rPr>
          <w:rFonts w:eastAsiaTheme="minorHAnsi" w:cs="Arial"/>
          <w:sz w:val="20"/>
          <w:szCs w:val="20"/>
          <w:lang w:eastAsia="en-US"/>
        </w:rPr>
        <w:t xml:space="preserve">ametralladora </w:t>
      </w:r>
      <w:r w:rsidRPr="0001748B">
        <w:rPr>
          <w:rFonts w:eastAsiaTheme="minorHAnsi" w:cs="Arial"/>
          <w:sz w:val="20"/>
          <w:szCs w:val="20"/>
          <w:lang w:eastAsia="en-US"/>
        </w:rPr>
        <w:t>AFAG señalada</w:t>
      </w:r>
      <w:r w:rsidRPr="0001748B">
        <w:rPr>
          <w:rFonts w:eastAsiaTheme="minorHAnsi" w:cs="Arial"/>
          <w:sz w:val="20"/>
          <w:szCs w:val="20"/>
          <w:vertAlign w:val="superscript"/>
          <w:lang w:eastAsia="en-US"/>
        </w:rPr>
        <w:footnoteReference w:id="160"/>
      </w:r>
      <w:r w:rsidRPr="0001748B">
        <w:rPr>
          <w:rFonts w:eastAsiaTheme="minorHAnsi" w:cs="Arial"/>
          <w:sz w:val="20"/>
          <w:szCs w:val="20"/>
          <w:lang w:eastAsia="en-US"/>
        </w:rPr>
        <w:t>.</w:t>
      </w:r>
    </w:p>
    <w:p w:rsidR="00B62523" w:rsidRPr="0001748B" w:rsidRDefault="00B62523" w:rsidP="00B62523">
      <w:pPr>
        <w:widowControl/>
        <w:autoSpaceDE w:val="0"/>
        <w:autoSpaceDN w:val="0"/>
        <w:spacing w:line="240" w:lineRule="auto"/>
        <w:textAlignment w:val="auto"/>
        <w:rPr>
          <w:rFonts w:eastAsiaTheme="minorHAnsi" w:cs="Arial"/>
          <w:sz w:val="20"/>
          <w:szCs w:val="20"/>
          <w:lang w:eastAsia="en-US"/>
        </w:rPr>
      </w:pPr>
    </w:p>
    <w:p w:rsidR="00B62523" w:rsidRPr="0001748B" w:rsidRDefault="00B62523" w:rsidP="00B62523">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En igual</w:t>
      </w:r>
      <w:r w:rsidR="00435D73">
        <w:rPr>
          <w:rFonts w:eastAsiaTheme="minorHAnsi" w:cs="Arial"/>
          <w:sz w:val="20"/>
          <w:szCs w:val="20"/>
          <w:lang w:eastAsia="en-US"/>
        </w:rPr>
        <w:t xml:space="preserve"> </w:t>
      </w:r>
      <w:r w:rsidR="00435D73" w:rsidRPr="00C63F82">
        <w:rPr>
          <w:rFonts w:eastAsiaTheme="minorHAnsi" w:cs="Arial"/>
          <w:sz w:val="20"/>
          <w:szCs w:val="20"/>
          <w:lang w:eastAsia="en-US"/>
        </w:rPr>
        <w:t>sentido</w:t>
      </w:r>
      <w:r w:rsidRPr="00C63F82">
        <w:rPr>
          <w:rFonts w:eastAsiaTheme="minorHAnsi" w:cs="Arial"/>
          <w:sz w:val="20"/>
          <w:szCs w:val="20"/>
          <w:lang w:eastAsia="en-US"/>
        </w:rPr>
        <w:t xml:space="preserve">, </w:t>
      </w:r>
      <w:r w:rsidRPr="0001748B">
        <w:rPr>
          <w:rFonts w:eastAsiaTheme="minorHAnsi" w:cs="Arial"/>
          <w:sz w:val="20"/>
          <w:szCs w:val="20"/>
          <w:lang w:eastAsia="en-US"/>
        </w:rPr>
        <w:t>puede destacarse la declaración prestada el 8 de junio de 1998 por un funcionario del Cuerpo Técnico de la Policía Judicial, quien en relación con la trayectoria balística afirmó que:</w:t>
      </w:r>
    </w:p>
    <w:p w:rsidR="00B62523" w:rsidRPr="0001748B" w:rsidRDefault="00B62523" w:rsidP="00B62523">
      <w:pPr>
        <w:widowControl/>
        <w:autoSpaceDE w:val="0"/>
        <w:autoSpaceDN w:val="0"/>
        <w:spacing w:line="240" w:lineRule="auto"/>
        <w:textAlignment w:val="auto"/>
        <w:rPr>
          <w:rFonts w:eastAsiaTheme="minorHAnsi" w:cs="Arial"/>
          <w:sz w:val="20"/>
          <w:szCs w:val="20"/>
          <w:lang w:eastAsia="en-US"/>
        </w:rPr>
      </w:pPr>
    </w:p>
    <w:p w:rsidR="00B62523" w:rsidRPr="0001748B" w:rsidRDefault="00B62523" w:rsidP="00125C44">
      <w:pPr>
        <w:widowControl/>
        <w:autoSpaceDE w:val="0"/>
        <w:autoSpaceDN w:val="0"/>
        <w:spacing w:line="240" w:lineRule="auto"/>
        <w:ind w:left="567" w:right="582"/>
        <w:textAlignment w:val="auto"/>
        <w:rPr>
          <w:rFonts w:eastAsiaTheme="minorHAnsi" w:cs="Arial"/>
          <w:sz w:val="16"/>
          <w:szCs w:val="16"/>
          <w:lang w:eastAsia="en-US"/>
        </w:rPr>
      </w:pPr>
      <w:r w:rsidRPr="0001748B">
        <w:rPr>
          <w:rFonts w:eastAsiaTheme="minorHAnsi" w:cs="Arial"/>
          <w:sz w:val="16"/>
          <w:szCs w:val="16"/>
          <w:lang w:eastAsia="en-US"/>
        </w:rPr>
        <w:t>[existen] dos posibles alternativas</w:t>
      </w:r>
      <w:r w:rsidR="00774368">
        <w:rPr>
          <w:rFonts w:eastAsiaTheme="minorHAnsi" w:cs="Arial"/>
          <w:sz w:val="16"/>
          <w:szCs w:val="16"/>
          <w:lang w:eastAsia="en-US"/>
        </w:rPr>
        <w:t>[,]</w:t>
      </w:r>
      <w:r w:rsidRPr="0001748B">
        <w:rPr>
          <w:rFonts w:eastAsiaTheme="minorHAnsi" w:cs="Arial"/>
          <w:sz w:val="16"/>
          <w:szCs w:val="16"/>
          <w:lang w:eastAsia="en-US"/>
        </w:rPr>
        <w:t xml:space="preserve"> que el proyectil que ocasionó las heridas haya sido disparado por la AFAG cuestionada sufriendo colisión contra un cuerpo de mayor cohesión molecular para fragmentarse, desviar su trayectoria e impactar contra la humanidad del ciudadano antes referido y la segunda posible alternativa es que los fragmentos extraídos del cadáver del ciudadano antes referido formen parte de un proyectil calibre 7,62 que no haya sido disparado por la AFAG cuestionada, es decir que el disparo se haya realizado con otra arma de fuego del mismo calibre y de otra posición diferente a la ubicación regular de la AFAG que se utilizaba para la práctica del ejercicio</w:t>
      </w:r>
      <w:r w:rsidRPr="0001748B">
        <w:rPr>
          <w:rFonts w:eastAsiaTheme="minorHAnsi" w:cs="Arial"/>
          <w:sz w:val="16"/>
          <w:szCs w:val="16"/>
          <w:vertAlign w:val="superscript"/>
          <w:lang w:eastAsia="en-US"/>
        </w:rPr>
        <w:footnoteReference w:id="161"/>
      </w:r>
      <w:r w:rsidRPr="0001748B">
        <w:rPr>
          <w:rFonts w:eastAsiaTheme="minorHAnsi" w:cs="Arial"/>
          <w:sz w:val="16"/>
          <w:szCs w:val="16"/>
          <w:lang w:eastAsia="en-US"/>
        </w:rPr>
        <w:t>.</w:t>
      </w:r>
    </w:p>
    <w:p w:rsidR="00B62523" w:rsidRPr="0001748B" w:rsidRDefault="00B62523" w:rsidP="00B62523">
      <w:pPr>
        <w:widowControl/>
        <w:autoSpaceDE w:val="0"/>
        <w:autoSpaceDN w:val="0"/>
        <w:spacing w:line="240" w:lineRule="auto"/>
        <w:textAlignment w:val="auto"/>
        <w:rPr>
          <w:rFonts w:eastAsiaTheme="minorHAnsi" w:cs="Arial"/>
          <w:sz w:val="20"/>
          <w:szCs w:val="20"/>
          <w:lang w:eastAsia="en-US"/>
        </w:rPr>
      </w:pPr>
    </w:p>
    <w:p w:rsidR="00B62523" w:rsidRPr="0001748B" w:rsidRDefault="00B62523" w:rsidP="00B62523">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En esta misma línea, la perita médica legista señaló</w:t>
      </w:r>
      <w:r w:rsidR="004C43C5" w:rsidRPr="004C43C5">
        <w:rPr>
          <w:rFonts w:eastAsiaTheme="minorHAnsi" w:cs="Arial"/>
          <w:sz w:val="20"/>
          <w:szCs w:val="20"/>
          <w:lang w:eastAsia="en-US"/>
        </w:rPr>
        <w:t xml:space="preserve"> </w:t>
      </w:r>
      <w:r w:rsidR="004C43C5" w:rsidRPr="0001748B">
        <w:rPr>
          <w:rFonts w:eastAsiaTheme="minorHAnsi" w:cs="Arial"/>
          <w:sz w:val="20"/>
          <w:szCs w:val="20"/>
          <w:lang w:eastAsia="en-US"/>
        </w:rPr>
        <w:t>ante esta Corte</w:t>
      </w:r>
      <w:r w:rsidRPr="0001748B">
        <w:rPr>
          <w:rFonts w:eastAsiaTheme="minorHAnsi" w:cs="Arial"/>
          <w:sz w:val="20"/>
          <w:szCs w:val="20"/>
          <w:lang w:eastAsia="en-US"/>
        </w:rPr>
        <w:t xml:space="preserve"> que “[l]as características macroscópicas de las heridas descritas en región medio clavicular y hombro derecho son compatibles con orificios de entrada de dos proyectiles balísticos completos, ya que se consignan lesiones redondeadas, rodeados de un halo excoriativo e infiltración sanguínea, caracteres constantes en un orificio de entrada por arma de fuego”</w:t>
      </w:r>
      <w:r w:rsidRPr="0001748B">
        <w:rPr>
          <w:rFonts w:eastAsiaTheme="minorEastAsia" w:cs="Arial"/>
          <w:sz w:val="20"/>
          <w:szCs w:val="20"/>
          <w:vertAlign w:val="superscript"/>
          <w:lang w:eastAsia="en-US"/>
        </w:rPr>
        <w:footnoteReference w:id="162"/>
      </w:r>
      <w:r w:rsidRPr="0001748B">
        <w:rPr>
          <w:rFonts w:eastAsiaTheme="minorHAnsi" w:cs="Arial"/>
          <w:sz w:val="20"/>
          <w:szCs w:val="20"/>
          <w:lang w:eastAsia="en-US"/>
        </w:rPr>
        <w:t>. Asimismo, agregó que “[l]a trayectoria de un proyectil termina en plano muscular, sin daño ósea; el otro proyectil luego de su trayecto a nivel pulmonar termina en el incrustado en el sexto arco costal, ambos, sin salida de proyectil, por lo tanto sin mucho daño expansivo intracorpóreo, lo que orienta a pensar en un proyectil que no presentaba alta velocidad”</w:t>
      </w:r>
      <w:r w:rsidRPr="0001748B">
        <w:rPr>
          <w:rFonts w:eastAsiaTheme="minorEastAsia" w:cs="Arial"/>
          <w:sz w:val="20"/>
          <w:szCs w:val="20"/>
          <w:vertAlign w:val="superscript"/>
          <w:lang w:eastAsia="en-US"/>
        </w:rPr>
        <w:footnoteReference w:id="163"/>
      </w:r>
      <w:r w:rsidRPr="0001748B">
        <w:rPr>
          <w:rFonts w:eastAsiaTheme="minorHAnsi" w:cs="Arial"/>
          <w:sz w:val="20"/>
          <w:szCs w:val="20"/>
          <w:lang w:eastAsia="en-US"/>
        </w:rPr>
        <w:t xml:space="preserve">. De lo anterior, la perita concluyó que “se puede inferir que las lesiones presentadas por </w:t>
      </w:r>
      <w:r w:rsidR="00DF510B">
        <w:rPr>
          <w:rFonts w:eastAsiaTheme="minorHAnsi" w:cs="Arial"/>
          <w:sz w:val="20"/>
          <w:szCs w:val="20"/>
          <w:lang w:eastAsia="en-US"/>
        </w:rPr>
        <w:t>Johan Alexis Ortiz Hernández</w:t>
      </w:r>
      <w:r w:rsidRPr="0001748B">
        <w:rPr>
          <w:rFonts w:eastAsiaTheme="minorHAnsi" w:cs="Arial"/>
          <w:sz w:val="20"/>
          <w:szCs w:val="20"/>
          <w:lang w:eastAsia="en-US"/>
        </w:rPr>
        <w:t xml:space="preserve"> son mejor explicadas por dos proyectiles balísticos completos (no fragmentados y/o deformados) y de baja energía, eventualmente por arma corta”</w:t>
      </w:r>
      <w:r w:rsidRPr="0001748B">
        <w:rPr>
          <w:rFonts w:eastAsiaTheme="minorEastAsia" w:cs="Arial"/>
          <w:sz w:val="20"/>
          <w:szCs w:val="20"/>
          <w:vertAlign w:val="superscript"/>
          <w:lang w:eastAsia="en-US"/>
        </w:rPr>
        <w:footnoteReference w:id="164"/>
      </w:r>
      <w:r w:rsidRPr="0001748B">
        <w:rPr>
          <w:rFonts w:eastAsiaTheme="minorHAnsi" w:cs="Arial"/>
          <w:sz w:val="20"/>
          <w:szCs w:val="20"/>
          <w:lang w:eastAsia="en-US"/>
        </w:rPr>
        <w:t>.</w:t>
      </w:r>
    </w:p>
    <w:p w:rsidR="00B62523" w:rsidRPr="0001748B" w:rsidRDefault="00B62523" w:rsidP="00B62523">
      <w:pPr>
        <w:widowControl/>
        <w:autoSpaceDE w:val="0"/>
        <w:autoSpaceDN w:val="0"/>
        <w:spacing w:line="240" w:lineRule="auto"/>
        <w:textAlignment w:val="auto"/>
        <w:rPr>
          <w:rFonts w:eastAsiaTheme="minorHAnsi" w:cs="Arial"/>
          <w:sz w:val="20"/>
          <w:szCs w:val="20"/>
          <w:lang w:eastAsia="en-US"/>
        </w:rPr>
      </w:pPr>
    </w:p>
    <w:p w:rsidR="00B62523" w:rsidRPr="0001748B" w:rsidRDefault="00B62523" w:rsidP="00B62523">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 xml:space="preserve">De igual forma, el perito experto en el uso de armas de guerra e instrucción militar, Maurice Larée Quevedo, afirmó </w:t>
      </w:r>
      <w:r w:rsidR="005A5E15" w:rsidRPr="0001748B">
        <w:rPr>
          <w:rFonts w:eastAsiaTheme="minorHAnsi" w:cs="Arial"/>
          <w:sz w:val="20"/>
          <w:szCs w:val="20"/>
          <w:lang w:eastAsia="en-US"/>
        </w:rPr>
        <w:t xml:space="preserve">ante esta Corte </w:t>
      </w:r>
      <w:r w:rsidRPr="0001748B">
        <w:rPr>
          <w:rFonts w:eastAsiaTheme="minorHAnsi" w:cs="Arial"/>
          <w:sz w:val="20"/>
          <w:szCs w:val="20"/>
          <w:lang w:eastAsia="en-US"/>
        </w:rPr>
        <w:t>que “[d]efinitivamente la trayectoria de los disparos que impactaron en el cuerpo de Johan Alexis Ortiz no corresponde a la ametralladora AFAG 7,62 mm”, sino que corresponde a un arma corta</w:t>
      </w:r>
      <w:r w:rsidRPr="0001748B">
        <w:rPr>
          <w:rFonts w:eastAsiaTheme="minorEastAsia" w:cs="Arial"/>
          <w:sz w:val="20"/>
          <w:szCs w:val="20"/>
          <w:vertAlign w:val="superscript"/>
          <w:lang w:eastAsia="en-US"/>
        </w:rPr>
        <w:footnoteReference w:id="165"/>
      </w:r>
      <w:r w:rsidRPr="0001748B">
        <w:rPr>
          <w:rFonts w:eastAsiaTheme="minorHAnsi" w:cs="Arial"/>
          <w:sz w:val="20"/>
          <w:szCs w:val="20"/>
          <w:lang w:eastAsia="en-US"/>
        </w:rPr>
        <w:t xml:space="preserve">. Dicha conclusión se basó en los siguientes aspectos: i) la ametralladora se ubicaba al costado sur de la cancha, lo que implica que disparaba hacia el norte; ii) la cancha se ubicaba de este a oeste y era pasada por los alumnos en dirección oeste, de modo tal que el costado izquierdo de Johan Alexis quedaba expuesto a la trayectoria de los disparos de la ametralladora; iii) la trayectoria de la ametralladora no pudo causar las dos heridas que presentaba el cuerpo de Johan Alexis, dado que las mismas se encontraban en el costado superior derecho de </w:t>
      </w:r>
      <w:r w:rsidRPr="0001748B">
        <w:rPr>
          <w:rFonts w:eastAsiaTheme="minorHAnsi" w:cs="Arial"/>
          <w:sz w:val="20"/>
          <w:szCs w:val="20"/>
          <w:lang w:eastAsia="en-US"/>
        </w:rPr>
        <w:lastRenderedPageBreak/>
        <w:t>su cuerpo, parte corporal que de acuerdo a la dirección de avance, como de su posición decúbito ventral (arrastre), quedaba a cubierto de la trayectoria de los proyectiles; iv) para que ocurriera la fragmentación de la munición calibre 7,62 mm de la ametralladora debería haber impactado con un cuerpo de mayor solidez que no fuera perforado, de modo tal que la munición se hubiera deformado y, por tanto, las heridas de entrada en el cuerpo humano serían de forma irregular y su trayectoria al interior del cuerpo no presentaría las características de tubos o canales que genera un proyectil entero; v) las heridas en el cuerpo de Johan Alexis no presentaban las características propias de impactos de ametralladoras, toda vez que internamente podían visualizarse los tubos o canales propios de disparos de un arma corta</w:t>
      </w:r>
      <w:r w:rsidR="00ED1919">
        <w:rPr>
          <w:rFonts w:eastAsiaTheme="minorHAnsi" w:cs="Arial"/>
          <w:sz w:val="20"/>
          <w:szCs w:val="20"/>
          <w:lang w:eastAsia="en-US"/>
        </w:rPr>
        <w:t>,</w:t>
      </w:r>
      <w:r w:rsidRPr="0001748B">
        <w:rPr>
          <w:rFonts w:eastAsiaTheme="minorHAnsi" w:cs="Arial"/>
          <w:sz w:val="20"/>
          <w:szCs w:val="20"/>
          <w:lang w:eastAsia="en-US"/>
        </w:rPr>
        <w:t xml:space="preserve"> y vi) dada la mínima distancia entre la ametralladora y el cuerpo de Johan Alexis, de haber sido la ametralladora la que causó las heridas, éstas hubieran sido de grandes proporciones debido a la velocidad de los disparos y la fuerza del impacto, determinando la existencia de heridas de salida del proyectil con un orificio explosivo muy grande</w:t>
      </w:r>
      <w:r w:rsidRPr="0001748B">
        <w:rPr>
          <w:rFonts w:eastAsiaTheme="minorEastAsia" w:cs="Arial"/>
          <w:sz w:val="20"/>
          <w:szCs w:val="20"/>
          <w:vertAlign w:val="superscript"/>
          <w:lang w:eastAsia="en-US"/>
        </w:rPr>
        <w:footnoteReference w:id="166"/>
      </w:r>
      <w:r w:rsidRPr="0001748B">
        <w:rPr>
          <w:rFonts w:eastAsiaTheme="minorHAnsi" w:cs="Arial"/>
          <w:sz w:val="20"/>
          <w:szCs w:val="20"/>
          <w:lang w:eastAsia="en-US"/>
        </w:rPr>
        <w:t>.</w:t>
      </w:r>
    </w:p>
    <w:p w:rsidR="00B62523" w:rsidRPr="0001748B" w:rsidRDefault="00B62523" w:rsidP="00B62523">
      <w:pPr>
        <w:tabs>
          <w:tab w:val="left" w:pos="567"/>
        </w:tabs>
        <w:spacing w:line="240" w:lineRule="auto"/>
        <w:rPr>
          <w:rFonts w:eastAsiaTheme="minorHAnsi" w:cs="Arial"/>
          <w:sz w:val="20"/>
          <w:szCs w:val="20"/>
          <w:lang w:eastAsia="en-US"/>
        </w:rPr>
      </w:pPr>
    </w:p>
    <w:p w:rsidR="00B62523" w:rsidRPr="0001748B" w:rsidRDefault="00B62523" w:rsidP="00B62523">
      <w:pPr>
        <w:numPr>
          <w:ilvl w:val="0"/>
          <w:numId w:val="1"/>
        </w:numPr>
        <w:tabs>
          <w:tab w:val="left" w:pos="567"/>
          <w:tab w:val="num" w:pos="5057"/>
        </w:tabs>
        <w:spacing w:line="240" w:lineRule="auto"/>
        <w:ind w:left="0" w:firstLine="0"/>
        <w:rPr>
          <w:rFonts w:eastAsiaTheme="minorHAnsi" w:cstheme="minorBidi"/>
          <w:b/>
          <w:i/>
          <w:sz w:val="20"/>
          <w:szCs w:val="20"/>
          <w:lang w:eastAsia="en-US"/>
        </w:rPr>
      </w:pPr>
      <w:r w:rsidRPr="0001748B">
        <w:rPr>
          <w:rFonts w:eastAsiaTheme="minorHAnsi" w:cs="Arial"/>
          <w:sz w:val="20"/>
          <w:lang w:eastAsia="en-US"/>
        </w:rPr>
        <w:t xml:space="preserve">En definitiva, y más allá de determinar </w:t>
      </w:r>
      <w:r w:rsidR="002B667F" w:rsidRPr="0001748B">
        <w:rPr>
          <w:rFonts w:eastAsiaTheme="minorHAnsi" w:cs="Arial"/>
          <w:sz w:val="20"/>
          <w:lang w:eastAsia="en-US"/>
        </w:rPr>
        <w:t xml:space="preserve">a </w:t>
      </w:r>
      <w:r w:rsidRPr="0001748B">
        <w:rPr>
          <w:rFonts w:eastAsiaTheme="minorHAnsi" w:cs="Arial"/>
          <w:sz w:val="20"/>
          <w:lang w:eastAsia="en-US"/>
        </w:rPr>
        <w:t>quién correspond</w:t>
      </w:r>
      <w:r w:rsidR="002B667F" w:rsidRPr="0001748B">
        <w:rPr>
          <w:rFonts w:eastAsiaTheme="minorHAnsi" w:cs="Arial"/>
          <w:sz w:val="20"/>
          <w:lang w:eastAsia="en-US"/>
        </w:rPr>
        <w:t>e</w:t>
      </w:r>
      <w:r w:rsidRPr="0001748B">
        <w:rPr>
          <w:rFonts w:eastAsiaTheme="minorHAnsi" w:cs="Arial"/>
          <w:sz w:val="20"/>
          <w:lang w:eastAsia="en-US"/>
        </w:rPr>
        <w:t xml:space="preserve"> responder penalmente por los hechos, lo cierto es que el Estado </w:t>
      </w:r>
      <w:r w:rsidRPr="0001748B">
        <w:rPr>
          <w:rFonts w:eastAsiaTheme="minorHAnsi" w:cs="Arial"/>
          <w:sz w:val="20"/>
          <w:szCs w:val="20"/>
          <w:lang w:eastAsia="en-US"/>
        </w:rPr>
        <w:t xml:space="preserve">no presentó ante este Tribunal avances en la investigación iniciada por sus autoridades que permitieran desvirtuar </w:t>
      </w:r>
      <w:r w:rsidR="00534961">
        <w:rPr>
          <w:rFonts w:eastAsiaTheme="minorHAnsi" w:cs="Arial"/>
          <w:sz w:val="20"/>
          <w:szCs w:val="20"/>
          <w:lang w:eastAsia="en-US"/>
        </w:rPr>
        <w:t>la hipótesis s</w:t>
      </w:r>
      <w:r w:rsidRPr="0001748B">
        <w:rPr>
          <w:rFonts w:eastAsiaTheme="minorHAnsi" w:cs="Arial"/>
          <w:sz w:val="20"/>
          <w:szCs w:val="20"/>
          <w:lang w:eastAsia="en-US"/>
        </w:rPr>
        <w:t xml:space="preserve">obre la </w:t>
      </w:r>
      <w:r w:rsidRPr="0001748B">
        <w:rPr>
          <w:rFonts w:eastAsiaTheme="minorHAnsi" w:cs="Arial"/>
          <w:sz w:val="20"/>
          <w:lang w:eastAsia="en-US"/>
        </w:rPr>
        <w:t xml:space="preserve">muerte violenta </w:t>
      </w:r>
      <w:r w:rsidRPr="0001748B">
        <w:rPr>
          <w:rFonts w:eastAsiaTheme="minorHAnsi" w:cs="Arial"/>
          <w:sz w:val="20"/>
          <w:szCs w:val="20"/>
          <w:lang w:eastAsia="en-US"/>
        </w:rPr>
        <w:t xml:space="preserve">del señor Ortiz Hernández </w:t>
      </w:r>
      <w:r w:rsidR="003E6DBA" w:rsidRPr="0001748B">
        <w:rPr>
          <w:rFonts w:eastAsiaTheme="minorHAnsi" w:cs="Arial"/>
          <w:sz w:val="20"/>
          <w:szCs w:val="20"/>
          <w:lang w:eastAsia="en-US"/>
        </w:rPr>
        <w:t xml:space="preserve">a causa de dos proyectiles enteros </w:t>
      </w:r>
      <w:r w:rsidR="002B667F" w:rsidRPr="0001748B">
        <w:rPr>
          <w:rFonts w:eastAsiaTheme="minorHAnsi" w:cs="Arial"/>
          <w:sz w:val="20"/>
          <w:szCs w:val="20"/>
          <w:lang w:eastAsia="en-US"/>
        </w:rPr>
        <w:t>de arma corta</w:t>
      </w:r>
      <w:r w:rsidRPr="0001748B">
        <w:rPr>
          <w:rFonts w:eastAsiaTheme="minorHAnsi" w:cs="Arial"/>
          <w:sz w:val="20"/>
          <w:szCs w:val="20"/>
          <w:lang w:eastAsia="en-US"/>
        </w:rPr>
        <w:t>.</w:t>
      </w:r>
      <w:r w:rsidR="003E6DBA" w:rsidRPr="0001748B">
        <w:rPr>
          <w:rFonts w:eastAsiaTheme="minorHAnsi" w:cs="Arial"/>
          <w:sz w:val="20"/>
          <w:szCs w:val="20"/>
          <w:lang w:eastAsia="en-US"/>
        </w:rPr>
        <w:t xml:space="preserve"> </w:t>
      </w:r>
      <w:r w:rsidR="002B667F" w:rsidRPr="0001748B">
        <w:rPr>
          <w:rFonts w:eastAsiaTheme="minorHAnsi" w:cs="Arial"/>
          <w:sz w:val="20"/>
          <w:szCs w:val="20"/>
          <w:lang w:eastAsia="en-US"/>
        </w:rPr>
        <w:t>En efecto</w:t>
      </w:r>
      <w:r w:rsidR="003E6DBA" w:rsidRPr="0001748B">
        <w:rPr>
          <w:rFonts w:eastAsiaTheme="minorHAnsi" w:cs="Arial"/>
          <w:sz w:val="20"/>
          <w:szCs w:val="20"/>
          <w:lang w:eastAsia="en-US"/>
        </w:rPr>
        <w:t>, como será analizado posteriormente (</w:t>
      </w:r>
      <w:r w:rsidR="003E6DBA" w:rsidRPr="0001748B">
        <w:rPr>
          <w:rFonts w:eastAsiaTheme="minorHAnsi" w:cs="Arial"/>
          <w:i/>
          <w:sz w:val="20"/>
          <w:szCs w:val="20"/>
          <w:lang w:eastAsia="en-US"/>
        </w:rPr>
        <w:t>infra</w:t>
      </w:r>
      <w:r w:rsidR="003E6DBA" w:rsidRPr="0001748B">
        <w:rPr>
          <w:rFonts w:eastAsiaTheme="minorHAnsi" w:cs="Arial"/>
          <w:sz w:val="20"/>
          <w:szCs w:val="20"/>
          <w:lang w:eastAsia="en-US"/>
        </w:rPr>
        <w:t xml:space="preserve"> párr. </w:t>
      </w:r>
      <w:r w:rsidR="00927DF1">
        <w:rPr>
          <w:rFonts w:eastAsiaTheme="minorHAnsi" w:cs="Arial"/>
          <w:sz w:val="20"/>
          <w:szCs w:val="20"/>
          <w:lang w:eastAsia="en-US"/>
        </w:rPr>
        <w:t>169</w:t>
      </w:r>
      <w:r w:rsidR="00927DF1" w:rsidRPr="0001748B">
        <w:rPr>
          <w:rFonts w:eastAsiaTheme="minorHAnsi" w:cs="Arial"/>
          <w:sz w:val="20"/>
          <w:szCs w:val="20"/>
          <w:lang w:eastAsia="en-US"/>
        </w:rPr>
        <w:t xml:space="preserve">), </w:t>
      </w:r>
      <w:r w:rsidR="003E6DBA" w:rsidRPr="0001748B">
        <w:rPr>
          <w:rFonts w:eastAsiaTheme="minorHAnsi" w:cs="Arial"/>
          <w:sz w:val="20"/>
          <w:szCs w:val="20"/>
          <w:lang w:eastAsia="en-US"/>
        </w:rPr>
        <w:t xml:space="preserve">las autoridades internas no han dirigido su investigación a fin de confirmar o desvirtuar </w:t>
      </w:r>
      <w:r w:rsidR="002B667F" w:rsidRPr="0001748B">
        <w:rPr>
          <w:rFonts w:eastAsiaTheme="minorHAnsi" w:cs="Arial"/>
          <w:sz w:val="20"/>
          <w:szCs w:val="20"/>
          <w:lang w:eastAsia="en-US"/>
        </w:rPr>
        <w:t>la</w:t>
      </w:r>
      <w:r w:rsidR="003E6DBA" w:rsidRPr="0001748B">
        <w:rPr>
          <w:rFonts w:eastAsiaTheme="minorHAnsi" w:cs="Arial"/>
          <w:sz w:val="20"/>
          <w:szCs w:val="20"/>
          <w:lang w:eastAsia="en-US"/>
        </w:rPr>
        <w:t xml:space="preserve"> hipótesis</w:t>
      </w:r>
      <w:r w:rsidR="002B667F" w:rsidRPr="0001748B">
        <w:rPr>
          <w:rFonts w:eastAsiaTheme="minorHAnsi" w:cs="Arial"/>
          <w:sz w:val="20"/>
          <w:szCs w:val="20"/>
          <w:lang w:eastAsia="en-US"/>
        </w:rPr>
        <w:t xml:space="preserve"> relativa al arma corta</w:t>
      </w:r>
      <w:r w:rsidR="003E6DBA" w:rsidRPr="0001748B">
        <w:rPr>
          <w:rFonts w:eastAsiaTheme="minorHAnsi" w:cs="Arial"/>
          <w:sz w:val="20"/>
          <w:szCs w:val="20"/>
          <w:lang w:eastAsia="en-US"/>
        </w:rPr>
        <w:t>.</w:t>
      </w:r>
      <w:r w:rsidRPr="0001748B">
        <w:rPr>
          <w:rFonts w:eastAsiaTheme="minorHAnsi" w:cs="Arial"/>
          <w:sz w:val="20"/>
          <w:szCs w:val="20"/>
          <w:lang w:eastAsia="en-US"/>
        </w:rPr>
        <w:t xml:space="preserve"> </w:t>
      </w:r>
      <w:r w:rsidRPr="0001748B">
        <w:rPr>
          <w:rFonts w:eastAsiaTheme="minorHAnsi" w:cs="Arial"/>
          <w:sz w:val="20"/>
          <w:lang w:eastAsia="en-US"/>
        </w:rPr>
        <w:t xml:space="preserve">Así, </w:t>
      </w:r>
      <w:r w:rsidRPr="000F69FA">
        <w:rPr>
          <w:rFonts w:eastAsiaTheme="minorHAnsi" w:cs="Arial"/>
          <w:sz w:val="20"/>
          <w:lang w:eastAsia="en-US"/>
        </w:rPr>
        <w:t>transcurridos más de 19 años desde la muerte violenta del señor Ortiz Hernández, el Estado ha permitido que hasta ahora sea imposible determinar las responsabilidades individuales correspondientes, por lo que la Corte considera</w:t>
      </w:r>
      <w:r w:rsidRPr="000F69FA">
        <w:rPr>
          <w:rFonts w:eastAsiaTheme="minorHAnsi" w:cs="Arial"/>
          <w:sz w:val="20"/>
          <w:szCs w:val="20"/>
          <w:lang w:eastAsia="en-US"/>
        </w:rPr>
        <w:t xml:space="preserve"> que concluir lo contrario implicaría </w:t>
      </w:r>
      <w:r w:rsidR="00534961">
        <w:rPr>
          <w:rFonts w:eastAsiaTheme="minorHAnsi" w:cs="Arial"/>
          <w:sz w:val="20"/>
          <w:szCs w:val="20"/>
          <w:lang w:eastAsia="en-US"/>
        </w:rPr>
        <w:t xml:space="preserve">que el </w:t>
      </w:r>
      <w:r w:rsidRPr="000F69FA">
        <w:rPr>
          <w:rFonts w:eastAsiaTheme="minorHAnsi" w:cs="Arial"/>
          <w:sz w:val="20"/>
          <w:szCs w:val="20"/>
          <w:lang w:eastAsia="en-US"/>
        </w:rPr>
        <w:t>Estado</w:t>
      </w:r>
      <w:r w:rsidR="00534961">
        <w:rPr>
          <w:rFonts w:eastAsiaTheme="minorHAnsi" w:cs="Arial"/>
          <w:sz w:val="20"/>
          <w:szCs w:val="20"/>
          <w:lang w:eastAsia="en-US"/>
        </w:rPr>
        <w:t xml:space="preserve"> pudiera </w:t>
      </w:r>
      <w:r w:rsidRPr="000F69FA">
        <w:rPr>
          <w:rFonts w:eastAsiaTheme="minorHAnsi" w:cs="Arial"/>
          <w:sz w:val="20"/>
          <w:szCs w:val="20"/>
          <w:lang w:eastAsia="en-US"/>
        </w:rPr>
        <w:t>ampararse en la</w:t>
      </w:r>
      <w:r w:rsidRPr="0001748B">
        <w:rPr>
          <w:rFonts w:eastAsiaTheme="minorHAnsi" w:cs="Arial"/>
          <w:sz w:val="20"/>
          <w:szCs w:val="20"/>
          <w:lang w:eastAsia="en-US"/>
        </w:rPr>
        <w:t xml:space="preserve"> negligencia e inefectividad de la investigación penal para sustraerse de su responsabilidad por la violación del deber de respeto que mandata la prohibición de privar de la vida arbitrariamente a una persona, de conformidad con el artículo 4.1 de la Convención</w:t>
      </w:r>
      <w:r w:rsidR="00434647">
        <w:rPr>
          <w:rFonts w:eastAsiaTheme="minorHAnsi" w:cs="Arial"/>
          <w:sz w:val="20"/>
          <w:szCs w:val="20"/>
          <w:lang w:eastAsia="en-US"/>
        </w:rPr>
        <w:t xml:space="preserve"> </w:t>
      </w:r>
      <w:r w:rsidR="00434647" w:rsidRPr="0001748B">
        <w:rPr>
          <w:rFonts w:cs="Verdana"/>
          <w:sz w:val="20"/>
          <w:szCs w:val="20"/>
        </w:rPr>
        <w:t>Americana</w:t>
      </w:r>
      <w:r w:rsidRPr="0001748B">
        <w:rPr>
          <w:rFonts w:eastAsiaTheme="minorHAnsi" w:cs="Arial"/>
          <w:sz w:val="20"/>
          <w:szCs w:val="20"/>
          <w:lang w:eastAsia="en-US"/>
        </w:rPr>
        <w:t>.</w:t>
      </w:r>
    </w:p>
    <w:p w:rsidR="00E931EC" w:rsidRPr="0001748B" w:rsidRDefault="00E931EC" w:rsidP="00E931EC">
      <w:pPr>
        <w:tabs>
          <w:tab w:val="left" w:pos="567"/>
        </w:tabs>
        <w:spacing w:line="240" w:lineRule="auto"/>
        <w:rPr>
          <w:rFonts w:eastAsiaTheme="minorHAnsi" w:cstheme="minorBidi"/>
          <w:b/>
          <w:i/>
          <w:sz w:val="20"/>
          <w:szCs w:val="20"/>
          <w:lang w:eastAsia="en-US"/>
        </w:rPr>
      </w:pPr>
    </w:p>
    <w:p w:rsidR="001220E9" w:rsidRPr="0001748B" w:rsidRDefault="001220E9" w:rsidP="00B62523">
      <w:pPr>
        <w:numPr>
          <w:ilvl w:val="0"/>
          <w:numId w:val="1"/>
        </w:numPr>
        <w:tabs>
          <w:tab w:val="left" w:pos="567"/>
          <w:tab w:val="num" w:pos="5057"/>
        </w:tabs>
        <w:spacing w:line="240" w:lineRule="auto"/>
        <w:ind w:left="0" w:firstLine="0"/>
        <w:rPr>
          <w:rFonts w:eastAsiaTheme="minorHAnsi" w:cstheme="minorBidi"/>
          <w:b/>
          <w:i/>
          <w:sz w:val="20"/>
          <w:szCs w:val="20"/>
          <w:lang w:eastAsia="en-US"/>
        </w:rPr>
      </w:pPr>
      <w:r w:rsidRPr="0001748B">
        <w:rPr>
          <w:sz w:val="20"/>
          <w:szCs w:val="20"/>
        </w:rPr>
        <w:t>Todo lo anterior permite a esta Corte concluir que</w:t>
      </w:r>
      <w:r w:rsidRPr="0001748B">
        <w:rPr>
          <w:rFonts w:cs="Verdana"/>
          <w:sz w:val="20"/>
          <w:szCs w:val="20"/>
        </w:rPr>
        <w:t xml:space="preserve"> el Estado incurrió en responsabilidad internacional por la privación arbitraria de la vida de </w:t>
      </w:r>
      <w:r w:rsidR="00E931EC" w:rsidRPr="0001748B">
        <w:rPr>
          <w:rFonts w:cs="Verdana"/>
          <w:sz w:val="20"/>
          <w:szCs w:val="20"/>
        </w:rPr>
        <w:t>Johan Alexis Ortiz Hernández</w:t>
      </w:r>
      <w:r w:rsidRPr="0001748B">
        <w:rPr>
          <w:rFonts w:cs="Verdana"/>
          <w:sz w:val="20"/>
          <w:szCs w:val="20"/>
        </w:rPr>
        <w:t>, en violación del artículo 4.1 de la Convención Americana, en relación con el artículo 1.1 de la misma.</w:t>
      </w:r>
    </w:p>
    <w:p w:rsidR="00B62523" w:rsidRPr="0001748B" w:rsidRDefault="00B62523" w:rsidP="00B62523">
      <w:pPr>
        <w:widowControl/>
        <w:autoSpaceDE w:val="0"/>
        <w:autoSpaceDN w:val="0"/>
        <w:spacing w:line="240" w:lineRule="auto"/>
        <w:textAlignment w:val="auto"/>
        <w:rPr>
          <w:rFonts w:eastAsiaTheme="minorHAnsi" w:cstheme="minorBidi"/>
          <w:b/>
          <w:i/>
          <w:sz w:val="20"/>
          <w:szCs w:val="20"/>
          <w:lang w:eastAsia="en-US"/>
        </w:rPr>
      </w:pPr>
    </w:p>
    <w:p w:rsidR="00E63098" w:rsidRPr="0001748B" w:rsidRDefault="00E63098" w:rsidP="009A4CAA">
      <w:pPr>
        <w:pStyle w:val="Heading3"/>
        <w:spacing w:before="0" w:line="240" w:lineRule="auto"/>
        <w:ind w:left="1416"/>
        <w:rPr>
          <w:rFonts w:ascii="Verdana" w:eastAsiaTheme="minorHAnsi" w:hAnsi="Verdana" w:cstheme="minorBidi"/>
          <w:b w:val="0"/>
          <w:i/>
          <w:color w:val="auto"/>
          <w:sz w:val="20"/>
          <w:szCs w:val="20"/>
          <w:lang w:eastAsia="en-US"/>
        </w:rPr>
      </w:pPr>
      <w:bookmarkStart w:id="102" w:name="_Toc495658682"/>
      <w:r w:rsidRPr="0001748B">
        <w:rPr>
          <w:rFonts w:ascii="Verdana" w:eastAsiaTheme="minorHAnsi" w:hAnsi="Verdana" w:cstheme="minorBidi"/>
          <w:b w:val="0"/>
          <w:i/>
          <w:color w:val="auto"/>
          <w:sz w:val="20"/>
          <w:szCs w:val="20"/>
          <w:lang w:eastAsia="en-US"/>
        </w:rPr>
        <w:t>B.4</w:t>
      </w:r>
      <w:r w:rsidRPr="0001748B">
        <w:rPr>
          <w:rFonts w:ascii="Verdana" w:eastAsiaTheme="minorHAnsi" w:hAnsi="Verdana" w:cstheme="minorBidi"/>
          <w:b w:val="0"/>
          <w:i/>
          <w:color w:val="auto"/>
          <w:sz w:val="20"/>
          <w:szCs w:val="20"/>
          <w:lang w:eastAsia="en-US"/>
        </w:rPr>
        <w:tab/>
        <w:t>Conclusión</w:t>
      </w:r>
      <w:bookmarkEnd w:id="102"/>
    </w:p>
    <w:p w:rsidR="00E63098" w:rsidRPr="0001748B" w:rsidRDefault="00E63098" w:rsidP="00E63098">
      <w:pPr>
        <w:widowControl/>
        <w:autoSpaceDE w:val="0"/>
        <w:autoSpaceDN w:val="0"/>
        <w:spacing w:line="240" w:lineRule="auto"/>
        <w:textAlignment w:val="auto"/>
        <w:rPr>
          <w:rFonts w:eastAsiaTheme="minorHAnsi" w:cs="Arial"/>
          <w:sz w:val="20"/>
          <w:szCs w:val="20"/>
          <w:lang w:eastAsia="en-US"/>
        </w:rPr>
      </w:pPr>
    </w:p>
    <w:p w:rsidR="00E63098" w:rsidRPr="0001748B" w:rsidRDefault="00C5456B" w:rsidP="009028CD">
      <w:pPr>
        <w:numPr>
          <w:ilvl w:val="0"/>
          <w:numId w:val="1"/>
        </w:numPr>
        <w:tabs>
          <w:tab w:val="left" w:pos="567"/>
          <w:tab w:val="num" w:pos="5057"/>
        </w:tabs>
        <w:spacing w:line="240" w:lineRule="auto"/>
        <w:ind w:left="0" w:firstLine="0"/>
        <w:rPr>
          <w:rFonts w:eastAsiaTheme="minorHAnsi" w:cs="Arial"/>
          <w:sz w:val="20"/>
          <w:szCs w:val="20"/>
          <w:lang w:eastAsia="en-US"/>
        </w:rPr>
      </w:pPr>
      <w:r w:rsidRPr="0001748B">
        <w:rPr>
          <w:rFonts w:eastAsiaTheme="minorHAnsi" w:cs="Arial"/>
          <w:sz w:val="20"/>
          <w:szCs w:val="20"/>
          <w:lang w:eastAsia="en-US"/>
        </w:rPr>
        <w:t xml:space="preserve">En virtud de </w:t>
      </w:r>
      <w:r w:rsidR="00B42BB4" w:rsidRPr="000E0A82">
        <w:rPr>
          <w:rFonts w:eastAsiaTheme="minorHAnsi" w:cs="Arial"/>
          <w:sz w:val="20"/>
          <w:szCs w:val="20"/>
          <w:lang w:eastAsia="en-US"/>
        </w:rPr>
        <w:t xml:space="preserve">las consideraciones precedentes </w:t>
      </w:r>
      <w:r w:rsidRPr="0001748B">
        <w:rPr>
          <w:rFonts w:eastAsiaTheme="minorHAnsi" w:cs="Arial"/>
          <w:sz w:val="20"/>
          <w:szCs w:val="20"/>
          <w:lang w:eastAsia="en-US"/>
        </w:rPr>
        <w:t>y del reconocimiento de responsabilidad efectuado por Venezuela, la Corte concluye que el Estado incurrió en responsabilidad internacional por la violación de los derechos a la vida y a la integridad personal, reconocidos en los artículos 4.1 y 5.1 de la Convención Americana, en relación con el artículo 1.1 de la misma, en perjuicio de Johan Alexis Ortiz Hernández.</w:t>
      </w:r>
    </w:p>
    <w:p w:rsidR="00D97B96" w:rsidRPr="0001748B" w:rsidRDefault="00D97B96" w:rsidP="00E63098">
      <w:pPr>
        <w:widowControl/>
        <w:autoSpaceDE w:val="0"/>
        <w:autoSpaceDN w:val="0"/>
        <w:spacing w:line="240" w:lineRule="auto"/>
        <w:textAlignment w:val="auto"/>
        <w:rPr>
          <w:rFonts w:eastAsiaTheme="minorHAnsi" w:cs="Arial"/>
          <w:sz w:val="20"/>
          <w:szCs w:val="20"/>
          <w:lang w:eastAsia="en-US"/>
        </w:rPr>
      </w:pPr>
    </w:p>
    <w:p w:rsidR="00C52A25" w:rsidRPr="0001748B" w:rsidRDefault="00C52A25" w:rsidP="00C52A25">
      <w:pPr>
        <w:keepNext/>
        <w:keepLines/>
        <w:widowControl/>
        <w:tabs>
          <w:tab w:val="left" w:pos="851"/>
        </w:tabs>
        <w:autoSpaceDE w:val="0"/>
        <w:autoSpaceDN w:val="0"/>
        <w:spacing w:line="240" w:lineRule="auto"/>
        <w:jc w:val="center"/>
        <w:textAlignment w:val="auto"/>
        <w:outlineLvl w:val="0"/>
        <w:rPr>
          <w:rFonts w:cs="Arial"/>
          <w:b/>
          <w:bCs/>
          <w:caps/>
          <w:sz w:val="20"/>
          <w:szCs w:val="20"/>
          <w:lang w:eastAsia="en-US"/>
        </w:rPr>
      </w:pPr>
      <w:bookmarkStart w:id="103" w:name="_Toc495658683"/>
      <w:r w:rsidRPr="0001748B">
        <w:rPr>
          <w:rFonts w:cs="Arial"/>
          <w:b/>
          <w:bCs/>
          <w:caps/>
          <w:sz w:val="20"/>
          <w:szCs w:val="20"/>
          <w:lang w:eastAsia="en-US"/>
        </w:rPr>
        <w:lastRenderedPageBreak/>
        <w:t>VII-2</w:t>
      </w:r>
      <w:r w:rsidRPr="0001748B">
        <w:rPr>
          <w:rFonts w:cs="Arial"/>
          <w:b/>
          <w:bCs/>
          <w:caps/>
          <w:sz w:val="20"/>
          <w:szCs w:val="20"/>
          <w:lang w:eastAsia="en-US"/>
        </w:rPr>
        <w:br/>
        <w:t>derechoS a las garantías judiciales</w:t>
      </w:r>
      <w:r w:rsidR="00602834" w:rsidRPr="0001748B">
        <w:rPr>
          <w:rStyle w:val="FootnoteReference"/>
          <w:rFonts w:cs="Arial"/>
          <w:b/>
          <w:bCs/>
          <w:caps/>
          <w:sz w:val="20"/>
          <w:szCs w:val="20"/>
          <w:lang w:eastAsia="en-US"/>
        </w:rPr>
        <w:footnoteReference w:id="167"/>
      </w:r>
      <w:r w:rsidRPr="0001748B">
        <w:rPr>
          <w:rFonts w:cs="Arial"/>
          <w:b/>
          <w:bCs/>
          <w:caps/>
          <w:sz w:val="20"/>
          <w:szCs w:val="20"/>
          <w:lang w:eastAsia="en-US"/>
        </w:rPr>
        <w:t xml:space="preserve"> y protección judicial</w:t>
      </w:r>
      <w:r w:rsidR="00602834" w:rsidRPr="0001748B">
        <w:rPr>
          <w:rStyle w:val="FootnoteReference"/>
          <w:rFonts w:cs="Arial"/>
          <w:b/>
          <w:bCs/>
          <w:caps/>
          <w:sz w:val="20"/>
          <w:szCs w:val="20"/>
          <w:lang w:eastAsia="en-US"/>
        </w:rPr>
        <w:footnoteReference w:id="168"/>
      </w:r>
      <w:r w:rsidRPr="0001748B">
        <w:rPr>
          <w:rFonts w:cs="Arial"/>
          <w:b/>
          <w:bCs/>
          <w:caps/>
          <w:sz w:val="20"/>
          <w:szCs w:val="20"/>
          <w:lang w:eastAsia="en-US"/>
        </w:rPr>
        <w:t xml:space="preserve"> </w:t>
      </w:r>
      <w:r w:rsidR="00213DAB" w:rsidRPr="0001748B">
        <w:rPr>
          <w:rFonts w:cs="Arial"/>
          <w:b/>
          <w:bCs/>
          <w:caps/>
          <w:sz w:val="20"/>
          <w:szCs w:val="20"/>
          <w:lang w:eastAsia="en-US"/>
        </w:rPr>
        <w:t xml:space="preserve">RESPECTO de Zaida Hernández de Arellano y Edgar Humberto Ortiz Ruiz </w:t>
      </w:r>
      <w:r w:rsidRPr="0001748B">
        <w:rPr>
          <w:rFonts w:cs="Arial"/>
          <w:b/>
          <w:bCs/>
          <w:caps/>
          <w:sz w:val="20"/>
          <w:szCs w:val="20"/>
          <w:lang w:eastAsia="en-US"/>
        </w:rPr>
        <w:t>en relación con la obligación de respetar y garantizar los derechos y de adoptar disposiciones de derecho interno</w:t>
      </w:r>
      <w:r w:rsidR="007C5970" w:rsidRPr="0001748B">
        <w:rPr>
          <w:rStyle w:val="FootnoteReference"/>
          <w:rFonts w:cs="Arial"/>
          <w:b/>
          <w:bCs/>
          <w:caps/>
          <w:sz w:val="20"/>
          <w:szCs w:val="20"/>
          <w:lang w:eastAsia="en-US"/>
        </w:rPr>
        <w:footnoteReference w:id="169"/>
      </w:r>
      <w:bookmarkEnd w:id="103"/>
    </w:p>
    <w:p w:rsidR="006F624A" w:rsidRPr="0001748B" w:rsidRDefault="006F624A" w:rsidP="006F624A">
      <w:pPr>
        <w:widowControl/>
        <w:adjustRightInd/>
        <w:spacing w:line="240" w:lineRule="auto"/>
        <w:textAlignment w:val="auto"/>
        <w:rPr>
          <w:rFonts w:eastAsiaTheme="minorHAnsi" w:cstheme="minorBidi"/>
          <w:b/>
          <w:sz w:val="20"/>
          <w:szCs w:val="20"/>
          <w:lang w:eastAsia="en-US"/>
        </w:rPr>
      </w:pPr>
    </w:p>
    <w:p w:rsidR="006F624A" w:rsidRPr="0001748B" w:rsidRDefault="006F624A" w:rsidP="009A4CAA">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eastAsia="en-US"/>
        </w:rPr>
      </w:pPr>
      <w:bookmarkStart w:id="104" w:name="_Toc495658684"/>
      <w:r w:rsidRPr="0001748B">
        <w:rPr>
          <w:rFonts w:eastAsia="MS Mincho" w:cs="Arial"/>
          <w:b/>
          <w:bCs/>
          <w:i/>
          <w:sz w:val="20"/>
          <w:szCs w:val="20"/>
          <w:lang w:eastAsia="en-US"/>
        </w:rPr>
        <w:t xml:space="preserve">A. </w:t>
      </w:r>
      <w:r w:rsidR="009A4CAA" w:rsidRPr="0001748B">
        <w:rPr>
          <w:rFonts w:eastAsia="MS Mincho" w:cs="Arial"/>
          <w:b/>
          <w:bCs/>
          <w:i/>
          <w:sz w:val="20"/>
          <w:szCs w:val="20"/>
          <w:lang w:eastAsia="en-US"/>
        </w:rPr>
        <w:tab/>
      </w:r>
      <w:r w:rsidRPr="0001748B">
        <w:rPr>
          <w:rFonts w:eastAsia="MS Mincho" w:cs="Arial"/>
          <w:b/>
          <w:bCs/>
          <w:i/>
          <w:sz w:val="20"/>
          <w:szCs w:val="20"/>
          <w:lang w:eastAsia="en-US"/>
        </w:rPr>
        <w:t>Argumentos de las partes y de la Comisión</w:t>
      </w:r>
      <w:bookmarkEnd w:id="104"/>
    </w:p>
    <w:p w:rsidR="00915244" w:rsidRPr="0001748B" w:rsidRDefault="00915244" w:rsidP="00915244">
      <w:pPr>
        <w:widowControl/>
        <w:adjustRightInd/>
        <w:spacing w:line="240" w:lineRule="auto"/>
        <w:textAlignment w:val="auto"/>
        <w:rPr>
          <w:rFonts w:eastAsiaTheme="minorHAnsi" w:cstheme="minorBidi"/>
          <w:b/>
          <w:sz w:val="20"/>
          <w:szCs w:val="20"/>
          <w:lang w:eastAsia="en-US"/>
        </w:rPr>
      </w:pPr>
    </w:p>
    <w:p w:rsidR="00915244" w:rsidRPr="0001748B" w:rsidRDefault="00915244" w:rsidP="00915244">
      <w:pPr>
        <w:pStyle w:val="Heading2"/>
        <w:tabs>
          <w:tab w:val="left" w:pos="1701"/>
        </w:tabs>
        <w:spacing w:before="0" w:line="240" w:lineRule="auto"/>
        <w:ind w:left="1134"/>
        <w:rPr>
          <w:rFonts w:ascii="Verdana" w:eastAsiaTheme="minorHAnsi" w:hAnsi="Verdana" w:cstheme="minorBidi"/>
          <w:b w:val="0"/>
          <w:i/>
          <w:color w:val="auto"/>
          <w:sz w:val="20"/>
          <w:szCs w:val="20"/>
          <w:lang w:eastAsia="en-US"/>
        </w:rPr>
      </w:pPr>
      <w:bookmarkStart w:id="105" w:name="_Toc495658685"/>
      <w:r w:rsidRPr="0001748B">
        <w:rPr>
          <w:rFonts w:ascii="Verdana" w:hAnsi="Verdana"/>
          <w:b w:val="0"/>
          <w:i/>
          <w:color w:val="auto"/>
          <w:sz w:val="20"/>
          <w:szCs w:val="20"/>
        </w:rPr>
        <w:t xml:space="preserve">A.1 </w:t>
      </w:r>
      <w:r w:rsidRPr="0001748B">
        <w:rPr>
          <w:rFonts w:ascii="Verdana" w:hAnsi="Verdana"/>
          <w:b w:val="0"/>
          <w:i/>
          <w:color w:val="auto"/>
          <w:sz w:val="20"/>
          <w:szCs w:val="20"/>
        </w:rPr>
        <w:tab/>
        <w:t>Alegatos</w:t>
      </w:r>
      <w:r w:rsidRPr="0001748B">
        <w:rPr>
          <w:rFonts w:ascii="Verdana" w:eastAsiaTheme="minorHAnsi" w:hAnsi="Verdana"/>
          <w:b w:val="0"/>
          <w:i/>
          <w:color w:val="auto"/>
          <w:sz w:val="20"/>
          <w:szCs w:val="20"/>
          <w:lang w:eastAsia="en-US"/>
        </w:rPr>
        <w:t xml:space="preserve"> en relación con </w:t>
      </w:r>
      <w:bookmarkStart w:id="106" w:name="_Toc459158128"/>
      <w:r w:rsidRPr="0001748B">
        <w:rPr>
          <w:rFonts w:ascii="Verdana" w:eastAsiaTheme="minorHAnsi" w:hAnsi="Verdana"/>
          <w:b w:val="0"/>
          <w:i/>
          <w:color w:val="auto"/>
          <w:sz w:val="20"/>
          <w:szCs w:val="20"/>
          <w:lang w:eastAsia="en-US"/>
        </w:rPr>
        <w:t xml:space="preserve">la </w:t>
      </w:r>
      <w:r w:rsidRPr="0001748B">
        <w:rPr>
          <w:rFonts w:ascii="Verdana" w:eastAsiaTheme="minorHAnsi" w:hAnsi="Verdana" w:cstheme="minorBidi"/>
          <w:b w:val="0"/>
          <w:i/>
          <w:color w:val="auto"/>
          <w:sz w:val="20"/>
          <w:szCs w:val="20"/>
          <w:lang w:eastAsia="en-US"/>
        </w:rPr>
        <w:t>incompatibilidad del fuero militar para juzgar violaciones de derechos humanos</w:t>
      </w:r>
      <w:bookmarkEnd w:id="105"/>
      <w:bookmarkEnd w:id="106"/>
    </w:p>
    <w:p w:rsidR="00915244" w:rsidRPr="0001748B" w:rsidRDefault="00915244" w:rsidP="0045779B">
      <w:pPr>
        <w:rPr>
          <w:b/>
          <w:sz w:val="20"/>
          <w:szCs w:val="20"/>
          <w:lang w:eastAsia="en-US"/>
        </w:rPr>
      </w:pPr>
    </w:p>
    <w:p w:rsidR="00915244" w:rsidRPr="0001748B" w:rsidRDefault="00915244" w:rsidP="00915244">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sz w:val="20"/>
          <w:szCs w:val="20"/>
        </w:rPr>
        <w:t>L</w:t>
      </w:r>
      <w:r w:rsidRPr="0001748B">
        <w:rPr>
          <w:rFonts w:eastAsia="Arial" w:cs="Arial"/>
          <w:sz w:val="20"/>
          <w:szCs w:val="20"/>
        </w:rPr>
        <w:t>a</w:t>
      </w:r>
      <w:r w:rsidRPr="0001748B">
        <w:rPr>
          <w:rFonts w:eastAsia="Arial" w:cs="Arial"/>
          <w:b/>
          <w:i/>
          <w:sz w:val="20"/>
          <w:szCs w:val="20"/>
        </w:rPr>
        <w:t xml:space="preserve"> Comisión</w:t>
      </w:r>
      <w:r w:rsidRPr="0001748B">
        <w:rPr>
          <w:rFonts w:eastAsia="Arial" w:cs="Arial"/>
          <w:sz w:val="20"/>
          <w:szCs w:val="20"/>
        </w:rPr>
        <w:t xml:space="preserve"> y las </w:t>
      </w:r>
      <w:r w:rsidRPr="0001748B">
        <w:rPr>
          <w:rFonts w:eastAsia="Arial" w:cs="Arial"/>
          <w:b/>
          <w:i/>
          <w:sz w:val="20"/>
          <w:szCs w:val="20"/>
        </w:rPr>
        <w:t>representantes</w:t>
      </w:r>
      <w:r w:rsidRPr="0001748B">
        <w:rPr>
          <w:rFonts w:eastAsia="Arial" w:cs="Arial"/>
          <w:sz w:val="20"/>
          <w:szCs w:val="20"/>
        </w:rPr>
        <w:t xml:space="preserve"> indicaron que</w:t>
      </w:r>
      <w:r w:rsidR="007630A1">
        <w:rPr>
          <w:rFonts w:eastAsia="Arial" w:cs="Arial"/>
          <w:sz w:val="20"/>
          <w:szCs w:val="20"/>
        </w:rPr>
        <w:t>,</w:t>
      </w:r>
      <w:r w:rsidRPr="0001748B">
        <w:rPr>
          <w:rFonts w:eastAsia="Arial" w:cs="Arial"/>
          <w:sz w:val="20"/>
          <w:szCs w:val="20"/>
        </w:rPr>
        <w:t xml:space="preserve"> conforme al marco normativo vigente en la época de los hechos</w:t>
      </w:r>
      <w:r w:rsidR="007630A1">
        <w:rPr>
          <w:rFonts w:eastAsia="Arial" w:cs="Arial"/>
          <w:sz w:val="20"/>
          <w:szCs w:val="20"/>
        </w:rPr>
        <w:t>,</w:t>
      </w:r>
      <w:r w:rsidRPr="0001748B">
        <w:rPr>
          <w:rFonts w:eastAsia="Arial" w:cs="Arial"/>
          <w:sz w:val="20"/>
          <w:szCs w:val="20"/>
        </w:rPr>
        <w:t xml:space="preserve"> los “delitos comunes” cometidos por funcionarios de las Fuerzas Armadas eran de competencia de los tribunales militares, por lo que la investigación y proceso judicial fueron </w:t>
      </w:r>
      <w:r w:rsidR="00E436BE">
        <w:rPr>
          <w:rFonts w:eastAsia="Arial" w:cs="Arial"/>
          <w:sz w:val="20"/>
          <w:szCs w:val="20"/>
        </w:rPr>
        <w:t>tramitados</w:t>
      </w:r>
      <w:r w:rsidR="00E436BE" w:rsidRPr="0001748B">
        <w:rPr>
          <w:rFonts w:eastAsia="Arial" w:cs="Arial"/>
          <w:sz w:val="20"/>
          <w:szCs w:val="20"/>
        </w:rPr>
        <w:t xml:space="preserve"> </w:t>
      </w:r>
      <w:r w:rsidRPr="0001748B">
        <w:rPr>
          <w:rFonts w:eastAsia="Arial" w:cs="Arial"/>
          <w:sz w:val="20"/>
          <w:szCs w:val="20"/>
        </w:rPr>
        <w:t xml:space="preserve">por la Fiscalía Militar y el Tribunal Militar desde 1998 hasta el 2002. Asimismo, coincidieron en que dicha jurisdicción </w:t>
      </w:r>
      <w:r w:rsidR="00E436BE">
        <w:rPr>
          <w:rFonts w:eastAsia="Arial" w:cs="Arial"/>
          <w:sz w:val="20"/>
          <w:szCs w:val="20"/>
        </w:rPr>
        <w:t>debía</w:t>
      </w:r>
      <w:r w:rsidR="00E436BE" w:rsidRPr="0001748B">
        <w:rPr>
          <w:rFonts w:eastAsia="Arial" w:cs="Arial"/>
          <w:sz w:val="20"/>
          <w:szCs w:val="20"/>
        </w:rPr>
        <w:t xml:space="preserve"> </w:t>
      </w:r>
      <w:r w:rsidRPr="0001748B">
        <w:rPr>
          <w:rFonts w:eastAsia="Arial" w:cs="Arial"/>
          <w:sz w:val="20"/>
          <w:szCs w:val="20"/>
        </w:rPr>
        <w:t>tener un alcance restrictivo y excepcional y estar encaminada a la protección de los intereses jurídicos vinculados a las funciones propias de las fuerzas militares. La Comisión y las representantes afirmaron que</w:t>
      </w:r>
      <w:r w:rsidR="008249C5" w:rsidRPr="0001748B">
        <w:rPr>
          <w:rFonts w:eastAsia="Arial" w:cs="Arial"/>
          <w:sz w:val="20"/>
          <w:szCs w:val="20"/>
        </w:rPr>
        <w:t>,</w:t>
      </w:r>
      <w:r w:rsidRPr="0001748B">
        <w:rPr>
          <w:rFonts w:eastAsia="Arial" w:cs="Arial"/>
          <w:sz w:val="20"/>
          <w:szCs w:val="20"/>
        </w:rPr>
        <w:t xml:space="preserve"> a pesar de que la normativa adoptada desde 1999 regularía lo contrario, el proceso penal siguió </w:t>
      </w:r>
      <w:r w:rsidR="007630A1">
        <w:rPr>
          <w:rFonts w:eastAsia="Arial" w:cs="Arial"/>
          <w:sz w:val="20"/>
          <w:szCs w:val="20"/>
        </w:rPr>
        <w:t xml:space="preserve">tramitándose </w:t>
      </w:r>
      <w:r w:rsidRPr="0001748B">
        <w:rPr>
          <w:rFonts w:eastAsia="Arial" w:cs="Arial"/>
          <w:sz w:val="20"/>
          <w:szCs w:val="20"/>
        </w:rPr>
        <w:t>ante la jurisdicción militar</w:t>
      </w:r>
      <w:r w:rsidR="00B14531">
        <w:rPr>
          <w:rFonts w:eastAsia="Arial" w:cs="Arial"/>
          <w:sz w:val="20"/>
          <w:szCs w:val="20"/>
        </w:rPr>
        <w:t>.</w:t>
      </w:r>
      <w:r w:rsidRPr="0001748B">
        <w:rPr>
          <w:rFonts w:eastAsia="Arial" w:cs="Arial"/>
          <w:sz w:val="20"/>
          <w:szCs w:val="20"/>
        </w:rPr>
        <w:t xml:space="preserve"> Además, coincidieron en señalar que</w:t>
      </w:r>
      <w:r w:rsidRPr="0001748B">
        <w:rPr>
          <w:rFonts w:eastAsia="Arial" w:cs="Arial"/>
          <w:b/>
          <w:sz w:val="16"/>
          <w:szCs w:val="16"/>
        </w:rPr>
        <w:t xml:space="preserve"> </w:t>
      </w:r>
      <w:r w:rsidRPr="0001748B">
        <w:rPr>
          <w:rFonts w:eastAsia="Arial" w:cs="Arial"/>
          <w:sz w:val="20"/>
          <w:szCs w:val="20"/>
        </w:rPr>
        <w:t>la jurisdicción penal militar no cumplió con las garantías de juez independiente e imparcial</w:t>
      </w:r>
      <w:r w:rsidRPr="008031E5">
        <w:rPr>
          <w:rFonts w:eastAsia="Arial" w:cs="Arial"/>
          <w:sz w:val="20"/>
          <w:szCs w:val="20"/>
        </w:rPr>
        <w:t>,</w:t>
      </w:r>
      <w:r w:rsidRPr="0001748B">
        <w:rPr>
          <w:rFonts w:eastAsia="Arial" w:cs="Arial"/>
          <w:b/>
          <w:sz w:val="16"/>
          <w:szCs w:val="16"/>
        </w:rPr>
        <w:t xml:space="preserve"> </w:t>
      </w:r>
      <w:r w:rsidRPr="0001748B">
        <w:rPr>
          <w:rFonts w:eastAsia="Arial" w:cs="Arial"/>
          <w:sz w:val="20"/>
          <w:szCs w:val="20"/>
        </w:rPr>
        <w:t>ya que</w:t>
      </w:r>
      <w:r w:rsidRPr="008031E5">
        <w:rPr>
          <w:rFonts w:eastAsia="Arial" w:cs="Arial"/>
          <w:sz w:val="20"/>
          <w:szCs w:val="20"/>
        </w:rPr>
        <w:t xml:space="preserve"> </w:t>
      </w:r>
      <w:r w:rsidRPr="0001748B">
        <w:rPr>
          <w:rFonts w:eastAsia="Verdana" w:cs="Verdana"/>
          <w:spacing w:val="1"/>
          <w:sz w:val="20"/>
          <w:szCs w:val="20"/>
        </w:rPr>
        <w:t xml:space="preserve">resultaba problemático para </w:t>
      </w:r>
      <w:r w:rsidR="007630A1">
        <w:rPr>
          <w:rFonts w:eastAsia="Verdana" w:cs="Verdana"/>
          <w:spacing w:val="1"/>
          <w:sz w:val="20"/>
          <w:szCs w:val="20"/>
        </w:rPr>
        <w:t>ello</w:t>
      </w:r>
      <w:r w:rsidRPr="0001748B">
        <w:rPr>
          <w:rFonts w:eastAsia="Verdana" w:cs="Verdana"/>
          <w:spacing w:val="1"/>
          <w:sz w:val="20"/>
          <w:szCs w:val="20"/>
        </w:rPr>
        <w:t xml:space="preserve"> el hecho de que sean las propias fuerzas armadas las encargadas de juzgar a sus miembros pares.</w:t>
      </w:r>
    </w:p>
    <w:p w:rsidR="00915244" w:rsidRPr="0001748B" w:rsidRDefault="00915244" w:rsidP="00915244">
      <w:pPr>
        <w:tabs>
          <w:tab w:val="left" w:pos="567"/>
        </w:tabs>
        <w:spacing w:line="240" w:lineRule="auto"/>
        <w:rPr>
          <w:rFonts w:eastAsiaTheme="minorHAnsi" w:cstheme="minorBidi"/>
          <w:sz w:val="20"/>
          <w:szCs w:val="20"/>
          <w:lang w:eastAsia="en-US"/>
        </w:rPr>
      </w:pPr>
    </w:p>
    <w:p w:rsidR="00915244" w:rsidRPr="0001748B" w:rsidRDefault="00915244" w:rsidP="00915244">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Arial" w:cs="Arial"/>
          <w:sz w:val="20"/>
          <w:szCs w:val="20"/>
        </w:rPr>
        <w:t xml:space="preserve">El </w:t>
      </w:r>
      <w:r w:rsidRPr="0001748B">
        <w:rPr>
          <w:rFonts w:eastAsia="Arial" w:cs="Arial"/>
          <w:b/>
          <w:i/>
          <w:sz w:val="20"/>
          <w:szCs w:val="20"/>
        </w:rPr>
        <w:t>Estado</w:t>
      </w:r>
      <w:r w:rsidRPr="0001748B">
        <w:rPr>
          <w:rFonts w:eastAsia="Arial" w:cs="Arial"/>
          <w:sz w:val="20"/>
          <w:szCs w:val="20"/>
        </w:rPr>
        <w:t xml:space="preserve"> aceptó que el procedimiento se inició ante una jurisdicción incompetente, como si se tratara de un delito de naturaleza militar, e</w:t>
      </w:r>
      <w:r w:rsidR="007630A1">
        <w:rPr>
          <w:rFonts w:eastAsia="Arial" w:cs="Arial"/>
          <w:sz w:val="20"/>
          <w:szCs w:val="20"/>
        </w:rPr>
        <w:t>n e</w:t>
      </w:r>
      <w:r w:rsidRPr="0001748B">
        <w:rPr>
          <w:rFonts w:eastAsia="Arial" w:cs="Arial"/>
          <w:sz w:val="20"/>
          <w:szCs w:val="20"/>
        </w:rPr>
        <w:t>l</w:t>
      </w:r>
      <w:r w:rsidR="007630A1">
        <w:rPr>
          <w:rFonts w:eastAsia="Arial" w:cs="Arial"/>
          <w:sz w:val="20"/>
          <w:szCs w:val="20"/>
        </w:rPr>
        <w:t xml:space="preserve"> que la investigación se efectuaba</w:t>
      </w:r>
      <w:r w:rsidRPr="0001748B">
        <w:rPr>
          <w:rFonts w:eastAsia="Arial" w:cs="Arial"/>
          <w:sz w:val="20"/>
          <w:szCs w:val="20"/>
        </w:rPr>
        <w:t xml:space="preserve"> confidencialmente</w:t>
      </w:r>
      <w:r w:rsidRPr="008031E5">
        <w:rPr>
          <w:rFonts w:eastAsia="Arial" w:cs="Arial"/>
          <w:sz w:val="20"/>
          <w:szCs w:val="20"/>
        </w:rPr>
        <w:t>,</w:t>
      </w:r>
      <w:r w:rsidRPr="0001748B">
        <w:rPr>
          <w:rFonts w:eastAsia="Arial" w:cs="Arial"/>
          <w:sz w:val="20"/>
          <w:szCs w:val="20"/>
        </w:rPr>
        <w:t xml:space="preserve"> pero señaló que la Sala Constitucional del Tribunal Supremo de Justicia ordenó la remisión de la causa a los tribunales ordinarios, siendo el propio Estado quién </w:t>
      </w:r>
      <w:r w:rsidRPr="00DD4B97">
        <w:rPr>
          <w:rFonts w:eastAsia="Arial" w:cs="Arial"/>
          <w:sz w:val="20"/>
          <w:szCs w:val="20"/>
        </w:rPr>
        <w:t>enmendó los errores procesales cometidos por sus órganos jurisdiccionales. El Estado señ</w:t>
      </w:r>
      <w:r w:rsidRPr="0001748B">
        <w:rPr>
          <w:rFonts w:eastAsia="Arial" w:cs="Arial"/>
          <w:sz w:val="20"/>
          <w:szCs w:val="20"/>
        </w:rPr>
        <w:t>aló que actualmente el proceso penal es a</w:t>
      </w:r>
      <w:r w:rsidR="008249C5" w:rsidRPr="0001748B">
        <w:rPr>
          <w:rFonts w:eastAsia="Arial" w:cs="Arial"/>
          <w:sz w:val="20"/>
          <w:szCs w:val="20"/>
        </w:rPr>
        <w:t>ú</w:t>
      </w:r>
      <w:r w:rsidRPr="0001748B">
        <w:rPr>
          <w:rFonts w:eastAsia="Arial" w:cs="Arial"/>
          <w:sz w:val="20"/>
          <w:szCs w:val="20"/>
        </w:rPr>
        <w:t>n conocido por la jurisdicción ordinaria en cumplimiento del artículo 29</w:t>
      </w:r>
      <w:r w:rsidRPr="0001748B">
        <w:rPr>
          <w:rStyle w:val="FootnoteReference"/>
          <w:rFonts w:eastAsia="Arial" w:cs="Arial"/>
          <w:sz w:val="20"/>
          <w:szCs w:val="20"/>
        </w:rPr>
        <w:footnoteReference w:id="170"/>
      </w:r>
      <w:r w:rsidRPr="0001748B">
        <w:rPr>
          <w:rFonts w:eastAsia="Arial" w:cs="Arial"/>
          <w:sz w:val="20"/>
          <w:szCs w:val="20"/>
        </w:rPr>
        <w:t xml:space="preserve"> de la Constitución de Venezuela, el que establece que todos los casos de violaciones a los derechos humanos son competencia de esta jurisdicción.</w:t>
      </w:r>
    </w:p>
    <w:p w:rsidR="00915244" w:rsidRPr="0001748B" w:rsidRDefault="00915244" w:rsidP="006F624A">
      <w:pPr>
        <w:widowControl/>
        <w:adjustRightInd/>
        <w:spacing w:line="240" w:lineRule="auto"/>
        <w:textAlignment w:val="auto"/>
        <w:rPr>
          <w:rFonts w:eastAsiaTheme="minorHAnsi" w:cstheme="minorBidi"/>
          <w:sz w:val="20"/>
          <w:szCs w:val="20"/>
          <w:lang w:eastAsia="en-US"/>
        </w:rPr>
      </w:pPr>
    </w:p>
    <w:p w:rsidR="00551E80" w:rsidRPr="0001748B" w:rsidRDefault="00551E80" w:rsidP="00551E80">
      <w:pPr>
        <w:pStyle w:val="Heading2"/>
        <w:tabs>
          <w:tab w:val="left" w:pos="1701"/>
        </w:tabs>
        <w:spacing w:before="0" w:line="240" w:lineRule="auto"/>
        <w:ind w:left="1134"/>
        <w:rPr>
          <w:rFonts w:ascii="Verdana" w:hAnsi="Verdana"/>
          <w:b w:val="0"/>
          <w:i/>
          <w:color w:val="auto"/>
          <w:sz w:val="20"/>
          <w:szCs w:val="20"/>
        </w:rPr>
      </w:pPr>
      <w:bookmarkStart w:id="107" w:name="_Toc495658686"/>
      <w:r w:rsidRPr="0001748B">
        <w:rPr>
          <w:rFonts w:ascii="Verdana" w:hAnsi="Verdana"/>
          <w:b w:val="0"/>
          <w:i/>
          <w:color w:val="auto"/>
          <w:sz w:val="20"/>
          <w:szCs w:val="20"/>
        </w:rPr>
        <w:t>A.</w:t>
      </w:r>
      <w:r w:rsidR="00915244" w:rsidRPr="0001748B">
        <w:rPr>
          <w:rFonts w:ascii="Verdana" w:hAnsi="Verdana"/>
          <w:b w:val="0"/>
          <w:i/>
          <w:color w:val="auto"/>
          <w:sz w:val="20"/>
          <w:szCs w:val="20"/>
        </w:rPr>
        <w:t>2</w:t>
      </w:r>
      <w:r w:rsidRPr="0001748B">
        <w:rPr>
          <w:rFonts w:ascii="Verdana" w:hAnsi="Verdana"/>
          <w:b w:val="0"/>
          <w:i/>
          <w:color w:val="auto"/>
          <w:sz w:val="20"/>
          <w:szCs w:val="20"/>
        </w:rPr>
        <w:t xml:space="preserve"> </w:t>
      </w:r>
      <w:r w:rsidRPr="0001748B">
        <w:rPr>
          <w:rFonts w:ascii="Verdana" w:hAnsi="Verdana"/>
          <w:b w:val="0"/>
          <w:i/>
          <w:color w:val="auto"/>
          <w:sz w:val="20"/>
          <w:szCs w:val="20"/>
        </w:rPr>
        <w:tab/>
        <w:t>Alegatos</w:t>
      </w:r>
      <w:r w:rsidRPr="0001748B">
        <w:rPr>
          <w:rFonts w:ascii="Verdana" w:eastAsiaTheme="minorHAnsi" w:hAnsi="Verdana"/>
          <w:b w:val="0"/>
          <w:i/>
          <w:color w:val="auto"/>
          <w:sz w:val="20"/>
          <w:szCs w:val="20"/>
          <w:lang w:eastAsia="en-US"/>
        </w:rPr>
        <w:t xml:space="preserve"> en relación con el deber de debida diligencia y plazo razonable</w:t>
      </w:r>
      <w:bookmarkEnd w:id="107"/>
    </w:p>
    <w:p w:rsidR="00551E80" w:rsidRPr="0001748B" w:rsidRDefault="00551E80" w:rsidP="006F624A">
      <w:pPr>
        <w:widowControl/>
        <w:adjustRightInd/>
        <w:spacing w:line="240" w:lineRule="auto"/>
        <w:textAlignment w:val="auto"/>
        <w:rPr>
          <w:rFonts w:eastAsiaTheme="minorHAnsi" w:cstheme="minorBidi"/>
          <w:sz w:val="20"/>
          <w:szCs w:val="20"/>
          <w:lang w:eastAsia="en-US"/>
        </w:rPr>
      </w:pPr>
    </w:p>
    <w:p w:rsidR="006F624A" w:rsidRPr="0001748B" w:rsidRDefault="006F624A" w:rsidP="004A26CF">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La </w:t>
      </w:r>
      <w:r w:rsidRPr="0001748B">
        <w:rPr>
          <w:rFonts w:eastAsiaTheme="minorHAnsi" w:cstheme="minorBidi"/>
          <w:b/>
          <w:i/>
          <w:sz w:val="20"/>
          <w:szCs w:val="20"/>
          <w:lang w:eastAsia="en-US"/>
        </w:rPr>
        <w:t>Comisión</w:t>
      </w:r>
      <w:r w:rsidRPr="0001748B">
        <w:rPr>
          <w:rFonts w:eastAsiaTheme="minorHAnsi" w:cstheme="minorBidi"/>
          <w:i/>
          <w:sz w:val="20"/>
          <w:szCs w:val="20"/>
          <w:lang w:eastAsia="en-US"/>
        </w:rPr>
        <w:t xml:space="preserve"> </w:t>
      </w:r>
      <w:r w:rsidRPr="0001748B">
        <w:rPr>
          <w:rFonts w:eastAsiaTheme="minorHAnsi" w:cstheme="minorBidi"/>
          <w:sz w:val="20"/>
          <w:szCs w:val="20"/>
          <w:lang w:eastAsia="en-US"/>
        </w:rPr>
        <w:t xml:space="preserve">sostuvo que, dado que se han planteado al menos cuatro hipótesis sobre las </w:t>
      </w:r>
      <w:r w:rsidRPr="0001748B">
        <w:rPr>
          <w:rFonts w:eastAsiaTheme="minorHAnsi" w:cstheme="minorBidi"/>
          <w:sz w:val="20"/>
          <w:szCs w:val="20"/>
          <w:lang w:eastAsia="en-US"/>
        </w:rPr>
        <w:lastRenderedPageBreak/>
        <w:t>circunstancias en que perdió la vida Johan Alexis Ortiz Hernández, la investigación penal constituía el único medio por el cual se podían esclarecer tales hechos y determinar la actuación de los funcionarios militares vinculados con la realización del entrenamiento, así como establecer los niveles de eventual responsabilidad penal, disciplinaria o de cualquier otra índole por estos hechos. En consecuencia, según la Comisión, el Estado se encontraba en el deber de realizar una investigación independiente, imparcial, diligente y efectiva en un plazo razonable. En particular, la Comisión indicó que la investigación del hecho en el ámbito interno presentó una serie de omisiones e inconsistencias que se relacionan directamente con las diligencias que no se llevaron a cabo o que se realizaron tardíamente, como la prueba de balística o la experticia sobre el uniforme</w:t>
      </w:r>
      <w:r w:rsidR="00FB689D">
        <w:rPr>
          <w:rFonts w:eastAsiaTheme="minorHAnsi" w:cstheme="minorBidi"/>
          <w:sz w:val="20"/>
          <w:szCs w:val="20"/>
          <w:lang w:eastAsia="en-US"/>
        </w:rPr>
        <w:t xml:space="preserve"> que portaba Johan Alexis</w:t>
      </w:r>
      <w:r w:rsidRPr="0001748B">
        <w:rPr>
          <w:rFonts w:eastAsiaTheme="minorHAnsi" w:cstheme="minorBidi"/>
          <w:sz w:val="20"/>
          <w:szCs w:val="20"/>
          <w:lang w:eastAsia="en-US"/>
        </w:rPr>
        <w:t xml:space="preserve">, y </w:t>
      </w:r>
      <w:r w:rsidR="00FB689D">
        <w:rPr>
          <w:rFonts w:eastAsiaTheme="minorHAnsi" w:cstheme="minorBidi"/>
          <w:sz w:val="20"/>
          <w:szCs w:val="20"/>
          <w:lang w:eastAsia="en-US"/>
        </w:rPr>
        <w:t xml:space="preserve">la preservación de </w:t>
      </w:r>
      <w:r w:rsidRPr="0001748B">
        <w:rPr>
          <w:rFonts w:eastAsiaTheme="minorHAnsi" w:cstheme="minorBidi"/>
          <w:sz w:val="20"/>
          <w:szCs w:val="20"/>
          <w:lang w:eastAsia="en-US"/>
        </w:rPr>
        <w:t>las pruebas que las autoridades militares tuvieron bajo su custodia. Por otra parte, consideró que las líneas investigativas han estado guiadas por la versión oficial de lo acontecido, esto es, que la muerte de Ortiz Hernández fue producto de un hecho accidental</w:t>
      </w:r>
      <w:r w:rsidR="008249C5" w:rsidRPr="0001748B">
        <w:rPr>
          <w:rFonts w:eastAsiaTheme="minorHAnsi" w:cstheme="minorBidi"/>
          <w:sz w:val="20"/>
          <w:szCs w:val="20"/>
          <w:lang w:eastAsia="en-US"/>
        </w:rPr>
        <w:t>, de modo tal que no se han eva</w:t>
      </w:r>
      <w:r w:rsidR="005246F3">
        <w:rPr>
          <w:rFonts w:eastAsiaTheme="minorHAnsi" w:cstheme="minorBidi"/>
          <w:sz w:val="20"/>
          <w:szCs w:val="20"/>
          <w:lang w:eastAsia="en-US"/>
        </w:rPr>
        <w:t>l</w:t>
      </w:r>
      <w:r w:rsidR="008249C5" w:rsidRPr="0001748B">
        <w:rPr>
          <w:rFonts w:eastAsiaTheme="minorHAnsi" w:cstheme="minorBidi"/>
          <w:sz w:val="20"/>
          <w:szCs w:val="20"/>
          <w:lang w:eastAsia="en-US"/>
        </w:rPr>
        <w:t>uado otras hipótesis en relación con el hecho</w:t>
      </w:r>
      <w:r w:rsidRPr="0001748B">
        <w:rPr>
          <w:rFonts w:eastAsiaTheme="minorHAnsi" w:cstheme="minorBidi"/>
          <w:sz w:val="20"/>
          <w:szCs w:val="20"/>
          <w:lang w:eastAsia="en-US"/>
        </w:rPr>
        <w:t xml:space="preserve">. Finalmente, resaltó que </w:t>
      </w:r>
      <w:r w:rsidR="008249C5" w:rsidRPr="0001748B">
        <w:rPr>
          <w:rFonts w:eastAsiaTheme="minorHAnsi" w:cstheme="minorBidi"/>
          <w:sz w:val="20"/>
          <w:szCs w:val="20"/>
          <w:lang w:eastAsia="en-US"/>
        </w:rPr>
        <w:t>se ha configurado</w:t>
      </w:r>
      <w:r w:rsidRPr="0001748B">
        <w:rPr>
          <w:rFonts w:eastAsiaTheme="minorHAnsi" w:cstheme="minorBidi"/>
          <w:sz w:val="20"/>
          <w:szCs w:val="20"/>
          <w:lang w:eastAsia="en-US"/>
        </w:rPr>
        <w:t xml:space="preserve"> una demora injustificada</w:t>
      </w:r>
      <w:r w:rsidR="008249C5" w:rsidRPr="0001748B">
        <w:rPr>
          <w:rFonts w:eastAsiaTheme="minorHAnsi" w:cstheme="minorBidi"/>
          <w:sz w:val="20"/>
          <w:szCs w:val="20"/>
          <w:lang w:eastAsia="en-US"/>
        </w:rPr>
        <w:t xml:space="preserve"> debido</w:t>
      </w:r>
      <w:r w:rsidRPr="0001748B">
        <w:rPr>
          <w:rFonts w:eastAsiaTheme="minorHAnsi" w:cstheme="minorBidi"/>
          <w:sz w:val="20"/>
          <w:szCs w:val="20"/>
          <w:lang w:eastAsia="en-US"/>
        </w:rPr>
        <w:t xml:space="preserve"> a la actuación negligente y omisiva de las autoridades. En conclusión, la Comisión sostuvo que el Estado incumplió el deber de llevar a cabo una investigación diligente, imparcial y en un plazo razonable sobre la muerte de Johan Alexis Ortiz Hernández, lo cual conllevó a que sus familiares no contaran con un recurso judicial efectivo en el cual se estableciera la verdad de los hechos, las sanciones de los autores materiales e intelectuales y una reparación adecuada. Por lo tanto, alegó que el Estado es responsable por la violación de los artículos 8 y 25 de la Convención.</w:t>
      </w:r>
    </w:p>
    <w:p w:rsidR="006F624A" w:rsidRPr="0001748B" w:rsidRDefault="006F624A" w:rsidP="006F624A">
      <w:pPr>
        <w:widowControl/>
        <w:adjustRightInd/>
        <w:spacing w:line="240" w:lineRule="auto"/>
        <w:textAlignment w:val="auto"/>
        <w:rPr>
          <w:rFonts w:eastAsiaTheme="minorHAnsi" w:cstheme="minorBidi"/>
          <w:sz w:val="20"/>
          <w:szCs w:val="20"/>
          <w:lang w:eastAsia="en-US"/>
        </w:rPr>
      </w:pPr>
    </w:p>
    <w:p w:rsidR="006F624A" w:rsidRPr="0001748B" w:rsidRDefault="008249C5" w:rsidP="004A26CF">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L</w:t>
      </w:r>
      <w:r w:rsidR="006F624A" w:rsidRPr="0001748B">
        <w:rPr>
          <w:rFonts w:eastAsiaTheme="minorHAnsi" w:cstheme="minorBidi"/>
          <w:sz w:val="20"/>
          <w:szCs w:val="20"/>
          <w:lang w:eastAsia="en-US"/>
        </w:rPr>
        <w:t xml:space="preserve">as </w:t>
      </w:r>
      <w:r w:rsidR="006F624A" w:rsidRPr="0001748B">
        <w:rPr>
          <w:rFonts w:eastAsiaTheme="minorHAnsi" w:cstheme="minorBidi"/>
          <w:b/>
          <w:i/>
          <w:sz w:val="20"/>
          <w:szCs w:val="20"/>
          <w:lang w:eastAsia="en-US"/>
        </w:rPr>
        <w:t>representantes</w:t>
      </w:r>
      <w:r w:rsidR="006F624A" w:rsidRPr="0001748B">
        <w:rPr>
          <w:rFonts w:eastAsiaTheme="minorHAnsi" w:cstheme="minorBidi"/>
          <w:i/>
          <w:sz w:val="20"/>
          <w:szCs w:val="20"/>
          <w:lang w:eastAsia="en-US"/>
        </w:rPr>
        <w:t xml:space="preserve"> </w:t>
      </w:r>
      <w:r w:rsidR="006F624A" w:rsidRPr="0001748B">
        <w:rPr>
          <w:rFonts w:eastAsiaTheme="minorHAnsi" w:cstheme="minorBidi"/>
          <w:sz w:val="20"/>
          <w:szCs w:val="20"/>
          <w:lang w:eastAsia="en-US"/>
        </w:rPr>
        <w:t>concordaron con la Comisión en que las autoridades intervinientes no practicaron las diligencias esenciales para determinar las circunstancias que rodearon la muerte de Johan Alexis</w:t>
      </w:r>
      <w:r w:rsidR="0050619F">
        <w:rPr>
          <w:rFonts w:eastAsiaTheme="minorHAnsi" w:cstheme="minorBidi"/>
          <w:sz w:val="20"/>
          <w:szCs w:val="20"/>
          <w:lang w:eastAsia="en-US"/>
        </w:rPr>
        <w:t xml:space="preserve"> Ortiz </w:t>
      </w:r>
      <w:r w:rsidR="0050619F">
        <w:rPr>
          <w:rFonts w:eastAsia="Batang"/>
          <w:sz w:val="20"/>
          <w:lang w:eastAsia="en-US"/>
        </w:rPr>
        <w:t>Hernández</w:t>
      </w:r>
      <w:r w:rsidR="006F624A" w:rsidRPr="0001748B">
        <w:rPr>
          <w:rFonts w:eastAsiaTheme="minorHAnsi" w:cstheme="minorBidi"/>
          <w:sz w:val="20"/>
          <w:szCs w:val="20"/>
          <w:lang w:eastAsia="en-US"/>
        </w:rPr>
        <w:t>, a la vez que no se establecieron otras líneas de investigación para dilucidar las múltiples contradicciones que surgieron con el desarrollo del proceso</w:t>
      </w:r>
      <w:r w:rsidR="00B005A1" w:rsidRPr="0001748B">
        <w:rPr>
          <w:rFonts w:eastAsiaTheme="minorHAnsi" w:cstheme="minorBidi"/>
          <w:sz w:val="20"/>
          <w:szCs w:val="20"/>
          <w:lang w:eastAsia="en-US"/>
        </w:rPr>
        <w:t>.</w:t>
      </w:r>
      <w:r w:rsidR="006F624A" w:rsidRPr="0001748B">
        <w:rPr>
          <w:rFonts w:eastAsiaTheme="minorHAnsi" w:cstheme="minorBidi"/>
          <w:sz w:val="20"/>
          <w:szCs w:val="20"/>
          <w:lang w:eastAsia="en-US"/>
        </w:rPr>
        <w:t xml:space="preserve"> Además, aseguraron que tanto la investigación a cargo de la justicia militar como el proceso judicial en el fuero ordinario se caracterizaron por sufrir reiteradas dilaciones, atribuibles a las autoridades que tenían a su cargo la conducción de las pesquisas, ya que, en realidad, el caso no reviste alta complejidad</w:t>
      </w:r>
      <w:r w:rsidR="00B431F6">
        <w:rPr>
          <w:rFonts w:eastAsiaTheme="minorHAnsi" w:cstheme="minorBidi"/>
          <w:sz w:val="20"/>
          <w:szCs w:val="20"/>
          <w:lang w:eastAsia="en-US"/>
        </w:rPr>
        <w:t>.</w:t>
      </w:r>
      <w:r w:rsidR="006F624A" w:rsidRPr="0001748B">
        <w:rPr>
          <w:rFonts w:eastAsiaTheme="minorHAnsi" w:cstheme="minorBidi"/>
          <w:sz w:val="20"/>
          <w:szCs w:val="20"/>
          <w:lang w:eastAsia="en-US"/>
        </w:rPr>
        <w:t xml:space="preserve"> Concluyeron señalando que, habiendo transcurrido más de 1</w:t>
      </w:r>
      <w:r w:rsidR="00317843" w:rsidRPr="0001748B">
        <w:rPr>
          <w:rFonts w:eastAsiaTheme="minorHAnsi" w:cstheme="minorBidi"/>
          <w:sz w:val="20"/>
          <w:szCs w:val="20"/>
          <w:lang w:eastAsia="en-US"/>
        </w:rPr>
        <w:t>9</w:t>
      </w:r>
      <w:r w:rsidR="006F624A" w:rsidRPr="0001748B">
        <w:rPr>
          <w:rFonts w:eastAsiaTheme="minorHAnsi" w:cstheme="minorBidi"/>
          <w:sz w:val="20"/>
          <w:szCs w:val="20"/>
          <w:lang w:eastAsia="en-US"/>
        </w:rPr>
        <w:t xml:space="preserve"> años desde la muerte de Johan Alexis, aún subsiste la impunidad de los autores materiales e intelectuales.</w:t>
      </w:r>
    </w:p>
    <w:p w:rsidR="006F624A" w:rsidRPr="0001748B" w:rsidRDefault="006F624A" w:rsidP="006F624A">
      <w:pPr>
        <w:widowControl/>
        <w:adjustRightInd/>
        <w:spacing w:line="240" w:lineRule="auto"/>
        <w:textAlignment w:val="auto"/>
        <w:rPr>
          <w:rFonts w:eastAsiaTheme="minorHAnsi" w:cstheme="minorBidi"/>
          <w:sz w:val="20"/>
          <w:szCs w:val="20"/>
          <w:lang w:eastAsia="en-US"/>
        </w:rPr>
      </w:pPr>
    </w:p>
    <w:p w:rsidR="006F624A" w:rsidRPr="0001748B" w:rsidRDefault="006F624A" w:rsidP="004A26CF">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El </w:t>
      </w:r>
      <w:r w:rsidRPr="0001748B">
        <w:rPr>
          <w:rFonts w:eastAsiaTheme="minorHAnsi" w:cstheme="minorBidi"/>
          <w:b/>
          <w:i/>
          <w:sz w:val="20"/>
          <w:szCs w:val="20"/>
          <w:lang w:eastAsia="en-US"/>
        </w:rPr>
        <w:t>Estado</w:t>
      </w:r>
      <w:r w:rsidRPr="0001748B">
        <w:rPr>
          <w:rFonts w:eastAsiaTheme="minorHAnsi" w:cstheme="minorBidi"/>
          <w:sz w:val="20"/>
          <w:szCs w:val="20"/>
          <w:lang w:eastAsia="en-US"/>
        </w:rPr>
        <w:t xml:space="preserve"> afirmó que “[…] ha hecho todo lo necesario para que el Juzgamiento de estos hechos no queden impunes, corrigiendo en su devenir falencias tales como la falta de jurisdicción de la justicia militar, todo lo cual condujo la causa al estadio en el que hoy se encuentra”. En este sentido, indicó que pese a que se declaró la nulidad de todo lo actuado en el fuero militar, se ordenó la plena vigencia de todas aquellas diligencias practicadas que fueren de carácter irrepetible, lo que permitió salvaguardar el debido proceso y evitar dilaciones indebidas</w:t>
      </w:r>
      <w:r w:rsidR="00B431F6">
        <w:rPr>
          <w:rFonts w:eastAsiaTheme="minorHAnsi" w:cstheme="minorBidi"/>
          <w:sz w:val="20"/>
          <w:szCs w:val="20"/>
          <w:lang w:eastAsia="en-US"/>
        </w:rPr>
        <w:t>.</w:t>
      </w:r>
      <w:r w:rsidRPr="0001748B">
        <w:rPr>
          <w:rFonts w:eastAsiaTheme="minorHAnsi" w:cstheme="minorBidi"/>
          <w:sz w:val="20"/>
          <w:szCs w:val="20"/>
          <w:lang w:eastAsia="en-US"/>
        </w:rPr>
        <w:t xml:space="preserve"> También, destacó que el proceso se encuentra aún en trámite –en instancia intermedia– a la espera de la realización de la audiencia preliminar, que no pudo llevarse a cabo en virtud de la reticencia y contumacia del acusado, al que se le dictó medida de privación judicial preventiva de libertad</w:t>
      </w:r>
      <w:r w:rsidR="00B431F6">
        <w:rPr>
          <w:rFonts w:eastAsiaTheme="minorHAnsi" w:cstheme="minorBidi"/>
          <w:sz w:val="20"/>
          <w:szCs w:val="20"/>
          <w:lang w:eastAsia="en-US"/>
        </w:rPr>
        <w:t>.</w:t>
      </w:r>
      <w:r w:rsidRPr="0001748B">
        <w:rPr>
          <w:rFonts w:eastAsiaTheme="minorHAnsi" w:cstheme="minorBidi"/>
          <w:sz w:val="20"/>
          <w:szCs w:val="20"/>
          <w:lang w:eastAsia="en-US"/>
        </w:rPr>
        <w:t xml:space="preserve"> Posteriormente, en el marco de la audiencia pública llevada a cabo ante esta Corte, el Estado</w:t>
      </w:r>
      <w:r w:rsidRPr="0001748B">
        <w:rPr>
          <w:rFonts w:eastAsiaTheme="minorHAnsi" w:cstheme="minorBidi"/>
          <w:i/>
          <w:sz w:val="20"/>
          <w:szCs w:val="20"/>
          <w:lang w:eastAsia="en-US"/>
        </w:rPr>
        <w:t xml:space="preserve"> </w:t>
      </w:r>
      <w:r w:rsidRPr="0001748B">
        <w:rPr>
          <w:rFonts w:eastAsiaTheme="minorHAnsi" w:cstheme="minorBidi"/>
          <w:sz w:val="20"/>
          <w:szCs w:val="20"/>
          <w:lang w:eastAsia="en-US"/>
        </w:rPr>
        <w:t>reconoció su responsabilidad en relación con la alegada vulneración de los derechos contemplados en los artículos 8.1 y 25 de la Convención, en particular al considerar que el proceso se extendió más allá de un plazo razonable.</w:t>
      </w:r>
    </w:p>
    <w:p w:rsidR="00551E80" w:rsidRPr="0001748B" w:rsidRDefault="00551E80" w:rsidP="006F624A">
      <w:pPr>
        <w:widowControl/>
        <w:adjustRightInd/>
        <w:spacing w:line="240" w:lineRule="auto"/>
        <w:textAlignment w:val="auto"/>
        <w:rPr>
          <w:rFonts w:eastAsiaTheme="minorHAnsi" w:cstheme="minorBidi"/>
          <w:b/>
          <w:sz w:val="20"/>
          <w:szCs w:val="20"/>
          <w:lang w:eastAsia="en-US"/>
        </w:rPr>
      </w:pPr>
    </w:p>
    <w:p w:rsidR="006F624A" w:rsidRPr="0001748B" w:rsidRDefault="006F624A" w:rsidP="009A4CAA">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eastAsia="en-US"/>
        </w:rPr>
      </w:pPr>
      <w:bookmarkStart w:id="108" w:name="_Toc495658687"/>
      <w:r w:rsidRPr="0001748B">
        <w:rPr>
          <w:rFonts w:eastAsia="MS Mincho" w:cs="Arial"/>
          <w:b/>
          <w:bCs/>
          <w:i/>
          <w:sz w:val="20"/>
          <w:szCs w:val="20"/>
          <w:lang w:eastAsia="en-US"/>
        </w:rPr>
        <w:t xml:space="preserve">B. </w:t>
      </w:r>
      <w:r w:rsidR="009A4CAA" w:rsidRPr="0001748B">
        <w:rPr>
          <w:rFonts w:eastAsia="MS Mincho" w:cs="Arial"/>
          <w:b/>
          <w:bCs/>
          <w:i/>
          <w:sz w:val="20"/>
          <w:szCs w:val="20"/>
          <w:lang w:eastAsia="en-US"/>
        </w:rPr>
        <w:tab/>
      </w:r>
      <w:r w:rsidRPr="0001748B">
        <w:rPr>
          <w:rFonts w:eastAsia="MS Mincho" w:cs="Arial"/>
          <w:b/>
          <w:bCs/>
          <w:i/>
          <w:sz w:val="20"/>
          <w:szCs w:val="20"/>
          <w:lang w:eastAsia="en-US"/>
        </w:rPr>
        <w:t>Consideraciones de la Corte</w:t>
      </w:r>
      <w:bookmarkEnd w:id="108"/>
    </w:p>
    <w:p w:rsidR="006F624A" w:rsidRPr="0001748B" w:rsidRDefault="006F624A" w:rsidP="006F624A">
      <w:pPr>
        <w:widowControl/>
        <w:adjustRightInd/>
        <w:spacing w:line="240" w:lineRule="auto"/>
        <w:textAlignment w:val="auto"/>
        <w:rPr>
          <w:rFonts w:eastAsiaTheme="minorHAnsi" w:cstheme="minorBidi"/>
          <w:sz w:val="20"/>
          <w:szCs w:val="20"/>
          <w:lang w:eastAsia="en-US"/>
        </w:rPr>
      </w:pPr>
    </w:p>
    <w:p w:rsidR="008E7267" w:rsidRPr="0001748B" w:rsidRDefault="00E215FB" w:rsidP="008E7267">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Calibri" w:cs="Calibri"/>
          <w:sz w:val="20"/>
          <w:szCs w:val="20"/>
          <w:lang w:eastAsia="en-US"/>
        </w:rPr>
        <w:t>Como una obligación especialmente acentuada y un elemento condicionante para garantizar el derecho a la vida</w:t>
      </w:r>
      <w:r w:rsidRPr="0001748B">
        <w:rPr>
          <w:rFonts w:eastAsia="Calibri" w:cs="Calibri"/>
          <w:sz w:val="20"/>
          <w:szCs w:val="20"/>
          <w:vertAlign w:val="superscript"/>
          <w:lang w:eastAsia="en-US"/>
        </w:rPr>
        <w:footnoteReference w:id="171"/>
      </w:r>
      <w:r w:rsidRPr="0001748B">
        <w:rPr>
          <w:rFonts w:eastAsia="Calibri" w:cs="Calibri"/>
          <w:sz w:val="20"/>
          <w:szCs w:val="20"/>
          <w:lang w:eastAsia="en-US"/>
        </w:rPr>
        <w:t>, la Corte ha establecido que, una</w:t>
      </w:r>
      <w:r w:rsidRPr="0001748B">
        <w:rPr>
          <w:rFonts w:eastAsia="Calibri" w:cs="Verdana"/>
          <w:sz w:val="20"/>
          <w:szCs w:val="20"/>
          <w:lang w:eastAsia="en-US"/>
        </w:rPr>
        <w:t xml:space="preserve"> vez que se tenga conocimiento de que ha ocurrido una muerte violenta o sospechosa de criminalidad de una persona bajo su custodia o en </w:t>
      </w:r>
      <w:r w:rsidRPr="0001748B">
        <w:rPr>
          <w:rFonts w:eastAsia="Calibri" w:cs="Verdana"/>
          <w:sz w:val="20"/>
          <w:szCs w:val="20"/>
          <w:lang w:eastAsia="en-US"/>
        </w:rPr>
        <w:lastRenderedPageBreak/>
        <w:t xml:space="preserve">una especial situación de sujeción, el Estado está obligado a iniciar </w:t>
      </w:r>
      <w:r w:rsidRPr="0001748B">
        <w:rPr>
          <w:rFonts w:eastAsia="Calibri" w:cs="Verdana"/>
          <w:i/>
          <w:iCs/>
          <w:sz w:val="20"/>
          <w:szCs w:val="20"/>
          <w:lang w:eastAsia="en-US"/>
        </w:rPr>
        <w:t>ex officio</w:t>
      </w:r>
      <w:r w:rsidRPr="0001748B">
        <w:rPr>
          <w:rFonts w:eastAsia="Calibri" w:cs="Verdana"/>
          <w:sz w:val="20"/>
          <w:szCs w:val="20"/>
          <w:lang w:eastAsia="en-US"/>
        </w:rPr>
        <w:t xml:space="preserve"> y sin dilación, una investigación seria, independiente, imparcial y efectiva</w:t>
      </w:r>
      <w:r w:rsidRPr="0001748B">
        <w:rPr>
          <w:rFonts w:eastAsia="Calibri" w:cs="Verdana"/>
          <w:sz w:val="20"/>
          <w:szCs w:val="20"/>
          <w:vertAlign w:val="superscript"/>
          <w:lang w:eastAsia="en-US"/>
        </w:rPr>
        <w:footnoteReference w:id="172"/>
      </w:r>
      <w:r w:rsidRPr="0001748B">
        <w:rPr>
          <w:rFonts w:eastAsia="Calibri" w:cs="Verdana"/>
          <w:sz w:val="20"/>
          <w:szCs w:val="20"/>
          <w:lang w:eastAsia="en-US"/>
        </w:rPr>
        <w:t>, a fin de dar una explicación satisfactoria de lo ocurrido y desvirtuar así su responsabilidad.</w:t>
      </w:r>
      <w:r w:rsidRPr="0001748B">
        <w:rPr>
          <w:rFonts w:eastAsia="Calibri" w:cs="Verdana"/>
          <w:sz w:val="20"/>
          <w:szCs w:val="22"/>
          <w:lang w:eastAsia="en-US"/>
        </w:rPr>
        <w:t xml:space="preserve"> </w:t>
      </w:r>
      <w:r w:rsidR="008E7267" w:rsidRPr="0001748B">
        <w:rPr>
          <w:rFonts w:eastAsiaTheme="minorHAnsi" w:cstheme="minorBidi"/>
          <w:sz w:val="20"/>
          <w:szCs w:val="20"/>
          <w:lang w:eastAsia="en-US"/>
        </w:rPr>
        <w:t xml:space="preserve">En este sentido, la Corte ha señalado que, en supuestos de muerte violenta </w:t>
      </w:r>
      <w:r w:rsidR="008E7267" w:rsidRPr="0001748B">
        <w:rPr>
          <w:rFonts w:eastAsia="Calibri" w:cs="Verdana"/>
          <w:sz w:val="20"/>
          <w:szCs w:val="20"/>
          <w:lang w:eastAsia="en-US"/>
        </w:rPr>
        <w:t>o sospechosa de criminalidad,</w:t>
      </w:r>
      <w:r w:rsidR="008E7267" w:rsidRPr="0001748B">
        <w:rPr>
          <w:rFonts w:eastAsiaTheme="minorHAnsi" w:cstheme="minorBidi"/>
          <w:sz w:val="20"/>
          <w:szCs w:val="20"/>
          <w:lang w:eastAsia="en-US"/>
        </w:rPr>
        <w:t xml:space="preserve"> los derechos afectados corresponden a los familiares de las víctimas fallecidas, quienes son la parte interesada en la búsqueda de justicia y a quienes el Estado debe proveer recursos efectivos para garantizarles el acceso a la justicia, la investigación y eventual sanción, en su caso, de los responsables y la reparación integral de las consecuencias de las violaciones</w:t>
      </w:r>
      <w:r w:rsidR="008E7267" w:rsidRPr="0001748B">
        <w:rPr>
          <w:rFonts w:eastAsiaTheme="minorHAnsi" w:cstheme="minorBidi"/>
          <w:sz w:val="20"/>
          <w:szCs w:val="20"/>
          <w:vertAlign w:val="superscript"/>
          <w:lang w:eastAsia="en-US"/>
        </w:rPr>
        <w:footnoteReference w:id="173"/>
      </w:r>
      <w:r w:rsidR="008E7267" w:rsidRPr="0001748B">
        <w:rPr>
          <w:rFonts w:eastAsiaTheme="minorHAnsi" w:cstheme="minorBidi"/>
          <w:sz w:val="20"/>
          <w:szCs w:val="20"/>
          <w:lang w:eastAsia="en-US"/>
        </w:rPr>
        <w:t>.</w:t>
      </w:r>
    </w:p>
    <w:p w:rsidR="00E215FB" w:rsidRPr="0001748B" w:rsidRDefault="00E215FB" w:rsidP="0045779B">
      <w:pPr>
        <w:tabs>
          <w:tab w:val="left" w:pos="567"/>
        </w:tabs>
        <w:spacing w:line="240" w:lineRule="auto"/>
        <w:rPr>
          <w:rFonts w:eastAsiaTheme="minorHAnsi" w:cstheme="minorBidi"/>
          <w:sz w:val="20"/>
          <w:szCs w:val="20"/>
          <w:lang w:eastAsia="en-US"/>
        </w:rPr>
      </w:pPr>
    </w:p>
    <w:p w:rsidR="006F624A" w:rsidRPr="0001748B" w:rsidRDefault="006F624A" w:rsidP="004A26CF">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2"/>
          <w:lang w:eastAsia="en-US"/>
        </w:rPr>
        <w:t>Esta investigación debe ser realizada</w:t>
      </w:r>
      <w:r w:rsidRPr="0001748B">
        <w:rPr>
          <w:rFonts w:eastAsiaTheme="minorHAnsi" w:cstheme="minorBidi"/>
          <w:color w:val="000000"/>
          <w:sz w:val="20"/>
          <w:szCs w:val="22"/>
          <w:lang w:eastAsia="en-US"/>
        </w:rPr>
        <w:t xml:space="preserve"> </w:t>
      </w:r>
      <w:r w:rsidRPr="0001748B">
        <w:rPr>
          <w:rFonts w:eastAsiaTheme="minorHAnsi" w:cstheme="minorBidi"/>
          <w:sz w:val="20"/>
          <w:szCs w:val="22"/>
          <w:lang w:eastAsia="en-US"/>
        </w:rPr>
        <w:t>por todos los medios legales disponibles</w:t>
      </w:r>
      <w:r w:rsidRPr="0001748B">
        <w:rPr>
          <w:rFonts w:eastAsiaTheme="minorHAnsi" w:cstheme="minorBidi"/>
          <w:color w:val="000000"/>
          <w:sz w:val="20"/>
          <w:szCs w:val="22"/>
          <w:lang w:eastAsia="en-US"/>
        </w:rPr>
        <w:t xml:space="preserve"> y estar orientada a la determinación </w:t>
      </w:r>
      <w:r w:rsidRPr="0001748B">
        <w:rPr>
          <w:rFonts w:eastAsiaTheme="minorHAnsi" w:cstheme="minorBidi"/>
          <w:sz w:val="20"/>
          <w:szCs w:val="20"/>
          <w:lang w:eastAsia="en-US"/>
        </w:rPr>
        <w:t>de</w:t>
      </w:r>
      <w:r w:rsidRPr="0001748B">
        <w:rPr>
          <w:rFonts w:eastAsiaTheme="minorHAnsi" w:cstheme="minorBidi"/>
          <w:color w:val="000000"/>
          <w:sz w:val="20"/>
          <w:szCs w:val="22"/>
          <w:lang w:eastAsia="en-US"/>
        </w:rPr>
        <w:t xml:space="preserve"> la verdad y la </w:t>
      </w:r>
      <w:r w:rsidRPr="0001748B">
        <w:rPr>
          <w:rFonts w:eastAsiaTheme="minorHAnsi" w:cstheme="minorBidi"/>
          <w:sz w:val="20"/>
          <w:szCs w:val="22"/>
          <w:lang w:eastAsia="en-US"/>
        </w:rPr>
        <w:t xml:space="preserve">persecución, captura, enjuiciamiento y </w:t>
      </w:r>
      <w:r w:rsidRPr="0001748B">
        <w:rPr>
          <w:rFonts w:eastAsiaTheme="minorHAnsi" w:cstheme="minorBidi"/>
          <w:color w:val="000000"/>
          <w:sz w:val="20"/>
          <w:szCs w:val="22"/>
          <w:lang w:eastAsia="en-US"/>
        </w:rPr>
        <w:t xml:space="preserve">castigo de todos los responsables </w:t>
      </w:r>
      <w:r w:rsidRPr="0001748B">
        <w:rPr>
          <w:rFonts w:eastAsiaTheme="minorHAnsi" w:cstheme="minorBidi"/>
          <w:sz w:val="20"/>
          <w:szCs w:val="22"/>
          <w:lang w:eastAsia="en-US"/>
        </w:rPr>
        <w:t>intelectuales y materiales</w:t>
      </w:r>
      <w:r w:rsidRPr="0001748B">
        <w:rPr>
          <w:rFonts w:eastAsiaTheme="minorHAnsi" w:cstheme="minorBidi"/>
          <w:color w:val="000000"/>
          <w:sz w:val="20"/>
          <w:szCs w:val="22"/>
          <w:lang w:eastAsia="en-US"/>
        </w:rPr>
        <w:t xml:space="preserve"> de los hechos</w:t>
      </w:r>
      <w:r w:rsidRPr="0001748B">
        <w:rPr>
          <w:rFonts w:eastAsiaTheme="minorHAnsi" w:cstheme="minorBidi"/>
          <w:sz w:val="20"/>
          <w:szCs w:val="20"/>
          <w:vertAlign w:val="superscript"/>
          <w:lang w:eastAsia="en-US"/>
        </w:rPr>
        <w:footnoteReference w:id="174"/>
      </w:r>
      <w:r w:rsidRPr="0001748B">
        <w:rPr>
          <w:rFonts w:eastAsiaTheme="minorHAnsi" w:cstheme="minorBidi"/>
          <w:sz w:val="20"/>
          <w:szCs w:val="20"/>
          <w:lang w:eastAsia="en-US"/>
        </w:rPr>
        <w:t>. Se trata, no obstante, de una obligación de medios y no de resultado que debe ser asumida por el Estado como un deber jurídico propio y no como una simple formalidad condenada de antemano a ser infructuosa, o como una mera gestión de intereses particulares, que dependa de la iniciativa procesal de las víctimas, de sus familiares o de la aportación privada de elementos probatorios</w:t>
      </w:r>
      <w:r w:rsidRPr="0001748B">
        <w:rPr>
          <w:rFonts w:eastAsiaTheme="minorHAnsi" w:cstheme="minorBidi"/>
          <w:sz w:val="20"/>
          <w:szCs w:val="20"/>
          <w:vertAlign w:val="superscript"/>
          <w:lang w:eastAsia="en-US"/>
        </w:rPr>
        <w:footnoteReference w:id="175"/>
      </w:r>
      <w:r w:rsidRPr="0001748B">
        <w:rPr>
          <w:rFonts w:eastAsiaTheme="minorHAnsi" w:cstheme="minorBidi"/>
          <w:sz w:val="20"/>
          <w:szCs w:val="20"/>
          <w:lang w:eastAsia="en-US"/>
        </w:rPr>
        <w:t>.</w:t>
      </w:r>
    </w:p>
    <w:p w:rsidR="006F624A" w:rsidRPr="0001748B" w:rsidRDefault="006F624A" w:rsidP="006F624A">
      <w:pPr>
        <w:widowControl/>
        <w:adjustRightInd/>
        <w:spacing w:line="240" w:lineRule="auto"/>
        <w:textAlignment w:val="auto"/>
        <w:rPr>
          <w:rFonts w:eastAsiaTheme="minorHAnsi" w:cstheme="minorBidi"/>
          <w:sz w:val="20"/>
          <w:szCs w:val="20"/>
          <w:lang w:eastAsia="en-US"/>
        </w:rPr>
      </w:pPr>
    </w:p>
    <w:p w:rsidR="006F624A" w:rsidRPr="0001748B" w:rsidRDefault="006F624A" w:rsidP="004A26CF">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Además, este Tribunal ha señalado que “el derecho a la tutela judicial efectiva exige a los jueces que dirijan el proceso de modo a evitar que dilaciones y entorpecimientos indebidos conduzcan a la impunidad, frustrando así la debida protección judicial de los derechos humanos”, y que “los jueces como rectores del proceso tienen el deber de dirigir y encauzar el procedimiento judicial con el fin de no sacrificar la justicia y el debido proceso legal en pro del formalismo y la impunidad”, pues de lo contrario “se conduce a la violación de la obligación internacional del Estado de prevenir y proteger los derechos humanos y menoscaba el derecho de la víctima y de sus familiares a saber la verdad de lo sucedido, a que se identifique y se sancione a todos los responsables y a obtener las consecuentes reparaciones”</w:t>
      </w:r>
      <w:r w:rsidRPr="0001748B">
        <w:rPr>
          <w:rFonts w:eastAsiaTheme="minorHAnsi" w:cstheme="minorBidi"/>
          <w:sz w:val="20"/>
          <w:szCs w:val="20"/>
          <w:vertAlign w:val="superscript"/>
          <w:lang w:eastAsia="en-US"/>
        </w:rPr>
        <w:footnoteReference w:id="176"/>
      </w:r>
      <w:r w:rsidRPr="0001748B">
        <w:rPr>
          <w:rFonts w:eastAsiaTheme="minorHAnsi" w:cstheme="minorBidi"/>
          <w:sz w:val="20"/>
          <w:szCs w:val="20"/>
          <w:lang w:eastAsia="en-US"/>
        </w:rPr>
        <w:t>.</w:t>
      </w:r>
    </w:p>
    <w:p w:rsidR="006F624A" w:rsidRPr="0001748B" w:rsidRDefault="006F624A" w:rsidP="006F624A">
      <w:pPr>
        <w:widowControl/>
        <w:adjustRightInd/>
        <w:spacing w:line="240" w:lineRule="auto"/>
        <w:textAlignment w:val="auto"/>
        <w:rPr>
          <w:rFonts w:eastAsiaTheme="minorHAnsi" w:cstheme="minorBidi"/>
          <w:sz w:val="20"/>
          <w:szCs w:val="20"/>
          <w:lang w:eastAsia="en-US"/>
        </w:rPr>
      </w:pPr>
    </w:p>
    <w:p w:rsidR="006F624A" w:rsidRDefault="006F624A" w:rsidP="004A26CF">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En el presente caso, la Corte advierte que el Estado reconoció su responsabilidad por la vulneración del plazo razonable en la tramitación del proceso penal (</w:t>
      </w:r>
      <w:r w:rsidRPr="0001748B">
        <w:rPr>
          <w:rFonts w:eastAsiaTheme="minorHAnsi" w:cstheme="minorBidi"/>
          <w:i/>
          <w:sz w:val="20"/>
          <w:szCs w:val="20"/>
          <w:lang w:eastAsia="en-US"/>
        </w:rPr>
        <w:t xml:space="preserve">supra </w:t>
      </w:r>
      <w:r w:rsidR="002460A6">
        <w:rPr>
          <w:rFonts w:eastAsiaTheme="minorHAnsi" w:cstheme="minorBidi"/>
          <w:sz w:val="20"/>
          <w:szCs w:val="20"/>
          <w:lang w:eastAsia="en-US"/>
        </w:rPr>
        <w:t>párr. 14</w:t>
      </w:r>
      <w:r w:rsidRPr="0001748B">
        <w:rPr>
          <w:rFonts w:eastAsiaTheme="minorHAnsi" w:cstheme="minorBidi"/>
          <w:sz w:val="20"/>
          <w:szCs w:val="20"/>
          <w:lang w:eastAsia="en-US"/>
        </w:rPr>
        <w:t>). Asimismo, que luego de transcurridos 19 años de ocurridos los hechos no existe un pronunciamiento final y definitivo en cuanto a lo acaecido pues no se ha podido realizar la audiencia preliminar (</w:t>
      </w:r>
      <w:r w:rsidRPr="0001748B">
        <w:rPr>
          <w:rFonts w:eastAsiaTheme="minorHAnsi" w:cstheme="minorBidi"/>
          <w:i/>
          <w:sz w:val="20"/>
          <w:szCs w:val="20"/>
          <w:lang w:eastAsia="en-US"/>
        </w:rPr>
        <w:t xml:space="preserve">supra </w:t>
      </w:r>
      <w:r w:rsidRPr="0001748B">
        <w:rPr>
          <w:rFonts w:eastAsiaTheme="minorHAnsi" w:cstheme="minorBidi"/>
          <w:sz w:val="20"/>
          <w:szCs w:val="20"/>
          <w:lang w:eastAsia="en-US"/>
        </w:rPr>
        <w:t xml:space="preserve">párr. </w:t>
      </w:r>
      <w:r w:rsidR="006C1C58">
        <w:rPr>
          <w:rFonts w:eastAsiaTheme="minorHAnsi" w:cstheme="minorBidi"/>
          <w:sz w:val="20"/>
          <w:szCs w:val="20"/>
          <w:lang w:eastAsia="en-US"/>
        </w:rPr>
        <w:t>88</w:t>
      </w:r>
      <w:r w:rsidR="006C1C58" w:rsidRPr="0001748B">
        <w:rPr>
          <w:rFonts w:eastAsiaTheme="minorHAnsi" w:cstheme="minorBidi"/>
          <w:sz w:val="20"/>
          <w:szCs w:val="20"/>
          <w:lang w:eastAsia="en-US"/>
        </w:rPr>
        <w:t xml:space="preserve">), </w:t>
      </w:r>
      <w:r w:rsidRPr="0001748B">
        <w:rPr>
          <w:rFonts w:eastAsiaTheme="minorHAnsi" w:cstheme="minorBidi"/>
          <w:sz w:val="20"/>
          <w:szCs w:val="20"/>
          <w:lang w:eastAsia="en-US"/>
        </w:rPr>
        <w:t>lo cual ha sobrepasado excesivamente el plazo que puede considerarse razonable para estos efectos. A la luz de estas consideraciones y del reconocimiento de responsabilidad del Estado, la Corte da por establecido que el Estado incumplió los requerimientos del artículo 8.1 de la Convención</w:t>
      </w:r>
      <w:r w:rsidR="00143368">
        <w:rPr>
          <w:rFonts w:eastAsiaTheme="minorHAnsi" w:cstheme="minorBidi"/>
          <w:sz w:val="20"/>
          <w:szCs w:val="20"/>
          <w:lang w:eastAsia="en-US"/>
        </w:rPr>
        <w:t>,</w:t>
      </w:r>
      <w:r w:rsidRPr="0001748B">
        <w:rPr>
          <w:rFonts w:eastAsiaTheme="minorHAnsi" w:cstheme="minorBidi"/>
          <w:sz w:val="20"/>
          <w:szCs w:val="20"/>
          <w:lang w:eastAsia="en-US"/>
        </w:rPr>
        <w:t xml:space="preserve"> en perjuicio de los </w:t>
      </w:r>
      <w:r w:rsidR="00A13F0A" w:rsidRPr="0001748B">
        <w:rPr>
          <w:rFonts w:eastAsiaTheme="minorHAnsi" w:cstheme="minorBidi"/>
          <w:sz w:val="20"/>
          <w:szCs w:val="20"/>
          <w:lang w:eastAsia="en-US"/>
        </w:rPr>
        <w:t xml:space="preserve">progenitores </w:t>
      </w:r>
      <w:r w:rsidRPr="0001748B">
        <w:rPr>
          <w:rFonts w:eastAsiaTheme="minorHAnsi" w:cstheme="minorBidi"/>
          <w:sz w:val="20"/>
          <w:szCs w:val="20"/>
          <w:lang w:eastAsia="en-US"/>
        </w:rPr>
        <w:t>de Johan Alexis Ortiz Hernández.</w:t>
      </w:r>
    </w:p>
    <w:p w:rsidR="00883F40" w:rsidRPr="0001748B" w:rsidRDefault="00883F40" w:rsidP="00883F40">
      <w:pPr>
        <w:tabs>
          <w:tab w:val="left" w:pos="567"/>
        </w:tabs>
        <w:spacing w:line="240" w:lineRule="auto"/>
        <w:rPr>
          <w:rFonts w:eastAsiaTheme="minorHAnsi" w:cstheme="minorBidi"/>
          <w:sz w:val="20"/>
          <w:szCs w:val="20"/>
          <w:lang w:eastAsia="en-US"/>
        </w:rPr>
      </w:pPr>
    </w:p>
    <w:p w:rsidR="006F624A" w:rsidRPr="0001748B" w:rsidRDefault="00016052" w:rsidP="004A26CF">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25CE5">
        <w:rPr>
          <w:rFonts w:cs="Arial"/>
          <w:sz w:val="20"/>
          <w:szCs w:val="20"/>
        </w:rPr>
        <w:t>L</w:t>
      </w:r>
      <w:r w:rsidR="00647159" w:rsidRPr="00025CE5">
        <w:rPr>
          <w:rFonts w:cs="Arial"/>
          <w:sz w:val="20"/>
          <w:szCs w:val="20"/>
        </w:rPr>
        <w:t xml:space="preserve">a Corte considera </w:t>
      </w:r>
      <w:r w:rsidR="002731CD">
        <w:rPr>
          <w:rFonts w:cs="Arial"/>
          <w:sz w:val="20"/>
          <w:szCs w:val="20"/>
        </w:rPr>
        <w:t>oportuno</w:t>
      </w:r>
      <w:r w:rsidR="002731CD" w:rsidRPr="00025CE5">
        <w:rPr>
          <w:rFonts w:cs="Arial"/>
          <w:sz w:val="20"/>
          <w:szCs w:val="20"/>
        </w:rPr>
        <w:t xml:space="preserve"> </w:t>
      </w:r>
      <w:r w:rsidR="00647159" w:rsidRPr="00025CE5">
        <w:rPr>
          <w:rFonts w:cs="Arial"/>
          <w:sz w:val="20"/>
          <w:szCs w:val="20"/>
        </w:rPr>
        <w:t>recordar su jurisprudencia</w:t>
      </w:r>
      <w:r w:rsidR="00647159" w:rsidRPr="0001748B">
        <w:rPr>
          <w:rFonts w:cs="Arial"/>
          <w:sz w:val="20"/>
          <w:szCs w:val="20"/>
        </w:rPr>
        <w:t xml:space="preserve"> relativa a los límites de la competencia de la jurisdicción militar y estima pertinente precisar </w:t>
      </w:r>
      <w:r w:rsidR="00C76A19">
        <w:rPr>
          <w:rFonts w:cs="Arial"/>
          <w:sz w:val="20"/>
          <w:szCs w:val="20"/>
        </w:rPr>
        <w:t xml:space="preserve">los alcances de </w:t>
      </w:r>
      <w:r w:rsidR="00647159" w:rsidRPr="0001748B">
        <w:rPr>
          <w:rFonts w:cs="Arial"/>
          <w:sz w:val="20"/>
          <w:szCs w:val="20"/>
        </w:rPr>
        <w:t>dicha violación con el objetivo de asegurar una m</w:t>
      </w:r>
      <w:r w:rsidR="00DF0B9E">
        <w:rPr>
          <w:rFonts w:cs="Arial"/>
          <w:sz w:val="20"/>
          <w:szCs w:val="20"/>
        </w:rPr>
        <w:t>ej</w:t>
      </w:r>
      <w:r w:rsidR="00647159" w:rsidRPr="0001748B">
        <w:rPr>
          <w:rFonts w:cs="Arial"/>
          <w:sz w:val="20"/>
          <w:szCs w:val="20"/>
        </w:rPr>
        <w:t>or comprensión de la responsabilidad estatal en el presente caso (</w:t>
      </w:r>
      <w:r w:rsidR="00647159" w:rsidRPr="0001748B">
        <w:rPr>
          <w:rFonts w:cs="Arial"/>
          <w:i/>
          <w:sz w:val="20"/>
          <w:szCs w:val="20"/>
        </w:rPr>
        <w:t>supra</w:t>
      </w:r>
      <w:r w:rsidR="00647159" w:rsidRPr="0001748B">
        <w:rPr>
          <w:rFonts w:cs="Arial"/>
          <w:sz w:val="20"/>
          <w:szCs w:val="20"/>
        </w:rPr>
        <w:t xml:space="preserve"> párr. </w:t>
      </w:r>
      <w:r w:rsidR="00DF0B9E">
        <w:rPr>
          <w:rFonts w:cs="Arial"/>
          <w:sz w:val="20"/>
          <w:szCs w:val="20"/>
        </w:rPr>
        <w:t>39</w:t>
      </w:r>
      <w:r w:rsidR="00A77263" w:rsidRPr="0001748B">
        <w:rPr>
          <w:rFonts w:cs="Arial"/>
          <w:sz w:val="20"/>
          <w:szCs w:val="20"/>
        </w:rPr>
        <w:t xml:space="preserve">). </w:t>
      </w:r>
      <w:r w:rsidR="00647159" w:rsidRPr="0001748B">
        <w:rPr>
          <w:rFonts w:cs="Arial"/>
          <w:sz w:val="20"/>
          <w:szCs w:val="20"/>
        </w:rPr>
        <w:t>Además,</w:t>
      </w:r>
      <w:r w:rsidR="006F624A" w:rsidRPr="0001748B">
        <w:rPr>
          <w:rFonts w:eastAsiaTheme="minorHAnsi" w:cstheme="minorBidi"/>
          <w:sz w:val="20"/>
          <w:szCs w:val="20"/>
          <w:lang w:eastAsia="en-US"/>
        </w:rPr>
        <w:t xml:space="preserve"> corresponde analizar los alegatos restantes en torno a la posible </w:t>
      </w:r>
      <w:r w:rsidR="006F624A" w:rsidRPr="0001748B">
        <w:rPr>
          <w:rFonts w:eastAsiaTheme="minorHAnsi" w:cstheme="minorBidi"/>
          <w:sz w:val="20"/>
          <w:szCs w:val="20"/>
          <w:lang w:eastAsia="en-US"/>
        </w:rPr>
        <w:lastRenderedPageBreak/>
        <w:t xml:space="preserve">violación de los derechos a las garantías judiciales y a la protección judicial, </w:t>
      </w:r>
      <w:r w:rsidR="00A7540F" w:rsidRPr="0001748B">
        <w:rPr>
          <w:rFonts w:eastAsiaTheme="minorHAnsi" w:cstheme="minorBidi"/>
          <w:sz w:val="20"/>
          <w:szCs w:val="20"/>
          <w:lang w:eastAsia="en-US"/>
        </w:rPr>
        <w:t>en cuanto a</w:t>
      </w:r>
      <w:r w:rsidR="006F624A" w:rsidRPr="0001748B">
        <w:rPr>
          <w:rFonts w:eastAsiaTheme="minorHAnsi" w:cstheme="minorBidi"/>
          <w:sz w:val="20"/>
          <w:szCs w:val="20"/>
          <w:lang w:eastAsia="en-US"/>
        </w:rPr>
        <w:t xml:space="preserve"> si el actuar estatal en el curso de la investigación, considerando a ésta en su conjunto, se llevó a cabo con la debida diligencia requer</w:t>
      </w:r>
      <w:r w:rsidR="00F35C9C" w:rsidRPr="0001748B">
        <w:rPr>
          <w:rFonts w:eastAsiaTheme="minorHAnsi" w:cstheme="minorBidi"/>
          <w:sz w:val="20"/>
          <w:szCs w:val="20"/>
          <w:lang w:eastAsia="en-US"/>
        </w:rPr>
        <w:t>ida para satisfacer el derecho de</w:t>
      </w:r>
      <w:r w:rsidR="006F624A" w:rsidRPr="0001748B">
        <w:rPr>
          <w:rFonts w:eastAsiaTheme="minorHAnsi" w:cstheme="minorBidi"/>
          <w:sz w:val="20"/>
          <w:szCs w:val="20"/>
          <w:lang w:eastAsia="en-US"/>
        </w:rPr>
        <w:t xml:space="preserve"> acce</w:t>
      </w:r>
      <w:r w:rsidR="00F35C9C" w:rsidRPr="0001748B">
        <w:rPr>
          <w:rFonts w:eastAsiaTheme="minorHAnsi" w:cstheme="minorBidi"/>
          <w:sz w:val="20"/>
          <w:szCs w:val="20"/>
          <w:lang w:eastAsia="en-US"/>
        </w:rPr>
        <w:t xml:space="preserve">so </w:t>
      </w:r>
      <w:r w:rsidR="006F624A" w:rsidRPr="0001748B">
        <w:rPr>
          <w:rFonts w:eastAsiaTheme="minorHAnsi" w:cstheme="minorBidi"/>
          <w:sz w:val="20"/>
          <w:szCs w:val="20"/>
          <w:lang w:eastAsia="en-US"/>
        </w:rPr>
        <w:t>a la justicia.</w:t>
      </w:r>
    </w:p>
    <w:p w:rsidR="006F624A" w:rsidRPr="0001748B" w:rsidRDefault="006F624A" w:rsidP="006F624A">
      <w:pPr>
        <w:widowControl/>
        <w:adjustRightInd/>
        <w:spacing w:line="240" w:lineRule="auto"/>
        <w:textAlignment w:val="auto"/>
        <w:rPr>
          <w:rFonts w:eastAsiaTheme="minorHAnsi" w:cstheme="minorBidi"/>
          <w:sz w:val="20"/>
          <w:szCs w:val="20"/>
          <w:lang w:eastAsia="en-US"/>
        </w:rPr>
      </w:pPr>
    </w:p>
    <w:p w:rsidR="00647159" w:rsidRPr="0001748B" w:rsidRDefault="00647159" w:rsidP="00647159">
      <w:pPr>
        <w:pStyle w:val="Heading2"/>
        <w:tabs>
          <w:tab w:val="left" w:pos="1701"/>
        </w:tabs>
        <w:spacing w:before="0" w:line="240" w:lineRule="auto"/>
        <w:ind w:left="1134"/>
        <w:rPr>
          <w:rFonts w:ascii="Verdana" w:hAnsi="Verdana"/>
          <w:b w:val="0"/>
          <w:i/>
          <w:color w:val="auto"/>
          <w:sz w:val="20"/>
          <w:szCs w:val="20"/>
        </w:rPr>
      </w:pPr>
      <w:bookmarkStart w:id="109" w:name="_Toc495658688"/>
      <w:r w:rsidRPr="0001748B">
        <w:rPr>
          <w:rFonts w:ascii="Verdana" w:eastAsiaTheme="minorHAnsi" w:hAnsi="Verdana" w:cstheme="minorBidi"/>
          <w:b w:val="0"/>
          <w:i/>
          <w:color w:val="auto"/>
          <w:sz w:val="20"/>
          <w:szCs w:val="20"/>
          <w:lang w:eastAsia="en-US"/>
        </w:rPr>
        <w:t>B.</w:t>
      </w:r>
      <w:r w:rsidR="00143285" w:rsidRPr="0001748B">
        <w:rPr>
          <w:rFonts w:ascii="Verdana" w:eastAsiaTheme="minorHAnsi" w:hAnsi="Verdana" w:cstheme="minorBidi"/>
          <w:b w:val="0"/>
          <w:i/>
          <w:color w:val="auto"/>
          <w:sz w:val="20"/>
          <w:szCs w:val="20"/>
          <w:lang w:eastAsia="en-US"/>
        </w:rPr>
        <w:t>1</w:t>
      </w:r>
      <w:r w:rsidRPr="0001748B">
        <w:rPr>
          <w:rFonts w:ascii="Verdana" w:eastAsiaTheme="minorHAnsi" w:hAnsi="Verdana" w:cstheme="minorBidi"/>
          <w:b w:val="0"/>
          <w:i/>
          <w:color w:val="auto"/>
          <w:sz w:val="20"/>
          <w:szCs w:val="20"/>
          <w:lang w:eastAsia="en-US"/>
        </w:rPr>
        <w:t xml:space="preserve"> </w:t>
      </w:r>
      <w:r w:rsidRPr="0001748B">
        <w:rPr>
          <w:rFonts w:ascii="Verdana" w:eastAsiaTheme="minorHAnsi" w:hAnsi="Verdana" w:cstheme="minorBidi"/>
          <w:b w:val="0"/>
          <w:i/>
          <w:color w:val="auto"/>
          <w:sz w:val="20"/>
          <w:szCs w:val="20"/>
          <w:lang w:eastAsia="en-US"/>
        </w:rPr>
        <w:tab/>
        <w:t>Incompatibilidad del fuero militar para juzgar violaciones de derechos humanos</w:t>
      </w:r>
      <w:bookmarkEnd w:id="109"/>
    </w:p>
    <w:p w:rsidR="00647159" w:rsidRPr="0001748B" w:rsidRDefault="00647159" w:rsidP="00647159">
      <w:pPr>
        <w:tabs>
          <w:tab w:val="left" w:pos="567"/>
        </w:tabs>
        <w:spacing w:line="240" w:lineRule="auto"/>
        <w:rPr>
          <w:rFonts w:cs="Verdana"/>
          <w:sz w:val="20"/>
          <w:szCs w:val="20"/>
        </w:rPr>
      </w:pPr>
    </w:p>
    <w:p w:rsidR="00647159" w:rsidRPr="0001748B" w:rsidRDefault="00647159" w:rsidP="00647159">
      <w:pPr>
        <w:numPr>
          <w:ilvl w:val="0"/>
          <w:numId w:val="1"/>
        </w:numPr>
        <w:tabs>
          <w:tab w:val="left" w:pos="567"/>
          <w:tab w:val="num" w:pos="5057"/>
        </w:tabs>
        <w:spacing w:line="240" w:lineRule="auto"/>
        <w:ind w:left="0" w:firstLine="0"/>
        <w:rPr>
          <w:sz w:val="20"/>
          <w:szCs w:val="20"/>
        </w:rPr>
      </w:pPr>
      <w:r w:rsidRPr="0001748B">
        <w:rPr>
          <w:rFonts w:cs="Arial"/>
          <w:sz w:val="20"/>
          <w:szCs w:val="20"/>
        </w:rPr>
        <w:t xml:space="preserve">La jurisprudencia de esta Corte relativa a los límites de la competencia de la jurisdicción militar para conocer hechos que </w:t>
      </w:r>
      <w:r w:rsidRPr="0001748B">
        <w:rPr>
          <w:rFonts w:cs="Verdana"/>
          <w:sz w:val="20"/>
          <w:szCs w:val="20"/>
        </w:rPr>
        <w:t>constituyen</w:t>
      </w:r>
      <w:r w:rsidRPr="0001748B">
        <w:rPr>
          <w:sz w:val="20"/>
          <w:szCs w:val="20"/>
        </w:rPr>
        <w:t xml:space="preserve"> </w:t>
      </w:r>
      <w:r w:rsidRPr="0001748B">
        <w:rPr>
          <w:rFonts w:cs="Verdana"/>
          <w:sz w:val="20"/>
          <w:szCs w:val="20"/>
        </w:rPr>
        <w:t>violaciones a derechos humanos ha sido constante, en el sentido de afirmar que en un Estado democrático de derecho, la jurisdicción penal militar ha de tener un alcance restrictivo y excepcional y estar encaminada a la protección de intereses jurídicos especiales, vinculados a las funciones propias de las fuerzas militares</w:t>
      </w:r>
      <w:r w:rsidRPr="0001748B">
        <w:rPr>
          <w:rStyle w:val="FootnoteReference"/>
          <w:sz w:val="20"/>
          <w:szCs w:val="20"/>
        </w:rPr>
        <w:footnoteReference w:id="177"/>
      </w:r>
      <w:r w:rsidRPr="0001748B">
        <w:rPr>
          <w:rFonts w:cs="Verdana"/>
          <w:sz w:val="20"/>
          <w:szCs w:val="20"/>
        </w:rPr>
        <w:t>. Por ello, la Corte ha señalado que en el fuero militar sólo se debe juzgar a militares activos por la comisión de delitos o faltas que por su propia naturaleza atenten contra bienes jurídicos propios del orden militar</w:t>
      </w:r>
      <w:r w:rsidRPr="0001748B">
        <w:rPr>
          <w:rFonts w:cs="Verdana"/>
          <w:sz w:val="20"/>
          <w:szCs w:val="20"/>
          <w:vertAlign w:val="superscript"/>
        </w:rPr>
        <w:footnoteReference w:id="178"/>
      </w:r>
      <w:r w:rsidRPr="0001748B">
        <w:rPr>
          <w:rFonts w:cs="Verdana"/>
          <w:sz w:val="20"/>
          <w:szCs w:val="20"/>
        </w:rPr>
        <w:t xml:space="preserve"> y la esfera castrense</w:t>
      </w:r>
      <w:r w:rsidRPr="0001748B">
        <w:rPr>
          <w:sz w:val="20"/>
          <w:szCs w:val="20"/>
          <w:vertAlign w:val="superscript"/>
        </w:rPr>
        <w:footnoteReference w:id="179"/>
      </w:r>
      <w:r w:rsidRPr="0001748B">
        <w:rPr>
          <w:rFonts w:cs="Verdana"/>
          <w:sz w:val="20"/>
          <w:szCs w:val="20"/>
        </w:rPr>
        <w:t xml:space="preserve">. </w:t>
      </w:r>
      <w:r w:rsidRPr="0001748B">
        <w:rPr>
          <w:sz w:val="20"/>
          <w:szCs w:val="20"/>
        </w:rPr>
        <w:t>La jurisdicción militar se establece para mantener el orden en las fuerzas armadas. Por ello, su aplicación se reserva a los militares que hayan incurrido en un delito o falta en ejercicio de sus funciones y bajo ciertas circunstancias</w:t>
      </w:r>
      <w:r w:rsidRPr="0001748B">
        <w:rPr>
          <w:rStyle w:val="FootnoteReference"/>
          <w:sz w:val="20"/>
          <w:szCs w:val="20"/>
        </w:rPr>
        <w:footnoteReference w:id="180"/>
      </w:r>
      <w:r w:rsidRPr="0001748B">
        <w:rPr>
          <w:sz w:val="20"/>
          <w:szCs w:val="20"/>
        </w:rPr>
        <w:t xml:space="preserve">. Por </w:t>
      </w:r>
      <w:r w:rsidRPr="0001748B">
        <w:rPr>
          <w:rFonts w:cs="Arial"/>
          <w:sz w:val="20"/>
          <w:szCs w:val="20"/>
        </w:rPr>
        <w:t>consiguiente</w:t>
      </w:r>
      <w:r w:rsidRPr="0001748B">
        <w:rPr>
          <w:sz w:val="20"/>
          <w:szCs w:val="20"/>
        </w:rPr>
        <w:t>, tomando en cuenta la naturaleza del crimen y el bien jurídico lesionado, la jurisdicción penal militar no es el fuero competente para investigar y, en su caso, juzgar y sancionar a los autores de violaciones de derechos humanos sino que el procesamiento de los responsables corresponde siempre a la justicia ordinaria o común</w:t>
      </w:r>
      <w:r w:rsidRPr="0001748B">
        <w:rPr>
          <w:rStyle w:val="FootnoteReference"/>
          <w:sz w:val="20"/>
          <w:szCs w:val="20"/>
        </w:rPr>
        <w:footnoteReference w:id="181"/>
      </w:r>
      <w:r w:rsidRPr="0001748B">
        <w:rPr>
          <w:sz w:val="20"/>
          <w:szCs w:val="20"/>
        </w:rPr>
        <w:t>.</w:t>
      </w:r>
    </w:p>
    <w:p w:rsidR="00647159" w:rsidRPr="0001748B" w:rsidRDefault="00647159" w:rsidP="00647159">
      <w:pPr>
        <w:pStyle w:val="Prrafodelista2"/>
        <w:tabs>
          <w:tab w:val="left" w:pos="0"/>
          <w:tab w:val="num" w:pos="12305"/>
        </w:tabs>
        <w:ind w:left="0" w:right="-90"/>
        <w:jc w:val="both"/>
        <w:rPr>
          <w:lang w:val="es-CR"/>
        </w:rPr>
      </w:pPr>
    </w:p>
    <w:p w:rsidR="00647159" w:rsidRPr="0001748B" w:rsidRDefault="00647159" w:rsidP="00647159">
      <w:pPr>
        <w:numPr>
          <w:ilvl w:val="0"/>
          <w:numId w:val="1"/>
        </w:numPr>
        <w:tabs>
          <w:tab w:val="left" w:pos="567"/>
          <w:tab w:val="num" w:pos="5057"/>
        </w:tabs>
        <w:spacing w:line="240" w:lineRule="auto"/>
        <w:ind w:left="0" w:firstLine="0"/>
        <w:rPr>
          <w:bCs/>
          <w:sz w:val="20"/>
          <w:szCs w:val="20"/>
        </w:rPr>
      </w:pPr>
      <w:r w:rsidRPr="0001748B">
        <w:rPr>
          <w:sz w:val="20"/>
          <w:szCs w:val="20"/>
        </w:rPr>
        <w:t xml:space="preserve">El hecho que los sujetos involucrados pertenezcan a las fuerzas armadas o que los sucesos hayan ocurrido durante una práctica militar en un establecimiento militar no significa </w:t>
      </w:r>
      <w:r w:rsidRPr="0001748B">
        <w:rPr>
          <w:i/>
          <w:sz w:val="20"/>
          <w:szCs w:val="20"/>
        </w:rPr>
        <w:t>per se</w:t>
      </w:r>
      <w:r w:rsidRPr="0001748B">
        <w:rPr>
          <w:sz w:val="20"/>
          <w:szCs w:val="20"/>
        </w:rPr>
        <w:t xml:space="preserve"> que deba intervenir la justicia castrense</w:t>
      </w:r>
      <w:r w:rsidRPr="0001748B">
        <w:rPr>
          <w:rStyle w:val="FootnoteReference"/>
          <w:rFonts w:cs="Verdana"/>
          <w:sz w:val="20"/>
          <w:szCs w:val="20"/>
        </w:rPr>
        <w:footnoteReference w:id="182"/>
      </w:r>
      <w:r w:rsidRPr="0001748B">
        <w:rPr>
          <w:sz w:val="20"/>
          <w:szCs w:val="20"/>
        </w:rPr>
        <w:t xml:space="preserve">. </w:t>
      </w:r>
      <w:r w:rsidRPr="0001748B">
        <w:rPr>
          <w:bCs/>
          <w:sz w:val="20"/>
          <w:szCs w:val="20"/>
        </w:rPr>
        <w:t>Lo anterior se aplica aún en el caso de delitos en que el imputado sea miembro de las fuerzas armadas y no sea un civil el sujeto pasivo del delito o titular del bien jurídico protegido</w:t>
      </w:r>
      <w:r w:rsidRPr="0001748B">
        <w:rPr>
          <w:bCs/>
          <w:sz w:val="20"/>
          <w:szCs w:val="20"/>
          <w:vertAlign w:val="superscript"/>
        </w:rPr>
        <w:footnoteReference w:id="183"/>
      </w:r>
      <w:r w:rsidRPr="0001748B">
        <w:rPr>
          <w:bCs/>
          <w:sz w:val="20"/>
          <w:szCs w:val="20"/>
        </w:rPr>
        <w:t>, ya que todas las vulneraciones de derechos humanos deben ser conocidas en la jurisdicción ordinaria</w:t>
      </w:r>
      <w:r w:rsidRPr="0001748B">
        <w:rPr>
          <w:bCs/>
          <w:sz w:val="20"/>
          <w:szCs w:val="20"/>
          <w:vertAlign w:val="superscript"/>
        </w:rPr>
        <w:footnoteReference w:id="184"/>
      </w:r>
      <w:r w:rsidRPr="0001748B">
        <w:rPr>
          <w:bCs/>
          <w:sz w:val="20"/>
          <w:szCs w:val="20"/>
        </w:rPr>
        <w:t>, lo cual incluye las cometidas por militares contra militares</w:t>
      </w:r>
      <w:r w:rsidRPr="0001748B">
        <w:rPr>
          <w:rStyle w:val="FootnoteReference"/>
          <w:sz w:val="20"/>
          <w:szCs w:val="20"/>
        </w:rPr>
        <w:footnoteReference w:id="185"/>
      </w:r>
      <w:r w:rsidRPr="0001748B">
        <w:rPr>
          <w:bCs/>
          <w:sz w:val="20"/>
          <w:szCs w:val="20"/>
        </w:rPr>
        <w:t>.</w:t>
      </w:r>
    </w:p>
    <w:p w:rsidR="00647159" w:rsidRPr="0001748B" w:rsidRDefault="00647159" w:rsidP="00647159">
      <w:pPr>
        <w:pStyle w:val="Prrafodelista2"/>
        <w:tabs>
          <w:tab w:val="left" w:pos="0"/>
          <w:tab w:val="num" w:pos="12305"/>
        </w:tabs>
        <w:ind w:left="0" w:right="-90"/>
        <w:jc w:val="both"/>
        <w:rPr>
          <w:bCs/>
          <w:lang w:val="es-CR"/>
        </w:rPr>
      </w:pPr>
    </w:p>
    <w:p w:rsidR="00647159" w:rsidRPr="0001748B" w:rsidRDefault="00EA420E" w:rsidP="009D24BD">
      <w:pPr>
        <w:numPr>
          <w:ilvl w:val="0"/>
          <w:numId w:val="1"/>
        </w:numPr>
        <w:tabs>
          <w:tab w:val="left" w:pos="567"/>
          <w:tab w:val="num" w:pos="5057"/>
        </w:tabs>
        <w:spacing w:line="240" w:lineRule="auto"/>
        <w:ind w:left="0" w:firstLine="0"/>
        <w:rPr>
          <w:sz w:val="20"/>
          <w:szCs w:val="20"/>
        </w:rPr>
      </w:pPr>
      <w:r w:rsidRPr="003D7215">
        <w:rPr>
          <w:sz w:val="20"/>
          <w:szCs w:val="20"/>
        </w:rPr>
        <w:t xml:space="preserve">En el presente caso, </w:t>
      </w:r>
      <w:r w:rsidR="00647159" w:rsidRPr="003D7215">
        <w:rPr>
          <w:sz w:val="20"/>
          <w:szCs w:val="20"/>
        </w:rPr>
        <w:t xml:space="preserve">la Corte entiende que </w:t>
      </w:r>
      <w:r w:rsidRPr="003D7215">
        <w:rPr>
          <w:sz w:val="20"/>
          <w:szCs w:val="20"/>
        </w:rPr>
        <w:t xml:space="preserve">fue </w:t>
      </w:r>
      <w:r w:rsidR="00C77C5C" w:rsidRPr="003D7215">
        <w:rPr>
          <w:sz w:val="20"/>
          <w:szCs w:val="20"/>
        </w:rPr>
        <w:t>la versión oficial</w:t>
      </w:r>
      <w:r w:rsidR="008A6B46" w:rsidRPr="003D7215">
        <w:rPr>
          <w:sz w:val="20"/>
          <w:szCs w:val="20"/>
        </w:rPr>
        <w:t>,</w:t>
      </w:r>
      <w:r w:rsidR="00C77C5C" w:rsidRPr="003D7215">
        <w:rPr>
          <w:sz w:val="20"/>
          <w:szCs w:val="20"/>
        </w:rPr>
        <w:t xml:space="preserve"> relativa a </w:t>
      </w:r>
      <w:r w:rsidR="00647159" w:rsidRPr="003D7215">
        <w:rPr>
          <w:sz w:val="20"/>
          <w:szCs w:val="20"/>
        </w:rPr>
        <w:t>que la muerte del joven se debió a un hecho accidental derivado de la ejecución deficiente del ejercicio</w:t>
      </w:r>
      <w:r w:rsidR="009D24BD" w:rsidRPr="003D7215">
        <w:rPr>
          <w:sz w:val="20"/>
          <w:szCs w:val="20"/>
        </w:rPr>
        <w:t xml:space="preserve"> en el marco de la instrucción militar</w:t>
      </w:r>
      <w:r w:rsidR="003D7215" w:rsidRPr="003D7215">
        <w:rPr>
          <w:sz w:val="20"/>
          <w:szCs w:val="20"/>
        </w:rPr>
        <w:t>,</w:t>
      </w:r>
      <w:r w:rsidR="00C77C5C" w:rsidRPr="003D7215">
        <w:rPr>
          <w:sz w:val="20"/>
          <w:szCs w:val="20"/>
        </w:rPr>
        <w:t xml:space="preserve"> </w:t>
      </w:r>
      <w:r w:rsidRPr="003D7215">
        <w:rPr>
          <w:sz w:val="20"/>
          <w:szCs w:val="20"/>
        </w:rPr>
        <w:t xml:space="preserve">la que activó </w:t>
      </w:r>
      <w:r w:rsidR="00647159" w:rsidRPr="003D7215">
        <w:rPr>
          <w:sz w:val="20"/>
          <w:szCs w:val="20"/>
        </w:rPr>
        <w:t>la jurisdicción militar</w:t>
      </w:r>
      <w:r w:rsidR="009D24BD" w:rsidRPr="003D7215">
        <w:rPr>
          <w:sz w:val="20"/>
          <w:szCs w:val="20"/>
        </w:rPr>
        <w:t xml:space="preserve"> el 5 de marzo de 1998, fecha en que se inició una averiguación militar sumarial</w:t>
      </w:r>
      <w:r w:rsidR="00647159" w:rsidRPr="003D7215">
        <w:rPr>
          <w:sz w:val="20"/>
          <w:szCs w:val="20"/>
        </w:rPr>
        <w:t>.</w:t>
      </w:r>
      <w:r w:rsidR="00647159" w:rsidRPr="0001748B">
        <w:rPr>
          <w:sz w:val="20"/>
          <w:szCs w:val="20"/>
        </w:rPr>
        <w:t xml:space="preserve"> Sin embargo, la Corte </w:t>
      </w:r>
      <w:r w:rsidR="009D24BD" w:rsidRPr="0001748B">
        <w:rPr>
          <w:sz w:val="20"/>
          <w:szCs w:val="20"/>
        </w:rPr>
        <w:t>nota que</w:t>
      </w:r>
      <w:r w:rsidR="00647159" w:rsidRPr="0001748B">
        <w:rPr>
          <w:sz w:val="20"/>
          <w:szCs w:val="20"/>
        </w:rPr>
        <w:t xml:space="preserve"> los progenitores de </w:t>
      </w:r>
      <w:r w:rsidR="00DF510B">
        <w:rPr>
          <w:sz w:val="20"/>
          <w:szCs w:val="20"/>
        </w:rPr>
        <w:t xml:space="preserve">Johan Alexis </w:t>
      </w:r>
      <w:r w:rsidR="00647159" w:rsidRPr="0001748B">
        <w:rPr>
          <w:sz w:val="20"/>
          <w:szCs w:val="20"/>
        </w:rPr>
        <w:t xml:space="preserve">presentaron el 10 de marzo del mismo año una solicitud a la Fiscalía General de la República </w:t>
      </w:r>
      <w:r w:rsidR="00647159" w:rsidRPr="0001748B">
        <w:rPr>
          <w:sz w:val="20"/>
          <w:szCs w:val="20"/>
        </w:rPr>
        <w:lastRenderedPageBreak/>
        <w:t>a fin de que se ordenara la apertura de una investigación por la muerte de su hijo, la cual conforme a indicios existentes no se habría tratado de un accidente</w:t>
      </w:r>
      <w:r w:rsidR="00647159" w:rsidRPr="0001748B">
        <w:rPr>
          <w:rStyle w:val="FootnoteReference"/>
          <w:sz w:val="20"/>
          <w:szCs w:val="20"/>
        </w:rPr>
        <w:footnoteReference w:id="186"/>
      </w:r>
      <w:r w:rsidR="006A6E20">
        <w:rPr>
          <w:sz w:val="20"/>
          <w:szCs w:val="20"/>
        </w:rPr>
        <w:t>.</w:t>
      </w:r>
    </w:p>
    <w:p w:rsidR="00647159" w:rsidRPr="0001748B" w:rsidRDefault="00647159" w:rsidP="0045779B">
      <w:pPr>
        <w:pStyle w:val="Prrafodelista2"/>
        <w:tabs>
          <w:tab w:val="left" w:pos="0"/>
          <w:tab w:val="num" w:pos="11028"/>
        </w:tabs>
        <w:ind w:left="0" w:right="-90"/>
        <w:jc w:val="both"/>
        <w:rPr>
          <w:lang w:val="es-CR"/>
        </w:rPr>
      </w:pPr>
    </w:p>
    <w:p w:rsidR="00647159" w:rsidRPr="0001748B" w:rsidRDefault="00647159" w:rsidP="00647159">
      <w:pPr>
        <w:numPr>
          <w:ilvl w:val="0"/>
          <w:numId w:val="1"/>
        </w:numPr>
        <w:tabs>
          <w:tab w:val="left" w:pos="567"/>
          <w:tab w:val="num" w:pos="5057"/>
        </w:tabs>
        <w:spacing w:line="240" w:lineRule="auto"/>
        <w:ind w:left="0" w:firstLine="0"/>
        <w:rPr>
          <w:sz w:val="20"/>
          <w:szCs w:val="20"/>
        </w:rPr>
      </w:pPr>
      <w:r w:rsidRPr="0001748B">
        <w:rPr>
          <w:sz w:val="20"/>
          <w:szCs w:val="20"/>
        </w:rPr>
        <w:t>Ante dicha situación</w:t>
      </w:r>
      <w:r w:rsidR="00C77C5C" w:rsidRPr="0001748B">
        <w:rPr>
          <w:sz w:val="20"/>
          <w:szCs w:val="20"/>
        </w:rPr>
        <w:t xml:space="preserve"> que denota la alegada existencia de un acto atentatorio contra la vida e integridad de Johan Alexis Ortiz Hernández</w:t>
      </w:r>
      <w:r w:rsidR="00F95943">
        <w:rPr>
          <w:sz w:val="20"/>
          <w:szCs w:val="20"/>
        </w:rPr>
        <w:t>,</w:t>
      </w:r>
      <w:r w:rsidR="00C77C5C" w:rsidRPr="0001748B">
        <w:rPr>
          <w:rFonts w:cs="Verdana"/>
          <w:sz w:val="20"/>
          <w:szCs w:val="20"/>
        </w:rPr>
        <w:t xml:space="preserve"> que no guarda relación con hechos y tipos penales conexos con la disciplina o la misión castrense</w:t>
      </w:r>
      <w:r w:rsidRPr="0001748B">
        <w:rPr>
          <w:sz w:val="20"/>
          <w:szCs w:val="20"/>
        </w:rPr>
        <w:t xml:space="preserve">, </w:t>
      </w:r>
      <w:r w:rsidR="00534961">
        <w:rPr>
          <w:sz w:val="20"/>
          <w:szCs w:val="20"/>
        </w:rPr>
        <w:t>y la existencia de elementos probatorios que corroboraban esta versión</w:t>
      </w:r>
      <w:r w:rsidR="001C78AD">
        <w:rPr>
          <w:sz w:val="20"/>
          <w:szCs w:val="20"/>
        </w:rPr>
        <w:t>,</w:t>
      </w:r>
      <w:r w:rsidR="00534961">
        <w:rPr>
          <w:sz w:val="20"/>
          <w:szCs w:val="20"/>
        </w:rPr>
        <w:t xml:space="preserve"> </w:t>
      </w:r>
      <w:r w:rsidRPr="0001748B">
        <w:rPr>
          <w:sz w:val="20"/>
          <w:szCs w:val="20"/>
        </w:rPr>
        <w:t xml:space="preserve">la investigación debió haberse derivado al fuero ordinario y no haberse continuado en el militar. </w:t>
      </w:r>
      <w:r w:rsidRPr="0001748B">
        <w:rPr>
          <w:rFonts w:eastAsia="Arial" w:cs="Arial"/>
          <w:sz w:val="20"/>
          <w:szCs w:val="20"/>
        </w:rPr>
        <w:t xml:space="preserve">La continuidad de la jurisdicción militar en dichas </w:t>
      </w:r>
      <w:r w:rsidR="00C77C5C" w:rsidRPr="0001748B">
        <w:rPr>
          <w:rFonts w:eastAsia="Arial" w:cs="Arial"/>
          <w:sz w:val="20"/>
          <w:szCs w:val="20"/>
        </w:rPr>
        <w:t xml:space="preserve">circunstancias </w:t>
      </w:r>
      <w:r w:rsidRPr="0001748B">
        <w:rPr>
          <w:rFonts w:eastAsia="Arial" w:cs="Arial"/>
          <w:sz w:val="20"/>
          <w:szCs w:val="20"/>
        </w:rPr>
        <w:t xml:space="preserve">contrarió los parámetros de excepcionalidad y restricción que caracterizan a dicha jurisdicción y operó sin tomar en cuenta la naturaleza de los actos involucrados. </w:t>
      </w:r>
      <w:r w:rsidRPr="0001748B">
        <w:rPr>
          <w:rFonts w:cs="Verdana"/>
          <w:sz w:val="20"/>
          <w:szCs w:val="20"/>
        </w:rPr>
        <w:t xml:space="preserve">En esta </w:t>
      </w:r>
      <w:r w:rsidRPr="0001748B">
        <w:rPr>
          <w:rFonts w:cs="Arial"/>
          <w:sz w:val="20"/>
          <w:szCs w:val="20"/>
        </w:rPr>
        <w:t>línea</w:t>
      </w:r>
      <w:r w:rsidRPr="0001748B">
        <w:rPr>
          <w:rFonts w:cs="Verdana"/>
          <w:sz w:val="20"/>
          <w:szCs w:val="20"/>
        </w:rPr>
        <w:t xml:space="preserve">, la Corte ha indicado que “[c]uando la justicia militar asume competencia sobre un asunto que debe conocer la justicia ordinaria, se ve afectado el derecho al juez natural y, </w:t>
      </w:r>
      <w:r w:rsidRPr="0001748B">
        <w:rPr>
          <w:rFonts w:cs="Verdana"/>
          <w:i/>
          <w:iCs/>
          <w:sz w:val="20"/>
          <w:szCs w:val="20"/>
        </w:rPr>
        <w:t>a fortiori</w:t>
      </w:r>
      <w:r w:rsidRPr="0001748B">
        <w:rPr>
          <w:rFonts w:cs="Verdana"/>
          <w:sz w:val="20"/>
          <w:szCs w:val="20"/>
        </w:rPr>
        <w:t>, el debido proceso”</w:t>
      </w:r>
      <w:r w:rsidRPr="0001748B">
        <w:rPr>
          <w:rFonts w:cs="Verdana"/>
          <w:sz w:val="20"/>
          <w:szCs w:val="20"/>
          <w:vertAlign w:val="superscript"/>
        </w:rPr>
        <w:footnoteReference w:id="187"/>
      </w:r>
      <w:r w:rsidRPr="0001748B">
        <w:rPr>
          <w:rFonts w:cs="Verdana"/>
          <w:sz w:val="20"/>
          <w:szCs w:val="20"/>
        </w:rPr>
        <w:t xml:space="preserve">, el cual, a su vez, se encuentra íntimamente ligado al propio derecho de acceso a la justicia. </w:t>
      </w:r>
      <w:r w:rsidR="00182014" w:rsidRPr="0001748B">
        <w:rPr>
          <w:rFonts w:cs="Verdana"/>
          <w:sz w:val="20"/>
          <w:szCs w:val="20"/>
        </w:rPr>
        <w:t xml:space="preserve">En esta línea, la </w:t>
      </w:r>
      <w:r w:rsidR="00182014" w:rsidRPr="0001748B">
        <w:rPr>
          <w:sz w:val="20"/>
          <w:szCs w:val="20"/>
        </w:rPr>
        <w:t>Corte ha establecido que la violación al principio del juez natural se configura durante el tiempo en que las autoridades militares participaron en la investigación o procesos que involucran violaciones a derechos humanos</w:t>
      </w:r>
      <w:r w:rsidR="00182014" w:rsidRPr="0001748B">
        <w:rPr>
          <w:rStyle w:val="FootnoteReference"/>
          <w:sz w:val="20"/>
          <w:szCs w:val="20"/>
        </w:rPr>
        <w:footnoteReference w:id="188"/>
      </w:r>
      <w:r w:rsidR="00182014" w:rsidRPr="0001748B">
        <w:rPr>
          <w:sz w:val="20"/>
          <w:szCs w:val="20"/>
        </w:rPr>
        <w:t>.</w:t>
      </w:r>
    </w:p>
    <w:p w:rsidR="00647159" w:rsidRPr="0001748B" w:rsidRDefault="00647159" w:rsidP="00647159">
      <w:pPr>
        <w:pStyle w:val="Prrafodelista2"/>
        <w:tabs>
          <w:tab w:val="left" w:pos="0"/>
          <w:tab w:val="num" w:pos="11028"/>
        </w:tabs>
        <w:ind w:left="0" w:right="-90"/>
        <w:jc w:val="both"/>
        <w:rPr>
          <w:lang w:val="es-CR"/>
        </w:rPr>
      </w:pPr>
    </w:p>
    <w:p w:rsidR="002A680F" w:rsidRPr="0001748B" w:rsidRDefault="00182014" w:rsidP="002A680F">
      <w:pPr>
        <w:numPr>
          <w:ilvl w:val="0"/>
          <w:numId w:val="1"/>
        </w:numPr>
        <w:tabs>
          <w:tab w:val="left" w:pos="567"/>
          <w:tab w:val="num" w:pos="5057"/>
        </w:tabs>
        <w:spacing w:line="240" w:lineRule="auto"/>
        <w:ind w:left="0" w:firstLine="0"/>
        <w:rPr>
          <w:sz w:val="20"/>
          <w:szCs w:val="20"/>
        </w:rPr>
      </w:pPr>
      <w:r w:rsidRPr="0001748B">
        <w:rPr>
          <w:rFonts w:cs="Arial"/>
          <w:sz w:val="20"/>
          <w:szCs w:val="20"/>
        </w:rPr>
        <w:t>De la jurisprudencia de la Corte se deduce que la responsabilidad internacional del Estado en virtud del artículo 2 de la Convención Americana, se genera no sólo por una norma interna violatoria de la Convención</w:t>
      </w:r>
      <w:r w:rsidRPr="0001748B">
        <w:rPr>
          <w:rStyle w:val="FootnoteReference"/>
          <w:rFonts w:cs="Arial"/>
          <w:sz w:val="20"/>
          <w:szCs w:val="20"/>
        </w:rPr>
        <w:footnoteReference w:id="189"/>
      </w:r>
      <w:r w:rsidRPr="0001748B">
        <w:rPr>
          <w:rFonts w:cs="Arial"/>
          <w:sz w:val="20"/>
          <w:szCs w:val="20"/>
        </w:rPr>
        <w:t>, sino también cuando funcionarios estatales, al aplicar una norma interna, la interpretan de una forma violatoria de los derechos protegidos en la Convención</w:t>
      </w:r>
      <w:r w:rsidRPr="0001748B">
        <w:rPr>
          <w:rStyle w:val="FootnoteReference"/>
          <w:rFonts w:cs="Arial"/>
          <w:sz w:val="20"/>
          <w:szCs w:val="20"/>
        </w:rPr>
        <w:footnoteReference w:id="190"/>
      </w:r>
      <w:r w:rsidRPr="0001748B">
        <w:rPr>
          <w:rFonts w:cs="Arial"/>
          <w:sz w:val="20"/>
          <w:szCs w:val="20"/>
        </w:rPr>
        <w:t xml:space="preserve">. </w:t>
      </w:r>
      <w:r w:rsidR="002A680F" w:rsidRPr="0001748B">
        <w:rPr>
          <w:sz w:val="20"/>
          <w:szCs w:val="20"/>
        </w:rPr>
        <w:t xml:space="preserve">Al respecto, el mismo Estado reconoció que, en virtud de la normativa de la época “el procedimiento se inició como si se tratara de un delito de naturaleza militar, determinándose </w:t>
      </w:r>
      <w:r w:rsidR="002A680F" w:rsidRPr="0001748B">
        <w:rPr>
          <w:i/>
          <w:sz w:val="20"/>
          <w:szCs w:val="20"/>
        </w:rPr>
        <w:t>prima facie</w:t>
      </w:r>
      <w:r w:rsidR="002A680F" w:rsidRPr="0001748B">
        <w:rPr>
          <w:sz w:val="20"/>
          <w:szCs w:val="20"/>
        </w:rPr>
        <w:t xml:space="preserve"> competente esta jurisdicción”. En </w:t>
      </w:r>
      <w:r w:rsidR="00DA2B8C" w:rsidRPr="0001748B">
        <w:rPr>
          <w:sz w:val="20"/>
          <w:szCs w:val="20"/>
        </w:rPr>
        <w:t>efecto</w:t>
      </w:r>
      <w:r w:rsidR="002A680F" w:rsidRPr="0001748B">
        <w:rPr>
          <w:sz w:val="20"/>
          <w:szCs w:val="20"/>
        </w:rPr>
        <w:t xml:space="preserve">, la Corte constata que la adjudicación de competencia a la jurisdicción militar desde el año 1998 se derivó de la existencia de dicha </w:t>
      </w:r>
      <w:r w:rsidR="00627E6A">
        <w:rPr>
          <w:sz w:val="20"/>
          <w:szCs w:val="20"/>
        </w:rPr>
        <w:t>legislación</w:t>
      </w:r>
      <w:r w:rsidR="002A680F" w:rsidRPr="0001748B">
        <w:rPr>
          <w:sz w:val="20"/>
          <w:szCs w:val="20"/>
        </w:rPr>
        <w:t>. Sin embargo, normativa posterior, en particular los artículos 29</w:t>
      </w:r>
      <w:r w:rsidR="00834D33" w:rsidRPr="0001748B">
        <w:rPr>
          <w:rStyle w:val="FootnoteReference"/>
          <w:sz w:val="20"/>
          <w:szCs w:val="20"/>
        </w:rPr>
        <w:footnoteReference w:id="191"/>
      </w:r>
      <w:r w:rsidR="002A680F" w:rsidRPr="0001748B">
        <w:rPr>
          <w:sz w:val="20"/>
          <w:szCs w:val="20"/>
        </w:rPr>
        <w:t xml:space="preserve"> y 261</w:t>
      </w:r>
      <w:r w:rsidR="00D7197C" w:rsidRPr="0001748B">
        <w:rPr>
          <w:rStyle w:val="FootnoteReference"/>
          <w:rFonts w:eastAsia="Arial" w:cs="Arial"/>
          <w:sz w:val="20"/>
          <w:szCs w:val="20"/>
        </w:rPr>
        <w:footnoteReference w:id="192"/>
      </w:r>
      <w:r w:rsidR="002A680F" w:rsidRPr="0001748B">
        <w:rPr>
          <w:sz w:val="20"/>
          <w:szCs w:val="20"/>
        </w:rPr>
        <w:t xml:space="preserve"> de la nueva Constitución </w:t>
      </w:r>
      <w:r w:rsidR="00032561" w:rsidRPr="0001748B">
        <w:rPr>
          <w:sz w:val="20"/>
          <w:szCs w:val="20"/>
        </w:rPr>
        <w:t xml:space="preserve">de la República Bolivariana de Venezuela </w:t>
      </w:r>
      <w:r w:rsidR="002A680F" w:rsidRPr="0001748B">
        <w:rPr>
          <w:sz w:val="20"/>
          <w:szCs w:val="20"/>
        </w:rPr>
        <w:t xml:space="preserve">adoptada en 1999 </w:t>
      </w:r>
      <w:r w:rsidR="00834D33" w:rsidRPr="0001748B">
        <w:rPr>
          <w:sz w:val="20"/>
          <w:szCs w:val="20"/>
        </w:rPr>
        <w:t>establecieron que los delitos comunes y las violaciones de derechos humanos eran competencia de la jurisdicción ordinaria</w:t>
      </w:r>
      <w:r w:rsidR="00032561" w:rsidRPr="0001748B">
        <w:rPr>
          <w:sz w:val="20"/>
          <w:szCs w:val="20"/>
        </w:rPr>
        <w:t xml:space="preserve">, limitando </w:t>
      </w:r>
      <w:r w:rsidR="002A680F" w:rsidRPr="0001748B">
        <w:rPr>
          <w:sz w:val="20"/>
          <w:szCs w:val="20"/>
        </w:rPr>
        <w:t>la jurisdicción militar a delitos de naturaleza militar. Por tal motivo</w:t>
      </w:r>
      <w:r w:rsidR="00032561" w:rsidRPr="0001748B">
        <w:rPr>
          <w:sz w:val="20"/>
          <w:szCs w:val="20"/>
        </w:rPr>
        <w:t>,</w:t>
      </w:r>
      <w:r w:rsidR="002A680F" w:rsidRPr="0001748B">
        <w:rPr>
          <w:sz w:val="20"/>
          <w:szCs w:val="20"/>
        </w:rPr>
        <w:t xml:space="preserve"> resulta </w:t>
      </w:r>
      <w:r w:rsidR="004866AA" w:rsidRPr="0001748B">
        <w:rPr>
          <w:sz w:val="20"/>
          <w:szCs w:val="20"/>
        </w:rPr>
        <w:t xml:space="preserve">contrario no sólo a la Convención sino a la propia Constitución nacional, </w:t>
      </w:r>
      <w:r w:rsidR="002A680F" w:rsidRPr="0001748B">
        <w:rPr>
          <w:sz w:val="20"/>
          <w:szCs w:val="20"/>
        </w:rPr>
        <w:t>que</w:t>
      </w:r>
      <w:r w:rsidR="00647159" w:rsidRPr="0001748B">
        <w:rPr>
          <w:sz w:val="20"/>
          <w:szCs w:val="20"/>
        </w:rPr>
        <w:t xml:space="preserve"> el 22 de agosto de 2001 la Corte Marcial de la República confirm</w:t>
      </w:r>
      <w:r w:rsidR="002A680F" w:rsidRPr="0001748B">
        <w:rPr>
          <w:sz w:val="20"/>
          <w:szCs w:val="20"/>
        </w:rPr>
        <w:t>ara</w:t>
      </w:r>
      <w:r w:rsidR="00647159" w:rsidRPr="0001748B">
        <w:rPr>
          <w:sz w:val="20"/>
          <w:szCs w:val="20"/>
        </w:rPr>
        <w:t xml:space="preserve"> su competencia</w:t>
      </w:r>
      <w:r w:rsidR="004866AA" w:rsidRPr="0001748B">
        <w:rPr>
          <w:rStyle w:val="FootnoteReference"/>
          <w:sz w:val="20"/>
          <w:szCs w:val="20"/>
        </w:rPr>
        <w:footnoteReference w:id="193"/>
      </w:r>
      <w:r w:rsidR="00647159" w:rsidRPr="0001748B">
        <w:rPr>
          <w:sz w:val="20"/>
          <w:szCs w:val="20"/>
        </w:rPr>
        <w:t xml:space="preserve"> con base en </w:t>
      </w:r>
      <w:r w:rsidR="00032561" w:rsidRPr="0001748B">
        <w:rPr>
          <w:sz w:val="20"/>
          <w:szCs w:val="20"/>
        </w:rPr>
        <w:t xml:space="preserve">normativa </w:t>
      </w:r>
      <w:r w:rsidR="00177ED1" w:rsidRPr="0001748B">
        <w:rPr>
          <w:sz w:val="20"/>
          <w:szCs w:val="20"/>
        </w:rPr>
        <w:t>infra constitucional</w:t>
      </w:r>
      <w:r w:rsidR="00032561" w:rsidRPr="0001748B">
        <w:rPr>
          <w:sz w:val="20"/>
          <w:szCs w:val="20"/>
        </w:rPr>
        <w:t xml:space="preserve">, esto es </w:t>
      </w:r>
      <w:r w:rsidR="00647159" w:rsidRPr="0001748B">
        <w:rPr>
          <w:sz w:val="20"/>
          <w:szCs w:val="20"/>
        </w:rPr>
        <w:t xml:space="preserve">el </w:t>
      </w:r>
      <w:r w:rsidR="00647159" w:rsidRPr="0001748B">
        <w:rPr>
          <w:sz w:val="20"/>
          <w:szCs w:val="20"/>
        </w:rPr>
        <w:lastRenderedPageBreak/>
        <w:t>artículo 123, inciso 3 del Código Orgánico de Justicia Militar</w:t>
      </w:r>
      <w:r w:rsidR="00647159" w:rsidRPr="0001748B">
        <w:rPr>
          <w:rStyle w:val="FootnoteReference"/>
          <w:sz w:val="20"/>
          <w:szCs w:val="20"/>
        </w:rPr>
        <w:footnoteReference w:id="194"/>
      </w:r>
      <w:r w:rsidR="002A680F" w:rsidRPr="0001748B">
        <w:rPr>
          <w:sz w:val="20"/>
          <w:szCs w:val="20"/>
        </w:rPr>
        <w:t>, el cual le atribuía competencia a los tribunales militares para el conocimiento de delitos comunes cometidos por funcionarios de las Fuerzas Armadas en establecimientos militares,</w:t>
      </w:r>
      <w:r w:rsidR="00647159" w:rsidRPr="0001748B">
        <w:rPr>
          <w:sz w:val="20"/>
          <w:szCs w:val="20"/>
        </w:rPr>
        <w:t xml:space="preserve"> y desestim</w:t>
      </w:r>
      <w:r w:rsidR="002A680F" w:rsidRPr="0001748B">
        <w:rPr>
          <w:sz w:val="20"/>
          <w:szCs w:val="20"/>
        </w:rPr>
        <w:t>ara</w:t>
      </w:r>
      <w:r w:rsidR="00647159" w:rsidRPr="0001748B">
        <w:rPr>
          <w:sz w:val="20"/>
          <w:szCs w:val="20"/>
        </w:rPr>
        <w:t xml:space="preserve"> la solicitud de los </w:t>
      </w:r>
      <w:r w:rsidR="00A92116">
        <w:rPr>
          <w:sz w:val="20"/>
          <w:szCs w:val="20"/>
        </w:rPr>
        <w:t>progenitores</w:t>
      </w:r>
      <w:r w:rsidR="00647159" w:rsidRPr="0001748B">
        <w:rPr>
          <w:sz w:val="20"/>
          <w:szCs w:val="20"/>
        </w:rPr>
        <w:t xml:space="preserve"> de Johan Alexis de que el caso fuera derivado a la justicia ordinaria</w:t>
      </w:r>
      <w:r w:rsidR="00A92116">
        <w:rPr>
          <w:sz w:val="20"/>
          <w:szCs w:val="20"/>
        </w:rPr>
        <w:t>.</w:t>
      </w:r>
    </w:p>
    <w:p w:rsidR="00647159" w:rsidRPr="0001748B" w:rsidRDefault="00647159" w:rsidP="00647159">
      <w:pPr>
        <w:pStyle w:val="Prrafodelista2"/>
        <w:tabs>
          <w:tab w:val="left" w:pos="0"/>
          <w:tab w:val="num" w:pos="567"/>
          <w:tab w:val="num" w:pos="11028"/>
        </w:tabs>
        <w:ind w:left="0" w:right="-90"/>
        <w:jc w:val="both"/>
        <w:rPr>
          <w:rFonts w:eastAsia="Arial" w:cs="Arial"/>
          <w:lang w:val="es-CR"/>
        </w:rPr>
      </w:pPr>
    </w:p>
    <w:p w:rsidR="002A680F" w:rsidRPr="0001748B" w:rsidRDefault="00647159" w:rsidP="002A680F">
      <w:pPr>
        <w:numPr>
          <w:ilvl w:val="0"/>
          <w:numId w:val="1"/>
        </w:numPr>
        <w:tabs>
          <w:tab w:val="left" w:pos="567"/>
          <w:tab w:val="num" w:pos="5057"/>
        </w:tabs>
        <w:spacing w:line="240" w:lineRule="auto"/>
        <w:ind w:left="0" w:firstLine="0"/>
        <w:rPr>
          <w:sz w:val="20"/>
          <w:szCs w:val="20"/>
        </w:rPr>
      </w:pPr>
      <w:r w:rsidRPr="0001748B">
        <w:rPr>
          <w:rFonts w:eastAsia="Arial" w:cs="Arial"/>
          <w:sz w:val="20"/>
          <w:szCs w:val="20"/>
        </w:rPr>
        <w:t>E</w:t>
      </w:r>
      <w:r w:rsidR="00FF6023" w:rsidRPr="0001748B">
        <w:rPr>
          <w:rFonts w:eastAsia="Arial" w:cs="Arial"/>
          <w:sz w:val="20"/>
          <w:szCs w:val="20"/>
        </w:rPr>
        <w:t xml:space="preserve">n este sentido, se </w:t>
      </w:r>
      <w:r w:rsidR="00645DA5">
        <w:rPr>
          <w:rFonts w:eastAsia="Arial" w:cs="Arial"/>
          <w:sz w:val="20"/>
          <w:szCs w:val="20"/>
        </w:rPr>
        <w:t>pronunció</w:t>
      </w:r>
      <w:r w:rsidR="00645DA5" w:rsidRPr="0001748B">
        <w:rPr>
          <w:rFonts w:eastAsia="Arial" w:cs="Arial"/>
          <w:sz w:val="20"/>
          <w:szCs w:val="20"/>
        </w:rPr>
        <w:t xml:space="preserve"> </w:t>
      </w:r>
      <w:r w:rsidR="00FF6023" w:rsidRPr="0001748B">
        <w:rPr>
          <w:rFonts w:eastAsia="Arial" w:cs="Arial"/>
          <w:sz w:val="20"/>
          <w:szCs w:val="20"/>
        </w:rPr>
        <w:t>la Sala Constitucional del Tribunal Supremo de Justicia a</w:t>
      </w:r>
      <w:r w:rsidRPr="0001748B">
        <w:rPr>
          <w:rFonts w:eastAsia="Arial" w:cs="Arial"/>
          <w:sz w:val="20"/>
          <w:szCs w:val="20"/>
        </w:rPr>
        <w:t>l</w:t>
      </w:r>
      <w:r w:rsidR="00FF6023" w:rsidRPr="0001748B">
        <w:rPr>
          <w:rFonts w:eastAsia="Arial" w:cs="Arial"/>
          <w:sz w:val="20"/>
          <w:szCs w:val="20"/>
        </w:rPr>
        <w:t xml:space="preserve"> decidir</w:t>
      </w:r>
      <w:r w:rsidRPr="0001748B">
        <w:rPr>
          <w:rFonts w:eastAsia="Arial" w:cs="Arial"/>
          <w:sz w:val="20"/>
          <w:szCs w:val="20"/>
        </w:rPr>
        <w:t xml:space="preserve"> </w:t>
      </w:r>
      <w:r w:rsidR="00FF6023" w:rsidRPr="0001748B">
        <w:rPr>
          <w:rFonts w:eastAsia="Arial" w:cs="Arial"/>
          <w:sz w:val="20"/>
          <w:szCs w:val="20"/>
        </w:rPr>
        <w:t xml:space="preserve">el 11 de junio de 2002 </w:t>
      </w:r>
      <w:r w:rsidR="00FF6023" w:rsidRPr="0001748B">
        <w:rPr>
          <w:sz w:val="20"/>
          <w:szCs w:val="20"/>
        </w:rPr>
        <w:t xml:space="preserve">respecto </w:t>
      </w:r>
      <w:r w:rsidRPr="0001748B">
        <w:rPr>
          <w:sz w:val="20"/>
          <w:szCs w:val="20"/>
        </w:rPr>
        <w:t xml:space="preserve">de un recurso de amparo </w:t>
      </w:r>
      <w:r w:rsidR="00FF6023" w:rsidRPr="0001748B">
        <w:rPr>
          <w:sz w:val="20"/>
          <w:szCs w:val="20"/>
        </w:rPr>
        <w:t xml:space="preserve">interpuesto </w:t>
      </w:r>
      <w:r w:rsidRPr="0001748B">
        <w:rPr>
          <w:sz w:val="20"/>
          <w:szCs w:val="20"/>
        </w:rPr>
        <w:t xml:space="preserve">por el señor </w:t>
      </w:r>
      <w:r w:rsidR="0043687A" w:rsidRPr="007301D0">
        <w:rPr>
          <w:rFonts w:eastAsia="Times"/>
          <w:sz w:val="20"/>
          <w:szCs w:val="20"/>
        </w:rPr>
        <w:t>Edgar Humberto Ortiz Ruiz</w:t>
      </w:r>
      <w:r w:rsidR="00FF6023" w:rsidRPr="0001748B">
        <w:rPr>
          <w:sz w:val="20"/>
          <w:szCs w:val="20"/>
        </w:rPr>
        <w:t xml:space="preserve"> </w:t>
      </w:r>
      <w:r w:rsidR="006C4308">
        <w:rPr>
          <w:sz w:val="20"/>
          <w:szCs w:val="20"/>
        </w:rPr>
        <w:t xml:space="preserve">en el que </w:t>
      </w:r>
      <w:r w:rsidR="00045C95">
        <w:rPr>
          <w:sz w:val="20"/>
          <w:szCs w:val="20"/>
        </w:rPr>
        <w:t>ordenó</w:t>
      </w:r>
      <w:r w:rsidR="00045C95" w:rsidRPr="0001748B">
        <w:rPr>
          <w:rFonts w:eastAsia="Arial" w:cs="Arial"/>
          <w:sz w:val="20"/>
          <w:szCs w:val="20"/>
        </w:rPr>
        <w:t xml:space="preserve"> </w:t>
      </w:r>
      <w:r w:rsidRPr="0001748B">
        <w:rPr>
          <w:rFonts w:eastAsia="Arial" w:cs="Arial"/>
          <w:sz w:val="20"/>
          <w:szCs w:val="20"/>
        </w:rPr>
        <w:t>remitir el caso a la justicia ordinaria (</w:t>
      </w:r>
      <w:r w:rsidRPr="0001748B">
        <w:rPr>
          <w:rFonts w:eastAsia="Arial" w:cs="Arial"/>
          <w:i/>
          <w:sz w:val="20"/>
          <w:szCs w:val="20"/>
        </w:rPr>
        <w:t xml:space="preserve">supra </w:t>
      </w:r>
      <w:r w:rsidRPr="0001748B">
        <w:rPr>
          <w:rFonts w:eastAsia="Arial" w:cs="Arial"/>
          <w:sz w:val="20"/>
          <w:szCs w:val="20"/>
        </w:rPr>
        <w:t xml:space="preserve">párr. </w:t>
      </w:r>
      <w:r w:rsidR="00045C95">
        <w:rPr>
          <w:rFonts w:eastAsia="Arial" w:cs="Arial"/>
          <w:sz w:val="20"/>
          <w:szCs w:val="20"/>
        </w:rPr>
        <w:t>82</w:t>
      </w:r>
      <w:r w:rsidR="00045C95" w:rsidRPr="0001748B">
        <w:rPr>
          <w:rFonts w:eastAsia="Arial" w:cs="Arial"/>
          <w:sz w:val="20"/>
          <w:szCs w:val="20"/>
        </w:rPr>
        <w:t xml:space="preserve">). </w:t>
      </w:r>
      <w:r w:rsidRPr="0001748B">
        <w:rPr>
          <w:rFonts w:eastAsia="Arial" w:cs="Arial"/>
          <w:sz w:val="20"/>
          <w:szCs w:val="20"/>
        </w:rPr>
        <w:t>La Sala Constitucional resolvió que “conforme al dispositivo expreso del artículo 261 de la Constitución, los delitos comunes cometidos por militares, a</w:t>
      </w:r>
      <w:r w:rsidR="00FF6023" w:rsidRPr="0001748B">
        <w:rPr>
          <w:rFonts w:eastAsia="Arial" w:cs="Arial"/>
          <w:sz w:val="20"/>
          <w:szCs w:val="20"/>
        </w:rPr>
        <w:t>[ú]</w:t>
      </w:r>
      <w:r w:rsidRPr="0001748B">
        <w:rPr>
          <w:rFonts w:eastAsia="Arial" w:cs="Arial"/>
          <w:sz w:val="20"/>
          <w:szCs w:val="20"/>
        </w:rPr>
        <w:t>n cuando sea en ejercicio de funciones militares, en actos de servicio, en comisiones o con ocasión de ellas o encontrándose dentro o fuera de las instalaciones militares, deben ser juzgados por los tribunales ordinarios, sin que pueda establecerse ninguna excepción en este sentido, y la jurisdicción militar se limita al juzgamiento de los delitos militares tipificados en leyes especiales que regulan esta materia, de forma tal que es la naturaleza del delito lo que determina en todos los casos la jurisdicción que debe juzgarlo. […] De lo anterior, se desprende que debe desaplicarse [...], por contradecir la norma señalada constitucional, el artículo 123 numeral 3 del Código Orgánico de Justicia Militar [...]”</w:t>
      </w:r>
      <w:r w:rsidRPr="0001748B">
        <w:rPr>
          <w:rStyle w:val="FootnoteReference"/>
          <w:rFonts w:eastAsia="Arial" w:cs="Arial"/>
          <w:sz w:val="20"/>
          <w:szCs w:val="20"/>
        </w:rPr>
        <w:footnoteReference w:id="195"/>
      </w:r>
      <w:r w:rsidRPr="0001748B">
        <w:rPr>
          <w:rFonts w:eastAsia="Arial" w:cs="Arial"/>
          <w:sz w:val="20"/>
          <w:szCs w:val="20"/>
        </w:rPr>
        <w:t>.</w:t>
      </w:r>
      <w:r w:rsidR="002A680F" w:rsidRPr="0001748B">
        <w:rPr>
          <w:rFonts w:eastAsia="Arial" w:cs="Arial"/>
          <w:sz w:val="20"/>
          <w:szCs w:val="20"/>
        </w:rPr>
        <w:t xml:space="preserve"> </w:t>
      </w:r>
      <w:r w:rsidR="002A680F" w:rsidRPr="0001748B">
        <w:rPr>
          <w:sz w:val="20"/>
          <w:szCs w:val="20"/>
        </w:rPr>
        <w:t xml:space="preserve">Si bien la Corte considera positiva la decisión adoptada por la Sala Constitucional </w:t>
      </w:r>
      <w:r w:rsidR="002A680F" w:rsidRPr="0001748B">
        <w:rPr>
          <w:rFonts w:eastAsia="Arial" w:cs="Arial"/>
          <w:sz w:val="20"/>
          <w:szCs w:val="20"/>
        </w:rPr>
        <w:t>del Tribunal Supremo de Justicia, mediante la cual cesó la violación a la garantía del juez natural y competente en el presente caso, es necesario advertir que de persistir estas contradicciones a nivel normativo, e</w:t>
      </w:r>
      <w:r w:rsidR="006A7851" w:rsidRPr="0001748B">
        <w:rPr>
          <w:rFonts w:eastAsia="Arial" w:cs="Arial"/>
          <w:sz w:val="20"/>
          <w:szCs w:val="20"/>
        </w:rPr>
        <w:t>s deber de</w:t>
      </w:r>
      <w:r w:rsidR="002A680F" w:rsidRPr="0001748B">
        <w:rPr>
          <w:rFonts w:eastAsia="Arial" w:cs="Arial"/>
          <w:sz w:val="20"/>
          <w:szCs w:val="20"/>
        </w:rPr>
        <w:t xml:space="preserve">l Estado </w:t>
      </w:r>
      <w:r w:rsidR="006A7851" w:rsidRPr="0001748B">
        <w:rPr>
          <w:rFonts w:eastAsia="Arial" w:cs="Arial"/>
          <w:sz w:val="20"/>
          <w:szCs w:val="20"/>
        </w:rPr>
        <w:t>armonizar</w:t>
      </w:r>
      <w:r w:rsidR="002A680F" w:rsidRPr="0001748B">
        <w:rPr>
          <w:rFonts w:eastAsia="Arial" w:cs="Arial"/>
          <w:sz w:val="20"/>
          <w:szCs w:val="20"/>
        </w:rPr>
        <w:t xml:space="preserve"> su legislación </w:t>
      </w:r>
      <w:r w:rsidR="008E32CF" w:rsidRPr="0001748B">
        <w:rPr>
          <w:rFonts w:eastAsia="Arial" w:cs="Arial"/>
          <w:sz w:val="20"/>
          <w:szCs w:val="20"/>
        </w:rPr>
        <w:t xml:space="preserve">interna </w:t>
      </w:r>
      <w:r w:rsidR="002A680F" w:rsidRPr="0001748B">
        <w:rPr>
          <w:rFonts w:eastAsia="Arial" w:cs="Arial"/>
          <w:sz w:val="20"/>
          <w:szCs w:val="20"/>
        </w:rPr>
        <w:t>conforme a lo señalado por su Constitución</w:t>
      </w:r>
      <w:r w:rsidR="001911F3" w:rsidRPr="0001748B">
        <w:rPr>
          <w:rFonts w:eastAsia="Arial" w:cs="Arial"/>
          <w:sz w:val="20"/>
          <w:szCs w:val="20"/>
        </w:rPr>
        <w:t>, lo cual es acorde a la criterios jurídicos desarrollados en la jurisprudencia de este Tribunal</w:t>
      </w:r>
      <w:r w:rsidR="002A680F" w:rsidRPr="0001748B">
        <w:rPr>
          <w:rFonts w:eastAsia="Arial" w:cs="Arial"/>
          <w:sz w:val="20"/>
          <w:szCs w:val="20"/>
        </w:rPr>
        <w:t>.</w:t>
      </w:r>
    </w:p>
    <w:p w:rsidR="00647159" w:rsidRPr="0001748B" w:rsidRDefault="00647159" w:rsidP="0045779B">
      <w:pPr>
        <w:tabs>
          <w:tab w:val="left" w:pos="567"/>
        </w:tabs>
        <w:spacing w:line="240" w:lineRule="auto"/>
        <w:rPr>
          <w:sz w:val="20"/>
          <w:szCs w:val="20"/>
        </w:rPr>
      </w:pPr>
    </w:p>
    <w:p w:rsidR="00647159" w:rsidRPr="0001748B" w:rsidRDefault="00743096" w:rsidP="002A680F">
      <w:pPr>
        <w:numPr>
          <w:ilvl w:val="0"/>
          <w:numId w:val="1"/>
        </w:numPr>
        <w:tabs>
          <w:tab w:val="left" w:pos="567"/>
          <w:tab w:val="num" w:pos="5057"/>
        </w:tabs>
        <w:spacing w:line="240" w:lineRule="auto"/>
        <w:ind w:left="0" w:firstLine="0"/>
        <w:rPr>
          <w:sz w:val="20"/>
          <w:szCs w:val="20"/>
        </w:rPr>
      </w:pPr>
      <w:r w:rsidRPr="0001748B">
        <w:rPr>
          <w:rFonts w:eastAsia="Arial" w:cs="Arial"/>
          <w:sz w:val="20"/>
          <w:szCs w:val="20"/>
        </w:rPr>
        <w:t>En conclusió</w:t>
      </w:r>
      <w:r w:rsidRPr="004B7525">
        <w:rPr>
          <w:rFonts w:eastAsia="Arial" w:cs="Arial"/>
          <w:sz w:val="20"/>
          <w:szCs w:val="20"/>
        </w:rPr>
        <w:t>n,</w:t>
      </w:r>
      <w:r w:rsidR="00647159" w:rsidRPr="004B7525">
        <w:rPr>
          <w:sz w:val="20"/>
          <w:szCs w:val="20"/>
        </w:rPr>
        <w:t xml:space="preserve"> la decisión de la Corte Marcial </w:t>
      </w:r>
      <w:r w:rsidR="00D801B3" w:rsidRPr="004B7525">
        <w:rPr>
          <w:sz w:val="20"/>
          <w:szCs w:val="20"/>
        </w:rPr>
        <w:t xml:space="preserve">que </w:t>
      </w:r>
      <w:r w:rsidR="004B7525" w:rsidRPr="004B7525">
        <w:rPr>
          <w:sz w:val="20"/>
          <w:szCs w:val="20"/>
        </w:rPr>
        <w:t xml:space="preserve">sostuvo </w:t>
      </w:r>
      <w:r w:rsidR="00647159" w:rsidRPr="004B7525">
        <w:rPr>
          <w:sz w:val="20"/>
          <w:szCs w:val="20"/>
        </w:rPr>
        <w:t xml:space="preserve">la competencia de la jurisdicción militar, </w:t>
      </w:r>
      <w:r w:rsidR="00647159" w:rsidRPr="004B7525">
        <w:rPr>
          <w:rFonts w:eastAsia="Arial" w:cs="Arial"/>
          <w:sz w:val="20"/>
          <w:szCs w:val="20"/>
        </w:rPr>
        <w:t xml:space="preserve">sumado al período durante el cual el caso se mantuvo en </w:t>
      </w:r>
      <w:r w:rsidR="001F59CD">
        <w:rPr>
          <w:rFonts w:eastAsia="Arial" w:cs="Arial"/>
          <w:sz w:val="20"/>
          <w:szCs w:val="20"/>
        </w:rPr>
        <w:t>esa</w:t>
      </w:r>
      <w:r w:rsidR="00647159" w:rsidRPr="004B7525">
        <w:rPr>
          <w:rFonts w:eastAsia="Arial" w:cs="Arial"/>
          <w:sz w:val="20"/>
          <w:szCs w:val="20"/>
        </w:rPr>
        <w:t xml:space="preserve"> jurisdicción entre los años 1998 y 200</w:t>
      </w:r>
      <w:r w:rsidR="00647159" w:rsidRPr="0001748B">
        <w:rPr>
          <w:rFonts w:eastAsia="Arial" w:cs="Arial"/>
          <w:sz w:val="20"/>
          <w:szCs w:val="20"/>
        </w:rPr>
        <w:t xml:space="preserve">2, </w:t>
      </w:r>
      <w:r w:rsidR="00647159" w:rsidRPr="0001748B">
        <w:rPr>
          <w:sz w:val="20"/>
          <w:szCs w:val="20"/>
        </w:rPr>
        <w:t xml:space="preserve">constituyeron una violación </w:t>
      </w:r>
      <w:r w:rsidR="00F657E5" w:rsidRPr="0001748B">
        <w:rPr>
          <w:sz w:val="20"/>
          <w:szCs w:val="20"/>
        </w:rPr>
        <w:t>de</w:t>
      </w:r>
      <w:r w:rsidR="00647159" w:rsidRPr="0001748B">
        <w:rPr>
          <w:sz w:val="20"/>
          <w:szCs w:val="20"/>
        </w:rPr>
        <w:t xml:space="preserve"> la garantía de juez natural. Por lo tanto, se configuró la responsabilidad internacional del Estado por la violación del artículo 8.1 de la Convención Americana, </w:t>
      </w:r>
      <w:r w:rsidR="002A680F" w:rsidRPr="0001748B">
        <w:rPr>
          <w:sz w:val="20"/>
          <w:szCs w:val="20"/>
        </w:rPr>
        <w:t xml:space="preserve">en relación con los artículos 1.1 y 2 de </w:t>
      </w:r>
      <w:r w:rsidR="00F657E5" w:rsidRPr="0001748B">
        <w:rPr>
          <w:sz w:val="20"/>
          <w:szCs w:val="20"/>
        </w:rPr>
        <w:t>dicho instrumento</w:t>
      </w:r>
      <w:r w:rsidR="002A680F" w:rsidRPr="0001748B">
        <w:rPr>
          <w:sz w:val="20"/>
          <w:szCs w:val="20"/>
        </w:rPr>
        <w:t xml:space="preserve">, </w:t>
      </w:r>
      <w:r w:rsidR="00647159" w:rsidRPr="0001748B">
        <w:rPr>
          <w:rFonts w:eastAsia="Arial" w:cs="Arial"/>
          <w:sz w:val="20"/>
          <w:szCs w:val="20"/>
        </w:rPr>
        <w:t xml:space="preserve">en perjuicio de </w:t>
      </w:r>
      <w:r w:rsidR="00CD4B59" w:rsidRPr="0001748B">
        <w:rPr>
          <w:rFonts w:eastAsia="Arial" w:cs="Arial"/>
          <w:sz w:val="20"/>
          <w:szCs w:val="20"/>
        </w:rPr>
        <w:t>Zaida Hernández de Arellano</w:t>
      </w:r>
      <w:r w:rsidR="00CD4B59">
        <w:rPr>
          <w:rFonts w:eastAsia="Arial" w:cs="Arial"/>
          <w:sz w:val="20"/>
          <w:szCs w:val="20"/>
        </w:rPr>
        <w:t xml:space="preserve"> y</w:t>
      </w:r>
      <w:r w:rsidR="00CD4B59" w:rsidRPr="0001748B">
        <w:rPr>
          <w:rFonts w:eastAsia="Arial" w:cs="Arial"/>
          <w:sz w:val="20"/>
          <w:szCs w:val="20"/>
        </w:rPr>
        <w:t xml:space="preserve"> </w:t>
      </w:r>
      <w:r w:rsidR="00647159" w:rsidRPr="0001748B">
        <w:rPr>
          <w:rFonts w:eastAsia="Arial" w:cs="Arial"/>
          <w:sz w:val="20"/>
          <w:szCs w:val="20"/>
        </w:rPr>
        <w:t xml:space="preserve">Edgar </w:t>
      </w:r>
      <w:r w:rsidR="00CD4B59">
        <w:rPr>
          <w:rFonts w:eastAsia="Arial" w:cs="Arial"/>
          <w:sz w:val="20"/>
          <w:szCs w:val="20"/>
        </w:rPr>
        <w:t>Humberto Ortiz Ruiz</w:t>
      </w:r>
      <w:r w:rsidR="00647159" w:rsidRPr="0001748B">
        <w:rPr>
          <w:rFonts w:eastAsia="Arial" w:cs="Arial"/>
          <w:sz w:val="20"/>
          <w:szCs w:val="20"/>
        </w:rPr>
        <w:t>.</w:t>
      </w:r>
    </w:p>
    <w:p w:rsidR="00647159" w:rsidRPr="0001748B" w:rsidRDefault="00647159" w:rsidP="006F624A">
      <w:pPr>
        <w:widowControl/>
        <w:adjustRightInd/>
        <w:spacing w:line="240" w:lineRule="auto"/>
        <w:textAlignment w:val="auto"/>
        <w:rPr>
          <w:rFonts w:eastAsiaTheme="minorHAnsi" w:cstheme="minorBidi"/>
          <w:sz w:val="20"/>
          <w:szCs w:val="20"/>
          <w:lang w:eastAsia="en-US"/>
        </w:rPr>
      </w:pPr>
    </w:p>
    <w:p w:rsidR="006F624A" w:rsidRPr="0001748B" w:rsidRDefault="006F624A" w:rsidP="006F3EC2">
      <w:pPr>
        <w:pStyle w:val="Heading2"/>
        <w:tabs>
          <w:tab w:val="left" w:pos="1701"/>
        </w:tabs>
        <w:spacing w:before="0" w:line="240" w:lineRule="auto"/>
        <w:ind w:left="1134"/>
        <w:rPr>
          <w:rFonts w:ascii="Verdana" w:eastAsiaTheme="minorHAnsi" w:hAnsi="Verdana" w:cstheme="minorBidi"/>
          <w:b w:val="0"/>
          <w:i/>
          <w:color w:val="auto"/>
          <w:sz w:val="20"/>
          <w:szCs w:val="20"/>
          <w:lang w:eastAsia="en-US"/>
        </w:rPr>
      </w:pPr>
      <w:bookmarkStart w:id="110" w:name="_Toc495658689"/>
      <w:r w:rsidRPr="0001748B">
        <w:rPr>
          <w:rFonts w:ascii="Verdana" w:eastAsiaTheme="minorHAnsi" w:hAnsi="Verdana" w:cstheme="minorBidi"/>
          <w:b w:val="0"/>
          <w:i/>
          <w:color w:val="auto"/>
          <w:sz w:val="20"/>
          <w:szCs w:val="20"/>
          <w:lang w:eastAsia="en-US"/>
        </w:rPr>
        <w:t>B.</w:t>
      </w:r>
      <w:r w:rsidR="00743096" w:rsidRPr="0001748B">
        <w:rPr>
          <w:rFonts w:ascii="Verdana" w:eastAsiaTheme="minorHAnsi" w:hAnsi="Verdana" w:cstheme="minorBidi"/>
          <w:b w:val="0"/>
          <w:i/>
          <w:color w:val="auto"/>
          <w:sz w:val="20"/>
          <w:szCs w:val="20"/>
          <w:lang w:eastAsia="en-US"/>
        </w:rPr>
        <w:t>2</w:t>
      </w:r>
      <w:r w:rsidRPr="0001748B">
        <w:rPr>
          <w:rFonts w:ascii="Verdana" w:eastAsiaTheme="minorHAnsi" w:hAnsi="Verdana" w:cstheme="minorBidi"/>
          <w:b w:val="0"/>
          <w:i/>
          <w:color w:val="auto"/>
          <w:sz w:val="20"/>
          <w:szCs w:val="20"/>
          <w:lang w:eastAsia="en-US"/>
        </w:rPr>
        <w:t xml:space="preserve"> </w:t>
      </w:r>
      <w:r w:rsidR="00582B14" w:rsidRPr="0001748B">
        <w:rPr>
          <w:rFonts w:ascii="Verdana" w:eastAsiaTheme="minorHAnsi" w:hAnsi="Verdana" w:cstheme="minorBidi"/>
          <w:b w:val="0"/>
          <w:i/>
          <w:color w:val="auto"/>
          <w:sz w:val="20"/>
          <w:szCs w:val="20"/>
          <w:lang w:eastAsia="en-US"/>
        </w:rPr>
        <w:tab/>
      </w:r>
      <w:r w:rsidRPr="0001748B">
        <w:rPr>
          <w:rFonts w:ascii="Verdana" w:eastAsiaTheme="minorHAnsi" w:hAnsi="Verdana" w:cstheme="minorBidi"/>
          <w:b w:val="0"/>
          <w:i/>
          <w:color w:val="auto"/>
          <w:sz w:val="20"/>
          <w:szCs w:val="20"/>
          <w:lang w:eastAsia="en-US"/>
        </w:rPr>
        <w:t>Debida diligencia en la investigación</w:t>
      </w:r>
      <w:bookmarkEnd w:id="110"/>
    </w:p>
    <w:p w:rsidR="000D6C32" w:rsidRPr="0001748B" w:rsidRDefault="000D6C32" w:rsidP="000D6C32">
      <w:pPr>
        <w:widowControl/>
        <w:adjustRightInd/>
        <w:spacing w:line="240" w:lineRule="auto"/>
        <w:textAlignment w:val="auto"/>
        <w:rPr>
          <w:rFonts w:eastAsiaTheme="minorHAnsi" w:cstheme="minorBidi"/>
          <w:sz w:val="20"/>
          <w:szCs w:val="20"/>
          <w:lang w:eastAsia="en-US"/>
        </w:rPr>
      </w:pPr>
    </w:p>
    <w:p w:rsidR="006F624A" w:rsidRPr="0001748B" w:rsidRDefault="003A6788" w:rsidP="004A26CF">
      <w:pPr>
        <w:numPr>
          <w:ilvl w:val="0"/>
          <w:numId w:val="1"/>
        </w:numPr>
        <w:tabs>
          <w:tab w:val="left" w:pos="567"/>
          <w:tab w:val="num" w:pos="5057"/>
        </w:tabs>
        <w:spacing w:line="240" w:lineRule="auto"/>
        <w:ind w:left="0" w:firstLine="0"/>
        <w:rPr>
          <w:rFonts w:eastAsia="MS Mincho"/>
          <w:sz w:val="20"/>
          <w:szCs w:val="20"/>
          <w:lang w:eastAsia="en-US" w:bidi="en-US"/>
        </w:rPr>
      </w:pPr>
      <w:r>
        <w:rPr>
          <w:rFonts w:eastAsiaTheme="minorHAnsi" w:cstheme="minorBidi"/>
          <w:sz w:val="20"/>
          <w:szCs w:val="20"/>
          <w:lang w:eastAsia="en-US"/>
        </w:rPr>
        <w:t>Independientemente de que este Tribunal ha concluido que el fuero militar era incompetente para investigar los hechos del presente caso</w:t>
      </w:r>
      <w:r w:rsidRPr="0001748B">
        <w:rPr>
          <w:rFonts w:eastAsiaTheme="minorHAnsi" w:cstheme="minorBidi"/>
          <w:sz w:val="20"/>
          <w:szCs w:val="20"/>
          <w:lang w:eastAsia="en-US"/>
        </w:rPr>
        <w:t>, la Corte</w:t>
      </w:r>
      <w:r>
        <w:rPr>
          <w:rFonts w:eastAsiaTheme="minorHAnsi" w:cstheme="minorBidi"/>
          <w:sz w:val="20"/>
          <w:szCs w:val="20"/>
          <w:lang w:eastAsia="en-US"/>
        </w:rPr>
        <w:t xml:space="preserve"> estima pertinente aludir a continuación a las falencias que se cometieron en la primera etapa investigativa debido a que dicha falta de debida diligencia generó un impacto en la investigación </w:t>
      </w:r>
      <w:r w:rsidR="005B37A1">
        <w:rPr>
          <w:rFonts w:eastAsiaTheme="minorHAnsi" w:cstheme="minorBidi"/>
          <w:sz w:val="20"/>
          <w:szCs w:val="20"/>
          <w:lang w:eastAsia="en-US"/>
        </w:rPr>
        <w:t xml:space="preserve">llevada a cabo </w:t>
      </w:r>
      <w:r w:rsidR="0060583A">
        <w:rPr>
          <w:rFonts w:eastAsiaTheme="minorHAnsi" w:cstheme="minorBidi"/>
          <w:sz w:val="20"/>
          <w:szCs w:val="20"/>
          <w:lang w:eastAsia="en-US"/>
        </w:rPr>
        <w:t>posteriormente ante</w:t>
      </w:r>
      <w:r>
        <w:rPr>
          <w:rFonts w:eastAsiaTheme="minorHAnsi" w:cstheme="minorBidi"/>
          <w:sz w:val="20"/>
          <w:szCs w:val="20"/>
          <w:lang w:eastAsia="en-US"/>
        </w:rPr>
        <w:t xml:space="preserve"> la jurisdicción ordinaria.</w:t>
      </w:r>
      <w:r w:rsidR="0060583A">
        <w:rPr>
          <w:rFonts w:eastAsia="MS Mincho"/>
          <w:sz w:val="20"/>
          <w:szCs w:val="20"/>
          <w:lang w:eastAsia="en-US" w:bidi="en-US"/>
        </w:rPr>
        <w:t xml:space="preserve"> Asimismo, en razón de que el Estado pretende justificar el retardo en la obtención de justicia en el hecho de que el único imputado se encuentra en contumacia, la Corte se referirá a </w:t>
      </w:r>
      <w:r w:rsidRPr="0001748B">
        <w:rPr>
          <w:rFonts w:eastAsiaTheme="minorHAnsi" w:cstheme="minorBidi"/>
          <w:sz w:val="20"/>
          <w:szCs w:val="20"/>
          <w:lang w:eastAsia="en-US"/>
        </w:rPr>
        <w:t>las diligencias realizadas para ubicar</w:t>
      </w:r>
      <w:r w:rsidR="0060583A">
        <w:rPr>
          <w:rFonts w:eastAsiaTheme="minorHAnsi" w:cstheme="minorBidi"/>
          <w:sz w:val="20"/>
          <w:szCs w:val="20"/>
          <w:lang w:eastAsia="en-US"/>
        </w:rPr>
        <w:t>lo</w:t>
      </w:r>
      <w:r w:rsidRPr="0001748B">
        <w:rPr>
          <w:rFonts w:eastAsiaTheme="minorHAnsi" w:cstheme="minorBidi"/>
          <w:sz w:val="20"/>
          <w:szCs w:val="20"/>
          <w:lang w:eastAsia="en-US"/>
        </w:rPr>
        <w:t>.</w:t>
      </w:r>
    </w:p>
    <w:p w:rsidR="006F624A" w:rsidRPr="0001748B" w:rsidRDefault="006F624A" w:rsidP="006F624A">
      <w:pPr>
        <w:widowControl/>
        <w:tabs>
          <w:tab w:val="left" w:pos="0"/>
          <w:tab w:val="num" w:pos="12305"/>
        </w:tabs>
        <w:adjustRightInd/>
        <w:spacing w:line="240" w:lineRule="auto"/>
        <w:ind w:right="-90"/>
        <w:textAlignment w:val="auto"/>
        <w:rPr>
          <w:rFonts w:eastAsia="MS Mincho"/>
          <w:sz w:val="20"/>
          <w:szCs w:val="20"/>
          <w:lang w:eastAsia="en-US" w:bidi="en-US"/>
        </w:rPr>
      </w:pPr>
    </w:p>
    <w:p w:rsidR="00CE371F" w:rsidRPr="0001748B" w:rsidRDefault="00CE371F" w:rsidP="00CE371F">
      <w:pPr>
        <w:widowControl/>
        <w:tabs>
          <w:tab w:val="num" w:pos="12305"/>
        </w:tabs>
        <w:adjustRightInd/>
        <w:spacing w:line="240" w:lineRule="auto"/>
        <w:ind w:left="1418" w:right="-90"/>
        <w:textAlignment w:val="auto"/>
        <w:rPr>
          <w:rFonts w:eastAsia="MS Mincho"/>
          <w:i/>
          <w:sz w:val="20"/>
          <w:szCs w:val="20"/>
          <w:lang w:eastAsia="en-US" w:bidi="en-US"/>
        </w:rPr>
      </w:pPr>
      <w:r w:rsidRPr="0001748B">
        <w:rPr>
          <w:rFonts w:eastAsiaTheme="minorHAnsi" w:cstheme="minorBidi"/>
          <w:i/>
          <w:sz w:val="20"/>
          <w:szCs w:val="20"/>
          <w:lang w:eastAsia="en-US"/>
        </w:rPr>
        <w:t>B.</w:t>
      </w:r>
      <w:r w:rsidR="00B744D8" w:rsidRPr="0001748B">
        <w:rPr>
          <w:rFonts w:eastAsiaTheme="minorHAnsi" w:cstheme="minorBidi"/>
          <w:i/>
          <w:sz w:val="20"/>
          <w:szCs w:val="20"/>
          <w:lang w:eastAsia="en-US"/>
        </w:rPr>
        <w:t>2</w:t>
      </w:r>
      <w:r w:rsidRPr="0001748B">
        <w:rPr>
          <w:rFonts w:eastAsiaTheme="minorHAnsi" w:cstheme="minorBidi"/>
          <w:i/>
          <w:sz w:val="20"/>
          <w:szCs w:val="20"/>
          <w:lang w:eastAsia="en-US"/>
        </w:rPr>
        <w:t>.a Las diligencias que tuvieron lugar en el marco de los procesos penales</w:t>
      </w:r>
    </w:p>
    <w:p w:rsidR="00CE371F" w:rsidRPr="0001748B" w:rsidRDefault="00CE371F" w:rsidP="006F624A">
      <w:pPr>
        <w:widowControl/>
        <w:tabs>
          <w:tab w:val="left" w:pos="0"/>
          <w:tab w:val="num" w:pos="12305"/>
        </w:tabs>
        <w:adjustRightInd/>
        <w:spacing w:line="240" w:lineRule="auto"/>
        <w:ind w:right="-90"/>
        <w:textAlignment w:val="auto"/>
        <w:rPr>
          <w:rFonts w:eastAsia="MS Mincho"/>
          <w:sz w:val="20"/>
          <w:szCs w:val="20"/>
          <w:lang w:eastAsia="en-US" w:bidi="en-US"/>
        </w:rPr>
      </w:pPr>
    </w:p>
    <w:p w:rsidR="00B744D8" w:rsidRPr="0001748B" w:rsidRDefault="00B744D8" w:rsidP="00B744D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En el presente caso, la debida diligencia en la investigación debe evaluarse en relación con la necesidad de determinar la veracidad de las hipótesis fácticas existentes en el proceso sobre lo ocurrido, es decir, si la pesquisa permitió un esclarecimiento judicial de los hechos y una eventual calificación jurídica de los mismos acorde con lo sucedido. Por lo tanto, corresponde a esta Corte determinar si las falencias alegadas por las representantes y la Comisión, en relación con el conjunto de las diligencias efectuadas por el Estado, incidieron de manera determinante en el esclarecimiento de las circunstancias del caso</w:t>
      </w:r>
      <w:r w:rsidRPr="0001748B">
        <w:rPr>
          <w:rStyle w:val="FootnoteReference"/>
          <w:rFonts w:eastAsiaTheme="minorHAnsi" w:cstheme="minorBidi"/>
          <w:sz w:val="20"/>
          <w:szCs w:val="20"/>
          <w:lang w:eastAsia="en-US"/>
        </w:rPr>
        <w:footnoteReference w:id="196"/>
      </w:r>
      <w:r w:rsidRPr="0001748B">
        <w:rPr>
          <w:rFonts w:eastAsiaTheme="minorHAnsi" w:cstheme="minorBidi"/>
          <w:sz w:val="20"/>
          <w:szCs w:val="20"/>
          <w:lang w:eastAsia="en-US"/>
        </w:rPr>
        <w:t>.</w:t>
      </w:r>
    </w:p>
    <w:p w:rsidR="00B744D8" w:rsidRPr="0001748B" w:rsidRDefault="00B744D8" w:rsidP="006F624A">
      <w:pPr>
        <w:widowControl/>
        <w:tabs>
          <w:tab w:val="left" w:pos="0"/>
          <w:tab w:val="num" w:pos="12305"/>
        </w:tabs>
        <w:adjustRightInd/>
        <w:spacing w:line="240" w:lineRule="auto"/>
        <w:ind w:right="-90"/>
        <w:textAlignment w:val="auto"/>
        <w:rPr>
          <w:rFonts w:eastAsia="MS Mincho"/>
          <w:sz w:val="20"/>
          <w:szCs w:val="20"/>
          <w:lang w:eastAsia="en-US" w:bidi="en-US"/>
        </w:rPr>
      </w:pPr>
    </w:p>
    <w:p w:rsidR="00CD2DD1" w:rsidRPr="0001748B" w:rsidRDefault="00CD2DD1" w:rsidP="00CD2DD1">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En esta línea, cabe destacar que la Corte ha establecido que la eficiente determinación de la verdad</w:t>
      </w:r>
      <w:r w:rsidR="006E7A0E">
        <w:rPr>
          <w:rFonts w:eastAsiaTheme="minorHAnsi" w:cstheme="minorBidi"/>
          <w:sz w:val="20"/>
          <w:szCs w:val="20"/>
          <w:lang w:eastAsia="en-US"/>
        </w:rPr>
        <w:t>,</w:t>
      </w:r>
      <w:r w:rsidRPr="0001748B">
        <w:rPr>
          <w:rFonts w:eastAsiaTheme="minorHAnsi" w:cstheme="minorBidi"/>
          <w:sz w:val="20"/>
          <w:szCs w:val="20"/>
          <w:lang w:eastAsia="en-US"/>
        </w:rPr>
        <w:t xml:space="preserve"> en el marco de la obligación de investigar una muerte</w:t>
      </w:r>
      <w:r w:rsidR="006E7A0E">
        <w:rPr>
          <w:rFonts w:eastAsiaTheme="minorHAnsi" w:cstheme="minorBidi"/>
          <w:sz w:val="20"/>
          <w:szCs w:val="20"/>
          <w:lang w:eastAsia="en-US"/>
        </w:rPr>
        <w:t>,</w:t>
      </w:r>
      <w:r w:rsidRPr="0001748B">
        <w:rPr>
          <w:rFonts w:eastAsiaTheme="minorHAnsi" w:cstheme="minorBidi"/>
          <w:sz w:val="20"/>
          <w:szCs w:val="20"/>
          <w:lang w:eastAsia="en-US"/>
        </w:rPr>
        <w:t xml:space="preserve"> debe mostrarse desde las primeras diligencias con toda acuciosidad. En la investigación de la muerte violenta de una persona, es crucial la importancia que tienen las primeras etapas de la investigación y el impacto negativo que las omisiones e irregularidades en tales etapas puede tener en las perspectivas reales y efectivas de esclarecer el hecho</w:t>
      </w:r>
      <w:r w:rsidRPr="0001748B">
        <w:rPr>
          <w:rFonts w:eastAsiaTheme="minorHAnsi" w:cstheme="minorBidi"/>
          <w:sz w:val="20"/>
          <w:szCs w:val="20"/>
          <w:vertAlign w:val="superscript"/>
          <w:lang w:eastAsia="en-US"/>
        </w:rPr>
        <w:footnoteReference w:id="197"/>
      </w:r>
      <w:r w:rsidR="00BC72AB">
        <w:rPr>
          <w:rFonts w:eastAsiaTheme="minorHAnsi" w:cstheme="minorBidi"/>
          <w:sz w:val="20"/>
          <w:szCs w:val="20"/>
          <w:lang w:eastAsia="en-US"/>
        </w:rPr>
        <w:t>.</w:t>
      </w:r>
      <w:r w:rsidRPr="0001748B">
        <w:rPr>
          <w:rFonts w:eastAsiaTheme="minorHAnsi" w:cstheme="minorBidi"/>
          <w:sz w:val="20"/>
          <w:szCs w:val="20"/>
          <w:lang w:eastAsia="en-US"/>
        </w:rPr>
        <w:t xml:space="preserve"> </w:t>
      </w:r>
    </w:p>
    <w:p w:rsidR="00CD2DD1" w:rsidRPr="0001748B" w:rsidRDefault="00CD2DD1" w:rsidP="00CD2DD1">
      <w:pPr>
        <w:widowControl/>
        <w:adjustRightInd/>
        <w:spacing w:line="240" w:lineRule="auto"/>
        <w:textAlignment w:val="auto"/>
        <w:rPr>
          <w:rFonts w:eastAsiaTheme="minorHAnsi" w:cstheme="minorBidi"/>
          <w:sz w:val="20"/>
          <w:szCs w:val="20"/>
          <w:lang w:eastAsia="en-US"/>
        </w:rPr>
      </w:pPr>
    </w:p>
    <w:p w:rsidR="00CD2DD1" w:rsidRPr="0001748B" w:rsidRDefault="00CD2DD1" w:rsidP="00CD2DD1">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En este sentido, este Tribunal ha especificado los principios rectores que es preciso observar en una investigación cuando se está frente a una muerte violenta, tal como se desprende de los hechos del presente caso. Las autoridades estatales que conducen una investigación de este tipo deben realizar como mínimo, </w:t>
      </w:r>
      <w:r w:rsidRPr="0001748B">
        <w:rPr>
          <w:rFonts w:eastAsiaTheme="minorHAnsi" w:cstheme="minorBidi"/>
          <w:i/>
          <w:sz w:val="20"/>
          <w:szCs w:val="20"/>
          <w:lang w:eastAsia="en-US"/>
        </w:rPr>
        <w:t>inter alia</w:t>
      </w:r>
      <w:r w:rsidRPr="0001748B">
        <w:rPr>
          <w:rFonts w:eastAsiaTheme="minorHAnsi" w:cstheme="minorBidi"/>
          <w:sz w:val="20"/>
          <w:szCs w:val="20"/>
          <w:lang w:eastAsia="en-US"/>
        </w:rPr>
        <w:t>: i) identificar a la víctima; ii) recuperar y preservar material probatorio relacionado con la muerte, con el fin de ayudar en cualquier potencial investigación de los responsables; iii) identificar posibles testigos y obtener sus declaraciones en relación con la muerte que se investiga; iv) determinar la causa, forma, lugar y momento de la muerte, así como cualquier patrón o práctica que pueda haber causado la muerte</w:t>
      </w:r>
      <w:r w:rsidR="003757A8">
        <w:rPr>
          <w:rFonts w:eastAsiaTheme="minorHAnsi" w:cstheme="minorBidi"/>
          <w:sz w:val="20"/>
          <w:szCs w:val="20"/>
          <w:lang w:eastAsia="en-US"/>
        </w:rPr>
        <w:t>,</w:t>
      </w:r>
      <w:r w:rsidRPr="0001748B">
        <w:rPr>
          <w:rFonts w:eastAsiaTheme="minorHAnsi" w:cstheme="minorBidi"/>
          <w:sz w:val="20"/>
          <w:szCs w:val="20"/>
          <w:lang w:eastAsia="en-US"/>
        </w:rPr>
        <w:t xml:space="preserve"> y v) distinguir entre muerte natural, muerte accidental, suicidio y homicidio. Las autopsias y análisis de restos humanos deben realizarse en forma rigurosa, por profesionales competentes y empleando los procedimientos más apropiados</w:t>
      </w:r>
      <w:r w:rsidRPr="0001748B">
        <w:rPr>
          <w:rFonts w:eastAsiaTheme="minorHAnsi" w:cstheme="minorBidi"/>
          <w:sz w:val="20"/>
          <w:szCs w:val="20"/>
          <w:vertAlign w:val="superscript"/>
          <w:lang w:eastAsia="en-US"/>
        </w:rPr>
        <w:footnoteReference w:id="198"/>
      </w:r>
      <w:r w:rsidRPr="0001748B">
        <w:rPr>
          <w:rFonts w:eastAsiaTheme="minorHAnsi" w:cstheme="minorBidi"/>
          <w:sz w:val="20"/>
          <w:szCs w:val="20"/>
          <w:lang w:eastAsia="en-US"/>
        </w:rPr>
        <w:t>.</w:t>
      </w:r>
    </w:p>
    <w:p w:rsidR="00CD2DD1" w:rsidRPr="0001748B" w:rsidRDefault="00CD2DD1" w:rsidP="00CD2DD1">
      <w:pPr>
        <w:widowControl/>
        <w:adjustRightInd/>
        <w:spacing w:line="240" w:lineRule="auto"/>
        <w:textAlignment w:val="auto"/>
        <w:rPr>
          <w:rFonts w:eastAsiaTheme="minorHAnsi" w:cstheme="minorBidi"/>
          <w:sz w:val="20"/>
          <w:szCs w:val="20"/>
          <w:lang w:eastAsia="en-US"/>
        </w:rPr>
      </w:pPr>
    </w:p>
    <w:p w:rsidR="00CD2DD1" w:rsidRPr="0001748B" w:rsidRDefault="00CD2DD1" w:rsidP="00CD2DD1">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De igual manera, </w:t>
      </w:r>
      <w:r w:rsidR="00A649D9" w:rsidRPr="0001748B">
        <w:rPr>
          <w:rFonts w:eastAsiaTheme="minorHAnsi" w:cstheme="minorBidi"/>
          <w:sz w:val="20"/>
          <w:szCs w:val="20"/>
          <w:lang w:eastAsia="en-US"/>
        </w:rPr>
        <w:t>la</w:t>
      </w:r>
      <w:r w:rsidRPr="0001748B">
        <w:rPr>
          <w:rFonts w:eastAsiaTheme="minorHAnsi" w:cstheme="minorBidi"/>
          <w:sz w:val="20"/>
          <w:szCs w:val="20"/>
          <w:lang w:eastAsia="en-US"/>
        </w:rPr>
        <w:t xml:space="preserve"> Corte </w:t>
      </w:r>
      <w:r w:rsidR="00A649D9" w:rsidRPr="0001748B">
        <w:rPr>
          <w:rFonts w:eastAsiaTheme="minorHAnsi" w:cstheme="minorBidi"/>
          <w:sz w:val="20"/>
          <w:szCs w:val="20"/>
          <w:lang w:eastAsia="en-US"/>
        </w:rPr>
        <w:t xml:space="preserve">ha establecido </w:t>
      </w:r>
      <w:r w:rsidRPr="0001748B">
        <w:rPr>
          <w:rFonts w:eastAsiaTheme="minorHAnsi" w:cstheme="minorBidi"/>
          <w:sz w:val="20"/>
          <w:szCs w:val="20"/>
          <w:lang w:eastAsia="en-US"/>
        </w:rPr>
        <w:t>que es necesario investigar exhaustivamente la escena del crimen y deben realizarse algunas diligencias mínimas para la conservación de los elementos de prueba y evidencias que puedan contribuir al éxito de la investigación. En este sentido, los estándares internacionales señalan que, en relación con la escena del crimen, los investigadores deben, como mínimo: fotografiar dicha escena, cualquier otra evidencia física y el cuerpo como se encontró y después de moverlo; recoger y conservar todas las muestras de sangre, cabello, fibras, hilos u otras pistas; examinar el área en busca de huellas de zapatos o cualquier otra que tenga naturaleza de evidencia, y hacer un informe detallando cualquier observación de la escena, las acciones de los investigadores y la disposición de toda evidencia coleccionada</w:t>
      </w:r>
      <w:r w:rsidRPr="0001748B">
        <w:rPr>
          <w:rFonts w:eastAsiaTheme="minorHAnsi" w:cstheme="minorBidi"/>
          <w:sz w:val="20"/>
          <w:szCs w:val="20"/>
          <w:vertAlign w:val="superscript"/>
          <w:lang w:eastAsia="en-US"/>
        </w:rPr>
        <w:footnoteReference w:id="199"/>
      </w:r>
      <w:r w:rsidR="00054FC7" w:rsidRPr="0001748B">
        <w:rPr>
          <w:rFonts w:eastAsiaTheme="minorHAnsi" w:cstheme="minorBidi"/>
          <w:sz w:val="20"/>
          <w:szCs w:val="20"/>
          <w:lang w:eastAsia="en-US"/>
        </w:rPr>
        <w:t>.</w:t>
      </w:r>
    </w:p>
    <w:p w:rsidR="00054FC7" w:rsidRPr="0001748B" w:rsidRDefault="00054FC7" w:rsidP="00054FC7">
      <w:pPr>
        <w:tabs>
          <w:tab w:val="left" w:pos="567"/>
        </w:tabs>
        <w:spacing w:line="240" w:lineRule="auto"/>
        <w:rPr>
          <w:rFonts w:eastAsiaTheme="minorHAnsi" w:cstheme="minorBidi"/>
          <w:sz w:val="20"/>
          <w:szCs w:val="20"/>
          <w:lang w:eastAsia="en-US"/>
        </w:rPr>
      </w:pPr>
    </w:p>
    <w:p w:rsidR="00721A78" w:rsidRPr="0001748B" w:rsidRDefault="00721A78" w:rsidP="00721A7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Adicionalmente a lo establecido para casos de muertes violentas, la Corte ha especificado </w:t>
      </w:r>
      <w:r w:rsidRPr="0001748B">
        <w:rPr>
          <w:rFonts w:eastAsiaTheme="minorHAnsi" w:cstheme="minorBidi"/>
          <w:sz w:val="20"/>
          <w:szCs w:val="20"/>
          <w:lang w:eastAsia="en-US"/>
        </w:rPr>
        <w:lastRenderedPageBreak/>
        <w:t xml:space="preserve">que, en casos de muertes en custodia de agentes estatales, el Estado debe guiar su actuación considerando ciertos criterios específicos relevantes, </w:t>
      </w:r>
      <w:r w:rsidRPr="0001748B">
        <w:rPr>
          <w:rFonts w:eastAsiaTheme="minorHAnsi" w:cstheme="minorBidi"/>
          <w:i/>
          <w:sz w:val="20"/>
          <w:szCs w:val="20"/>
          <w:lang w:eastAsia="en-US"/>
        </w:rPr>
        <w:t>inter alia</w:t>
      </w:r>
      <w:r w:rsidRPr="0001748B">
        <w:rPr>
          <w:rFonts w:eastAsiaTheme="minorHAnsi" w:cstheme="minorBidi"/>
          <w:sz w:val="20"/>
          <w:szCs w:val="20"/>
          <w:lang w:eastAsia="en-US"/>
        </w:rPr>
        <w:t xml:space="preserve">: i) una investigación </w:t>
      </w:r>
      <w:r w:rsidRPr="0001748B">
        <w:rPr>
          <w:rFonts w:eastAsiaTheme="minorHAnsi" w:cstheme="minorBidi"/>
          <w:i/>
          <w:sz w:val="20"/>
          <w:szCs w:val="20"/>
          <w:lang w:eastAsia="en-US"/>
        </w:rPr>
        <w:t>ex officio</w:t>
      </w:r>
      <w:r w:rsidRPr="0001748B">
        <w:rPr>
          <w:rFonts w:eastAsiaTheme="minorHAnsi" w:cstheme="minorBidi"/>
          <w:sz w:val="20"/>
          <w:szCs w:val="20"/>
          <w:lang w:eastAsia="en-US"/>
        </w:rPr>
        <w:t>, completa, imparcial e independiente, tomando en cuenta el grado de participación de todos los agentes estatales; ii) brindar a la investigación un cierto grado de escrutinio público en razón del interés público que podría generarse en virtud de la calidad de los presuntos agentes involucrados; iii) apersonarse inmediatamente a la escena de los hechos y darle tratamiento de una escena del crimen, así como preservarla con el fin de proteger toda evidencia y realizar pruebas balísticas cuando hayan sido utilizadas</w:t>
      </w:r>
      <w:r w:rsidR="00917EF7" w:rsidRPr="0001748B">
        <w:rPr>
          <w:rFonts w:eastAsiaTheme="minorHAnsi" w:cstheme="minorBidi"/>
          <w:sz w:val="20"/>
          <w:szCs w:val="20"/>
          <w:lang w:eastAsia="en-US"/>
        </w:rPr>
        <w:t xml:space="preserve"> armas de fuego</w:t>
      </w:r>
      <w:r w:rsidRPr="0001748B">
        <w:rPr>
          <w:rFonts w:eastAsiaTheme="minorHAnsi" w:cstheme="minorBidi"/>
          <w:sz w:val="20"/>
          <w:szCs w:val="20"/>
          <w:lang w:eastAsia="en-US"/>
        </w:rPr>
        <w:t>, especialmente por agentes del Estado; iv) identificar si el cuerpo ha sido tocado o movido y establecer la secuencia de eventos que podrían haber llevado a la muerte, así como llevar a cabo un examen preliminar del cuerpo para asegurar cualquier evidencia que podría perderse al manipularlo y trans</w:t>
      </w:r>
      <w:r w:rsidR="003757A8">
        <w:rPr>
          <w:rFonts w:eastAsiaTheme="minorHAnsi" w:cstheme="minorBidi"/>
          <w:sz w:val="20"/>
          <w:szCs w:val="20"/>
          <w:lang w:eastAsia="en-US"/>
        </w:rPr>
        <w:t>portarlo,</w:t>
      </w:r>
      <w:r w:rsidRPr="0001748B">
        <w:rPr>
          <w:rFonts w:eastAsiaTheme="minorHAnsi" w:cstheme="minorBidi"/>
          <w:sz w:val="20"/>
          <w:szCs w:val="20"/>
          <w:lang w:eastAsia="en-US"/>
        </w:rPr>
        <w:t xml:space="preserve"> y v) realizar una autopsia por profesionales capacitados que incluyan cualquier prueba que indique presuntos actos de tortura por agentes estatales</w:t>
      </w:r>
      <w:r w:rsidRPr="0001748B">
        <w:rPr>
          <w:rFonts w:eastAsiaTheme="minorHAnsi" w:cstheme="minorBidi"/>
          <w:sz w:val="20"/>
          <w:szCs w:val="20"/>
          <w:vertAlign w:val="superscript"/>
          <w:lang w:eastAsia="en-US"/>
        </w:rPr>
        <w:footnoteReference w:id="200"/>
      </w:r>
      <w:r w:rsidRPr="0001748B">
        <w:rPr>
          <w:rFonts w:eastAsiaTheme="minorHAnsi" w:cstheme="minorBidi"/>
          <w:sz w:val="20"/>
          <w:szCs w:val="20"/>
          <w:lang w:eastAsia="en-US"/>
        </w:rPr>
        <w:t>.</w:t>
      </w:r>
    </w:p>
    <w:p w:rsidR="00721A78" w:rsidRDefault="00721A78" w:rsidP="006F624A">
      <w:pPr>
        <w:widowControl/>
        <w:tabs>
          <w:tab w:val="left" w:pos="0"/>
          <w:tab w:val="num" w:pos="12305"/>
        </w:tabs>
        <w:adjustRightInd/>
        <w:spacing w:line="240" w:lineRule="auto"/>
        <w:ind w:right="-90"/>
        <w:textAlignment w:val="auto"/>
        <w:rPr>
          <w:rFonts w:eastAsia="MS Mincho"/>
          <w:sz w:val="20"/>
          <w:szCs w:val="20"/>
          <w:lang w:eastAsia="en-US" w:bidi="en-US"/>
        </w:rPr>
      </w:pPr>
    </w:p>
    <w:p w:rsidR="000954E3" w:rsidRPr="0001748B" w:rsidRDefault="000954E3" w:rsidP="000954E3">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Sobre este punto, el Manual de Naciones Unidas sobre la Prevención e Investigación eficaces de las Ejecuciones Extralegales, Arbitrarias o Sumarias (</w:t>
      </w:r>
      <w:r w:rsidR="00A3211D">
        <w:rPr>
          <w:rFonts w:eastAsiaTheme="minorHAnsi" w:cstheme="minorBidi"/>
          <w:sz w:val="20"/>
          <w:szCs w:val="20"/>
          <w:lang w:eastAsia="en-US"/>
        </w:rPr>
        <w:t>“</w:t>
      </w:r>
      <w:r w:rsidRPr="0001748B">
        <w:rPr>
          <w:rFonts w:eastAsiaTheme="minorHAnsi" w:cstheme="minorBidi"/>
          <w:sz w:val="20"/>
          <w:szCs w:val="20"/>
          <w:lang w:eastAsia="en-US"/>
        </w:rPr>
        <w:t>Protocolo de Minnesota</w:t>
      </w:r>
      <w:r w:rsidR="00A3211D">
        <w:rPr>
          <w:rFonts w:eastAsiaTheme="minorHAnsi" w:cstheme="minorBidi"/>
          <w:sz w:val="20"/>
          <w:szCs w:val="20"/>
          <w:lang w:eastAsia="en-US"/>
        </w:rPr>
        <w:t>”</w:t>
      </w:r>
      <w:r w:rsidRPr="0001748B">
        <w:rPr>
          <w:rFonts w:eastAsiaTheme="minorHAnsi" w:cstheme="minorBidi"/>
          <w:sz w:val="20"/>
          <w:szCs w:val="20"/>
          <w:lang w:eastAsia="en-US"/>
        </w:rPr>
        <w:t>)</w:t>
      </w:r>
      <w:r w:rsidRPr="0001748B">
        <w:rPr>
          <w:rFonts w:eastAsiaTheme="minorHAnsi" w:cstheme="minorBidi"/>
          <w:sz w:val="20"/>
          <w:szCs w:val="20"/>
          <w:vertAlign w:val="superscript"/>
          <w:lang w:eastAsia="en-US"/>
        </w:rPr>
        <w:footnoteReference w:id="201"/>
      </w:r>
      <w:r w:rsidRPr="0001748B">
        <w:rPr>
          <w:rFonts w:eastAsiaTheme="minorHAnsi" w:cstheme="minorBidi"/>
          <w:sz w:val="20"/>
          <w:szCs w:val="20"/>
          <w:lang w:eastAsia="en-US"/>
        </w:rPr>
        <w:t>, aplicable en toda investigación de muertes violentas, súbitas, inesperadas y sospechosas, incluidos los casos en que se sospeche que ha habido una ejecución extralegal, arbitraria o sumaria, indica que la debida diligencia en una investigación médico-legal de una muerte exige el mantenimiento de la cadena de custodia de todo elemento de prueba forense</w:t>
      </w:r>
      <w:r>
        <w:rPr>
          <w:rFonts w:eastAsiaTheme="minorHAnsi" w:cstheme="minorBidi"/>
          <w:sz w:val="20"/>
          <w:szCs w:val="20"/>
          <w:lang w:eastAsia="en-US"/>
        </w:rPr>
        <w:t>, inclusive</w:t>
      </w:r>
      <w:r w:rsidRPr="0001748B">
        <w:rPr>
          <w:rFonts w:eastAsiaTheme="minorHAnsi" w:cstheme="minorBidi"/>
          <w:sz w:val="20"/>
          <w:szCs w:val="20"/>
          <w:lang w:eastAsia="en-US"/>
        </w:rPr>
        <w:t xml:space="preserve"> más allá del juicio y la condena del autor, dado que las pruebas antiguas, debidamente preservadas, podrían servir para el sobreseimiento de una persona condenada erróneamente</w:t>
      </w:r>
      <w:r w:rsidRPr="0001748B">
        <w:rPr>
          <w:rFonts w:eastAsiaTheme="minorHAnsi" w:cstheme="minorBidi"/>
          <w:sz w:val="20"/>
          <w:szCs w:val="20"/>
          <w:vertAlign w:val="superscript"/>
          <w:lang w:eastAsia="en-US"/>
        </w:rPr>
        <w:footnoteReference w:id="202"/>
      </w:r>
      <w:r w:rsidRPr="0001748B">
        <w:rPr>
          <w:rFonts w:eastAsiaTheme="minorHAnsi" w:cstheme="minorBidi"/>
          <w:sz w:val="20"/>
          <w:szCs w:val="20"/>
          <w:lang w:eastAsia="en-US"/>
        </w:rPr>
        <w:t>.</w:t>
      </w:r>
    </w:p>
    <w:p w:rsidR="000954E3" w:rsidRPr="0001748B" w:rsidRDefault="000954E3" w:rsidP="006F624A">
      <w:pPr>
        <w:widowControl/>
        <w:tabs>
          <w:tab w:val="left" w:pos="0"/>
          <w:tab w:val="num" w:pos="12305"/>
        </w:tabs>
        <w:adjustRightInd/>
        <w:spacing w:line="240" w:lineRule="auto"/>
        <w:ind w:right="-90"/>
        <w:textAlignment w:val="auto"/>
        <w:rPr>
          <w:rFonts w:eastAsia="MS Mincho"/>
          <w:sz w:val="20"/>
          <w:szCs w:val="20"/>
          <w:lang w:eastAsia="en-US" w:bidi="en-US"/>
        </w:rPr>
      </w:pPr>
    </w:p>
    <w:p w:rsidR="00CD2DD1" w:rsidRPr="0001748B" w:rsidRDefault="006F624A" w:rsidP="00065E74">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En el presente caso, </w:t>
      </w:r>
      <w:r w:rsidR="00CD2DD1" w:rsidRPr="0001748B">
        <w:rPr>
          <w:rFonts w:eastAsiaTheme="minorHAnsi" w:cstheme="minorBidi"/>
          <w:sz w:val="20"/>
          <w:szCs w:val="20"/>
          <w:lang w:eastAsia="en-US"/>
        </w:rPr>
        <w:t xml:space="preserve">la Corte nota que, </w:t>
      </w:r>
      <w:r w:rsidR="009B128A">
        <w:rPr>
          <w:rFonts w:eastAsiaTheme="minorHAnsi" w:cstheme="minorBidi"/>
          <w:sz w:val="20"/>
          <w:szCs w:val="20"/>
          <w:lang w:eastAsia="en-US"/>
        </w:rPr>
        <w:t xml:space="preserve">si bien </w:t>
      </w:r>
      <w:r w:rsidR="00CD2DD1" w:rsidRPr="0001748B">
        <w:rPr>
          <w:rFonts w:eastAsiaTheme="minorHAnsi" w:cstheme="minorBidi"/>
          <w:sz w:val="20"/>
          <w:szCs w:val="20"/>
          <w:lang w:eastAsia="en-US"/>
        </w:rPr>
        <w:t>durante el transcurso de la investigación se llevaron a cabo una multiplicidad de diligencias</w:t>
      </w:r>
      <w:r w:rsidR="00E37ACE" w:rsidRPr="0001748B">
        <w:rPr>
          <w:rFonts w:eastAsiaTheme="minorHAnsi" w:cstheme="minorBidi"/>
          <w:sz w:val="20"/>
          <w:szCs w:val="20"/>
          <w:lang w:eastAsia="en-US"/>
        </w:rPr>
        <w:t>, entre las que destaca</w:t>
      </w:r>
      <w:r w:rsidR="00CD2DD1" w:rsidRPr="0001748B">
        <w:rPr>
          <w:rFonts w:eastAsiaTheme="minorHAnsi" w:cstheme="minorBidi"/>
          <w:sz w:val="20"/>
          <w:szCs w:val="20"/>
          <w:lang w:eastAsia="en-US"/>
        </w:rPr>
        <w:t xml:space="preserve"> experticias técnicas, declaraciones testimoniales, reconstrucción del hecho, el Estado omitió realizar debidamente algunas diligencias indispensables para la determinación de las circunstancias en que se produjo el hecho que concluyera luego con la muerte del señor Ortiz Hernández. Particularmente, este Tribunal se refiere a la preservación de la escena del crimen</w:t>
      </w:r>
      <w:r w:rsidR="009F6102">
        <w:rPr>
          <w:rFonts w:eastAsiaTheme="minorHAnsi" w:cstheme="minorBidi"/>
          <w:sz w:val="20"/>
          <w:szCs w:val="20"/>
          <w:lang w:eastAsia="en-US"/>
        </w:rPr>
        <w:t xml:space="preserve"> y a la</w:t>
      </w:r>
      <w:r w:rsidR="004B4AA2" w:rsidRPr="0001748B">
        <w:rPr>
          <w:rFonts w:eastAsiaTheme="minorHAnsi" w:cstheme="minorBidi"/>
          <w:sz w:val="20"/>
          <w:szCs w:val="20"/>
          <w:lang w:eastAsia="en-US"/>
        </w:rPr>
        <w:t xml:space="preserve"> inviolabilidad de la cadena de custodia</w:t>
      </w:r>
      <w:r w:rsidR="00CD2DD1" w:rsidRPr="0001748B">
        <w:rPr>
          <w:rFonts w:eastAsiaTheme="minorHAnsi" w:cstheme="minorBidi"/>
          <w:sz w:val="20"/>
          <w:szCs w:val="20"/>
          <w:lang w:eastAsia="en-US"/>
        </w:rPr>
        <w:t xml:space="preserve"> del uniforme que portaba Johan Alexis el día del hecho y de los fragmentos hallados al momento de practicarle la autopsia</w:t>
      </w:r>
      <w:r w:rsidR="00474306" w:rsidRPr="0001748B">
        <w:rPr>
          <w:rFonts w:eastAsiaTheme="minorHAnsi" w:cstheme="minorBidi"/>
          <w:sz w:val="20"/>
          <w:szCs w:val="20"/>
          <w:lang w:eastAsia="en-US"/>
        </w:rPr>
        <w:t>, esto es</w:t>
      </w:r>
      <w:r w:rsidR="004B4AA2" w:rsidRPr="0001748B">
        <w:rPr>
          <w:rFonts w:eastAsiaTheme="minorHAnsi" w:cstheme="minorBidi"/>
          <w:sz w:val="20"/>
          <w:szCs w:val="20"/>
          <w:lang w:eastAsia="en-US"/>
        </w:rPr>
        <w:t>, de</w:t>
      </w:r>
      <w:r w:rsidR="00474306" w:rsidRPr="0001748B">
        <w:rPr>
          <w:rFonts w:eastAsiaTheme="minorHAnsi" w:cstheme="minorBidi"/>
          <w:sz w:val="20"/>
          <w:szCs w:val="20"/>
          <w:lang w:eastAsia="en-US"/>
        </w:rPr>
        <w:t xml:space="preserve"> un fragmento de núcleo encontrado en la cara posterior del hombro y un fragmento de </w:t>
      </w:r>
      <w:r w:rsidR="009D4545" w:rsidRPr="0001748B">
        <w:rPr>
          <w:rFonts w:eastAsiaTheme="minorHAnsi" w:cstheme="minorBidi"/>
          <w:sz w:val="20"/>
          <w:szCs w:val="20"/>
          <w:lang w:eastAsia="en-US"/>
        </w:rPr>
        <w:t>blindaje</w:t>
      </w:r>
      <w:r w:rsidR="00474306" w:rsidRPr="0001748B">
        <w:rPr>
          <w:rFonts w:eastAsiaTheme="minorHAnsi" w:cstheme="minorBidi"/>
          <w:sz w:val="20"/>
          <w:szCs w:val="20"/>
          <w:lang w:eastAsia="en-US"/>
        </w:rPr>
        <w:t xml:space="preserve"> en el sexto arco costal medial posterior</w:t>
      </w:r>
      <w:r w:rsidR="00CE371F" w:rsidRPr="0001748B">
        <w:rPr>
          <w:rFonts w:eastAsiaTheme="minorHAnsi" w:cstheme="minorBidi"/>
          <w:sz w:val="20"/>
          <w:szCs w:val="20"/>
          <w:lang w:eastAsia="en-US"/>
        </w:rPr>
        <w:t>.</w:t>
      </w:r>
    </w:p>
    <w:p w:rsidR="00CD2DD1" w:rsidRPr="0001748B" w:rsidRDefault="00CD2DD1" w:rsidP="00065E74">
      <w:pPr>
        <w:spacing w:line="240" w:lineRule="auto"/>
        <w:rPr>
          <w:rFonts w:eastAsiaTheme="minorHAnsi" w:cstheme="minorBidi"/>
          <w:sz w:val="20"/>
          <w:szCs w:val="20"/>
          <w:lang w:eastAsia="en-US"/>
        </w:rPr>
      </w:pPr>
    </w:p>
    <w:p w:rsidR="00CD2DD1" w:rsidRPr="0001748B" w:rsidRDefault="00CD2DD1" w:rsidP="00065E74">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En primer lugar, esta Corte entiende que no se tomaron las medidas adecuadas para preservar la escena del crimen y asegurar la cadena de custodia de la evidencia recolecta</w:t>
      </w:r>
      <w:r w:rsidR="009B128A">
        <w:rPr>
          <w:rFonts w:eastAsiaTheme="minorHAnsi" w:cstheme="minorBidi"/>
          <w:sz w:val="20"/>
          <w:szCs w:val="20"/>
          <w:lang w:eastAsia="en-US"/>
        </w:rPr>
        <w:t>da</w:t>
      </w:r>
      <w:r w:rsidRPr="0001748B">
        <w:rPr>
          <w:rFonts w:eastAsiaTheme="minorHAnsi" w:cstheme="minorBidi"/>
          <w:sz w:val="20"/>
          <w:szCs w:val="20"/>
          <w:lang w:eastAsia="en-US"/>
        </w:rPr>
        <w:t xml:space="preserve"> en dicho lugar. De las diligencias realizadas por la Policía Técnica Judicial se desprende que el día del hecho sólo se llevó a cabo una inspección ocular en la cancha del Destacamento N° 19, en la que se tomaron fotografías del lugar</w:t>
      </w:r>
      <w:r w:rsidRPr="0001748B">
        <w:rPr>
          <w:rFonts w:eastAsiaTheme="minorHAnsi" w:cstheme="minorBidi"/>
          <w:sz w:val="20"/>
          <w:szCs w:val="20"/>
          <w:vertAlign w:val="superscript"/>
          <w:lang w:eastAsia="en-US"/>
        </w:rPr>
        <w:footnoteReference w:id="203"/>
      </w:r>
      <w:r w:rsidRPr="0001748B">
        <w:rPr>
          <w:rFonts w:eastAsiaTheme="minorHAnsi" w:cstheme="minorBidi"/>
          <w:sz w:val="20"/>
          <w:szCs w:val="20"/>
          <w:lang w:eastAsia="en-US"/>
        </w:rPr>
        <w:t xml:space="preserve">. La prueba de luminol, por ejemplo, fue realizada mucho tiempo después, impidiendo que efectivamente pudieran recogerse muestras </w:t>
      </w:r>
      <w:r w:rsidR="00F47DE3" w:rsidRPr="0001748B">
        <w:rPr>
          <w:rFonts w:eastAsiaTheme="minorHAnsi" w:cstheme="minorBidi"/>
          <w:sz w:val="20"/>
          <w:szCs w:val="20"/>
          <w:lang w:eastAsia="en-US"/>
        </w:rPr>
        <w:t>pertinentes</w:t>
      </w:r>
      <w:r w:rsidRPr="0001748B">
        <w:rPr>
          <w:rFonts w:eastAsiaTheme="minorHAnsi" w:cstheme="minorBidi"/>
          <w:sz w:val="20"/>
          <w:szCs w:val="20"/>
          <w:lang w:eastAsia="en-US"/>
        </w:rPr>
        <w:t xml:space="preserve"> para la investigación.</w:t>
      </w:r>
      <w:r w:rsidR="00236F6D" w:rsidRPr="0001748B">
        <w:rPr>
          <w:rFonts w:eastAsiaTheme="minorHAnsi" w:cstheme="minorBidi"/>
          <w:sz w:val="20"/>
          <w:szCs w:val="20"/>
          <w:lang w:eastAsia="en-US"/>
        </w:rPr>
        <w:t xml:space="preserve"> Todo ello </w:t>
      </w:r>
      <w:r w:rsidR="00F47DE3" w:rsidRPr="0001748B">
        <w:rPr>
          <w:rFonts w:eastAsiaTheme="minorHAnsi" w:cstheme="minorBidi"/>
          <w:sz w:val="20"/>
          <w:szCs w:val="20"/>
          <w:lang w:eastAsia="en-US"/>
        </w:rPr>
        <w:t>impidió</w:t>
      </w:r>
      <w:r w:rsidR="00236F6D" w:rsidRPr="0001748B">
        <w:rPr>
          <w:rFonts w:eastAsiaTheme="minorHAnsi" w:cstheme="minorBidi"/>
          <w:sz w:val="20"/>
          <w:szCs w:val="20"/>
          <w:lang w:eastAsia="en-US"/>
        </w:rPr>
        <w:t xml:space="preserve"> la recolección de elementos de prueba relevantes para la </w:t>
      </w:r>
      <w:r w:rsidR="00F47DE3" w:rsidRPr="0001748B">
        <w:rPr>
          <w:rFonts w:eastAsiaTheme="minorHAnsi" w:cstheme="minorBidi"/>
          <w:sz w:val="20"/>
          <w:szCs w:val="20"/>
          <w:lang w:eastAsia="en-US"/>
        </w:rPr>
        <w:t>pesquisa</w:t>
      </w:r>
      <w:r w:rsidR="00236F6D" w:rsidRPr="0001748B">
        <w:rPr>
          <w:rFonts w:eastAsiaTheme="minorHAnsi" w:cstheme="minorBidi"/>
          <w:sz w:val="20"/>
          <w:szCs w:val="20"/>
          <w:lang w:eastAsia="en-US"/>
        </w:rPr>
        <w:t>, como</w:t>
      </w:r>
      <w:r w:rsidR="0086058A" w:rsidRPr="0001748B">
        <w:rPr>
          <w:rFonts w:eastAsiaTheme="minorHAnsi" w:cstheme="minorBidi"/>
          <w:sz w:val="20"/>
          <w:szCs w:val="20"/>
          <w:lang w:eastAsia="en-US"/>
        </w:rPr>
        <w:t>,</w:t>
      </w:r>
      <w:r w:rsidR="00236F6D" w:rsidRPr="0001748B">
        <w:rPr>
          <w:rFonts w:eastAsiaTheme="minorHAnsi" w:cstheme="minorBidi"/>
          <w:sz w:val="20"/>
          <w:szCs w:val="20"/>
          <w:lang w:eastAsia="en-US"/>
        </w:rPr>
        <w:t xml:space="preserve"> por ejemplo</w:t>
      </w:r>
      <w:r w:rsidR="0086058A" w:rsidRPr="0001748B">
        <w:rPr>
          <w:rFonts w:eastAsiaTheme="minorHAnsi" w:cstheme="minorBidi"/>
          <w:sz w:val="20"/>
          <w:szCs w:val="20"/>
          <w:lang w:eastAsia="en-US"/>
        </w:rPr>
        <w:t>,</w:t>
      </w:r>
      <w:r w:rsidR="00236F6D" w:rsidRPr="0001748B">
        <w:rPr>
          <w:rFonts w:eastAsiaTheme="minorHAnsi" w:cstheme="minorBidi"/>
          <w:sz w:val="20"/>
          <w:szCs w:val="20"/>
          <w:lang w:eastAsia="en-US"/>
        </w:rPr>
        <w:t xml:space="preserve"> rastros de sangre que permitieran identificar con exactitud el lugar en que se produjeron las heridas a Johan Alexis </w:t>
      </w:r>
      <w:r w:rsidR="001C1170" w:rsidRPr="0001748B">
        <w:rPr>
          <w:rFonts w:eastAsiaTheme="minorHAnsi" w:cstheme="minorBidi"/>
          <w:sz w:val="20"/>
          <w:szCs w:val="20"/>
          <w:lang w:eastAsia="en-US"/>
        </w:rPr>
        <w:t xml:space="preserve">-esto es, </w:t>
      </w:r>
      <w:r w:rsidR="00236F6D" w:rsidRPr="0001748B">
        <w:rPr>
          <w:rFonts w:eastAsiaTheme="minorHAnsi" w:cstheme="minorBidi"/>
          <w:sz w:val="20"/>
          <w:szCs w:val="20"/>
          <w:lang w:eastAsia="en-US"/>
        </w:rPr>
        <w:t>fuera o dentro del</w:t>
      </w:r>
      <w:r w:rsidR="00740584">
        <w:rPr>
          <w:rFonts w:eastAsiaTheme="minorHAnsi" w:cstheme="minorBidi"/>
          <w:sz w:val="20"/>
          <w:szCs w:val="20"/>
          <w:lang w:eastAsia="en-US"/>
        </w:rPr>
        <w:t xml:space="preserve"> obstáculo</w:t>
      </w:r>
      <w:r w:rsidR="001C1170" w:rsidRPr="0001748B">
        <w:rPr>
          <w:rFonts w:eastAsiaTheme="minorHAnsi" w:cstheme="minorBidi"/>
          <w:sz w:val="20"/>
          <w:szCs w:val="20"/>
          <w:lang w:eastAsia="en-US"/>
        </w:rPr>
        <w:t>-</w:t>
      </w:r>
      <w:r w:rsidR="00236F6D" w:rsidRPr="0001748B">
        <w:rPr>
          <w:rFonts w:eastAsiaTheme="minorHAnsi" w:cstheme="minorBidi"/>
          <w:sz w:val="20"/>
          <w:szCs w:val="20"/>
          <w:lang w:eastAsia="en-US"/>
        </w:rPr>
        <w:t>, objetos que pudiera haber portado el señor Ortiz Hernández, casquillos o camisas de proyectiles que pudieron haber sido disparados, entre otros.</w:t>
      </w:r>
    </w:p>
    <w:p w:rsidR="00CD2DD1" w:rsidRPr="0001748B" w:rsidRDefault="00CD2DD1" w:rsidP="00065E74">
      <w:pPr>
        <w:widowControl/>
        <w:adjustRightInd/>
        <w:spacing w:line="240" w:lineRule="auto"/>
        <w:textAlignment w:val="auto"/>
        <w:rPr>
          <w:rFonts w:eastAsiaTheme="minorHAnsi" w:cstheme="minorBidi"/>
          <w:sz w:val="20"/>
          <w:szCs w:val="20"/>
          <w:lang w:eastAsia="en-US"/>
        </w:rPr>
      </w:pPr>
    </w:p>
    <w:p w:rsidR="00CD2DD1" w:rsidRPr="0001748B" w:rsidRDefault="00CD2DD1" w:rsidP="00065E74">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Por otra parte, en relación con el uniforme de</w:t>
      </w:r>
      <w:r w:rsidR="002C5592">
        <w:rPr>
          <w:rFonts w:eastAsiaTheme="minorHAnsi" w:cstheme="minorBidi"/>
          <w:sz w:val="20"/>
          <w:szCs w:val="20"/>
          <w:lang w:eastAsia="en-US"/>
        </w:rPr>
        <w:t xml:space="preserve">l señor Ortiz </w:t>
      </w:r>
      <w:r w:rsidR="002C5592">
        <w:rPr>
          <w:rFonts w:eastAsia="Batang"/>
          <w:sz w:val="20"/>
          <w:lang w:eastAsia="en-US"/>
        </w:rPr>
        <w:t>Hernández</w:t>
      </w:r>
      <w:r w:rsidRPr="0001748B">
        <w:rPr>
          <w:rFonts w:eastAsiaTheme="minorHAnsi" w:cstheme="minorBidi"/>
          <w:sz w:val="20"/>
          <w:szCs w:val="20"/>
          <w:lang w:eastAsia="en-US"/>
        </w:rPr>
        <w:t>, cabe señalar que no existe certeza respecto de si las prendas peritadas se corresponden con las que efectivamente portaba el fallecido al recibir los impactos de bala que lo condujer</w:t>
      </w:r>
      <w:r w:rsidR="009B128A">
        <w:rPr>
          <w:rFonts w:eastAsiaTheme="minorHAnsi" w:cstheme="minorBidi"/>
          <w:sz w:val="20"/>
          <w:szCs w:val="20"/>
          <w:lang w:eastAsia="en-US"/>
        </w:rPr>
        <w:t>o</w:t>
      </w:r>
      <w:r w:rsidRPr="0001748B">
        <w:rPr>
          <w:rFonts w:eastAsiaTheme="minorHAnsi" w:cstheme="minorBidi"/>
          <w:sz w:val="20"/>
          <w:szCs w:val="20"/>
          <w:lang w:eastAsia="en-US"/>
        </w:rPr>
        <w:t>n a su muerte.</w:t>
      </w:r>
      <w:r w:rsidR="00236F6D" w:rsidRPr="0001748B">
        <w:rPr>
          <w:rFonts w:eastAsiaTheme="minorHAnsi" w:cstheme="minorBidi"/>
          <w:sz w:val="20"/>
          <w:szCs w:val="20"/>
          <w:lang w:eastAsia="en-US"/>
        </w:rPr>
        <w:t xml:space="preserve"> Dicha circunstancia no sólo hecha un manto de duda respecto de las prendas peritadas y los consecuentes hallazgos, sino que, por sobre todo, </w:t>
      </w:r>
      <w:r w:rsidR="00363905" w:rsidRPr="0001748B">
        <w:rPr>
          <w:rFonts w:eastAsiaTheme="minorHAnsi" w:cstheme="minorBidi"/>
          <w:sz w:val="20"/>
          <w:szCs w:val="20"/>
          <w:lang w:eastAsia="en-US"/>
        </w:rPr>
        <w:t xml:space="preserve">impide contar con </w:t>
      </w:r>
      <w:r w:rsidR="00582D88" w:rsidRPr="0001748B">
        <w:rPr>
          <w:rFonts w:eastAsiaTheme="minorHAnsi" w:cstheme="minorBidi"/>
          <w:sz w:val="20"/>
          <w:szCs w:val="20"/>
          <w:lang w:eastAsia="en-US"/>
        </w:rPr>
        <w:t xml:space="preserve">un </w:t>
      </w:r>
      <w:r w:rsidR="00363905" w:rsidRPr="0001748B">
        <w:rPr>
          <w:rFonts w:eastAsiaTheme="minorHAnsi" w:cstheme="minorBidi"/>
          <w:sz w:val="20"/>
          <w:szCs w:val="20"/>
          <w:lang w:eastAsia="en-US"/>
        </w:rPr>
        <w:t>elemento</w:t>
      </w:r>
      <w:r w:rsidR="00582D88" w:rsidRPr="0001748B">
        <w:rPr>
          <w:rFonts w:eastAsiaTheme="minorHAnsi" w:cstheme="minorBidi"/>
          <w:sz w:val="20"/>
          <w:szCs w:val="20"/>
          <w:lang w:eastAsia="en-US"/>
        </w:rPr>
        <w:t xml:space="preserve"> </w:t>
      </w:r>
      <w:r w:rsidR="00363905" w:rsidRPr="0001748B">
        <w:rPr>
          <w:rFonts w:eastAsiaTheme="minorHAnsi" w:cstheme="minorBidi"/>
          <w:sz w:val="20"/>
          <w:szCs w:val="20"/>
          <w:lang w:eastAsia="en-US"/>
        </w:rPr>
        <w:t xml:space="preserve">que podría arrojar información relevante en relación con las heridas padecidas por Johan Alexis y los proyectiles que las ocasionaron, rastros de sangre </w:t>
      </w:r>
      <w:r w:rsidR="00582D88" w:rsidRPr="0001748B">
        <w:rPr>
          <w:rFonts w:eastAsiaTheme="minorHAnsi" w:cstheme="minorBidi"/>
          <w:sz w:val="20"/>
          <w:szCs w:val="20"/>
          <w:lang w:eastAsia="en-US"/>
        </w:rPr>
        <w:t>del occiso o de terceras personas que podrían haber tenido algún tipo de intervención sobre su cuerpo, información sobre el terreno en que tuvo lugar el hecho</w:t>
      </w:r>
      <w:r w:rsidR="00A03C57" w:rsidRPr="0001748B">
        <w:rPr>
          <w:rFonts w:eastAsiaTheme="minorHAnsi" w:cstheme="minorBidi"/>
          <w:sz w:val="20"/>
          <w:szCs w:val="20"/>
          <w:lang w:eastAsia="en-US"/>
        </w:rPr>
        <w:t>, como por ejemplo</w:t>
      </w:r>
      <w:r w:rsidR="00A41A52">
        <w:rPr>
          <w:rFonts w:eastAsiaTheme="minorHAnsi" w:cstheme="minorBidi"/>
          <w:sz w:val="20"/>
          <w:szCs w:val="20"/>
          <w:lang w:eastAsia="en-US"/>
        </w:rPr>
        <w:t xml:space="preserve"> rastros de tierra, arena, etc.</w:t>
      </w:r>
    </w:p>
    <w:p w:rsidR="00CD2DD1" w:rsidRPr="0001748B" w:rsidRDefault="00CD2DD1" w:rsidP="00065E74">
      <w:pPr>
        <w:widowControl/>
        <w:adjustRightInd/>
        <w:spacing w:line="240" w:lineRule="auto"/>
        <w:textAlignment w:val="auto"/>
        <w:rPr>
          <w:rFonts w:eastAsiaTheme="minorHAnsi" w:cstheme="minorBidi"/>
          <w:sz w:val="20"/>
          <w:szCs w:val="20"/>
          <w:lang w:eastAsia="en-US"/>
        </w:rPr>
      </w:pPr>
    </w:p>
    <w:p w:rsidR="00CD2DD1" w:rsidRPr="0001748B" w:rsidRDefault="00582D88" w:rsidP="00065E74">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En esta línea, n</w:t>
      </w:r>
      <w:r w:rsidR="00CD2DD1" w:rsidRPr="0001748B">
        <w:rPr>
          <w:rFonts w:eastAsiaTheme="minorHAnsi" w:cstheme="minorBidi"/>
          <w:sz w:val="20"/>
          <w:szCs w:val="20"/>
          <w:lang w:eastAsia="en-US"/>
        </w:rPr>
        <w:t>o puede perderse de vista que</w:t>
      </w:r>
      <w:r w:rsidR="00CD2DD1" w:rsidRPr="0001748B">
        <w:rPr>
          <w:rFonts w:eastAsiaTheme="minorHAnsi" w:cstheme="minorBidi"/>
          <w:sz w:val="22"/>
          <w:szCs w:val="22"/>
          <w:lang w:eastAsia="en-US"/>
        </w:rPr>
        <w:t xml:space="preserve"> </w:t>
      </w:r>
      <w:r w:rsidR="00CD2DD1" w:rsidRPr="0001748B">
        <w:rPr>
          <w:rFonts w:eastAsiaTheme="minorHAnsi" w:cstheme="minorBidi"/>
          <w:sz w:val="20"/>
          <w:szCs w:val="20"/>
          <w:lang w:eastAsia="en-US"/>
        </w:rPr>
        <w:t xml:space="preserve">tanto el investigador de la Policía Técnica Judicial, como la </w:t>
      </w:r>
      <w:r w:rsidRPr="0001748B">
        <w:rPr>
          <w:rFonts w:eastAsiaTheme="minorHAnsi" w:cstheme="minorBidi"/>
          <w:sz w:val="20"/>
          <w:szCs w:val="20"/>
          <w:lang w:eastAsia="en-US"/>
        </w:rPr>
        <w:t>médica forense interviniente en la autopsia</w:t>
      </w:r>
      <w:r w:rsidR="00CD2DD1" w:rsidRPr="0001748B">
        <w:rPr>
          <w:rFonts w:eastAsiaTheme="minorHAnsi" w:cstheme="minorBidi"/>
          <w:sz w:val="20"/>
          <w:szCs w:val="20"/>
          <w:lang w:eastAsia="en-US"/>
        </w:rPr>
        <w:t>, coincidieron en que el cuerpo del señor Ortiz Hernández les fue entregado limpio, vestido sólo con ropa interior</w:t>
      </w:r>
      <w:r w:rsidR="00CD2DD1" w:rsidRPr="0001748B">
        <w:rPr>
          <w:rFonts w:eastAsiaTheme="minorHAnsi" w:cstheme="minorBidi"/>
          <w:sz w:val="20"/>
          <w:szCs w:val="20"/>
          <w:vertAlign w:val="superscript"/>
          <w:lang w:eastAsia="en-US"/>
        </w:rPr>
        <w:footnoteReference w:id="204"/>
      </w:r>
      <w:r w:rsidR="00CD2DD1" w:rsidRPr="0001748B">
        <w:rPr>
          <w:rFonts w:eastAsiaTheme="minorHAnsi" w:cstheme="minorBidi"/>
          <w:sz w:val="20"/>
          <w:szCs w:val="20"/>
          <w:lang w:eastAsia="en-US"/>
        </w:rPr>
        <w:t>, debido a que la que portaba durante el ejercicio le habría sido quitada para el momento en que le prestaron los primeros auxilios</w:t>
      </w:r>
      <w:r w:rsidR="00CD2DD1" w:rsidRPr="0001748B">
        <w:rPr>
          <w:rFonts w:eastAsiaTheme="minorHAnsi" w:cstheme="minorBidi"/>
          <w:sz w:val="20"/>
          <w:szCs w:val="20"/>
          <w:vertAlign w:val="superscript"/>
          <w:lang w:eastAsia="en-US"/>
        </w:rPr>
        <w:footnoteReference w:id="205"/>
      </w:r>
      <w:r w:rsidR="00CD2DD1" w:rsidRPr="0001748B">
        <w:rPr>
          <w:rFonts w:eastAsiaTheme="minorHAnsi" w:cstheme="minorBidi"/>
          <w:sz w:val="20"/>
          <w:szCs w:val="20"/>
          <w:lang w:eastAsia="en-US"/>
        </w:rPr>
        <w:t>. Esto implica</w:t>
      </w:r>
      <w:r w:rsidR="000C0E05" w:rsidRPr="0001748B">
        <w:rPr>
          <w:rFonts w:eastAsiaTheme="minorHAnsi" w:cstheme="minorBidi"/>
          <w:sz w:val="20"/>
          <w:szCs w:val="20"/>
          <w:lang w:eastAsia="en-US"/>
        </w:rPr>
        <w:t>, por un lado,</w:t>
      </w:r>
      <w:r w:rsidR="00CD2DD1" w:rsidRPr="0001748B">
        <w:rPr>
          <w:rFonts w:eastAsiaTheme="minorHAnsi" w:cstheme="minorBidi"/>
          <w:sz w:val="20"/>
          <w:szCs w:val="20"/>
          <w:lang w:eastAsia="en-US"/>
        </w:rPr>
        <w:t xml:space="preserve"> que el uniforme en cuestión permaneció en poder de las autoridades de la G</w:t>
      </w:r>
      <w:r w:rsidRPr="0001748B">
        <w:rPr>
          <w:rFonts w:eastAsiaTheme="minorHAnsi" w:cstheme="minorBidi"/>
          <w:sz w:val="20"/>
          <w:szCs w:val="20"/>
          <w:lang w:eastAsia="en-US"/>
        </w:rPr>
        <w:t xml:space="preserve">uardia </w:t>
      </w:r>
      <w:r w:rsidR="00CD2DD1" w:rsidRPr="0001748B">
        <w:rPr>
          <w:rFonts w:eastAsiaTheme="minorHAnsi" w:cstheme="minorBidi"/>
          <w:sz w:val="20"/>
          <w:szCs w:val="20"/>
          <w:lang w:eastAsia="en-US"/>
        </w:rPr>
        <w:t>N</w:t>
      </w:r>
      <w:r w:rsidRPr="0001748B">
        <w:rPr>
          <w:rFonts w:eastAsiaTheme="minorHAnsi" w:cstheme="minorBidi"/>
          <w:sz w:val="20"/>
          <w:szCs w:val="20"/>
          <w:lang w:eastAsia="en-US"/>
        </w:rPr>
        <w:t>acional</w:t>
      </w:r>
      <w:r w:rsidR="001E15F5">
        <w:rPr>
          <w:rFonts w:eastAsiaTheme="minorHAnsi" w:cstheme="minorBidi"/>
          <w:sz w:val="20"/>
          <w:szCs w:val="20"/>
          <w:lang w:eastAsia="en-US"/>
        </w:rPr>
        <w:t>,</w:t>
      </w:r>
      <w:r w:rsidR="00CD2DD1" w:rsidRPr="0001748B">
        <w:rPr>
          <w:rFonts w:eastAsiaTheme="minorHAnsi" w:cstheme="minorBidi"/>
          <w:sz w:val="20"/>
          <w:szCs w:val="20"/>
          <w:lang w:eastAsia="en-US"/>
        </w:rPr>
        <w:t xml:space="preserve"> cuyos integrantes fueron señalados por los padres de Johan Alexis como partícipes y responsables de su muerte.</w:t>
      </w:r>
      <w:r w:rsidRPr="0001748B">
        <w:rPr>
          <w:rFonts w:eastAsiaTheme="minorHAnsi" w:cstheme="minorBidi"/>
          <w:sz w:val="20"/>
          <w:szCs w:val="20"/>
          <w:lang w:eastAsia="en-US"/>
        </w:rPr>
        <w:t xml:space="preserve"> P</w:t>
      </w:r>
      <w:r w:rsidR="000C0E05" w:rsidRPr="0001748B">
        <w:rPr>
          <w:rFonts w:eastAsiaTheme="minorHAnsi" w:cstheme="minorBidi"/>
          <w:sz w:val="20"/>
          <w:szCs w:val="20"/>
          <w:lang w:eastAsia="en-US"/>
        </w:rPr>
        <w:t>or otro lado</w:t>
      </w:r>
      <w:r w:rsidRPr="0001748B">
        <w:rPr>
          <w:rFonts w:eastAsiaTheme="minorHAnsi" w:cstheme="minorBidi"/>
          <w:sz w:val="20"/>
          <w:szCs w:val="20"/>
          <w:lang w:eastAsia="en-US"/>
        </w:rPr>
        <w:t xml:space="preserve">, constituye un indicio de que el cuerpo de Ortiz Hernández </w:t>
      </w:r>
      <w:r w:rsidR="00175932" w:rsidRPr="0001748B">
        <w:rPr>
          <w:rFonts w:eastAsiaTheme="minorHAnsi" w:cstheme="minorBidi"/>
          <w:sz w:val="20"/>
          <w:szCs w:val="20"/>
          <w:lang w:eastAsia="en-US"/>
        </w:rPr>
        <w:t>fue</w:t>
      </w:r>
      <w:r w:rsidRPr="0001748B">
        <w:rPr>
          <w:rFonts w:eastAsiaTheme="minorHAnsi" w:cstheme="minorBidi"/>
          <w:sz w:val="20"/>
          <w:szCs w:val="20"/>
          <w:lang w:eastAsia="en-US"/>
        </w:rPr>
        <w:t xml:space="preserve"> lavado tras recibir atención médica en el Hospital</w:t>
      </w:r>
      <w:r w:rsidR="001F1BFA">
        <w:rPr>
          <w:rFonts w:eastAsiaTheme="minorHAnsi" w:cstheme="minorBidi"/>
          <w:sz w:val="20"/>
          <w:szCs w:val="20"/>
          <w:lang w:eastAsia="en-US"/>
        </w:rPr>
        <w:t xml:space="preserve"> </w:t>
      </w:r>
      <w:r w:rsidR="001F1BFA" w:rsidRPr="0001748B">
        <w:rPr>
          <w:rFonts w:eastAsiaTheme="minorHAnsi" w:cstheme="minorBidi"/>
          <w:sz w:val="20"/>
          <w:szCs w:val="20"/>
          <w:lang w:eastAsia="en-US"/>
        </w:rPr>
        <w:t>San Rafael</w:t>
      </w:r>
      <w:r w:rsidRPr="0001748B">
        <w:rPr>
          <w:rFonts w:eastAsiaTheme="minorHAnsi" w:cstheme="minorBidi"/>
          <w:sz w:val="20"/>
          <w:szCs w:val="20"/>
          <w:lang w:eastAsia="en-US"/>
        </w:rPr>
        <w:t xml:space="preserve"> de El Piñal, circunstancia que</w:t>
      </w:r>
      <w:r w:rsidR="000C0E05" w:rsidRPr="0001748B">
        <w:rPr>
          <w:rFonts w:eastAsiaTheme="minorHAnsi" w:cstheme="minorBidi"/>
          <w:sz w:val="20"/>
          <w:szCs w:val="20"/>
          <w:lang w:eastAsia="en-US"/>
        </w:rPr>
        <w:t>, a su vez,</w:t>
      </w:r>
      <w:r w:rsidRPr="0001748B">
        <w:rPr>
          <w:rFonts w:eastAsiaTheme="minorHAnsi" w:cstheme="minorBidi"/>
          <w:sz w:val="20"/>
          <w:szCs w:val="20"/>
          <w:lang w:eastAsia="en-US"/>
        </w:rPr>
        <w:t xml:space="preserve"> pudo impedir el relevamiento de elementos de prueba </w:t>
      </w:r>
      <w:r w:rsidR="001E15F5">
        <w:rPr>
          <w:rFonts w:eastAsiaTheme="minorHAnsi" w:cstheme="minorBidi"/>
          <w:sz w:val="20"/>
          <w:szCs w:val="20"/>
          <w:lang w:eastAsia="en-US"/>
        </w:rPr>
        <w:t>importantes</w:t>
      </w:r>
      <w:r w:rsidR="001E15F5" w:rsidRPr="0001748B">
        <w:rPr>
          <w:rFonts w:eastAsiaTheme="minorHAnsi" w:cstheme="minorBidi"/>
          <w:sz w:val="20"/>
          <w:szCs w:val="20"/>
          <w:lang w:eastAsia="en-US"/>
        </w:rPr>
        <w:t xml:space="preserve"> </w:t>
      </w:r>
      <w:r w:rsidRPr="0001748B">
        <w:rPr>
          <w:rFonts w:eastAsiaTheme="minorHAnsi" w:cstheme="minorBidi"/>
          <w:sz w:val="20"/>
          <w:szCs w:val="20"/>
          <w:lang w:eastAsia="en-US"/>
        </w:rPr>
        <w:t>para la investigación.</w:t>
      </w:r>
    </w:p>
    <w:p w:rsidR="00065E74" w:rsidRPr="0001748B" w:rsidRDefault="00065E74" w:rsidP="00065E74">
      <w:pPr>
        <w:tabs>
          <w:tab w:val="left" w:pos="567"/>
        </w:tabs>
        <w:spacing w:line="240" w:lineRule="auto"/>
        <w:rPr>
          <w:rFonts w:eastAsiaTheme="minorHAnsi" w:cstheme="minorBidi"/>
          <w:sz w:val="20"/>
          <w:szCs w:val="20"/>
          <w:lang w:eastAsia="en-US"/>
        </w:rPr>
      </w:pPr>
    </w:p>
    <w:p w:rsidR="00582D88" w:rsidRPr="0001748B" w:rsidRDefault="00582D88" w:rsidP="00065E74">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En este sentido, cabe destacar también que, tal como se señaló </w:t>
      </w:r>
      <w:r w:rsidRPr="0001748B">
        <w:rPr>
          <w:rFonts w:eastAsiaTheme="minorHAnsi" w:cstheme="minorBidi"/>
          <w:i/>
          <w:sz w:val="20"/>
          <w:szCs w:val="20"/>
          <w:lang w:eastAsia="en-US"/>
        </w:rPr>
        <w:t>supra</w:t>
      </w:r>
      <w:r w:rsidRPr="0001748B">
        <w:rPr>
          <w:rFonts w:eastAsiaTheme="minorHAnsi" w:cstheme="minorBidi"/>
          <w:sz w:val="20"/>
          <w:szCs w:val="20"/>
          <w:lang w:eastAsia="en-US"/>
        </w:rPr>
        <w:t xml:space="preserve"> (párr. </w:t>
      </w:r>
      <w:r w:rsidR="00864887">
        <w:rPr>
          <w:rFonts w:eastAsiaTheme="minorHAnsi" w:cstheme="minorBidi"/>
          <w:sz w:val="20"/>
          <w:szCs w:val="20"/>
          <w:lang w:eastAsia="en-US"/>
        </w:rPr>
        <w:t>73</w:t>
      </w:r>
      <w:r w:rsidRPr="0001748B">
        <w:rPr>
          <w:rFonts w:eastAsiaTheme="minorHAnsi" w:cstheme="minorBidi"/>
          <w:sz w:val="20"/>
          <w:szCs w:val="20"/>
          <w:lang w:eastAsia="en-US"/>
        </w:rPr>
        <w:t>), las heridas que sufrió Ortiz Hernández fueron suturadas</w:t>
      </w:r>
      <w:r w:rsidR="000661E5" w:rsidRPr="0001748B">
        <w:rPr>
          <w:rFonts w:eastAsiaTheme="minorHAnsi" w:cstheme="minorBidi"/>
          <w:sz w:val="20"/>
          <w:szCs w:val="20"/>
          <w:lang w:eastAsia="en-US"/>
        </w:rPr>
        <w:t>. No obstante</w:t>
      </w:r>
      <w:r w:rsidRPr="0001748B">
        <w:rPr>
          <w:rFonts w:eastAsiaTheme="minorHAnsi" w:cstheme="minorBidi"/>
          <w:sz w:val="20"/>
          <w:szCs w:val="20"/>
          <w:lang w:eastAsia="en-US"/>
        </w:rPr>
        <w:t>, la médica tratante sólo reconoció haber hecho una sola sutura</w:t>
      </w:r>
      <w:r w:rsidR="000661E5" w:rsidRPr="0001748B">
        <w:rPr>
          <w:rFonts w:eastAsiaTheme="minorHAnsi" w:cstheme="minorBidi"/>
          <w:sz w:val="20"/>
          <w:szCs w:val="20"/>
          <w:lang w:eastAsia="en-US"/>
        </w:rPr>
        <w:t>.</w:t>
      </w:r>
      <w:r w:rsidRPr="0001748B">
        <w:rPr>
          <w:rFonts w:eastAsiaTheme="minorHAnsi" w:cstheme="minorBidi"/>
          <w:sz w:val="20"/>
          <w:szCs w:val="20"/>
          <w:lang w:eastAsia="en-US"/>
        </w:rPr>
        <w:t xml:space="preserve"> </w:t>
      </w:r>
      <w:r w:rsidR="000661E5" w:rsidRPr="0001748B">
        <w:rPr>
          <w:rFonts w:eastAsiaTheme="minorHAnsi" w:cstheme="minorBidi"/>
          <w:sz w:val="20"/>
          <w:szCs w:val="20"/>
          <w:lang w:eastAsia="en-US"/>
        </w:rPr>
        <w:t>L</w:t>
      </w:r>
      <w:r w:rsidRPr="0001748B">
        <w:rPr>
          <w:rFonts w:eastAsiaTheme="minorHAnsi" w:cstheme="minorBidi"/>
          <w:sz w:val="20"/>
          <w:szCs w:val="20"/>
          <w:lang w:eastAsia="en-US"/>
        </w:rPr>
        <w:t>a investigación llevada a cabo en el ámbito</w:t>
      </w:r>
      <w:r w:rsidR="004D7378" w:rsidRPr="0001748B">
        <w:rPr>
          <w:rFonts w:eastAsiaTheme="minorHAnsi" w:cstheme="minorBidi"/>
          <w:sz w:val="20"/>
          <w:szCs w:val="20"/>
          <w:lang w:eastAsia="en-US"/>
        </w:rPr>
        <w:t xml:space="preserve"> interno no pudo determinar quié</w:t>
      </w:r>
      <w:r w:rsidRPr="0001748B">
        <w:rPr>
          <w:rFonts w:eastAsiaTheme="minorHAnsi" w:cstheme="minorBidi"/>
          <w:sz w:val="20"/>
          <w:szCs w:val="20"/>
          <w:lang w:eastAsia="en-US"/>
        </w:rPr>
        <w:t>n</w:t>
      </w:r>
      <w:r w:rsidR="004D7378" w:rsidRPr="0001748B">
        <w:rPr>
          <w:rFonts w:eastAsiaTheme="minorHAnsi" w:cstheme="minorBidi"/>
          <w:sz w:val="20"/>
          <w:szCs w:val="20"/>
          <w:lang w:eastAsia="en-US"/>
        </w:rPr>
        <w:t xml:space="preserve"> ni cu</w:t>
      </w:r>
      <w:r w:rsidR="00175932" w:rsidRPr="0001748B">
        <w:rPr>
          <w:rFonts w:eastAsiaTheme="minorHAnsi" w:cstheme="minorBidi"/>
          <w:sz w:val="20"/>
          <w:szCs w:val="20"/>
          <w:lang w:eastAsia="en-US"/>
        </w:rPr>
        <w:t>á</w:t>
      </w:r>
      <w:r w:rsidR="004D7378" w:rsidRPr="0001748B">
        <w:rPr>
          <w:rFonts w:eastAsiaTheme="minorHAnsi" w:cstheme="minorBidi"/>
          <w:sz w:val="20"/>
          <w:szCs w:val="20"/>
          <w:lang w:eastAsia="en-US"/>
        </w:rPr>
        <w:t>ndo se</w:t>
      </w:r>
      <w:r w:rsidRPr="0001748B">
        <w:rPr>
          <w:rFonts w:eastAsiaTheme="minorHAnsi" w:cstheme="minorBidi"/>
          <w:sz w:val="20"/>
          <w:szCs w:val="20"/>
          <w:lang w:eastAsia="en-US"/>
        </w:rPr>
        <w:t xml:space="preserve"> realizó la otra. </w:t>
      </w:r>
      <w:r w:rsidR="00541377" w:rsidRPr="0001748B">
        <w:rPr>
          <w:rFonts w:eastAsiaTheme="minorHAnsi" w:cstheme="minorBidi"/>
          <w:sz w:val="20"/>
          <w:szCs w:val="20"/>
          <w:lang w:eastAsia="en-US"/>
        </w:rPr>
        <w:t xml:space="preserve">Ello, tal como indicó la perito Rincón Bracho en la audiencia ante esta Corte, </w:t>
      </w:r>
      <w:r w:rsidR="00852517" w:rsidRPr="0001748B">
        <w:rPr>
          <w:rFonts w:eastAsiaTheme="minorHAnsi" w:cstheme="minorBidi"/>
          <w:sz w:val="20"/>
          <w:szCs w:val="20"/>
          <w:lang w:eastAsia="en-US"/>
        </w:rPr>
        <w:t>pudo</w:t>
      </w:r>
      <w:r w:rsidR="00541377" w:rsidRPr="0001748B">
        <w:rPr>
          <w:rFonts w:eastAsiaTheme="minorHAnsi" w:cstheme="minorBidi"/>
          <w:sz w:val="20"/>
          <w:szCs w:val="20"/>
          <w:lang w:eastAsia="en-US"/>
        </w:rPr>
        <w:t xml:space="preserve"> ocultar información pues</w:t>
      </w:r>
      <w:r w:rsidR="004D7378" w:rsidRPr="0001748B">
        <w:rPr>
          <w:rFonts w:eastAsiaTheme="minorHAnsi" w:cstheme="minorBidi"/>
          <w:sz w:val="20"/>
          <w:szCs w:val="20"/>
          <w:lang w:eastAsia="en-US"/>
        </w:rPr>
        <w:t xml:space="preserve"> la sutura</w:t>
      </w:r>
      <w:r w:rsidR="00541377" w:rsidRPr="0001748B">
        <w:rPr>
          <w:rFonts w:eastAsiaTheme="minorHAnsi" w:cstheme="minorBidi"/>
          <w:sz w:val="20"/>
          <w:szCs w:val="20"/>
          <w:lang w:eastAsia="en-US"/>
        </w:rPr>
        <w:t xml:space="preserve"> tiene la virtualidad de modificar el orificio de entrada del proyectil.</w:t>
      </w:r>
    </w:p>
    <w:p w:rsidR="00CD2DD1" w:rsidRPr="0001748B" w:rsidRDefault="00CD2DD1" w:rsidP="00065E74">
      <w:pPr>
        <w:widowControl/>
        <w:adjustRightInd/>
        <w:spacing w:line="240" w:lineRule="auto"/>
        <w:textAlignment w:val="auto"/>
        <w:rPr>
          <w:rFonts w:eastAsiaTheme="minorHAnsi" w:cstheme="minorBidi"/>
          <w:sz w:val="20"/>
          <w:szCs w:val="20"/>
          <w:lang w:eastAsia="en-US"/>
        </w:rPr>
      </w:pPr>
    </w:p>
    <w:p w:rsidR="00CD2DD1" w:rsidRPr="0001748B" w:rsidRDefault="00CD2DD1" w:rsidP="00065E74">
      <w:pPr>
        <w:widowControl/>
        <w:numPr>
          <w:ilvl w:val="0"/>
          <w:numId w:val="1"/>
        </w:numPr>
        <w:tabs>
          <w:tab w:val="left" w:pos="567"/>
          <w:tab w:val="num" w:pos="5057"/>
        </w:tabs>
        <w:adjustRightInd/>
        <w:spacing w:line="240" w:lineRule="auto"/>
        <w:ind w:left="0" w:firstLine="0"/>
        <w:textAlignment w:val="auto"/>
        <w:rPr>
          <w:rFonts w:eastAsiaTheme="minorHAnsi" w:cstheme="minorBidi"/>
          <w:sz w:val="20"/>
          <w:szCs w:val="20"/>
          <w:lang w:eastAsia="en-US"/>
        </w:rPr>
      </w:pPr>
      <w:r w:rsidRPr="0001748B">
        <w:rPr>
          <w:rFonts w:eastAsiaTheme="minorHAnsi" w:cstheme="minorBidi"/>
          <w:sz w:val="20"/>
          <w:szCs w:val="20"/>
          <w:lang w:eastAsia="en-US"/>
        </w:rPr>
        <w:t>Similar circunstancia se verifica respecto de los fragmentos de proyectil presuntamente hallados en el cuerpo de Ortiz Hernández, puesto que la Dra. Rincón Bracho manifestó que los que le fueron exhibidos en la sede fiscal no se correspondían con los que efectivamente extrajo del cadáver del occiso</w:t>
      </w:r>
      <w:r w:rsidRPr="0001748B">
        <w:rPr>
          <w:rFonts w:eastAsiaTheme="minorHAnsi" w:cstheme="minorBidi"/>
          <w:sz w:val="20"/>
          <w:szCs w:val="20"/>
          <w:vertAlign w:val="superscript"/>
          <w:lang w:eastAsia="en-US"/>
        </w:rPr>
        <w:footnoteReference w:id="206"/>
      </w:r>
      <w:r w:rsidRPr="0001748B">
        <w:rPr>
          <w:rFonts w:eastAsiaTheme="minorHAnsi" w:cstheme="minorBidi"/>
          <w:sz w:val="20"/>
          <w:szCs w:val="20"/>
          <w:lang w:eastAsia="en-US"/>
        </w:rPr>
        <w:t>. En igual sentido</w:t>
      </w:r>
      <w:r w:rsidR="0081564D" w:rsidRPr="0001748B">
        <w:rPr>
          <w:rFonts w:eastAsiaTheme="minorHAnsi" w:cstheme="minorBidi"/>
          <w:sz w:val="20"/>
          <w:szCs w:val="20"/>
          <w:lang w:eastAsia="en-US"/>
        </w:rPr>
        <w:t>,</w:t>
      </w:r>
      <w:r w:rsidRPr="0001748B">
        <w:rPr>
          <w:rFonts w:eastAsiaTheme="minorHAnsi" w:cstheme="minorBidi"/>
          <w:sz w:val="20"/>
          <w:szCs w:val="20"/>
          <w:lang w:eastAsia="en-US"/>
        </w:rPr>
        <w:t xml:space="preserve"> se expidió la Secretaria VII adscripta a la Medicatura Forense del Cuerpo de Investigaciones Científicas Penales y Criminalísticas al prestar declaración testimonial en la sede fiscal</w:t>
      </w:r>
      <w:r w:rsidRPr="0001748B">
        <w:rPr>
          <w:rFonts w:eastAsiaTheme="minorHAnsi" w:cstheme="minorBidi"/>
          <w:sz w:val="20"/>
          <w:szCs w:val="20"/>
          <w:vertAlign w:val="superscript"/>
          <w:lang w:eastAsia="en-US"/>
        </w:rPr>
        <w:footnoteReference w:id="207"/>
      </w:r>
      <w:r w:rsidRPr="0001748B">
        <w:rPr>
          <w:rFonts w:eastAsiaTheme="minorHAnsi" w:cstheme="minorBidi"/>
          <w:sz w:val="20"/>
          <w:szCs w:val="20"/>
          <w:lang w:eastAsia="en-US"/>
        </w:rPr>
        <w:t xml:space="preserve">. </w:t>
      </w:r>
      <w:r w:rsidR="00975D14" w:rsidRPr="0001748B">
        <w:rPr>
          <w:rFonts w:eastAsiaTheme="minorHAnsi" w:cstheme="minorBidi"/>
          <w:sz w:val="20"/>
          <w:szCs w:val="20"/>
          <w:lang w:eastAsia="en-US"/>
        </w:rPr>
        <w:t xml:space="preserve">Ello </w:t>
      </w:r>
      <w:r w:rsidR="00B5068C" w:rsidRPr="0001748B">
        <w:rPr>
          <w:rFonts w:eastAsiaTheme="minorHAnsi" w:cstheme="minorBidi"/>
          <w:sz w:val="20"/>
          <w:szCs w:val="20"/>
          <w:lang w:eastAsia="en-US"/>
        </w:rPr>
        <w:t>pone de manifiesto</w:t>
      </w:r>
      <w:r w:rsidR="00AD38F3" w:rsidRPr="0001748B">
        <w:rPr>
          <w:rFonts w:eastAsiaTheme="minorHAnsi" w:cstheme="minorBidi"/>
          <w:sz w:val="20"/>
          <w:szCs w:val="20"/>
          <w:lang w:eastAsia="en-US"/>
        </w:rPr>
        <w:t xml:space="preserve"> </w:t>
      </w:r>
      <w:r w:rsidR="00975D14" w:rsidRPr="0001748B">
        <w:rPr>
          <w:rFonts w:eastAsiaTheme="minorHAnsi" w:cstheme="minorBidi"/>
          <w:sz w:val="20"/>
          <w:szCs w:val="20"/>
          <w:lang w:eastAsia="en-US"/>
        </w:rPr>
        <w:t xml:space="preserve">que no se respetó la cadena de custodia de la evidencia y, en consecuencia, </w:t>
      </w:r>
      <w:r w:rsidR="00AC02A3" w:rsidRPr="0001748B">
        <w:rPr>
          <w:rFonts w:eastAsiaTheme="minorHAnsi" w:cstheme="minorBidi"/>
          <w:sz w:val="20"/>
          <w:szCs w:val="20"/>
          <w:lang w:eastAsia="en-US"/>
        </w:rPr>
        <w:t>torna</w:t>
      </w:r>
      <w:r w:rsidR="004D7378" w:rsidRPr="0001748B">
        <w:rPr>
          <w:rFonts w:eastAsiaTheme="minorHAnsi" w:cstheme="minorBidi"/>
          <w:sz w:val="20"/>
          <w:szCs w:val="20"/>
          <w:lang w:eastAsia="en-US"/>
        </w:rPr>
        <w:t xml:space="preserve"> dificultoso</w:t>
      </w:r>
      <w:r w:rsidR="00975D14" w:rsidRPr="0001748B">
        <w:rPr>
          <w:rFonts w:eastAsiaTheme="minorHAnsi" w:cstheme="minorBidi"/>
          <w:sz w:val="20"/>
          <w:szCs w:val="20"/>
          <w:lang w:eastAsia="en-US"/>
        </w:rPr>
        <w:t xml:space="preserve"> corroborar el arma</w:t>
      </w:r>
      <w:r w:rsidR="004D7378" w:rsidRPr="0001748B">
        <w:rPr>
          <w:rFonts w:eastAsiaTheme="minorHAnsi" w:cstheme="minorBidi"/>
          <w:sz w:val="20"/>
          <w:szCs w:val="20"/>
          <w:lang w:eastAsia="en-US"/>
        </w:rPr>
        <w:t xml:space="preserve"> con el que se efectuaron los disparos que impactaron en el cuerpo de Johan Alexis.</w:t>
      </w:r>
    </w:p>
    <w:p w:rsidR="004D7378" w:rsidRPr="0001748B" w:rsidRDefault="004D7378" w:rsidP="00065E74">
      <w:pPr>
        <w:widowControl/>
        <w:tabs>
          <w:tab w:val="left" w:pos="567"/>
        </w:tabs>
        <w:adjustRightInd/>
        <w:spacing w:line="240" w:lineRule="auto"/>
        <w:textAlignment w:val="auto"/>
        <w:rPr>
          <w:rFonts w:eastAsiaTheme="minorHAnsi" w:cstheme="minorBidi"/>
          <w:sz w:val="20"/>
          <w:szCs w:val="20"/>
          <w:lang w:eastAsia="en-US"/>
        </w:rPr>
      </w:pPr>
    </w:p>
    <w:p w:rsidR="00CD2DD1" w:rsidRPr="0001748B" w:rsidRDefault="00CD2DD1" w:rsidP="00065E74">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Finalmente, cabe indicar también que, aunque fue practicada la autopsia del cuerpo de Ortiz Hernández en la misma fecha en que se produjo su deceso, en las instalaciones del Hospital </w:t>
      </w:r>
      <w:r w:rsidRPr="0001748B">
        <w:rPr>
          <w:rFonts w:eastAsiaTheme="minorHAnsi" w:cstheme="minorBidi"/>
          <w:sz w:val="20"/>
          <w:szCs w:val="20"/>
          <w:lang w:eastAsia="en-US"/>
        </w:rPr>
        <w:lastRenderedPageBreak/>
        <w:t>Central de San Cristóbal no contaban con un equipo de rayos</w:t>
      </w:r>
      <w:r w:rsidR="004D7378" w:rsidRPr="0001748B">
        <w:rPr>
          <w:rFonts w:eastAsiaTheme="minorHAnsi" w:cstheme="minorBidi"/>
          <w:sz w:val="20"/>
          <w:szCs w:val="20"/>
          <w:lang w:eastAsia="en-US"/>
        </w:rPr>
        <w:t>. Según la propia médico forense, esto les imposibilitó encontrar</w:t>
      </w:r>
      <w:r w:rsidRPr="0001748B">
        <w:rPr>
          <w:rFonts w:eastAsiaTheme="minorHAnsi" w:cstheme="minorBidi"/>
          <w:sz w:val="20"/>
          <w:szCs w:val="20"/>
          <w:lang w:eastAsia="en-US"/>
        </w:rPr>
        <w:t xml:space="preserve"> otros proyectiles</w:t>
      </w:r>
      <w:r w:rsidR="00AC02A3" w:rsidRPr="0001748B">
        <w:rPr>
          <w:rFonts w:eastAsiaTheme="minorHAnsi" w:cstheme="minorBidi"/>
          <w:sz w:val="20"/>
          <w:szCs w:val="20"/>
          <w:lang w:eastAsia="en-US"/>
        </w:rPr>
        <w:t>,</w:t>
      </w:r>
      <w:r w:rsidRPr="0001748B">
        <w:rPr>
          <w:rFonts w:eastAsiaTheme="minorHAnsi" w:cstheme="minorBidi"/>
          <w:sz w:val="20"/>
          <w:szCs w:val="20"/>
          <w:lang w:eastAsia="en-US"/>
        </w:rPr>
        <w:t xml:space="preserve"> o restos de ést</w:t>
      </w:r>
      <w:r w:rsidR="004D7378" w:rsidRPr="0001748B">
        <w:rPr>
          <w:rFonts w:eastAsiaTheme="minorHAnsi" w:cstheme="minorBidi"/>
          <w:sz w:val="20"/>
          <w:szCs w:val="20"/>
          <w:lang w:eastAsia="en-US"/>
        </w:rPr>
        <w:t>os</w:t>
      </w:r>
      <w:r w:rsidR="00AC02A3" w:rsidRPr="0001748B">
        <w:rPr>
          <w:rFonts w:eastAsiaTheme="minorHAnsi" w:cstheme="minorBidi"/>
          <w:sz w:val="20"/>
          <w:szCs w:val="20"/>
          <w:lang w:eastAsia="en-US"/>
        </w:rPr>
        <w:t>,</w:t>
      </w:r>
      <w:r w:rsidR="004D7378" w:rsidRPr="0001748B">
        <w:rPr>
          <w:rFonts w:eastAsiaTheme="minorHAnsi" w:cstheme="minorBidi"/>
          <w:sz w:val="20"/>
          <w:szCs w:val="20"/>
          <w:lang w:eastAsia="en-US"/>
        </w:rPr>
        <w:t xml:space="preserve"> en el cadáver inspeccionado y, de esta forma, certificar</w:t>
      </w:r>
      <w:r w:rsidR="00025485" w:rsidRPr="0001748B">
        <w:rPr>
          <w:rFonts w:eastAsiaTheme="minorHAnsi" w:cstheme="minorBidi"/>
          <w:sz w:val="20"/>
          <w:szCs w:val="20"/>
          <w:lang w:eastAsia="en-US"/>
        </w:rPr>
        <w:t xml:space="preserve"> con un mayor grado de certeza,</w:t>
      </w:r>
      <w:r w:rsidR="004D7378" w:rsidRPr="0001748B">
        <w:rPr>
          <w:rFonts w:eastAsiaTheme="minorHAnsi" w:cstheme="minorBidi"/>
          <w:sz w:val="20"/>
          <w:szCs w:val="20"/>
          <w:lang w:eastAsia="en-US"/>
        </w:rPr>
        <w:t xml:space="preserve"> qué tipo de munición fue empleada</w:t>
      </w:r>
      <w:r w:rsidR="00025485" w:rsidRPr="0001748B">
        <w:rPr>
          <w:rFonts w:eastAsiaTheme="minorHAnsi" w:cstheme="minorBidi"/>
          <w:sz w:val="20"/>
          <w:szCs w:val="20"/>
          <w:lang w:eastAsia="en-US"/>
        </w:rPr>
        <w:t>,</w:t>
      </w:r>
      <w:r w:rsidR="004D7378" w:rsidRPr="0001748B">
        <w:rPr>
          <w:rFonts w:eastAsiaTheme="minorHAnsi" w:cstheme="minorBidi"/>
          <w:sz w:val="20"/>
          <w:szCs w:val="20"/>
          <w:lang w:eastAsia="en-US"/>
        </w:rPr>
        <w:t xml:space="preserve"> y</w:t>
      </w:r>
      <w:r w:rsidR="00025485" w:rsidRPr="0001748B">
        <w:rPr>
          <w:rFonts w:eastAsiaTheme="minorHAnsi" w:cstheme="minorBidi"/>
          <w:sz w:val="20"/>
          <w:szCs w:val="20"/>
          <w:lang w:eastAsia="en-US"/>
        </w:rPr>
        <w:t xml:space="preserve"> </w:t>
      </w:r>
      <w:r w:rsidR="004D7378" w:rsidRPr="0001748B">
        <w:rPr>
          <w:rFonts w:eastAsiaTheme="minorHAnsi" w:cstheme="minorBidi"/>
          <w:sz w:val="20"/>
          <w:szCs w:val="20"/>
          <w:lang w:eastAsia="en-US"/>
        </w:rPr>
        <w:t xml:space="preserve">si se trataba de proyectiles </w:t>
      </w:r>
      <w:r w:rsidR="00025485" w:rsidRPr="0001748B">
        <w:rPr>
          <w:rFonts w:eastAsiaTheme="minorHAnsi" w:cstheme="minorBidi"/>
          <w:sz w:val="20"/>
          <w:szCs w:val="20"/>
          <w:lang w:eastAsia="en-US"/>
        </w:rPr>
        <w:t>del mismo</w:t>
      </w:r>
      <w:r w:rsidR="004D7378" w:rsidRPr="0001748B">
        <w:rPr>
          <w:rFonts w:eastAsiaTheme="minorHAnsi" w:cstheme="minorBidi"/>
          <w:sz w:val="20"/>
          <w:szCs w:val="20"/>
          <w:lang w:eastAsia="en-US"/>
        </w:rPr>
        <w:t xml:space="preserve"> o diferente</w:t>
      </w:r>
      <w:r w:rsidR="00025485" w:rsidRPr="0001748B">
        <w:rPr>
          <w:rFonts w:eastAsiaTheme="minorHAnsi" w:cstheme="minorBidi"/>
          <w:sz w:val="20"/>
          <w:szCs w:val="20"/>
          <w:lang w:eastAsia="en-US"/>
        </w:rPr>
        <w:t xml:space="preserve"> calibre</w:t>
      </w:r>
      <w:r w:rsidR="004D7378" w:rsidRPr="0001748B">
        <w:rPr>
          <w:rFonts w:eastAsiaTheme="minorHAnsi" w:cstheme="minorBidi"/>
          <w:sz w:val="20"/>
          <w:szCs w:val="20"/>
          <w:lang w:eastAsia="en-US"/>
        </w:rPr>
        <w:t>.</w:t>
      </w:r>
    </w:p>
    <w:p w:rsidR="00CD2DD1" w:rsidRPr="0001748B" w:rsidRDefault="00CD2DD1" w:rsidP="00CD2DD1">
      <w:pPr>
        <w:widowControl/>
        <w:adjustRightInd/>
        <w:spacing w:line="240" w:lineRule="auto"/>
        <w:textAlignment w:val="auto"/>
        <w:rPr>
          <w:rFonts w:eastAsiaTheme="minorHAnsi" w:cstheme="minorBidi"/>
          <w:sz w:val="16"/>
          <w:szCs w:val="16"/>
          <w:lang w:eastAsia="en-US"/>
        </w:rPr>
      </w:pPr>
    </w:p>
    <w:p w:rsidR="00F06688" w:rsidRPr="0001748B" w:rsidRDefault="00025485" w:rsidP="00F06688">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A todo lo expuesto, corresponde agregar que</w:t>
      </w:r>
      <w:r w:rsidR="005A44AE" w:rsidRPr="0001748B">
        <w:rPr>
          <w:rFonts w:eastAsiaTheme="minorHAnsi" w:cstheme="minorBidi"/>
          <w:sz w:val="20"/>
          <w:szCs w:val="20"/>
          <w:lang w:eastAsia="en-US"/>
        </w:rPr>
        <w:t>,</w:t>
      </w:r>
      <w:r w:rsidR="006F624A" w:rsidRPr="0001748B">
        <w:rPr>
          <w:rFonts w:eastAsiaTheme="minorHAnsi" w:cstheme="minorBidi"/>
          <w:sz w:val="20"/>
          <w:szCs w:val="20"/>
          <w:lang w:eastAsia="en-US"/>
        </w:rPr>
        <w:t xml:space="preserve"> a poco de producido el deceso de Johan Alexis Ortiz Hernández, sus </w:t>
      </w:r>
      <w:r w:rsidR="00AE0CC7">
        <w:rPr>
          <w:rFonts w:eastAsiaTheme="minorHAnsi" w:cstheme="minorBidi"/>
          <w:sz w:val="20"/>
          <w:szCs w:val="20"/>
          <w:lang w:eastAsia="en-US"/>
        </w:rPr>
        <w:t>progenitores</w:t>
      </w:r>
      <w:r w:rsidR="006F624A" w:rsidRPr="0001748B">
        <w:rPr>
          <w:rFonts w:eastAsiaTheme="minorHAnsi" w:cstheme="minorBidi"/>
          <w:sz w:val="20"/>
          <w:szCs w:val="20"/>
          <w:lang w:eastAsia="en-US"/>
        </w:rPr>
        <w:t xml:space="preserve">, a través de diversas presentaciones a diferentes autoridades públicas y judiciales, introdujeron la hipótesis de que, en realidad, se </w:t>
      </w:r>
      <w:r w:rsidR="0002757F" w:rsidRPr="0001748B">
        <w:rPr>
          <w:rFonts w:eastAsiaTheme="minorHAnsi" w:cstheme="minorBidi"/>
          <w:sz w:val="20"/>
          <w:szCs w:val="20"/>
          <w:lang w:eastAsia="en-US"/>
        </w:rPr>
        <w:t xml:space="preserve">habría </w:t>
      </w:r>
      <w:r w:rsidR="006F624A" w:rsidRPr="0001748B">
        <w:rPr>
          <w:rFonts w:eastAsiaTheme="minorHAnsi" w:cstheme="minorBidi"/>
          <w:sz w:val="20"/>
          <w:szCs w:val="20"/>
          <w:lang w:eastAsia="en-US"/>
        </w:rPr>
        <w:t>trat</w:t>
      </w:r>
      <w:r w:rsidR="0002757F" w:rsidRPr="0001748B">
        <w:rPr>
          <w:rFonts w:eastAsiaTheme="minorHAnsi" w:cstheme="minorBidi"/>
          <w:sz w:val="20"/>
          <w:szCs w:val="20"/>
          <w:lang w:eastAsia="en-US"/>
        </w:rPr>
        <w:t>ado</w:t>
      </w:r>
      <w:r w:rsidR="006F624A" w:rsidRPr="0001748B">
        <w:rPr>
          <w:rFonts w:eastAsiaTheme="minorHAnsi" w:cstheme="minorBidi"/>
          <w:sz w:val="20"/>
          <w:szCs w:val="20"/>
          <w:lang w:eastAsia="en-US"/>
        </w:rPr>
        <w:t xml:space="preserve"> de un homicidio y no de un mero accidente. Sin embargo, los órganos fiscales, tanto en</w:t>
      </w:r>
      <w:r w:rsidR="0002757F" w:rsidRPr="0001748B">
        <w:rPr>
          <w:rFonts w:eastAsiaTheme="minorHAnsi" w:cstheme="minorBidi"/>
          <w:sz w:val="20"/>
          <w:szCs w:val="20"/>
          <w:lang w:eastAsia="en-US"/>
        </w:rPr>
        <w:t xml:space="preserve"> la</w:t>
      </w:r>
      <w:r w:rsidR="006F624A" w:rsidRPr="0001748B">
        <w:rPr>
          <w:rFonts w:eastAsiaTheme="minorHAnsi" w:cstheme="minorBidi"/>
          <w:sz w:val="20"/>
          <w:szCs w:val="20"/>
          <w:lang w:eastAsia="en-US"/>
        </w:rPr>
        <w:t xml:space="preserve"> jurisdicción militar como luego en el fuero ordinario, orientaron sus investigaciones bajo la tesis del accidente, sin siquiera evacuar los elementos probatorios que se contradecían con ella</w:t>
      </w:r>
      <w:r w:rsidR="00026163" w:rsidRPr="0001748B">
        <w:rPr>
          <w:rFonts w:eastAsiaTheme="minorHAnsi" w:cstheme="minorBidi"/>
          <w:sz w:val="20"/>
          <w:szCs w:val="20"/>
          <w:lang w:eastAsia="en-US"/>
        </w:rPr>
        <w:t xml:space="preserve"> o que permitirían sustentar una versión de los hechos diferente</w:t>
      </w:r>
      <w:r w:rsidR="006F624A" w:rsidRPr="0001748B">
        <w:rPr>
          <w:rFonts w:eastAsiaTheme="minorHAnsi" w:cstheme="minorBidi"/>
          <w:sz w:val="20"/>
          <w:szCs w:val="20"/>
          <w:lang w:eastAsia="en-US"/>
        </w:rPr>
        <w:t>.</w:t>
      </w:r>
    </w:p>
    <w:p w:rsidR="00026163" w:rsidRPr="0001748B" w:rsidRDefault="00026163" w:rsidP="00026163">
      <w:pPr>
        <w:tabs>
          <w:tab w:val="left" w:pos="567"/>
        </w:tabs>
        <w:spacing w:line="240" w:lineRule="auto"/>
        <w:rPr>
          <w:rFonts w:eastAsiaTheme="minorHAnsi" w:cstheme="minorBidi"/>
          <w:sz w:val="20"/>
          <w:szCs w:val="20"/>
          <w:lang w:eastAsia="en-US"/>
        </w:rPr>
      </w:pPr>
    </w:p>
    <w:p w:rsidR="006F624A" w:rsidRPr="0001748B" w:rsidRDefault="006F624A" w:rsidP="004A26CF">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Lo expuesto precedentemente </w:t>
      </w:r>
      <w:r w:rsidR="004F5142" w:rsidRPr="0001748B">
        <w:rPr>
          <w:rFonts w:eastAsiaTheme="minorHAnsi" w:cstheme="minorBidi"/>
          <w:sz w:val="20"/>
          <w:szCs w:val="20"/>
          <w:lang w:eastAsia="en-US"/>
        </w:rPr>
        <w:t>implica que, más allá del análisis que corresponda realizar a</w:t>
      </w:r>
      <w:r w:rsidRPr="0001748B">
        <w:rPr>
          <w:rFonts w:eastAsiaTheme="minorHAnsi" w:cstheme="minorBidi"/>
          <w:sz w:val="20"/>
          <w:szCs w:val="20"/>
          <w:lang w:eastAsia="en-US"/>
        </w:rPr>
        <w:t xml:space="preserve"> las</w:t>
      </w:r>
      <w:r w:rsidR="004F5142" w:rsidRPr="0001748B">
        <w:rPr>
          <w:rFonts w:eastAsiaTheme="minorHAnsi" w:cstheme="minorBidi"/>
          <w:sz w:val="20"/>
          <w:szCs w:val="20"/>
          <w:lang w:eastAsia="en-US"/>
        </w:rPr>
        <w:t xml:space="preserve"> autoridades internas sobre las</w:t>
      </w:r>
      <w:r w:rsidRPr="0001748B">
        <w:rPr>
          <w:rFonts w:eastAsiaTheme="minorHAnsi" w:cstheme="minorBidi"/>
          <w:sz w:val="20"/>
          <w:szCs w:val="20"/>
          <w:lang w:eastAsia="en-US"/>
        </w:rPr>
        <w:t xml:space="preserve"> hipótesis de autoría manejadas durante la investigación de los hechos </w:t>
      </w:r>
      <w:r w:rsidR="004F5142" w:rsidRPr="0001748B">
        <w:rPr>
          <w:rFonts w:eastAsiaTheme="minorHAnsi" w:cstheme="minorBidi"/>
          <w:sz w:val="20"/>
          <w:szCs w:val="20"/>
          <w:lang w:eastAsia="en-US"/>
        </w:rPr>
        <w:t>para la</w:t>
      </w:r>
      <w:r w:rsidRPr="0001748B">
        <w:rPr>
          <w:rFonts w:eastAsiaTheme="minorHAnsi" w:cstheme="minorBidi"/>
          <w:sz w:val="20"/>
          <w:szCs w:val="20"/>
          <w:lang w:eastAsia="en-US"/>
        </w:rPr>
        <w:t xml:space="preserve"> determina</w:t>
      </w:r>
      <w:r w:rsidR="004F5142" w:rsidRPr="0001748B">
        <w:rPr>
          <w:rFonts w:eastAsiaTheme="minorHAnsi" w:cstheme="minorBidi"/>
          <w:sz w:val="20"/>
          <w:szCs w:val="20"/>
          <w:lang w:eastAsia="en-US"/>
        </w:rPr>
        <w:t>ción de las</w:t>
      </w:r>
      <w:r w:rsidRPr="0001748B">
        <w:rPr>
          <w:rFonts w:eastAsiaTheme="minorHAnsi" w:cstheme="minorBidi"/>
          <w:sz w:val="20"/>
          <w:szCs w:val="20"/>
          <w:lang w:eastAsia="en-US"/>
        </w:rPr>
        <w:t xml:space="preserve"> responsabilidades individuales,</w:t>
      </w:r>
      <w:r w:rsidR="004F5142" w:rsidRPr="0001748B">
        <w:rPr>
          <w:rFonts w:eastAsiaTheme="minorHAnsi" w:cstheme="minorBidi"/>
          <w:sz w:val="20"/>
          <w:szCs w:val="20"/>
          <w:lang w:eastAsia="en-US"/>
        </w:rPr>
        <w:t xml:space="preserve"> al</w:t>
      </w:r>
      <w:r w:rsidRPr="0001748B">
        <w:rPr>
          <w:rFonts w:eastAsiaTheme="minorHAnsi" w:cstheme="minorBidi"/>
          <w:sz w:val="20"/>
          <w:szCs w:val="20"/>
          <w:lang w:eastAsia="en-US"/>
        </w:rPr>
        <w:t xml:space="preserve"> evaluar las acciones u omisiones de agentes estatales según la prueba presentada por las partes</w:t>
      </w:r>
      <w:r w:rsidRPr="0001748B">
        <w:rPr>
          <w:rFonts w:eastAsiaTheme="minorHAnsi" w:cstheme="minorBidi"/>
          <w:sz w:val="20"/>
          <w:szCs w:val="20"/>
          <w:vertAlign w:val="superscript"/>
          <w:lang w:eastAsia="en-US"/>
        </w:rPr>
        <w:footnoteReference w:id="208"/>
      </w:r>
      <w:r w:rsidR="004F5142" w:rsidRPr="0001748B">
        <w:rPr>
          <w:rFonts w:eastAsiaTheme="minorHAnsi" w:cstheme="minorBidi"/>
          <w:sz w:val="20"/>
          <w:szCs w:val="20"/>
          <w:lang w:eastAsia="en-US"/>
        </w:rPr>
        <w:t>, esta Corte ha llegado a la conclusión de que</w:t>
      </w:r>
      <w:r w:rsidR="00E20392">
        <w:rPr>
          <w:rFonts w:eastAsiaTheme="minorHAnsi" w:cstheme="minorBidi"/>
          <w:sz w:val="20"/>
          <w:szCs w:val="20"/>
          <w:lang w:eastAsia="en-US"/>
        </w:rPr>
        <w:t>,</w:t>
      </w:r>
      <w:r w:rsidR="004F5142" w:rsidRPr="0001748B">
        <w:rPr>
          <w:rFonts w:eastAsiaTheme="minorHAnsi" w:cstheme="minorBidi"/>
          <w:sz w:val="20"/>
          <w:szCs w:val="20"/>
          <w:lang w:eastAsia="en-US"/>
        </w:rPr>
        <w:t xml:space="preserve"> </w:t>
      </w:r>
      <w:r w:rsidR="00025485" w:rsidRPr="0001748B">
        <w:rPr>
          <w:rFonts w:eastAsiaTheme="minorHAnsi" w:cstheme="minorBidi"/>
          <w:sz w:val="20"/>
          <w:szCs w:val="20"/>
          <w:lang w:eastAsia="en-US"/>
        </w:rPr>
        <w:t xml:space="preserve">al no evacuar determinadas líneas investigativas, el Estado, a través de los órganos responsables de la conducción de las pesquisas, no brindó una explicación </w:t>
      </w:r>
      <w:r w:rsidR="00D9534A" w:rsidRPr="0001748B">
        <w:rPr>
          <w:rFonts w:eastAsiaTheme="minorHAnsi" w:cstheme="minorBidi"/>
          <w:sz w:val="20"/>
          <w:szCs w:val="20"/>
          <w:lang w:eastAsia="en-US"/>
        </w:rPr>
        <w:t xml:space="preserve">fiable </w:t>
      </w:r>
      <w:r w:rsidR="00025485" w:rsidRPr="0001748B">
        <w:rPr>
          <w:rFonts w:eastAsiaTheme="minorHAnsi" w:cstheme="minorBidi"/>
          <w:sz w:val="20"/>
          <w:szCs w:val="20"/>
          <w:lang w:eastAsia="en-US"/>
        </w:rPr>
        <w:t>en relación con lo ocurrido con Johan Alexis Ortiz Hernández el 15 de febrero de 1998</w:t>
      </w:r>
      <w:r w:rsidR="004F5142" w:rsidRPr="0001748B">
        <w:rPr>
          <w:rFonts w:eastAsiaTheme="minorHAnsi" w:cstheme="minorBidi"/>
          <w:sz w:val="20"/>
          <w:szCs w:val="20"/>
          <w:lang w:eastAsia="en-US"/>
        </w:rPr>
        <w:t>, de modo tal que no procuró genuinamente el esclarecimiento de toda la verdad de lo ocurrido</w:t>
      </w:r>
      <w:r w:rsidR="00025485" w:rsidRPr="0001748B">
        <w:rPr>
          <w:rFonts w:eastAsiaTheme="minorHAnsi" w:cstheme="minorBidi"/>
          <w:sz w:val="20"/>
          <w:szCs w:val="20"/>
          <w:lang w:eastAsia="en-US"/>
        </w:rPr>
        <w:t>.</w:t>
      </w:r>
      <w:r w:rsidR="00BE07EC" w:rsidRPr="0001748B">
        <w:rPr>
          <w:rFonts w:eastAsiaTheme="minorHAnsi" w:cstheme="minorBidi"/>
          <w:sz w:val="20"/>
          <w:szCs w:val="20"/>
          <w:lang w:eastAsia="en-US"/>
        </w:rPr>
        <w:t xml:space="preserve"> </w:t>
      </w:r>
      <w:r w:rsidR="00E24A6A" w:rsidRPr="0001748B">
        <w:rPr>
          <w:rFonts w:eastAsiaTheme="minorHAnsi" w:cstheme="minorBidi"/>
          <w:sz w:val="20"/>
          <w:szCs w:val="20"/>
          <w:lang w:eastAsia="en-US"/>
        </w:rPr>
        <w:t>Por último</w:t>
      </w:r>
      <w:r w:rsidRPr="0001748B">
        <w:rPr>
          <w:rFonts w:eastAsiaTheme="minorHAnsi" w:cstheme="minorBidi"/>
          <w:sz w:val="20"/>
          <w:szCs w:val="20"/>
          <w:lang w:eastAsia="en-US"/>
        </w:rPr>
        <w:t>, cabe destacar que tampoco se ha garantizado un mínimo escrutinio público. Un claro ejemplo de ello es que los propios padres recién pudieron tener acceso a las actuaciones un año después de iniciada la investigación.</w:t>
      </w:r>
    </w:p>
    <w:p w:rsidR="006F624A" w:rsidRPr="0001748B" w:rsidRDefault="006F624A" w:rsidP="006F624A">
      <w:pPr>
        <w:widowControl/>
        <w:adjustRightInd/>
        <w:spacing w:line="240" w:lineRule="auto"/>
        <w:textAlignment w:val="auto"/>
        <w:rPr>
          <w:rFonts w:eastAsiaTheme="minorHAnsi" w:cstheme="minorBidi"/>
          <w:sz w:val="20"/>
          <w:szCs w:val="20"/>
          <w:lang w:eastAsia="en-US"/>
        </w:rPr>
      </w:pPr>
    </w:p>
    <w:p w:rsidR="006F624A" w:rsidRPr="0001748B" w:rsidRDefault="006F624A" w:rsidP="004A26CF">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De esta forma, </w:t>
      </w:r>
      <w:r w:rsidR="00E24A6A" w:rsidRPr="0001748B">
        <w:rPr>
          <w:rFonts w:eastAsiaTheme="minorHAnsi" w:cstheme="minorBidi"/>
          <w:sz w:val="20"/>
          <w:szCs w:val="20"/>
          <w:lang w:eastAsia="en-US"/>
        </w:rPr>
        <w:t>cabe concluir que el Estado no ha dado cumplimiento a su deber de garantizar una investigación que permita dilucidar la verdad de lo acontecido. Por el contrario, es factible afirmar que los órganos encargados de la investigación en el ámbito interno se han apartado de los estándares exigidos</w:t>
      </w:r>
      <w:r w:rsidR="00E1179B" w:rsidRPr="0001748B">
        <w:rPr>
          <w:rFonts w:eastAsiaTheme="minorHAnsi" w:cstheme="minorBidi"/>
          <w:sz w:val="20"/>
          <w:szCs w:val="20"/>
          <w:lang w:eastAsia="en-US"/>
        </w:rPr>
        <w:t xml:space="preserve"> para este tipo de supuestos</w:t>
      </w:r>
      <w:r w:rsidR="000005AD" w:rsidRPr="0001748B">
        <w:rPr>
          <w:rFonts w:eastAsiaTheme="minorHAnsi" w:cstheme="minorBidi"/>
          <w:sz w:val="20"/>
          <w:szCs w:val="20"/>
          <w:lang w:eastAsia="en-US"/>
        </w:rPr>
        <w:t xml:space="preserve"> lo que, en su conjunto, ha imposibilitado que se brinde una explicación </w:t>
      </w:r>
      <w:r w:rsidR="00DD2CB3" w:rsidRPr="0001748B">
        <w:rPr>
          <w:rFonts w:eastAsiaTheme="minorHAnsi" w:cstheme="minorBidi"/>
          <w:sz w:val="20"/>
          <w:szCs w:val="20"/>
          <w:lang w:eastAsia="en-US"/>
        </w:rPr>
        <w:t>satisfactoria</w:t>
      </w:r>
      <w:r w:rsidR="000005AD" w:rsidRPr="0001748B">
        <w:rPr>
          <w:rFonts w:eastAsiaTheme="minorHAnsi" w:cstheme="minorBidi"/>
          <w:sz w:val="20"/>
          <w:szCs w:val="20"/>
          <w:lang w:eastAsia="en-US"/>
        </w:rPr>
        <w:t xml:space="preserve"> y </w:t>
      </w:r>
      <w:r w:rsidR="00261286" w:rsidRPr="0001748B">
        <w:rPr>
          <w:rFonts w:eastAsiaTheme="minorHAnsi" w:cstheme="minorBidi"/>
          <w:sz w:val="20"/>
          <w:szCs w:val="20"/>
          <w:lang w:eastAsia="en-US"/>
        </w:rPr>
        <w:t>convincente</w:t>
      </w:r>
      <w:r w:rsidR="000005AD" w:rsidRPr="0001748B">
        <w:rPr>
          <w:rFonts w:eastAsiaTheme="minorHAnsi" w:cstheme="minorBidi"/>
          <w:sz w:val="20"/>
          <w:szCs w:val="20"/>
          <w:lang w:eastAsia="en-US"/>
        </w:rPr>
        <w:t xml:space="preserve"> de lo ocurrido en relación con la muerte del señor Ortiz Hernández</w:t>
      </w:r>
      <w:r w:rsidR="00E1179B" w:rsidRPr="0001748B">
        <w:rPr>
          <w:rFonts w:eastAsiaTheme="minorHAnsi" w:cstheme="minorBidi"/>
          <w:sz w:val="20"/>
          <w:szCs w:val="20"/>
          <w:lang w:eastAsia="en-US"/>
        </w:rPr>
        <w:t xml:space="preserve">. </w:t>
      </w:r>
      <w:r w:rsidR="00261286" w:rsidRPr="0001748B">
        <w:rPr>
          <w:rFonts w:eastAsiaTheme="minorHAnsi" w:cstheme="minorBidi"/>
          <w:sz w:val="20"/>
          <w:szCs w:val="20"/>
          <w:lang w:eastAsia="en-US"/>
        </w:rPr>
        <w:t>Si bien</w:t>
      </w:r>
      <w:r w:rsidR="00E24A6A" w:rsidRPr="0001748B">
        <w:rPr>
          <w:rFonts w:eastAsiaTheme="minorHAnsi" w:cstheme="minorBidi"/>
          <w:sz w:val="20"/>
          <w:szCs w:val="20"/>
          <w:lang w:eastAsia="en-US"/>
        </w:rPr>
        <w:t xml:space="preserve"> no exist</w:t>
      </w:r>
      <w:r w:rsidR="00261286" w:rsidRPr="0001748B">
        <w:rPr>
          <w:rFonts w:eastAsiaTheme="minorHAnsi" w:cstheme="minorBidi"/>
          <w:sz w:val="20"/>
          <w:szCs w:val="20"/>
          <w:lang w:eastAsia="en-US"/>
        </w:rPr>
        <w:t>e</w:t>
      </w:r>
      <w:r w:rsidR="00E24A6A" w:rsidRPr="0001748B">
        <w:rPr>
          <w:rFonts w:eastAsiaTheme="minorHAnsi" w:cstheme="minorBidi"/>
          <w:sz w:val="20"/>
          <w:szCs w:val="20"/>
          <w:lang w:eastAsia="en-US"/>
        </w:rPr>
        <w:t xml:space="preserve">n elementos </w:t>
      </w:r>
      <w:r w:rsidR="00261286" w:rsidRPr="0001748B">
        <w:rPr>
          <w:rFonts w:eastAsiaTheme="minorHAnsi" w:cstheme="minorBidi"/>
          <w:sz w:val="20"/>
          <w:szCs w:val="20"/>
          <w:lang w:eastAsia="en-US"/>
        </w:rPr>
        <w:t xml:space="preserve">suficientes </w:t>
      </w:r>
      <w:r w:rsidR="00E24A6A" w:rsidRPr="0001748B">
        <w:rPr>
          <w:rFonts w:eastAsiaTheme="minorHAnsi" w:cstheme="minorBidi"/>
          <w:sz w:val="20"/>
          <w:szCs w:val="20"/>
          <w:lang w:eastAsia="en-US"/>
        </w:rPr>
        <w:t xml:space="preserve">para certificar que dicho apartamiento se produjo de manera deliberada, esta Corte concluye que </w:t>
      </w:r>
      <w:r w:rsidRPr="0001748B">
        <w:rPr>
          <w:rFonts w:eastAsiaTheme="minorHAnsi" w:cstheme="minorBidi"/>
          <w:sz w:val="20"/>
          <w:szCs w:val="20"/>
          <w:lang w:eastAsia="en-US"/>
        </w:rPr>
        <w:t>la tarea de investigación desarrollada</w:t>
      </w:r>
      <w:r w:rsidR="006D3824">
        <w:rPr>
          <w:rFonts w:eastAsiaTheme="minorHAnsi" w:cstheme="minorBidi"/>
          <w:sz w:val="20"/>
          <w:szCs w:val="20"/>
          <w:lang w:eastAsia="en-US"/>
        </w:rPr>
        <w:t xml:space="preserve"> </w:t>
      </w:r>
      <w:r w:rsidR="006D3824" w:rsidRPr="00CD1012">
        <w:rPr>
          <w:rFonts w:eastAsiaTheme="minorHAnsi" w:cstheme="minorBidi"/>
          <w:sz w:val="20"/>
          <w:szCs w:val="20"/>
          <w:lang w:eastAsia="en-US"/>
        </w:rPr>
        <w:t>resulta insuficiente</w:t>
      </w:r>
      <w:r w:rsidRPr="0001748B">
        <w:rPr>
          <w:rFonts w:eastAsiaTheme="minorHAnsi" w:cstheme="minorBidi"/>
          <w:sz w:val="20"/>
          <w:szCs w:val="20"/>
          <w:lang w:eastAsia="en-US"/>
        </w:rPr>
        <w:t xml:space="preserve">, lo que conlleva la vulneración del principio de debida diligencia exigido por </w:t>
      </w:r>
      <w:r w:rsidR="00E24A6A" w:rsidRPr="0001748B">
        <w:rPr>
          <w:rFonts w:eastAsiaTheme="minorHAnsi" w:cstheme="minorBidi"/>
          <w:sz w:val="20"/>
          <w:szCs w:val="20"/>
          <w:lang w:eastAsia="en-US"/>
        </w:rPr>
        <w:t>el Tribunal</w:t>
      </w:r>
      <w:r w:rsidRPr="0001748B">
        <w:rPr>
          <w:rFonts w:eastAsiaTheme="minorHAnsi" w:cstheme="minorBidi"/>
          <w:sz w:val="20"/>
          <w:szCs w:val="20"/>
          <w:lang w:eastAsia="en-US"/>
        </w:rPr>
        <w:t xml:space="preserve"> en casos de muertes </w:t>
      </w:r>
      <w:r w:rsidR="00261286" w:rsidRPr="0001748B">
        <w:rPr>
          <w:rFonts w:eastAsiaTheme="minorHAnsi" w:cstheme="minorBidi"/>
          <w:sz w:val="20"/>
          <w:szCs w:val="20"/>
          <w:lang w:eastAsia="en-US"/>
        </w:rPr>
        <w:t xml:space="preserve">violentas y </w:t>
      </w:r>
      <w:r w:rsidRPr="0001748B">
        <w:rPr>
          <w:rFonts w:eastAsiaTheme="minorHAnsi" w:cstheme="minorBidi"/>
          <w:sz w:val="20"/>
          <w:szCs w:val="20"/>
          <w:lang w:eastAsia="en-US"/>
        </w:rPr>
        <w:t>en custodia de agentes estatales</w:t>
      </w:r>
      <w:r w:rsidRPr="0001748B" w:rsidDel="00820DEB">
        <w:rPr>
          <w:rFonts w:eastAsiaTheme="minorHAnsi" w:cstheme="minorBidi"/>
          <w:sz w:val="20"/>
          <w:szCs w:val="20"/>
          <w:lang w:eastAsia="en-US"/>
        </w:rPr>
        <w:t xml:space="preserve"> </w:t>
      </w:r>
      <w:r w:rsidRPr="0001748B">
        <w:rPr>
          <w:rFonts w:eastAsiaTheme="minorHAnsi" w:cstheme="minorBidi"/>
          <w:sz w:val="20"/>
          <w:szCs w:val="20"/>
          <w:lang w:eastAsia="en-US"/>
        </w:rPr>
        <w:t>y, por consiguiente, la violación del derecho de acceso a la justicia reconocido en la Convención</w:t>
      </w:r>
      <w:r w:rsidR="00B73DE4" w:rsidRPr="0001748B">
        <w:rPr>
          <w:rFonts w:eastAsiaTheme="minorHAnsi" w:cstheme="minorBidi"/>
          <w:sz w:val="20"/>
          <w:szCs w:val="20"/>
          <w:lang w:eastAsia="en-US"/>
        </w:rPr>
        <w:t xml:space="preserve"> </w:t>
      </w:r>
      <w:r w:rsidR="00261286" w:rsidRPr="0001748B">
        <w:rPr>
          <w:rFonts w:eastAsiaTheme="minorHAnsi" w:cstheme="minorBidi"/>
          <w:sz w:val="20"/>
          <w:szCs w:val="20"/>
          <w:lang w:eastAsia="en-US"/>
        </w:rPr>
        <w:t xml:space="preserve">Americana, </w:t>
      </w:r>
      <w:r w:rsidR="00B73DE4" w:rsidRPr="0001748B">
        <w:rPr>
          <w:rFonts w:eastAsiaTheme="minorHAnsi" w:cstheme="minorBidi"/>
          <w:sz w:val="20"/>
          <w:szCs w:val="20"/>
          <w:lang w:eastAsia="en-US"/>
        </w:rPr>
        <w:t xml:space="preserve">en perjuicio de los </w:t>
      </w:r>
      <w:r w:rsidR="00261286" w:rsidRPr="0001748B">
        <w:rPr>
          <w:rFonts w:eastAsiaTheme="minorHAnsi" w:cstheme="minorBidi"/>
          <w:sz w:val="20"/>
          <w:szCs w:val="20"/>
          <w:lang w:eastAsia="en-US"/>
        </w:rPr>
        <w:t xml:space="preserve">progenitores </w:t>
      </w:r>
      <w:r w:rsidR="00B73DE4" w:rsidRPr="0001748B">
        <w:rPr>
          <w:rFonts w:eastAsiaTheme="minorHAnsi" w:cstheme="minorBidi"/>
          <w:sz w:val="20"/>
          <w:szCs w:val="20"/>
          <w:lang w:eastAsia="en-US"/>
        </w:rPr>
        <w:t>de Johan Alexis Ortiz Hernández</w:t>
      </w:r>
      <w:r w:rsidRPr="0001748B">
        <w:rPr>
          <w:rFonts w:eastAsiaTheme="minorHAnsi" w:cstheme="minorBidi"/>
          <w:sz w:val="20"/>
          <w:szCs w:val="20"/>
          <w:lang w:eastAsia="en-US"/>
        </w:rPr>
        <w:t>.</w:t>
      </w:r>
    </w:p>
    <w:p w:rsidR="006F624A" w:rsidRPr="0001748B" w:rsidRDefault="006F624A" w:rsidP="006F624A">
      <w:pPr>
        <w:widowControl/>
        <w:adjustRightInd/>
        <w:spacing w:line="240" w:lineRule="auto"/>
        <w:textAlignment w:val="auto"/>
        <w:rPr>
          <w:rFonts w:eastAsiaTheme="minorHAnsi" w:cstheme="minorBidi"/>
          <w:sz w:val="20"/>
          <w:szCs w:val="20"/>
          <w:lang w:eastAsia="en-US"/>
        </w:rPr>
      </w:pPr>
    </w:p>
    <w:p w:rsidR="006F624A" w:rsidRPr="0001748B" w:rsidRDefault="002B653E" w:rsidP="000D6C32">
      <w:pPr>
        <w:widowControl/>
        <w:adjustRightInd/>
        <w:spacing w:line="240" w:lineRule="auto"/>
        <w:ind w:left="1701"/>
        <w:textAlignment w:val="auto"/>
        <w:rPr>
          <w:rFonts w:eastAsiaTheme="minorHAnsi" w:cstheme="minorBidi"/>
          <w:i/>
          <w:sz w:val="20"/>
          <w:szCs w:val="20"/>
          <w:lang w:eastAsia="en-US"/>
        </w:rPr>
      </w:pPr>
      <w:r w:rsidRPr="0001748B">
        <w:rPr>
          <w:rFonts w:eastAsiaTheme="minorHAnsi" w:cstheme="minorBidi"/>
          <w:i/>
          <w:sz w:val="20"/>
          <w:szCs w:val="20"/>
          <w:lang w:eastAsia="en-US"/>
        </w:rPr>
        <w:t>B.</w:t>
      </w:r>
      <w:r w:rsidR="00B73DE4" w:rsidRPr="0001748B">
        <w:rPr>
          <w:rFonts w:eastAsiaTheme="minorHAnsi" w:cstheme="minorBidi"/>
          <w:i/>
          <w:sz w:val="20"/>
          <w:szCs w:val="20"/>
          <w:lang w:eastAsia="en-US"/>
        </w:rPr>
        <w:t>2</w:t>
      </w:r>
      <w:r w:rsidRPr="0001748B">
        <w:rPr>
          <w:rFonts w:eastAsiaTheme="minorHAnsi" w:cstheme="minorBidi"/>
          <w:i/>
          <w:sz w:val="20"/>
          <w:szCs w:val="20"/>
          <w:lang w:eastAsia="en-US"/>
        </w:rPr>
        <w:t>.</w:t>
      </w:r>
      <w:r w:rsidR="00025485" w:rsidRPr="0001748B">
        <w:rPr>
          <w:rFonts w:eastAsiaTheme="minorHAnsi" w:cstheme="minorBidi"/>
          <w:i/>
          <w:sz w:val="20"/>
          <w:szCs w:val="20"/>
          <w:lang w:eastAsia="en-US"/>
        </w:rPr>
        <w:t>b</w:t>
      </w:r>
      <w:r w:rsidR="006F624A" w:rsidRPr="0001748B">
        <w:rPr>
          <w:rFonts w:eastAsiaTheme="minorHAnsi" w:cstheme="minorBidi"/>
          <w:i/>
          <w:sz w:val="20"/>
          <w:szCs w:val="20"/>
          <w:lang w:eastAsia="en-US"/>
        </w:rPr>
        <w:t xml:space="preserve"> </w:t>
      </w:r>
      <w:r w:rsidR="000D6C32" w:rsidRPr="0001748B">
        <w:rPr>
          <w:rFonts w:eastAsiaTheme="minorHAnsi" w:cstheme="minorBidi"/>
          <w:i/>
          <w:sz w:val="20"/>
          <w:szCs w:val="20"/>
          <w:lang w:eastAsia="en-US"/>
        </w:rPr>
        <w:tab/>
      </w:r>
      <w:r w:rsidR="006F624A" w:rsidRPr="0001748B">
        <w:rPr>
          <w:rFonts w:eastAsiaTheme="minorHAnsi" w:cstheme="minorBidi"/>
          <w:i/>
          <w:sz w:val="20"/>
          <w:szCs w:val="20"/>
          <w:lang w:eastAsia="en-US"/>
        </w:rPr>
        <w:t>Las diligencias realizadas para ubicar al imputado contumaz</w:t>
      </w:r>
    </w:p>
    <w:p w:rsidR="006F624A" w:rsidRPr="0001748B" w:rsidRDefault="006F624A" w:rsidP="006F624A">
      <w:pPr>
        <w:widowControl/>
        <w:adjustRightInd/>
        <w:spacing w:line="240" w:lineRule="auto"/>
        <w:ind w:left="567"/>
        <w:textAlignment w:val="auto"/>
        <w:rPr>
          <w:rFonts w:eastAsiaTheme="minorHAnsi" w:cstheme="minorBidi"/>
          <w:sz w:val="20"/>
          <w:szCs w:val="20"/>
          <w:lang w:eastAsia="en-US"/>
        </w:rPr>
      </w:pPr>
    </w:p>
    <w:p w:rsidR="006F624A" w:rsidRPr="0001748B" w:rsidRDefault="006F624A" w:rsidP="004A26CF">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La Corte entiende que, en concordancia con lo expuesto precedentemente, el Estado tampoco desarrolló las acciones debidas para dar con el paradero del imputado contumaz. Recuérdese que el 19 de agosto de 2013 se dictó la orden de captura del</w:t>
      </w:r>
      <w:r w:rsidR="00F12C0E" w:rsidRPr="0001748B">
        <w:rPr>
          <w:rFonts w:eastAsiaTheme="minorHAnsi" w:cstheme="minorBidi"/>
          <w:sz w:val="20"/>
          <w:szCs w:val="20"/>
          <w:lang w:eastAsia="en-US"/>
        </w:rPr>
        <w:t xml:space="preserve"> único</w:t>
      </w:r>
      <w:r w:rsidRPr="0001748B">
        <w:rPr>
          <w:rFonts w:eastAsiaTheme="minorHAnsi" w:cstheme="minorBidi"/>
          <w:sz w:val="20"/>
          <w:szCs w:val="20"/>
          <w:lang w:eastAsia="en-US"/>
        </w:rPr>
        <w:t xml:space="preserve"> imputado</w:t>
      </w:r>
      <w:r w:rsidRPr="0001748B">
        <w:rPr>
          <w:rFonts w:eastAsiaTheme="minorHAnsi" w:cstheme="minorBidi"/>
          <w:sz w:val="20"/>
          <w:szCs w:val="20"/>
          <w:vertAlign w:val="superscript"/>
          <w:lang w:eastAsia="en-US"/>
        </w:rPr>
        <w:footnoteReference w:id="209"/>
      </w:r>
      <w:r w:rsidRPr="0001748B">
        <w:rPr>
          <w:rFonts w:eastAsiaTheme="minorHAnsi" w:cstheme="minorBidi"/>
          <w:sz w:val="20"/>
          <w:szCs w:val="20"/>
          <w:lang w:eastAsia="en-US"/>
        </w:rPr>
        <w:t xml:space="preserve"> y</w:t>
      </w:r>
      <w:r w:rsidR="006B5423" w:rsidRPr="0001748B">
        <w:rPr>
          <w:rFonts w:eastAsiaTheme="minorHAnsi" w:cstheme="minorBidi"/>
          <w:sz w:val="20"/>
          <w:szCs w:val="20"/>
          <w:lang w:eastAsia="en-US"/>
        </w:rPr>
        <w:t>,</w:t>
      </w:r>
      <w:r w:rsidRPr="0001748B">
        <w:rPr>
          <w:rFonts w:eastAsiaTheme="minorHAnsi" w:cstheme="minorBidi"/>
          <w:sz w:val="20"/>
          <w:szCs w:val="20"/>
          <w:lang w:eastAsia="en-US"/>
        </w:rPr>
        <w:t xml:space="preserve"> desde entonces</w:t>
      </w:r>
      <w:r w:rsidR="006B5423" w:rsidRPr="0001748B">
        <w:rPr>
          <w:rFonts w:eastAsiaTheme="minorHAnsi" w:cstheme="minorBidi"/>
          <w:sz w:val="20"/>
          <w:szCs w:val="20"/>
          <w:lang w:eastAsia="en-US"/>
        </w:rPr>
        <w:t>,</w:t>
      </w:r>
      <w:r w:rsidRPr="0001748B">
        <w:rPr>
          <w:rFonts w:eastAsiaTheme="minorHAnsi" w:cstheme="minorBidi"/>
          <w:sz w:val="20"/>
          <w:szCs w:val="20"/>
          <w:lang w:eastAsia="en-US"/>
        </w:rPr>
        <w:t xml:space="preserve"> se desconoce su paradero.</w:t>
      </w:r>
    </w:p>
    <w:p w:rsidR="006F624A" w:rsidRPr="0001748B" w:rsidRDefault="006F624A" w:rsidP="006F624A">
      <w:pPr>
        <w:widowControl/>
        <w:adjustRightInd/>
        <w:spacing w:line="240" w:lineRule="auto"/>
        <w:textAlignment w:val="auto"/>
        <w:rPr>
          <w:rFonts w:eastAsiaTheme="minorHAnsi" w:cstheme="minorBidi"/>
          <w:sz w:val="20"/>
          <w:szCs w:val="20"/>
          <w:lang w:eastAsia="en-US"/>
        </w:rPr>
      </w:pPr>
    </w:p>
    <w:p w:rsidR="006F624A" w:rsidRPr="0001748B" w:rsidRDefault="006F624A" w:rsidP="004A26CF">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Según las pruebas aportadas por las partes y la declaración de la testigo Marelvis Mejía Molina en la audiencia ante esta Corte,</w:t>
      </w:r>
      <w:r w:rsidRPr="0001748B">
        <w:rPr>
          <w:rFonts w:eastAsiaTheme="minorHAnsi" w:cstheme="minorBidi"/>
          <w:sz w:val="22"/>
          <w:szCs w:val="22"/>
          <w:lang w:eastAsia="en-US"/>
        </w:rPr>
        <w:t xml:space="preserve"> </w:t>
      </w:r>
      <w:r w:rsidRPr="0001748B">
        <w:rPr>
          <w:rFonts w:eastAsiaTheme="minorHAnsi" w:cstheme="minorBidi"/>
          <w:sz w:val="20"/>
          <w:szCs w:val="20"/>
          <w:lang w:eastAsia="en-US"/>
        </w:rPr>
        <w:t xml:space="preserve">las autoridades encargadas de la investigación llevaron a cabo una serie de diligencias tendientes a ubicar al imputado. Ellas consistieron, básicamente, en: </w:t>
      </w:r>
      <w:r w:rsidRPr="0001748B">
        <w:rPr>
          <w:rFonts w:eastAsiaTheme="minorHAnsi" w:cstheme="minorBidi"/>
          <w:sz w:val="20"/>
          <w:szCs w:val="20"/>
          <w:lang w:eastAsia="en-US"/>
        </w:rPr>
        <w:lastRenderedPageBreak/>
        <w:t>ratificar la orden de captura; oficiar en cuatro oportunidades al Jefe del Cuerpo de Investigaciones Científicas, Penales y Criminalísticas Sub Delegación San Cristóbal, pidiendo hacer efectiva la orden de aprehensión; realizar una llamada telefónica a un abonado aportado por la víctima</w:t>
      </w:r>
      <w:r w:rsidR="00F16B7A">
        <w:rPr>
          <w:rFonts w:eastAsiaTheme="minorHAnsi" w:cstheme="minorBidi"/>
          <w:sz w:val="20"/>
          <w:szCs w:val="20"/>
          <w:lang w:eastAsia="en-US"/>
        </w:rPr>
        <w:t>,</w:t>
      </w:r>
      <w:r w:rsidRPr="0001748B">
        <w:rPr>
          <w:rFonts w:eastAsiaTheme="minorHAnsi" w:cstheme="minorBidi"/>
          <w:sz w:val="20"/>
          <w:szCs w:val="20"/>
          <w:lang w:eastAsia="en-US"/>
        </w:rPr>
        <w:t xml:space="preserve"> Edgar Humberto Ortiz Ruiz, donde presuntamente podía contactarse a la progenitora del imputado; conversar con el abogado defensor</w:t>
      </w:r>
      <w:r w:rsidR="00B13EBC">
        <w:rPr>
          <w:rFonts w:eastAsiaTheme="minorHAnsi" w:cstheme="minorBidi"/>
          <w:sz w:val="20"/>
          <w:szCs w:val="20"/>
          <w:lang w:eastAsia="en-US"/>
        </w:rPr>
        <w:t>,</w:t>
      </w:r>
      <w:r w:rsidRPr="0001748B">
        <w:rPr>
          <w:rFonts w:eastAsiaTheme="minorHAnsi" w:cstheme="minorBidi"/>
          <w:sz w:val="20"/>
          <w:szCs w:val="20"/>
          <w:lang w:eastAsia="en-US"/>
        </w:rPr>
        <w:t xml:space="preserve"> quien manifestó que no tenía comunicación con su asistido y desconocía su paradero</w:t>
      </w:r>
      <w:r w:rsidRPr="008031E5">
        <w:rPr>
          <w:rFonts w:eastAsiaTheme="minorHAnsi" w:cstheme="minorBidi"/>
          <w:sz w:val="20"/>
          <w:szCs w:val="20"/>
          <w:vertAlign w:val="superscript"/>
          <w:lang w:eastAsia="en-US"/>
        </w:rPr>
        <w:footnoteReference w:id="210"/>
      </w:r>
      <w:r w:rsidRPr="0001748B">
        <w:rPr>
          <w:rFonts w:eastAsiaTheme="minorHAnsi" w:cstheme="minorBidi"/>
          <w:sz w:val="20"/>
          <w:szCs w:val="20"/>
          <w:lang w:eastAsia="en-US"/>
        </w:rPr>
        <w:t xml:space="preserve">; requerir a la Guardia Nacional que certificara si en sus registros, luego de que el </w:t>
      </w:r>
      <w:r w:rsidR="00474EF4" w:rsidRPr="0001748B">
        <w:rPr>
          <w:rFonts w:eastAsiaTheme="minorHAnsi" w:cstheme="minorBidi"/>
          <w:sz w:val="20"/>
          <w:szCs w:val="20"/>
          <w:lang w:eastAsia="en-US"/>
        </w:rPr>
        <w:t>imputado</w:t>
      </w:r>
      <w:r w:rsidRPr="0001748B">
        <w:rPr>
          <w:rFonts w:eastAsiaTheme="minorHAnsi" w:cstheme="minorBidi"/>
          <w:sz w:val="20"/>
          <w:szCs w:val="20"/>
          <w:lang w:eastAsia="en-US"/>
        </w:rPr>
        <w:t xml:space="preserve"> ya no perteneciera a dicha institución, había quedado alguna dirección o número telefónico donde pudiera ser ubicado; solicitar a los registros migratorios información sobre posi</w:t>
      </w:r>
      <w:r w:rsidR="00474EF4" w:rsidRPr="0001748B">
        <w:rPr>
          <w:rFonts w:eastAsiaTheme="minorHAnsi" w:cstheme="minorBidi"/>
          <w:sz w:val="20"/>
          <w:szCs w:val="20"/>
          <w:lang w:eastAsia="en-US"/>
        </w:rPr>
        <w:t>bles desplazamiento del imput</w:t>
      </w:r>
      <w:r w:rsidRPr="0001748B">
        <w:rPr>
          <w:rFonts w:eastAsiaTheme="minorHAnsi" w:cstheme="minorBidi"/>
          <w:sz w:val="20"/>
          <w:szCs w:val="20"/>
          <w:lang w:eastAsia="en-US"/>
        </w:rPr>
        <w:t>a</w:t>
      </w:r>
      <w:r w:rsidR="00474EF4" w:rsidRPr="0001748B">
        <w:rPr>
          <w:rFonts w:eastAsiaTheme="minorHAnsi" w:cstheme="minorBidi"/>
          <w:sz w:val="20"/>
          <w:szCs w:val="20"/>
          <w:lang w:eastAsia="en-US"/>
        </w:rPr>
        <w:t>do</w:t>
      </w:r>
      <w:r w:rsidRPr="0001748B">
        <w:rPr>
          <w:rFonts w:eastAsiaTheme="minorHAnsi" w:cstheme="minorBidi"/>
          <w:sz w:val="20"/>
          <w:szCs w:val="20"/>
          <w:lang w:eastAsia="en-US"/>
        </w:rPr>
        <w:t>; y, finalmente, solicitar a INTERPOL que se dictara una notificación roja, la que al día de la fecha se encontraría vigente</w:t>
      </w:r>
      <w:r w:rsidRPr="008031E5">
        <w:rPr>
          <w:rFonts w:eastAsiaTheme="minorHAnsi" w:cstheme="minorBidi"/>
          <w:sz w:val="20"/>
          <w:szCs w:val="20"/>
          <w:vertAlign w:val="superscript"/>
          <w:lang w:eastAsia="en-US"/>
        </w:rPr>
        <w:footnoteReference w:id="211"/>
      </w:r>
      <w:r w:rsidRPr="006728ED">
        <w:rPr>
          <w:rFonts w:eastAsiaTheme="minorHAnsi" w:cstheme="minorBidi"/>
          <w:sz w:val="20"/>
          <w:szCs w:val="20"/>
          <w:lang w:eastAsia="en-US"/>
        </w:rPr>
        <w:t>.</w:t>
      </w:r>
    </w:p>
    <w:p w:rsidR="006F624A" w:rsidRPr="0001748B" w:rsidRDefault="006F624A" w:rsidP="006F624A">
      <w:pPr>
        <w:widowControl/>
        <w:adjustRightInd/>
        <w:spacing w:line="240" w:lineRule="auto"/>
        <w:textAlignment w:val="auto"/>
        <w:rPr>
          <w:rFonts w:eastAsiaTheme="minorHAnsi" w:cstheme="minorBidi"/>
          <w:sz w:val="20"/>
          <w:szCs w:val="20"/>
          <w:lang w:eastAsia="en-US"/>
        </w:rPr>
      </w:pPr>
    </w:p>
    <w:p w:rsidR="006F624A" w:rsidRPr="0001748B" w:rsidRDefault="006F624A" w:rsidP="004A26CF">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Sin embargo, </w:t>
      </w:r>
      <w:r w:rsidR="006C6381" w:rsidRPr="0001748B">
        <w:rPr>
          <w:rFonts w:eastAsiaTheme="minorHAnsi" w:cstheme="minorBidi"/>
          <w:sz w:val="20"/>
          <w:szCs w:val="20"/>
          <w:lang w:eastAsia="en-US"/>
        </w:rPr>
        <w:t xml:space="preserve">no consta que se haya oficiado a otros registros oficiales con el objetivo de identificar el domicilio o residencia del imputado, ni </w:t>
      </w:r>
      <w:r w:rsidR="00CF2EED" w:rsidRPr="0001748B">
        <w:rPr>
          <w:rFonts w:eastAsiaTheme="minorHAnsi" w:cstheme="minorBidi"/>
          <w:sz w:val="20"/>
          <w:szCs w:val="20"/>
          <w:lang w:eastAsia="en-US"/>
        </w:rPr>
        <w:t>que se hayan</w:t>
      </w:r>
      <w:r w:rsidR="006C6381" w:rsidRPr="0001748B">
        <w:rPr>
          <w:rFonts w:eastAsiaTheme="minorHAnsi" w:cstheme="minorBidi"/>
          <w:sz w:val="20"/>
          <w:szCs w:val="20"/>
          <w:lang w:eastAsia="en-US"/>
        </w:rPr>
        <w:t xml:space="preserve"> llevado a cabo otras diligencias para detectar posibles </w:t>
      </w:r>
      <w:r w:rsidR="00932468" w:rsidRPr="0001748B">
        <w:rPr>
          <w:rFonts w:eastAsiaTheme="minorHAnsi" w:cstheme="minorBidi"/>
          <w:sz w:val="20"/>
          <w:szCs w:val="20"/>
          <w:lang w:eastAsia="en-US"/>
        </w:rPr>
        <w:t xml:space="preserve">informantes, </w:t>
      </w:r>
      <w:r w:rsidR="006C6381" w:rsidRPr="0001748B">
        <w:rPr>
          <w:rFonts w:eastAsiaTheme="minorHAnsi" w:cstheme="minorBidi"/>
          <w:sz w:val="20"/>
          <w:szCs w:val="20"/>
          <w:lang w:eastAsia="en-US"/>
        </w:rPr>
        <w:t>contactos</w:t>
      </w:r>
      <w:r w:rsidR="00932468" w:rsidRPr="0001748B">
        <w:rPr>
          <w:rFonts w:eastAsiaTheme="minorHAnsi" w:cstheme="minorBidi"/>
          <w:sz w:val="20"/>
          <w:szCs w:val="20"/>
          <w:lang w:eastAsia="en-US"/>
        </w:rPr>
        <w:t xml:space="preserve"> que el imputado pudo haber realizado o cu</w:t>
      </w:r>
      <w:r w:rsidR="00CF2EED" w:rsidRPr="0001748B">
        <w:rPr>
          <w:rFonts w:eastAsiaTheme="minorHAnsi" w:cstheme="minorBidi"/>
          <w:sz w:val="20"/>
          <w:szCs w:val="20"/>
          <w:lang w:eastAsia="en-US"/>
        </w:rPr>
        <w:t>á</w:t>
      </w:r>
      <w:r w:rsidR="00932468" w:rsidRPr="0001748B">
        <w:rPr>
          <w:rFonts w:eastAsiaTheme="minorHAnsi" w:cstheme="minorBidi"/>
          <w:sz w:val="20"/>
          <w:szCs w:val="20"/>
          <w:lang w:eastAsia="en-US"/>
        </w:rPr>
        <w:t>l fue su desplazamiento desde la última presentación ante el órgano jurisdiccional,</w:t>
      </w:r>
      <w:r w:rsidR="006C6381" w:rsidRPr="0001748B">
        <w:rPr>
          <w:rFonts w:eastAsiaTheme="minorHAnsi" w:cstheme="minorBidi"/>
          <w:sz w:val="20"/>
          <w:szCs w:val="20"/>
          <w:lang w:eastAsia="en-US"/>
        </w:rPr>
        <w:t xml:space="preserve"> </w:t>
      </w:r>
      <w:r w:rsidR="00932468" w:rsidRPr="0001748B">
        <w:rPr>
          <w:rFonts w:eastAsiaTheme="minorHAnsi" w:cstheme="minorBidi"/>
          <w:sz w:val="20"/>
          <w:szCs w:val="20"/>
          <w:lang w:eastAsia="en-US"/>
        </w:rPr>
        <w:t>que permitieran</w:t>
      </w:r>
      <w:r w:rsidR="006C6381" w:rsidRPr="0001748B">
        <w:rPr>
          <w:rFonts w:eastAsiaTheme="minorHAnsi" w:cstheme="minorBidi"/>
          <w:sz w:val="20"/>
          <w:szCs w:val="20"/>
          <w:lang w:eastAsia="en-US"/>
        </w:rPr>
        <w:t xml:space="preserve"> esclarecer </w:t>
      </w:r>
      <w:r w:rsidR="00932468" w:rsidRPr="0001748B">
        <w:rPr>
          <w:rFonts w:eastAsiaTheme="minorHAnsi" w:cstheme="minorBidi"/>
          <w:sz w:val="20"/>
          <w:szCs w:val="20"/>
          <w:lang w:eastAsia="en-US"/>
        </w:rPr>
        <w:t>su</w:t>
      </w:r>
      <w:r w:rsidR="006C6381" w:rsidRPr="0001748B">
        <w:rPr>
          <w:rFonts w:eastAsiaTheme="minorHAnsi" w:cstheme="minorBidi"/>
          <w:sz w:val="20"/>
          <w:szCs w:val="20"/>
          <w:lang w:eastAsia="en-US"/>
        </w:rPr>
        <w:t xml:space="preserve"> actual paradero. </w:t>
      </w:r>
      <w:r w:rsidR="002B653E" w:rsidRPr="0001748B">
        <w:rPr>
          <w:rFonts w:eastAsiaTheme="minorHAnsi" w:cstheme="minorBidi"/>
          <w:sz w:val="20"/>
          <w:szCs w:val="20"/>
          <w:lang w:eastAsia="en-US"/>
        </w:rPr>
        <w:t>En consecuencia</w:t>
      </w:r>
      <w:r w:rsidR="006C6381" w:rsidRPr="0001748B">
        <w:rPr>
          <w:rFonts w:eastAsiaTheme="minorHAnsi" w:cstheme="minorBidi"/>
          <w:sz w:val="20"/>
          <w:szCs w:val="20"/>
          <w:lang w:eastAsia="en-US"/>
        </w:rPr>
        <w:t xml:space="preserve">, </w:t>
      </w:r>
      <w:r w:rsidRPr="0001748B">
        <w:rPr>
          <w:rFonts w:eastAsiaTheme="minorHAnsi" w:cstheme="minorBidi"/>
          <w:sz w:val="20"/>
          <w:szCs w:val="20"/>
          <w:lang w:eastAsia="en-US"/>
        </w:rPr>
        <w:t xml:space="preserve">teniendo en cuenta el tiempo transcurrido, esta Corte </w:t>
      </w:r>
      <w:r w:rsidR="00A9717E">
        <w:rPr>
          <w:rFonts w:eastAsiaTheme="minorHAnsi" w:cstheme="minorBidi"/>
          <w:sz w:val="20"/>
          <w:szCs w:val="20"/>
          <w:lang w:eastAsia="en-US"/>
        </w:rPr>
        <w:t>considera</w:t>
      </w:r>
      <w:r w:rsidRPr="0001748B">
        <w:rPr>
          <w:rFonts w:eastAsiaTheme="minorHAnsi" w:cstheme="minorBidi"/>
          <w:sz w:val="20"/>
          <w:szCs w:val="20"/>
          <w:lang w:eastAsia="en-US"/>
        </w:rPr>
        <w:t xml:space="preserve"> que </w:t>
      </w:r>
      <w:r w:rsidR="006C6381" w:rsidRPr="0001748B">
        <w:rPr>
          <w:rFonts w:eastAsiaTheme="minorHAnsi" w:cstheme="minorBidi"/>
          <w:sz w:val="20"/>
          <w:szCs w:val="20"/>
          <w:lang w:eastAsia="en-US"/>
        </w:rPr>
        <w:t>las</w:t>
      </w:r>
      <w:r w:rsidRPr="0001748B">
        <w:rPr>
          <w:rFonts w:eastAsiaTheme="minorHAnsi" w:cstheme="minorBidi"/>
          <w:sz w:val="20"/>
          <w:szCs w:val="20"/>
          <w:lang w:eastAsia="en-US"/>
        </w:rPr>
        <w:t xml:space="preserve"> diligencias</w:t>
      </w:r>
      <w:r w:rsidR="006C6381" w:rsidRPr="0001748B">
        <w:rPr>
          <w:rFonts w:eastAsiaTheme="minorHAnsi" w:cstheme="minorBidi"/>
          <w:sz w:val="20"/>
          <w:szCs w:val="20"/>
          <w:lang w:eastAsia="en-US"/>
        </w:rPr>
        <w:t xml:space="preserve"> realizada</w:t>
      </w:r>
      <w:r w:rsidR="006C6381" w:rsidRPr="00C37EAA">
        <w:rPr>
          <w:rFonts w:eastAsiaTheme="minorHAnsi" w:cstheme="minorBidi"/>
          <w:sz w:val="20"/>
          <w:szCs w:val="20"/>
          <w:lang w:eastAsia="en-US"/>
        </w:rPr>
        <w:t>s</w:t>
      </w:r>
      <w:r w:rsidRPr="00C37EAA">
        <w:rPr>
          <w:rFonts w:eastAsiaTheme="minorHAnsi" w:cstheme="minorBidi"/>
          <w:sz w:val="20"/>
          <w:szCs w:val="20"/>
          <w:lang w:eastAsia="en-US"/>
        </w:rPr>
        <w:t xml:space="preserve"> </w:t>
      </w:r>
      <w:r w:rsidR="00AD344E" w:rsidRPr="00C37EAA">
        <w:rPr>
          <w:rFonts w:eastAsiaTheme="minorHAnsi" w:cstheme="minorBidi"/>
          <w:sz w:val="20"/>
          <w:szCs w:val="20"/>
          <w:lang w:eastAsia="en-US"/>
        </w:rPr>
        <w:t xml:space="preserve">son </w:t>
      </w:r>
      <w:r w:rsidRPr="00C37EAA">
        <w:rPr>
          <w:rFonts w:eastAsiaTheme="minorHAnsi" w:cstheme="minorBidi"/>
          <w:sz w:val="20"/>
          <w:szCs w:val="20"/>
          <w:lang w:eastAsia="en-US"/>
        </w:rPr>
        <w:t>in</w:t>
      </w:r>
      <w:r w:rsidRPr="0001748B">
        <w:rPr>
          <w:rFonts w:eastAsiaTheme="minorHAnsi" w:cstheme="minorBidi"/>
          <w:sz w:val="20"/>
          <w:szCs w:val="20"/>
          <w:lang w:eastAsia="en-US"/>
        </w:rPr>
        <w:t>suficientes a la luz de los estándares que exigen la articulación de los mayores esfuerzos posibles para dilucidar la verdad de lo acontecido.</w:t>
      </w:r>
    </w:p>
    <w:p w:rsidR="006F624A" w:rsidRPr="0001748B" w:rsidRDefault="006F624A" w:rsidP="006F624A">
      <w:pPr>
        <w:widowControl/>
        <w:adjustRightInd/>
        <w:spacing w:line="240" w:lineRule="auto"/>
        <w:textAlignment w:val="auto"/>
        <w:rPr>
          <w:rFonts w:eastAsiaTheme="minorHAnsi" w:cstheme="minorBidi"/>
          <w:sz w:val="20"/>
          <w:szCs w:val="20"/>
          <w:lang w:eastAsia="en-US"/>
        </w:rPr>
      </w:pPr>
    </w:p>
    <w:p w:rsidR="006F624A" w:rsidRPr="0001748B" w:rsidRDefault="000D6C32" w:rsidP="000D6C32">
      <w:pPr>
        <w:widowControl/>
        <w:adjustRightInd/>
        <w:spacing w:line="240" w:lineRule="auto"/>
        <w:ind w:left="1701"/>
        <w:textAlignment w:val="auto"/>
        <w:rPr>
          <w:rFonts w:eastAsiaTheme="minorHAnsi" w:cstheme="minorBidi"/>
          <w:i/>
          <w:sz w:val="20"/>
          <w:szCs w:val="20"/>
          <w:lang w:eastAsia="en-US"/>
        </w:rPr>
      </w:pPr>
      <w:r w:rsidRPr="0001748B">
        <w:rPr>
          <w:rFonts w:eastAsiaTheme="minorHAnsi" w:cstheme="minorBidi"/>
          <w:i/>
          <w:sz w:val="20"/>
          <w:szCs w:val="20"/>
          <w:lang w:eastAsia="en-US"/>
        </w:rPr>
        <w:t>B</w:t>
      </w:r>
      <w:r w:rsidR="006F624A" w:rsidRPr="0001748B">
        <w:rPr>
          <w:rFonts w:eastAsiaTheme="minorHAnsi" w:cstheme="minorBidi"/>
          <w:i/>
          <w:sz w:val="20"/>
          <w:szCs w:val="20"/>
          <w:lang w:eastAsia="en-US"/>
        </w:rPr>
        <w:t>.</w:t>
      </w:r>
      <w:r w:rsidR="00614F7F" w:rsidRPr="0001748B">
        <w:rPr>
          <w:rFonts w:eastAsiaTheme="minorHAnsi" w:cstheme="minorBidi"/>
          <w:i/>
          <w:sz w:val="20"/>
          <w:szCs w:val="20"/>
          <w:lang w:eastAsia="en-US"/>
        </w:rPr>
        <w:t>2</w:t>
      </w:r>
      <w:r w:rsidR="00932468" w:rsidRPr="0001748B">
        <w:rPr>
          <w:rFonts w:eastAsiaTheme="minorHAnsi" w:cstheme="minorBidi"/>
          <w:i/>
          <w:sz w:val="20"/>
          <w:szCs w:val="20"/>
          <w:lang w:eastAsia="en-US"/>
        </w:rPr>
        <w:t>.c</w:t>
      </w:r>
      <w:r w:rsidR="006F624A" w:rsidRPr="0001748B">
        <w:rPr>
          <w:rFonts w:eastAsiaTheme="minorHAnsi" w:cstheme="minorBidi"/>
          <w:i/>
          <w:sz w:val="20"/>
          <w:szCs w:val="20"/>
          <w:lang w:eastAsia="en-US"/>
        </w:rPr>
        <w:t xml:space="preserve"> </w:t>
      </w:r>
      <w:r w:rsidRPr="0001748B">
        <w:rPr>
          <w:rFonts w:eastAsiaTheme="minorHAnsi" w:cstheme="minorBidi"/>
          <w:i/>
          <w:sz w:val="20"/>
          <w:szCs w:val="20"/>
          <w:lang w:eastAsia="en-US"/>
        </w:rPr>
        <w:tab/>
      </w:r>
      <w:r w:rsidR="006F624A" w:rsidRPr="0001748B">
        <w:rPr>
          <w:rFonts w:eastAsiaTheme="minorHAnsi" w:cstheme="minorBidi"/>
          <w:i/>
          <w:sz w:val="20"/>
          <w:szCs w:val="20"/>
          <w:lang w:eastAsia="en-US"/>
        </w:rPr>
        <w:t>Conclusión</w:t>
      </w:r>
    </w:p>
    <w:p w:rsidR="006F624A" w:rsidRPr="0001748B" w:rsidRDefault="006F624A" w:rsidP="006F624A">
      <w:pPr>
        <w:widowControl/>
        <w:adjustRightInd/>
        <w:spacing w:line="240" w:lineRule="auto"/>
        <w:textAlignment w:val="auto"/>
        <w:rPr>
          <w:rFonts w:eastAsiaTheme="minorHAnsi" w:cstheme="minorBidi"/>
          <w:sz w:val="20"/>
          <w:szCs w:val="20"/>
          <w:lang w:eastAsia="en-US"/>
        </w:rPr>
      </w:pPr>
    </w:p>
    <w:p w:rsidR="006F624A" w:rsidRPr="00C37EAA" w:rsidRDefault="006F624A" w:rsidP="004A26CF">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C37EAA">
        <w:rPr>
          <w:rFonts w:eastAsiaTheme="minorHAnsi" w:cstheme="minorBidi"/>
          <w:sz w:val="20"/>
          <w:szCs w:val="20"/>
          <w:lang w:eastAsia="en-US"/>
        </w:rPr>
        <w:t xml:space="preserve">Con base en las consideraciones </w:t>
      </w:r>
      <w:r w:rsidR="00A16E0F" w:rsidRPr="00C37EAA">
        <w:rPr>
          <w:rFonts w:eastAsiaTheme="minorHAnsi" w:cstheme="minorBidi"/>
          <w:sz w:val="20"/>
          <w:szCs w:val="20"/>
          <w:lang w:eastAsia="en-US"/>
        </w:rPr>
        <w:t>precedentes</w:t>
      </w:r>
      <w:r w:rsidR="00C37EAA" w:rsidRPr="00C37EAA">
        <w:rPr>
          <w:rFonts w:eastAsiaTheme="minorHAnsi" w:cstheme="minorBidi"/>
          <w:sz w:val="20"/>
          <w:szCs w:val="20"/>
          <w:lang w:eastAsia="en-US"/>
        </w:rPr>
        <w:t xml:space="preserve"> </w:t>
      </w:r>
      <w:r w:rsidRPr="00C37EAA">
        <w:rPr>
          <w:rFonts w:eastAsiaTheme="minorHAnsi" w:cstheme="minorBidi"/>
          <w:sz w:val="20"/>
          <w:szCs w:val="20"/>
          <w:lang w:eastAsia="en-US"/>
        </w:rPr>
        <w:t>y en el reconocimiento parcial de responsabilidad efectuado, la Corte concluye que</w:t>
      </w:r>
      <w:r w:rsidR="00674531" w:rsidRPr="00C37EAA">
        <w:rPr>
          <w:rFonts w:eastAsiaTheme="minorHAnsi" w:cstheme="minorBidi"/>
          <w:sz w:val="20"/>
          <w:szCs w:val="20"/>
          <w:lang w:eastAsia="en-US"/>
        </w:rPr>
        <w:t>,</w:t>
      </w:r>
      <w:r w:rsidR="005D46C4" w:rsidRPr="00C37EAA">
        <w:rPr>
          <w:rFonts w:eastAsiaTheme="minorHAnsi" w:cstheme="minorBidi"/>
          <w:sz w:val="20"/>
          <w:szCs w:val="20"/>
          <w:lang w:eastAsia="en-US"/>
        </w:rPr>
        <w:t xml:space="preserve"> en tanto no se ha</w:t>
      </w:r>
      <w:r w:rsidR="005A2B2D" w:rsidRPr="00C37EAA">
        <w:rPr>
          <w:rFonts w:eastAsiaTheme="minorHAnsi" w:cstheme="minorBidi"/>
          <w:sz w:val="20"/>
          <w:szCs w:val="20"/>
          <w:lang w:eastAsia="en-US"/>
        </w:rPr>
        <w:t xml:space="preserve"> </w:t>
      </w:r>
      <w:r w:rsidR="005D46C4" w:rsidRPr="00C37EAA">
        <w:rPr>
          <w:rFonts w:eastAsiaTheme="minorHAnsi" w:cstheme="minorBidi"/>
          <w:sz w:val="20"/>
          <w:szCs w:val="20"/>
          <w:lang w:eastAsia="en-US"/>
        </w:rPr>
        <w:t>desarrollado una investigación seria, completa y dirigida a la determinación de la verdad de lo acontecido, tal como</w:t>
      </w:r>
      <w:r w:rsidR="00674531" w:rsidRPr="00C37EAA">
        <w:rPr>
          <w:rFonts w:eastAsiaTheme="minorHAnsi" w:cstheme="minorBidi"/>
          <w:sz w:val="20"/>
          <w:szCs w:val="20"/>
          <w:lang w:eastAsia="en-US"/>
        </w:rPr>
        <w:t xml:space="preserve"> lo exige la Convención</w:t>
      </w:r>
      <w:r w:rsidR="005D46C4" w:rsidRPr="00C37EAA">
        <w:rPr>
          <w:rFonts w:eastAsiaTheme="minorHAnsi" w:cstheme="minorBidi"/>
          <w:sz w:val="20"/>
          <w:szCs w:val="20"/>
          <w:lang w:eastAsia="en-US"/>
        </w:rPr>
        <w:t>,</w:t>
      </w:r>
      <w:r w:rsidRPr="00C37EAA">
        <w:rPr>
          <w:rFonts w:eastAsiaTheme="minorHAnsi" w:cstheme="minorBidi"/>
          <w:sz w:val="20"/>
          <w:szCs w:val="20"/>
          <w:lang w:eastAsia="en-US"/>
        </w:rPr>
        <w:t xml:space="preserve"> el Estado es responsable por la violación de los artículos 8.1 y 25.1 de la Convención Americana, en relación con l</w:t>
      </w:r>
      <w:r w:rsidR="00674531" w:rsidRPr="00C37EAA">
        <w:rPr>
          <w:rFonts w:eastAsiaTheme="minorHAnsi" w:cstheme="minorBidi"/>
          <w:sz w:val="20"/>
          <w:szCs w:val="20"/>
          <w:lang w:eastAsia="en-US"/>
        </w:rPr>
        <w:t>os</w:t>
      </w:r>
      <w:r w:rsidRPr="00C37EAA">
        <w:rPr>
          <w:rFonts w:eastAsiaTheme="minorHAnsi" w:cstheme="minorBidi"/>
          <w:sz w:val="20"/>
          <w:szCs w:val="20"/>
          <w:lang w:eastAsia="en-US"/>
        </w:rPr>
        <w:t xml:space="preserve"> artículo</w:t>
      </w:r>
      <w:r w:rsidR="00674531" w:rsidRPr="00C37EAA">
        <w:rPr>
          <w:rFonts w:eastAsiaTheme="minorHAnsi" w:cstheme="minorBidi"/>
          <w:sz w:val="20"/>
          <w:szCs w:val="20"/>
          <w:lang w:eastAsia="en-US"/>
        </w:rPr>
        <w:t>s</w:t>
      </w:r>
      <w:r w:rsidRPr="00C37EAA">
        <w:rPr>
          <w:rFonts w:eastAsiaTheme="minorHAnsi" w:cstheme="minorBidi"/>
          <w:sz w:val="20"/>
          <w:szCs w:val="20"/>
          <w:lang w:eastAsia="en-US"/>
        </w:rPr>
        <w:t xml:space="preserve"> 1.1</w:t>
      </w:r>
      <w:r w:rsidR="00674531" w:rsidRPr="00C37EAA">
        <w:rPr>
          <w:rFonts w:eastAsiaTheme="minorHAnsi" w:cstheme="minorBidi"/>
          <w:sz w:val="20"/>
          <w:szCs w:val="20"/>
          <w:lang w:eastAsia="en-US"/>
        </w:rPr>
        <w:t xml:space="preserve"> y 2</w:t>
      </w:r>
      <w:r w:rsidRPr="00C37EAA">
        <w:rPr>
          <w:rFonts w:eastAsiaTheme="minorHAnsi" w:cstheme="minorBidi"/>
          <w:sz w:val="20"/>
          <w:szCs w:val="20"/>
          <w:lang w:eastAsia="en-US"/>
        </w:rPr>
        <w:t xml:space="preserve"> de la misma, </w:t>
      </w:r>
      <w:r w:rsidR="00C971F4" w:rsidRPr="00C37EAA">
        <w:rPr>
          <w:rFonts w:eastAsia="Arial" w:cs="Arial"/>
          <w:sz w:val="20"/>
          <w:szCs w:val="20"/>
        </w:rPr>
        <w:t>en perjuicio de Zaida Hernández de Arellano</w:t>
      </w:r>
      <w:r w:rsidR="00CD4B59" w:rsidRPr="00CD4B59">
        <w:rPr>
          <w:rFonts w:eastAsia="Arial" w:cs="Arial"/>
          <w:sz w:val="20"/>
          <w:szCs w:val="20"/>
        </w:rPr>
        <w:t xml:space="preserve"> </w:t>
      </w:r>
      <w:r w:rsidR="00CD4B59">
        <w:rPr>
          <w:rFonts w:eastAsia="Arial" w:cs="Arial"/>
          <w:sz w:val="20"/>
          <w:szCs w:val="20"/>
        </w:rPr>
        <w:t>y Edgar Humberto Ortiz Ruiz</w:t>
      </w:r>
      <w:r w:rsidRPr="00C37EAA">
        <w:rPr>
          <w:rFonts w:eastAsiaTheme="minorHAnsi" w:cstheme="minorBidi"/>
          <w:sz w:val="20"/>
          <w:szCs w:val="20"/>
          <w:lang w:eastAsia="en-US"/>
        </w:rPr>
        <w:t>.</w:t>
      </w:r>
    </w:p>
    <w:p w:rsidR="00065E74" w:rsidRPr="0001748B" w:rsidRDefault="00065E74" w:rsidP="001C5304">
      <w:pPr>
        <w:tabs>
          <w:tab w:val="left" w:pos="720"/>
          <w:tab w:val="num" w:pos="1569"/>
        </w:tabs>
        <w:spacing w:line="240" w:lineRule="auto"/>
        <w:ind w:right="-90"/>
        <w:rPr>
          <w:rFonts w:cs="Verdana"/>
          <w:caps/>
          <w:snapToGrid w:val="0"/>
          <w:sz w:val="20"/>
          <w:szCs w:val="20"/>
        </w:rPr>
      </w:pPr>
    </w:p>
    <w:p w:rsidR="00D7405E" w:rsidRPr="0001748B" w:rsidRDefault="00D7405E" w:rsidP="00D7405E">
      <w:pPr>
        <w:keepNext/>
        <w:keepLines/>
        <w:widowControl/>
        <w:tabs>
          <w:tab w:val="left" w:pos="851"/>
        </w:tabs>
        <w:autoSpaceDE w:val="0"/>
        <w:autoSpaceDN w:val="0"/>
        <w:spacing w:line="240" w:lineRule="auto"/>
        <w:jc w:val="center"/>
        <w:textAlignment w:val="auto"/>
        <w:outlineLvl w:val="0"/>
        <w:rPr>
          <w:rFonts w:cs="Arial"/>
          <w:b/>
          <w:bCs/>
          <w:caps/>
          <w:sz w:val="20"/>
          <w:szCs w:val="20"/>
          <w:lang w:eastAsia="en-US"/>
        </w:rPr>
      </w:pPr>
      <w:bookmarkStart w:id="111" w:name="_Toc495658690"/>
      <w:r w:rsidRPr="0001748B">
        <w:rPr>
          <w:rFonts w:cs="Arial"/>
          <w:b/>
          <w:bCs/>
          <w:caps/>
          <w:sz w:val="20"/>
          <w:szCs w:val="20"/>
          <w:lang w:eastAsia="en-US"/>
        </w:rPr>
        <w:t>VII-3</w:t>
      </w:r>
      <w:r w:rsidRPr="0001748B">
        <w:rPr>
          <w:rFonts w:cs="Arial"/>
          <w:b/>
          <w:bCs/>
          <w:caps/>
          <w:sz w:val="20"/>
          <w:szCs w:val="20"/>
          <w:lang w:eastAsia="en-US"/>
        </w:rPr>
        <w:br/>
        <w:t>derecho A LA INTEGRIDAD personal</w:t>
      </w:r>
      <w:r w:rsidR="00880A84" w:rsidRPr="0001748B">
        <w:rPr>
          <w:rStyle w:val="FootnoteReference"/>
          <w:rFonts w:cs="Arial"/>
          <w:b/>
          <w:bCs/>
          <w:caps/>
          <w:sz w:val="20"/>
          <w:szCs w:val="20"/>
          <w:lang w:eastAsia="en-US"/>
        </w:rPr>
        <w:footnoteReference w:id="212"/>
      </w:r>
      <w:r w:rsidRPr="0001748B">
        <w:rPr>
          <w:rFonts w:cs="Arial"/>
          <w:b/>
          <w:bCs/>
          <w:caps/>
          <w:sz w:val="20"/>
          <w:szCs w:val="20"/>
          <w:lang w:eastAsia="en-US"/>
        </w:rPr>
        <w:t xml:space="preserve"> DE LOS FAMILIARES en relación con la obligación de respetar los derechos</w:t>
      </w:r>
      <w:bookmarkEnd w:id="111"/>
    </w:p>
    <w:p w:rsidR="00D7405E" w:rsidRPr="0001748B" w:rsidRDefault="00D7405E" w:rsidP="00D7405E">
      <w:pPr>
        <w:tabs>
          <w:tab w:val="left" w:pos="720"/>
          <w:tab w:val="num" w:pos="1569"/>
        </w:tabs>
        <w:spacing w:line="240" w:lineRule="auto"/>
        <w:ind w:right="-90"/>
        <w:rPr>
          <w:rFonts w:cs="Verdana"/>
          <w:caps/>
          <w:snapToGrid w:val="0"/>
          <w:sz w:val="20"/>
          <w:szCs w:val="20"/>
        </w:rPr>
      </w:pPr>
    </w:p>
    <w:p w:rsidR="00D7405E" w:rsidRPr="0001748B" w:rsidRDefault="00D7405E" w:rsidP="00D7405E">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eastAsia="en-US"/>
        </w:rPr>
      </w:pPr>
      <w:bookmarkStart w:id="112" w:name="_Toc495658691"/>
      <w:r w:rsidRPr="0001748B">
        <w:rPr>
          <w:rFonts w:eastAsia="MS Mincho" w:cs="Arial"/>
          <w:b/>
          <w:bCs/>
          <w:i/>
          <w:sz w:val="20"/>
          <w:szCs w:val="20"/>
          <w:lang w:eastAsia="en-US"/>
        </w:rPr>
        <w:t>A.</w:t>
      </w:r>
      <w:r w:rsidRPr="0001748B">
        <w:rPr>
          <w:rFonts w:eastAsia="MS Mincho" w:cs="Arial"/>
          <w:b/>
          <w:bCs/>
          <w:i/>
          <w:sz w:val="20"/>
          <w:szCs w:val="20"/>
          <w:lang w:eastAsia="en-US"/>
        </w:rPr>
        <w:tab/>
        <w:t>Argumentos de las partes y de la Comisión</w:t>
      </w:r>
      <w:bookmarkEnd w:id="112"/>
    </w:p>
    <w:p w:rsidR="00D7405E" w:rsidRPr="0001748B" w:rsidRDefault="00D7405E" w:rsidP="00D7405E">
      <w:pPr>
        <w:tabs>
          <w:tab w:val="left" w:pos="720"/>
          <w:tab w:val="num" w:pos="1569"/>
        </w:tabs>
        <w:spacing w:line="240" w:lineRule="auto"/>
        <w:ind w:right="-90"/>
        <w:rPr>
          <w:rFonts w:cs="Verdana"/>
          <w:caps/>
          <w:snapToGrid w:val="0"/>
          <w:sz w:val="20"/>
          <w:szCs w:val="20"/>
        </w:rPr>
      </w:pPr>
    </w:p>
    <w:p w:rsidR="00D7405E" w:rsidRPr="0001748B" w:rsidRDefault="00D7405E" w:rsidP="00D7405E">
      <w:pPr>
        <w:numPr>
          <w:ilvl w:val="0"/>
          <w:numId w:val="1"/>
        </w:numPr>
        <w:tabs>
          <w:tab w:val="left" w:pos="567"/>
          <w:tab w:val="num" w:pos="5057"/>
        </w:tabs>
        <w:spacing w:line="240" w:lineRule="auto"/>
        <w:ind w:left="0" w:firstLine="0"/>
        <w:rPr>
          <w:rFonts w:eastAsiaTheme="minorHAnsi" w:cstheme="minorBidi"/>
          <w:sz w:val="22"/>
          <w:szCs w:val="22"/>
          <w:lang w:eastAsia="en-US"/>
        </w:rPr>
      </w:pPr>
      <w:r w:rsidRPr="0001748B">
        <w:rPr>
          <w:rFonts w:eastAsiaTheme="minorHAnsi" w:cstheme="minorBidi"/>
          <w:sz w:val="20"/>
          <w:szCs w:val="20"/>
          <w:lang w:eastAsia="en-US"/>
        </w:rPr>
        <w:t xml:space="preserve">La </w:t>
      </w:r>
      <w:r w:rsidRPr="0001748B">
        <w:rPr>
          <w:rFonts w:eastAsiaTheme="minorHAnsi" w:cstheme="minorBidi"/>
          <w:b/>
          <w:i/>
          <w:sz w:val="20"/>
          <w:szCs w:val="20"/>
          <w:lang w:eastAsia="en-US"/>
        </w:rPr>
        <w:t>Comisión</w:t>
      </w:r>
      <w:r w:rsidRPr="0001748B">
        <w:rPr>
          <w:rFonts w:eastAsiaTheme="minorHAnsi" w:cstheme="minorBidi"/>
          <w:b/>
          <w:sz w:val="20"/>
          <w:szCs w:val="20"/>
          <w:lang w:eastAsia="en-US"/>
        </w:rPr>
        <w:t xml:space="preserve"> </w:t>
      </w:r>
      <w:r w:rsidR="00624DD2" w:rsidRPr="0001748B">
        <w:rPr>
          <w:rFonts w:eastAsiaTheme="minorHAnsi" w:cstheme="minorBidi"/>
          <w:sz w:val="20"/>
          <w:szCs w:val="20"/>
          <w:lang w:eastAsia="en-US"/>
        </w:rPr>
        <w:t xml:space="preserve">y las </w:t>
      </w:r>
      <w:r w:rsidR="00624DD2" w:rsidRPr="0001748B">
        <w:rPr>
          <w:rFonts w:eastAsiaTheme="minorHAnsi" w:cstheme="minorBidi"/>
          <w:b/>
          <w:i/>
          <w:sz w:val="20"/>
          <w:szCs w:val="20"/>
          <w:lang w:eastAsia="en-US"/>
        </w:rPr>
        <w:t>representantes</w:t>
      </w:r>
      <w:r w:rsidR="00624DD2" w:rsidRPr="0001748B">
        <w:rPr>
          <w:rFonts w:eastAsiaTheme="minorHAnsi" w:cstheme="minorBidi"/>
          <w:sz w:val="20"/>
          <w:szCs w:val="20"/>
          <w:lang w:eastAsia="en-US"/>
        </w:rPr>
        <w:t xml:space="preserve"> alegaron </w:t>
      </w:r>
      <w:r w:rsidRPr="0001748B">
        <w:rPr>
          <w:rFonts w:eastAsiaTheme="minorHAnsi" w:cstheme="minorBidi"/>
          <w:sz w:val="20"/>
          <w:szCs w:val="20"/>
          <w:lang w:eastAsia="en-US"/>
        </w:rPr>
        <w:t>que el Estado incurrió en violaciones del artículo 5.1 de la Convención en perjuicio de los familiares de Johan Alexis Ortiz Hernández, por la angustia y el dolor que debieron soportar durante el tiempo que debieron esperar la entrega del cuerpo de su hijo sin ninguna explicación</w:t>
      </w:r>
      <w:r w:rsidR="00624DD2" w:rsidRPr="0001748B">
        <w:rPr>
          <w:rFonts w:eastAsiaTheme="minorHAnsi" w:cstheme="minorBidi"/>
          <w:sz w:val="20"/>
          <w:szCs w:val="20"/>
          <w:lang w:eastAsia="en-US"/>
        </w:rPr>
        <w:t>, así como</w:t>
      </w:r>
      <w:r w:rsidRPr="0001748B">
        <w:rPr>
          <w:rFonts w:eastAsiaTheme="minorHAnsi" w:cstheme="minorBidi"/>
          <w:sz w:val="20"/>
          <w:szCs w:val="20"/>
          <w:lang w:eastAsia="en-US"/>
        </w:rPr>
        <w:t xml:space="preserve"> </w:t>
      </w:r>
      <w:r w:rsidR="00624DD2" w:rsidRPr="0001748B">
        <w:rPr>
          <w:rFonts w:eastAsiaTheme="minorHAnsi" w:cstheme="minorBidi"/>
          <w:sz w:val="20"/>
          <w:szCs w:val="20"/>
          <w:lang w:eastAsia="en-US"/>
        </w:rPr>
        <w:t>por la profunda frustración, tristeza e impotencia debido a la denegación de justicia que sufrieron por parte del Estado</w:t>
      </w:r>
      <w:r w:rsidR="00624DD2" w:rsidRPr="0001748B" w:rsidDel="00624DD2">
        <w:rPr>
          <w:rFonts w:eastAsiaTheme="minorHAnsi" w:cstheme="minorBidi"/>
          <w:sz w:val="20"/>
          <w:szCs w:val="20"/>
          <w:lang w:eastAsia="en-US"/>
        </w:rPr>
        <w:t xml:space="preserve"> </w:t>
      </w:r>
      <w:r w:rsidR="00624DD2" w:rsidRPr="0001748B">
        <w:rPr>
          <w:rFonts w:eastAsiaTheme="minorHAnsi" w:cstheme="minorBidi"/>
          <w:sz w:val="20"/>
          <w:szCs w:val="20"/>
          <w:lang w:eastAsia="en-US"/>
        </w:rPr>
        <w:t>y la falta de</w:t>
      </w:r>
      <w:r w:rsidRPr="0001748B">
        <w:rPr>
          <w:rFonts w:eastAsiaTheme="minorHAnsi" w:cstheme="minorBidi"/>
          <w:sz w:val="20"/>
          <w:szCs w:val="20"/>
          <w:lang w:eastAsia="en-US"/>
        </w:rPr>
        <w:t xml:space="preserve"> esclarecimiento de la verdad respecto de lo acontecido</w:t>
      </w:r>
      <w:r w:rsidR="00E14B36">
        <w:rPr>
          <w:rFonts w:eastAsiaTheme="minorHAnsi" w:cstheme="minorBidi"/>
          <w:sz w:val="20"/>
          <w:szCs w:val="20"/>
          <w:lang w:eastAsia="en-US"/>
        </w:rPr>
        <w:t>.</w:t>
      </w:r>
      <w:r w:rsidRPr="0001748B">
        <w:rPr>
          <w:rFonts w:eastAsiaTheme="minorHAnsi" w:cstheme="minorBidi"/>
          <w:sz w:val="22"/>
          <w:szCs w:val="22"/>
          <w:lang w:eastAsia="en-US"/>
        </w:rPr>
        <w:t xml:space="preserve"> </w:t>
      </w:r>
      <w:r w:rsidRPr="0001748B">
        <w:rPr>
          <w:rFonts w:eastAsiaTheme="minorHAnsi" w:cstheme="minorBidi"/>
          <w:sz w:val="20"/>
          <w:szCs w:val="20"/>
          <w:lang w:eastAsia="en-US"/>
        </w:rPr>
        <w:t xml:space="preserve">Asimismo, </w:t>
      </w:r>
      <w:r w:rsidR="00624DD2" w:rsidRPr="0001748B">
        <w:rPr>
          <w:rFonts w:eastAsiaTheme="minorHAnsi" w:cstheme="minorBidi"/>
          <w:sz w:val="20"/>
          <w:szCs w:val="20"/>
          <w:lang w:eastAsia="en-US"/>
        </w:rPr>
        <w:t xml:space="preserve">indicaron que </w:t>
      </w:r>
      <w:r w:rsidRPr="0001748B">
        <w:rPr>
          <w:rFonts w:eastAsiaTheme="minorHAnsi" w:cstheme="minorBidi"/>
          <w:sz w:val="20"/>
          <w:szCs w:val="20"/>
          <w:lang w:eastAsia="en-US"/>
        </w:rPr>
        <w:t xml:space="preserve">la muerte de Johan Alexis ha impactado el núcleo familiar, ha conllevado un esfuerzo económico de la familia para realizar las gestiones e investigaciones independientes y también asistencia judicial, lo que incluso ha derivado en </w:t>
      </w:r>
      <w:r w:rsidR="00624DD2" w:rsidRPr="0001748B">
        <w:rPr>
          <w:rFonts w:eastAsiaTheme="minorHAnsi" w:cstheme="minorBidi"/>
          <w:sz w:val="20"/>
          <w:szCs w:val="20"/>
          <w:lang w:eastAsia="en-US"/>
        </w:rPr>
        <w:t xml:space="preserve">hostigamientos, </w:t>
      </w:r>
      <w:r w:rsidRPr="0001748B">
        <w:rPr>
          <w:rFonts w:eastAsiaTheme="minorHAnsi" w:cstheme="minorBidi"/>
          <w:sz w:val="20"/>
          <w:szCs w:val="20"/>
          <w:lang w:eastAsia="en-US"/>
        </w:rPr>
        <w:t xml:space="preserve">amenazas de muerte e intimidaciones a sus miembros. </w:t>
      </w:r>
    </w:p>
    <w:p w:rsidR="00D7405E" w:rsidRPr="0001748B" w:rsidRDefault="00D7405E" w:rsidP="00D7405E">
      <w:pPr>
        <w:pStyle w:val="ListParagraph"/>
        <w:tabs>
          <w:tab w:val="left" w:pos="567"/>
        </w:tabs>
        <w:spacing w:line="240" w:lineRule="auto"/>
        <w:ind w:left="0"/>
        <w:rPr>
          <w:rFonts w:eastAsiaTheme="minorHAnsi" w:cstheme="minorBidi"/>
          <w:sz w:val="20"/>
          <w:szCs w:val="20"/>
          <w:lang w:eastAsia="en-US"/>
        </w:rPr>
      </w:pPr>
    </w:p>
    <w:p w:rsidR="00D7405E" w:rsidRPr="0001748B" w:rsidRDefault="00D7405E" w:rsidP="00D7405E">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En su contestación, el </w:t>
      </w:r>
      <w:r w:rsidRPr="0001748B">
        <w:rPr>
          <w:rFonts w:eastAsiaTheme="minorHAnsi" w:cstheme="minorBidi"/>
          <w:b/>
          <w:i/>
          <w:sz w:val="20"/>
          <w:szCs w:val="20"/>
          <w:lang w:eastAsia="en-US"/>
        </w:rPr>
        <w:t>Estado</w:t>
      </w:r>
      <w:r w:rsidRPr="0001748B">
        <w:rPr>
          <w:rFonts w:eastAsiaTheme="minorHAnsi" w:cstheme="minorBidi"/>
          <w:sz w:val="20"/>
          <w:szCs w:val="20"/>
          <w:lang w:eastAsia="en-US"/>
        </w:rPr>
        <w:t xml:space="preserve"> no se refirió a las alegadas violaciones a la integridad personal. </w:t>
      </w:r>
      <w:r w:rsidRPr="0001748B">
        <w:rPr>
          <w:rFonts w:eastAsiaTheme="minorHAnsi" w:cstheme="minorBidi"/>
          <w:sz w:val="20"/>
          <w:szCs w:val="20"/>
          <w:lang w:eastAsia="en-US"/>
        </w:rPr>
        <w:lastRenderedPageBreak/>
        <w:t>Sin embargo, en el transcurso de la audiencia pública, reconoció su responsabilidad por las afectaciones a la integridad personal de los familiares alegadas por la Comisión y las representantes.</w:t>
      </w:r>
    </w:p>
    <w:p w:rsidR="00D7405E" w:rsidRPr="00447422" w:rsidRDefault="00D7405E" w:rsidP="00D7405E">
      <w:pPr>
        <w:pStyle w:val="ListParagraph"/>
        <w:tabs>
          <w:tab w:val="left" w:pos="567"/>
        </w:tabs>
        <w:spacing w:line="240" w:lineRule="auto"/>
        <w:ind w:left="0"/>
        <w:rPr>
          <w:rFonts w:eastAsiaTheme="minorHAnsi" w:cstheme="minorBidi"/>
          <w:sz w:val="20"/>
          <w:szCs w:val="20"/>
          <w:lang w:eastAsia="en-US"/>
        </w:rPr>
      </w:pPr>
    </w:p>
    <w:p w:rsidR="00D7405E" w:rsidRPr="00447422" w:rsidRDefault="00D7405E" w:rsidP="00D7405E">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eastAsia="en-US"/>
        </w:rPr>
      </w:pPr>
      <w:bookmarkStart w:id="113" w:name="_Toc495658692"/>
      <w:r w:rsidRPr="00447422">
        <w:rPr>
          <w:rFonts w:eastAsia="MS Mincho" w:cs="Arial"/>
          <w:b/>
          <w:bCs/>
          <w:i/>
          <w:sz w:val="20"/>
          <w:szCs w:val="20"/>
          <w:lang w:eastAsia="en-US"/>
        </w:rPr>
        <w:t>B.</w:t>
      </w:r>
      <w:r w:rsidRPr="00447422">
        <w:rPr>
          <w:rFonts w:eastAsia="MS Mincho" w:cs="Arial"/>
          <w:b/>
          <w:bCs/>
          <w:i/>
          <w:sz w:val="20"/>
          <w:szCs w:val="20"/>
          <w:lang w:eastAsia="en-US"/>
        </w:rPr>
        <w:tab/>
        <w:t>Consideraciones de la Corte</w:t>
      </w:r>
      <w:bookmarkEnd w:id="113"/>
    </w:p>
    <w:p w:rsidR="00D7405E" w:rsidRPr="00447422" w:rsidRDefault="00D7405E" w:rsidP="00880A84">
      <w:pPr>
        <w:rPr>
          <w:rFonts w:eastAsia="MS Mincho" w:cs="Arial"/>
          <w:b/>
          <w:bCs/>
          <w:sz w:val="20"/>
          <w:szCs w:val="20"/>
          <w:lang w:eastAsia="en-US"/>
        </w:rPr>
      </w:pPr>
    </w:p>
    <w:p w:rsidR="00D7405E" w:rsidRPr="0001748B" w:rsidRDefault="00262CE1" w:rsidP="00D7405E">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En atención</w:t>
      </w:r>
      <w:r w:rsidR="00ED5B29" w:rsidRPr="0001748B">
        <w:rPr>
          <w:rFonts w:eastAsiaTheme="minorHAnsi" w:cstheme="minorBidi"/>
          <w:sz w:val="20"/>
          <w:szCs w:val="20"/>
          <w:lang w:eastAsia="en-US"/>
        </w:rPr>
        <w:t xml:space="preserve"> al reconocimiento de responsabilidad efectuado por el Estado</w:t>
      </w:r>
      <w:r w:rsidR="00D7405E" w:rsidRPr="0001748B">
        <w:rPr>
          <w:rFonts w:eastAsiaTheme="minorHAnsi" w:cstheme="minorBidi"/>
          <w:sz w:val="20"/>
          <w:szCs w:val="20"/>
          <w:lang w:eastAsia="en-US"/>
        </w:rPr>
        <w:t>,</w:t>
      </w:r>
      <w:r w:rsidR="00793BC5" w:rsidRPr="0001748B">
        <w:rPr>
          <w:rFonts w:eastAsiaTheme="minorHAnsi" w:cstheme="minorBidi"/>
          <w:sz w:val="20"/>
          <w:szCs w:val="20"/>
          <w:lang w:eastAsia="en-US"/>
        </w:rPr>
        <w:t xml:space="preserve"> la Corte constata que</w:t>
      </w:r>
      <w:r w:rsidR="00D7405E" w:rsidRPr="0001748B">
        <w:rPr>
          <w:rFonts w:eastAsiaTheme="minorHAnsi" w:cstheme="minorBidi"/>
          <w:sz w:val="20"/>
          <w:szCs w:val="20"/>
          <w:lang w:eastAsia="en-US"/>
        </w:rPr>
        <w:t xml:space="preserve"> la incertidumbre que representó para los </w:t>
      </w:r>
      <w:r w:rsidR="00C7013B">
        <w:rPr>
          <w:rFonts w:eastAsiaTheme="minorHAnsi" w:cstheme="minorBidi"/>
          <w:sz w:val="20"/>
          <w:szCs w:val="20"/>
          <w:lang w:eastAsia="en-US"/>
        </w:rPr>
        <w:t>progenitores</w:t>
      </w:r>
      <w:r w:rsidR="00D7405E" w:rsidRPr="0001748B">
        <w:rPr>
          <w:rFonts w:eastAsiaTheme="minorHAnsi" w:cstheme="minorBidi"/>
          <w:sz w:val="20"/>
          <w:szCs w:val="20"/>
          <w:lang w:eastAsia="en-US"/>
        </w:rPr>
        <w:t xml:space="preserve"> de J</w:t>
      </w:r>
      <w:r w:rsidR="00D7405E" w:rsidRPr="00B337B3">
        <w:rPr>
          <w:rFonts w:eastAsiaTheme="minorHAnsi" w:cstheme="minorBidi"/>
          <w:sz w:val="20"/>
          <w:szCs w:val="20"/>
          <w:lang w:eastAsia="en-US"/>
        </w:rPr>
        <w:t xml:space="preserve">ohan Alexis </w:t>
      </w:r>
      <w:r w:rsidR="001E52FF" w:rsidRPr="00B337B3">
        <w:rPr>
          <w:rFonts w:eastAsiaTheme="minorHAnsi" w:cstheme="minorBidi"/>
          <w:sz w:val="20"/>
          <w:szCs w:val="20"/>
          <w:lang w:eastAsia="en-US"/>
        </w:rPr>
        <w:t xml:space="preserve">Ortiz </w:t>
      </w:r>
      <w:r w:rsidR="001E52FF" w:rsidRPr="00B337B3">
        <w:rPr>
          <w:rFonts w:eastAsia="Batang"/>
          <w:sz w:val="20"/>
          <w:lang w:eastAsia="en-US"/>
        </w:rPr>
        <w:t>Hernández</w:t>
      </w:r>
      <w:r w:rsidR="001E52FF" w:rsidRPr="00B337B3">
        <w:rPr>
          <w:rFonts w:eastAsiaTheme="minorHAnsi" w:cstheme="minorBidi"/>
          <w:sz w:val="20"/>
          <w:szCs w:val="20"/>
          <w:lang w:eastAsia="en-US"/>
        </w:rPr>
        <w:t xml:space="preserve"> </w:t>
      </w:r>
      <w:r w:rsidR="00D7405E" w:rsidRPr="00B337B3">
        <w:rPr>
          <w:rFonts w:eastAsiaTheme="minorHAnsi" w:cstheme="minorBidi"/>
          <w:sz w:val="20"/>
          <w:szCs w:val="20"/>
          <w:lang w:eastAsia="en-US"/>
        </w:rPr>
        <w:t>el desconocimiento de las circunstancias de su muerte, al haber versiones diferentes sob</w:t>
      </w:r>
      <w:r w:rsidR="00D7405E" w:rsidRPr="008031E5">
        <w:rPr>
          <w:rFonts w:eastAsiaTheme="minorHAnsi" w:cstheme="minorBidi"/>
          <w:sz w:val="20"/>
          <w:szCs w:val="20"/>
          <w:lang w:eastAsia="en-US"/>
        </w:rPr>
        <w:t xml:space="preserve">re lo ocurrido, ocasionó angustia, tristeza, incertidumbre y frustración a </w:t>
      </w:r>
      <w:r w:rsidR="003055CB" w:rsidRPr="008031E5">
        <w:rPr>
          <w:rFonts w:eastAsiaTheme="minorHAnsi" w:cstheme="minorBidi"/>
          <w:sz w:val="20"/>
          <w:szCs w:val="20"/>
          <w:lang w:eastAsia="en-US"/>
        </w:rPr>
        <w:t>ellos</w:t>
      </w:r>
      <w:r w:rsidR="00D7405E" w:rsidRPr="008031E5">
        <w:rPr>
          <w:rFonts w:eastAsiaTheme="minorHAnsi" w:cstheme="minorBidi"/>
          <w:sz w:val="20"/>
          <w:szCs w:val="20"/>
          <w:lang w:eastAsia="en-US"/>
        </w:rPr>
        <w:t xml:space="preserve"> y </w:t>
      </w:r>
      <w:r w:rsidR="003055CB" w:rsidRPr="008031E5">
        <w:rPr>
          <w:rFonts w:eastAsiaTheme="minorHAnsi" w:cstheme="minorBidi"/>
          <w:sz w:val="20"/>
          <w:szCs w:val="20"/>
          <w:lang w:eastAsia="en-US"/>
        </w:rPr>
        <w:t>a</w:t>
      </w:r>
      <w:r w:rsidR="00D7405E" w:rsidRPr="008031E5">
        <w:rPr>
          <w:rFonts w:eastAsiaTheme="minorHAnsi" w:cstheme="minorBidi"/>
          <w:sz w:val="20"/>
          <w:szCs w:val="20"/>
          <w:lang w:eastAsia="en-US"/>
        </w:rPr>
        <w:t>l resto de la familia.</w:t>
      </w:r>
      <w:r w:rsidR="00D7405E" w:rsidRPr="002E1C60">
        <w:rPr>
          <w:rFonts w:eastAsia="Cambria" w:cs="Verdana"/>
          <w:sz w:val="20"/>
          <w:szCs w:val="20"/>
        </w:rPr>
        <w:t xml:space="preserve"> </w:t>
      </w:r>
      <w:r w:rsidR="00D7405E" w:rsidRPr="008031E5">
        <w:rPr>
          <w:rFonts w:eastAsia="Cambria" w:cs="Verdana"/>
          <w:sz w:val="20"/>
          <w:szCs w:val="20"/>
        </w:rPr>
        <w:t xml:space="preserve">Además, la </w:t>
      </w:r>
      <w:r w:rsidR="00B337B3" w:rsidRPr="008031E5">
        <w:rPr>
          <w:rFonts w:eastAsia="Cambria" w:cs="Verdana"/>
          <w:sz w:val="20"/>
          <w:szCs w:val="20"/>
        </w:rPr>
        <w:t xml:space="preserve">Corte considera que la falta de esclarecimiento de </w:t>
      </w:r>
      <w:r w:rsidR="00D7405E" w:rsidRPr="00B337B3">
        <w:rPr>
          <w:rFonts w:eastAsia="Cambria" w:cs="Verdana"/>
          <w:sz w:val="20"/>
          <w:szCs w:val="20"/>
        </w:rPr>
        <w:t xml:space="preserve">las circunstancias en que se produjo el deceso de la víctima </w:t>
      </w:r>
      <w:r w:rsidR="00B337B3" w:rsidRPr="008031E5">
        <w:rPr>
          <w:rFonts w:eastAsia="Cambria" w:cs="Verdana"/>
          <w:sz w:val="20"/>
          <w:szCs w:val="20"/>
        </w:rPr>
        <w:t>y</w:t>
      </w:r>
      <w:r w:rsidR="00D7405E" w:rsidRPr="00B337B3">
        <w:rPr>
          <w:rFonts w:eastAsia="Cambria" w:cs="Verdana"/>
          <w:sz w:val="20"/>
          <w:szCs w:val="20"/>
        </w:rPr>
        <w:t xml:space="preserve"> </w:t>
      </w:r>
      <w:r w:rsidR="00B337B3" w:rsidRPr="008031E5">
        <w:rPr>
          <w:rFonts w:eastAsia="Cambria" w:cs="Verdana"/>
          <w:sz w:val="20"/>
          <w:szCs w:val="20"/>
        </w:rPr>
        <w:t>de</w:t>
      </w:r>
      <w:r w:rsidR="00D7405E" w:rsidRPr="00B337B3">
        <w:rPr>
          <w:rFonts w:eastAsia="Cambria" w:cs="Verdana"/>
          <w:sz w:val="20"/>
          <w:szCs w:val="20"/>
        </w:rPr>
        <w:t xml:space="preserve"> </w:t>
      </w:r>
      <w:r w:rsidR="00B337B3" w:rsidRPr="008031E5">
        <w:rPr>
          <w:rFonts w:eastAsia="Cambria" w:cs="Verdana"/>
          <w:sz w:val="20"/>
          <w:szCs w:val="20"/>
        </w:rPr>
        <w:t>llevar a cabo</w:t>
      </w:r>
      <w:r w:rsidR="00B337B3" w:rsidRPr="00B337B3">
        <w:rPr>
          <w:rFonts w:eastAsia="Cambria" w:cs="Verdana"/>
          <w:sz w:val="20"/>
          <w:szCs w:val="20"/>
        </w:rPr>
        <w:t xml:space="preserve"> </w:t>
      </w:r>
      <w:r w:rsidR="00D7405E" w:rsidRPr="00B337B3">
        <w:rPr>
          <w:rFonts w:eastAsia="Cambria" w:cs="Verdana"/>
          <w:sz w:val="20"/>
          <w:szCs w:val="20"/>
        </w:rPr>
        <w:t xml:space="preserve">una investigación eficaz para lograr el esclarecimiento de lo sucedido </w:t>
      </w:r>
      <w:r w:rsidR="00B337B3" w:rsidRPr="008031E5">
        <w:rPr>
          <w:rFonts w:eastAsia="Cambria" w:cs="Verdana"/>
          <w:sz w:val="20"/>
          <w:szCs w:val="20"/>
        </w:rPr>
        <w:t xml:space="preserve">es </w:t>
      </w:r>
      <w:r w:rsidR="00D7405E" w:rsidRPr="00B337B3">
        <w:rPr>
          <w:rFonts w:eastAsia="Cambria" w:cs="Verdana"/>
          <w:sz w:val="20"/>
          <w:szCs w:val="20"/>
        </w:rPr>
        <w:t>una causa de acrecentamiento del sufrimiento de los familiares</w:t>
      </w:r>
      <w:r w:rsidR="00B00316" w:rsidRPr="00B337B3">
        <w:rPr>
          <w:rFonts w:eastAsia="Cambria" w:cs="Verdana"/>
          <w:sz w:val="20"/>
          <w:szCs w:val="20"/>
        </w:rPr>
        <w:t>.</w:t>
      </w:r>
      <w:r w:rsidR="00D7405E" w:rsidRPr="00B337B3">
        <w:rPr>
          <w:rFonts w:eastAsiaTheme="minorHAnsi" w:cstheme="minorBidi"/>
          <w:sz w:val="20"/>
          <w:szCs w:val="20"/>
          <w:lang w:eastAsia="en-US"/>
        </w:rPr>
        <w:t xml:space="preserve"> Todo ello, aunado al </w:t>
      </w:r>
      <w:r w:rsidR="00B337B3">
        <w:rPr>
          <w:rFonts w:eastAsiaTheme="minorHAnsi" w:cstheme="minorBidi"/>
          <w:sz w:val="20"/>
          <w:szCs w:val="20"/>
          <w:lang w:eastAsia="en-US"/>
        </w:rPr>
        <w:t>dolor</w:t>
      </w:r>
      <w:r w:rsidR="00B337B3" w:rsidRPr="00B337B3">
        <w:rPr>
          <w:rFonts w:eastAsiaTheme="minorHAnsi" w:cstheme="minorBidi"/>
          <w:sz w:val="20"/>
          <w:szCs w:val="20"/>
          <w:lang w:eastAsia="en-US"/>
        </w:rPr>
        <w:t xml:space="preserve"> </w:t>
      </w:r>
      <w:r w:rsidR="00D7405E" w:rsidRPr="00B337B3">
        <w:rPr>
          <w:rFonts w:eastAsiaTheme="minorHAnsi" w:cstheme="minorBidi"/>
          <w:sz w:val="20"/>
          <w:szCs w:val="20"/>
          <w:lang w:eastAsia="en-US"/>
        </w:rPr>
        <w:t>que implica la muerte de un ser querido en cualqu</w:t>
      </w:r>
      <w:r w:rsidR="00D7405E" w:rsidRPr="0001748B">
        <w:rPr>
          <w:rFonts w:eastAsiaTheme="minorHAnsi" w:cstheme="minorBidi"/>
          <w:sz w:val="20"/>
          <w:szCs w:val="20"/>
          <w:lang w:eastAsia="en-US"/>
        </w:rPr>
        <w:t>ier circunstancia, razón por la cual la señora Zaida Hernández</w:t>
      </w:r>
      <w:r w:rsidR="00B337B3">
        <w:rPr>
          <w:rFonts w:eastAsiaTheme="minorHAnsi" w:cstheme="minorBidi"/>
          <w:sz w:val="20"/>
          <w:szCs w:val="20"/>
          <w:lang w:eastAsia="en-US"/>
        </w:rPr>
        <w:t xml:space="preserve"> de Arellano</w:t>
      </w:r>
      <w:r w:rsidR="00D7405E" w:rsidRPr="0001748B">
        <w:rPr>
          <w:rFonts w:eastAsiaTheme="minorHAnsi" w:cstheme="minorBidi"/>
          <w:sz w:val="20"/>
          <w:szCs w:val="20"/>
          <w:lang w:eastAsia="en-US"/>
        </w:rPr>
        <w:t xml:space="preserve"> y el señor </w:t>
      </w:r>
      <w:r w:rsidR="00D9165D" w:rsidRPr="0001748B">
        <w:rPr>
          <w:rFonts w:eastAsiaTheme="minorHAnsi" w:cstheme="minorBidi"/>
          <w:sz w:val="20"/>
          <w:szCs w:val="20"/>
          <w:lang w:eastAsia="en-US"/>
        </w:rPr>
        <w:t>Edgar</w:t>
      </w:r>
      <w:r w:rsidR="00D9165D">
        <w:rPr>
          <w:rFonts w:eastAsiaTheme="minorHAnsi" w:cstheme="minorBidi"/>
          <w:sz w:val="20"/>
          <w:szCs w:val="20"/>
          <w:lang w:eastAsia="en-US"/>
        </w:rPr>
        <w:t xml:space="preserve"> Humberto</w:t>
      </w:r>
      <w:r w:rsidR="00D9165D" w:rsidRPr="0001748B">
        <w:rPr>
          <w:rFonts w:eastAsiaTheme="minorHAnsi" w:cstheme="minorBidi"/>
          <w:sz w:val="20"/>
          <w:szCs w:val="20"/>
          <w:lang w:eastAsia="en-US"/>
        </w:rPr>
        <w:t xml:space="preserve"> Ortiz</w:t>
      </w:r>
      <w:r w:rsidR="00D9165D">
        <w:rPr>
          <w:rFonts w:eastAsiaTheme="minorHAnsi" w:cstheme="minorBidi"/>
          <w:sz w:val="20"/>
          <w:szCs w:val="20"/>
          <w:lang w:eastAsia="en-US"/>
        </w:rPr>
        <w:t xml:space="preserve"> Ruiz</w:t>
      </w:r>
      <w:r w:rsidR="00D7405E" w:rsidRPr="0001748B">
        <w:rPr>
          <w:rFonts w:eastAsiaTheme="minorHAnsi" w:cstheme="minorBidi"/>
          <w:sz w:val="20"/>
          <w:szCs w:val="20"/>
          <w:lang w:eastAsia="en-US"/>
        </w:rPr>
        <w:t xml:space="preserve"> destinaron su vida y esfuerzos a realizar diligencias orientadas a esclarecer lo ocurrido a Johan Alexis aquél 15 de febrero de 1998.</w:t>
      </w:r>
    </w:p>
    <w:p w:rsidR="00D7405E" w:rsidRPr="0001748B" w:rsidRDefault="00D7405E" w:rsidP="00D7405E">
      <w:pPr>
        <w:widowControl/>
        <w:adjustRightInd/>
        <w:spacing w:line="240" w:lineRule="auto"/>
        <w:ind w:left="720"/>
        <w:textAlignment w:val="auto"/>
        <w:rPr>
          <w:rFonts w:eastAsiaTheme="minorHAnsi" w:cstheme="minorBidi"/>
          <w:sz w:val="20"/>
          <w:szCs w:val="20"/>
          <w:lang w:eastAsia="en-US"/>
        </w:rPr>
      </w:pPr>
    </w:p>
    <w:p w:rsidR="00D7405E" w:rsidRPr="0001748B" w:rsidRDefault="00D7405E" w:rsidP="00D7405E">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 xml:space="preserve">A raíz de </w:t>
      </w:r>
      <w:r w:rsidR="00EE2313">
        <w:rPr>
          <w:rFonts w:eastAsiaTheme="minorHAnsi" w:cstheme="minorBidi"/>
          <w:sz w:val="20"/>
          <w:szCs w:val="20"/>
          <w:lang w:eastAsia="en-US"/>
        </w:rPr>
        <w:t>la</w:t>
      </w:r>
      <w:r w:rsidR="00EE2313" w:rsidRPr="00AC43E7">
        <w:rPr>
          <w:rFonts w:eastAsiaTheme="minorHAnsi" w:cstheme="minorBidi"/>
          <w:sz w:val="20"/>
          <w:szCs w:val="20"/>
          <w:lang w:eastAsia="en-US"/>
        </w:rPr>
        <w:t xml:space="preserve"> </w:t>
      </w:r>
      <w:r w:rsidRPr="00AC43E7">
        <w:rPr>
          <w:rFonts w:eastAsiaTheme="minorHAnsi" w:cstheme="minorBidi"/>
          <w:sz w:val="20"/>
          <w:szCs w:val="20"/>
          <w:lang w:eastAsia="en-US"/>
        </w:rPr>
        <w:t xml:space="preserve">incertidumbre </w:t>
      </w:r>
      <w:r w:rsidR="0072345A">
        <w:rPr>
          <w:rFonts w:eastAsiaTheme="minorHAnsi" w:cstheme="minorBidi"/>
          <w:sz w:val="20"/>
          <w:szCs w:val="20"/>
          <w:lang w:eastAsia="en-US"/>
        </w:rPr>
        <w:t>en torno</w:t>
      </w:r>
      <w:r w:rsidR="00EE2313">
        <w:rPr>
          <w:rFonts w:eastAsiaTheme="minorHAnsi" w:cstheme="minorBidi"/>
          <w:sz w:val="20"/>
          <w:szCs w:val="20"/>
          <w:lang w:eastAsia="en-US"/>
        </w:rPr>
        <w:t xml:space="preserve"> las circunstancias en que se produjeron los hechos </w:t>
      </w:r>
      <w:r w:rsidRPr="00AC43E7">
        <w:rPr>
          <w:rFonts w:eastAsiaTheme="minorHAnsi" w:cstheme="minorBidi"/>
          <w:sz w:val="20"/>
          <w:szCs w:val="20"/>
          <w:lang w:eastAsia="en-US"/>
        </w:rPr>
        <w:t>y de la búsqueda de justicia que la familia inició desde la muerte de Johan Alexis</w:t>
      </w:r>
      <w:r w:rsidRPr="00AC43E7">
        <w:rPr>
          <w:rFonts w:eastAsiaTheme="minorHAnsi" w:cstheme="minorBidi"/>
          <w:sz w:val="20"/>
          <w:szCs w:val="20"/>
          <w:vertAlign w:val="superscript"/>
          <w:lang w:eastAsia="en-US"/>
        </w:rPr>
        <w:footnoteReference w:id="213"/>
      </w:r>
      <w:r w:rsidRPr="00AC43E7">
        <w:rPr>
          <w:rFonts w:eastAsiaTheme="minorHAnsi" w:cstheme="minorBidi"/>
          <w:sz w:val="20"/>
          <w:szCs w:val="20"/>
          <w:lang w:eastAsia="en-US"/>
        </w:rPr>
        <w:t xml:space="preserve">, sufrieron diversas afectaciones de índole física, psíquica y moral. </w:t>
      </w:r>
      <w:r w:rsidRPr="00DD3636">
        <w:rPr>
          <w:rFonts w:eastAsiaTheme="minorHAnsi" w:cstheme="minorBidi"/>
          <w:sz w:val="20"/>
          <w:szCs w:val="20"/>
          <w:lang w:eastAsia="en-US"/>
        </w:rPr>
        <w:t>La familia de Zaida Hernández</w:t>
      </w:r>
      <w:r w:rsidR="00AC43E7" w:rsidRPr="008031E5">
        <w:rPr>
          <w:rFonts w:eastAsiaTheme="minorHAnsi" w:cstheme="minorBidi"/>
          <w:sz w:val="20"/>
          <w:szCs w:val="20"/>
          <w:lang w:eastAsia="en-US"/>
        </w:rPr>
        <w:t xml:space="preserve"> de Arellano</w:t>
      </w:r>
      <w:r w:rsidRPr="00AC43E7">
        <w:rPr>
          <w:rFonts w:eastAsiaTheme="minorHAnsi" w:cstheme="minorBidi"/>
          <w:sz w:val="20"/>
          <w:szCs w:val="20"/>
          <w:lang w:eastAsia="en-US"/>
        </w:rPr>
        <w:t xml:space="preserve"> debió soportar dificultades socioeconómicas </w:t>
      </w:r>
      <w:r w:rsidR="00AC43E7" w:rsidRPr="008031E5">
        <w:rPr>
          <w:rFonts w:eastAsiaTheme="minorHAnsi" w:cstheme="minorBidi"/>
          <w:sz w:val="20"/>
          <w:szCs w:val="20"/>
          <w:lang w:eastAsia="en-US"/>
        </w:rPr>
        <w:t>al</w:t>
      </w:r>
      <w:r w:rsidR="00AC43E7" w:rsidRPr="00AC43E7">
        <w:rPr>
          <w:rFonts w:eastAsiaTheme="minorHAnsi" w:cstheme="minorBidi"/>
          <w:sz w:val="20"/>
          <w:szCs w:val="20"/>
          <w:lang w:eastAsia="en-US"/>
        </w:rPr>
        <w:t xml:space="preserve"> </w:t>
      </w:r>
      <w:r w:rsidRPr="00AC43E7">
        <w:rPr>
          <w:rFonts w:eastAsiaTheme="minorHAnsi" w:cstheme="minorBidi"/>
          <w:sz w:val="20"/>
          <w:szCs w:val="20"/>
          <w:lang w:eastAsia="en-US"/>
        </w:rPr>
        <w:t xml:space="preserve">perder </w:t>
      </w:r>
      <w:r w:rsidR="00AC43E7" w:rsidRPr="008031E5">
        <w:rPr>
          <w:rFonts w:eastAsiaTheme="minorHAnsi" w:cstheme="minorBidi"/>
          <w:sz w:val="20"/>
          <w:szCs w:val="20"/>
          <w:lang w:eastAsia="en-US"/>
        </w:rPr>
        <w:t>sus</w:t>
      </w:r>
      <w:r w:rsidR="00AC43E7" w:rsidRPr="00AC43E7">
        <w:rPr>
          <w:rFonts w:eastAsiaTheme="minorHAnsi" w:cstheme="minorBidi"/>
          <w:sz w:val="20"/>
          <w:szCs w:val="20"/>
          <w:lang w:eastAsia="en-US"/>
        </w:rPr>
        <w:t xml:space="preserve"> </w:t>
      </w:r>
      <w:r w:rsidRPr="00AC43E7">
        <w:rPr>
          <w:rFonts w:eastAsiaTheme="minorHAnsi" w:cstheme="minorBidi"/>
          <w:sz w:val="20"/>
          <w:szCs w:val="20"/>
          <w:lang w:eastAsia="en-US"/>
        </w:rPr>
        <w:t>fuentes laborales</w:t>
      </w:r>
      <w:r w:rsidR="00AC43E7" w:rsidRPr="008031E5">
        <w:rPr>
          <w:rFonts w:eastAsiaTheme="minorHAnsi" w:cstheme="minorBidi"/>
          <w:sz w:val="20"/>
          <w:szCs w:val="20"/>
          <w:lang w:eastAsia="en-US"/>
        </w:rPr>
        <w:t>,</w:t>
      </w:r>
      <w:r w:rsidRPr="00AC43E7">
        <w:rPr>
          <w:rFonts w:eastAsiaTheme="minorHAnsi" w:cstheme="minorBidi"/>
          <w:sz w:val="20"/>
          <w:szCs w:val="20"/>
          <w:lang w:eastAsia="en-US"/>
        </w:rPr>
        <w:t xml:space="preserve"> tras recibir</w:t>
      </w:r>
      <w:r w:rsidR="00E32E0D">
        <w:rPr>
          <w:rFonts w:eastAsiaTheme="minorHAnsi" w:cstheme="minorBidi"/>
          <w:sz w:val="20"/>
          <w:szCs w:val="20"/>
          <w:lang w:eastAsia="en-US"/>
        </w:rPr>
        <w:t xml:space="preserve"> </w:t>
      </w:r>
      <w:r w:rsidRPr="00AC43E7">
        <w:rPr>
          <w:rFonts w:eastAsiaTheme="minorHAnsi" w:cstheme="minorBidi"/>
          <w:sz w:val="20"/>
          <w:szCs w:val="20"/>
          <w:lang w:eastAsia="en-US"/>
        </w:rPr>
        <w:t>comunicaciones amenazantes,</w:t>
      </w:r>
      <w:r w:rsidR="00E32E0D">
        <w:rPr>
          <w:rFonts w:eastAsiaTheme="minorHAnsi" w:cstheme="minorBidi"/>
          <w:sz w:val="20"/>
          <w:szCs w:val="20"/>
          <w:lang w:eastAsia="en-US"/>
        </w:rPr>
        <w:t xml:space="preserve"> </w:t>
      </w:r>
      <w:r w:rsidRPr="00AC43E7">
        <w:rPr>
          <w:rFonts w:eastAsiaTheme="minorHAnsi" w:cstheme="minorBidi"/>
          <w:sz w:val="20"/>
          <w:szCs w:val="20"/>
          <w:lang w:eastAsia="en-US"/>
        </w:rPr>
        <w:t>por lo que debieron trasladarse varias veces a otros lugares e in</w:t>
      </w:r>
      <w:r w:rsidRPr="005D718F">
        <w:rPr>
          <w:rFonts w:eastAsiaTheme="minorHAnsi" w:cstheme="minorBidi"/>
          <w:sz w:val="20"/>
          <w:szCs w:val="20"/>
          <w:lang w:eastAsia="en-US"/>
        </w:rPr>
        <w:t xml:space="preserve">tentar establecerse sin estas dificultades, situación que no fue posible, lo que impactó también </w:t>
      </w:r>
      <w:r w:rsidR="005D718F">
        <w:rPr>
          <w:rFonts w:eastAsiaTheme="minorHAnsi" w:cstheme="minorBidi"/>
          <w:sz w:val="20"/>
          <w:szCs w:val="20"/>
          <w:lang w:eastAsia="en-US"/>
        </w:rPr>
        <w:t xml:space="preserve">en </w:t>
      </w:r>
      <w:r w:rsidRPr="005D718F">
        <w:rPr>
          <w:rFonts w:eastAsiaTheme="minorHAnsi" w:cstheme="minorBidi"/>
          <w:sz w:val="20"/>
          <w:szCs w:val="20"/>
          <w:lang w:eastAsia="en-US"/>
        </w:rPr>
        <w:t>la vida de sus hijos</w:t>
      </w:r>
      <w:r w:rsidR="00AC43E7" w:rsidRPr="005211E1">
        <w:rPr>
          <w:rFonts w:eastAsiaTheme="minorHAnsi" w:cstheme="minorBidi"/>
          <w:sz w:val="20"/>
          <w:szCs w:val="20"/>
          <w:vertAlign w:val="superscript"/>
          <w:lang w:eastAsia="en-US"/>
        </w:rPr>
        <w:footnoteReference w:id="214"/>
      </w:r>
      <w:r w:rsidRPr="00DD3636">
        <w:rPr>
          <w:rFonts w:eastAsiaTheme="minorHAnsi" w:cstheme="minorBidi"/>
          <w:sz w:val="20"/>
          <w:szCs w:val="20"/>
          <w:lang w:eastAsia="en-US"/>
        </w:rPr>
        <w:t xml:space="preserve">. Asimismo, cambió la dinámica familiar en tanto todos los esfuerzos de </w:t>
      </w:r>
      <w:r w:rsidR="00846850" w:rsidRPr="002C16A7">
        <w:rPr>
          <w:rFonts w:eastAsiaTheme="minorHAnsi" w:cstheme="minorBidi"/>
          <w:sz w:val="20"/>
          <w:szCs w:val="20"/>
          <w:lang w:eastAsia="en-US"/>
        </w:rPr>
        <w:t>la señora</w:t>
      </w:r>
      <w:r w:rsidRPr="002C16A7">
        <w:rPr>
          <w:rFonts w:eastAsiaTheme="minorHAnsi" w:cstheme="minorBidi"/>
          <w:sz w:val="20"/>
          <w:szCs w:val="20"/>
          <w:lang w:eastAsia="en-US"/>
        </w:rPr>
        <w:t xml:space="preserve"> Hernández </w:t>
      </w:r>
      <w:r w:rsidR="002C16A7">
        <w:rPr>
          <w:rFonts w:eastAsiaTheme="minorHAnsi" w:cstheme="minorBidi"/>
          <w:sz w:val="20"/>
          <w:szCs w:val="20"/>
          <w:lang w:eastAsia="en-US"/>
        </w:rPr>
        <w:t xml:space="preserve">de Arellano </w:t>
      </w:r>
      <w:r w:rsidRPr="002C16A7">
        <w:rPr>
          <w:rFonts w:eastAsiaTheme="minorHAnsi" w:cstheme="minorBidi"/>
          <w:sz w:val="20"/>
          <w:szCs w:val="20"/>
          <w:lang w:eastAsia="en-US"/>
        </w:rPr>
        <w:t>se orienta</w:t>
      </w:r>
      <w:r w:rsidRPr="0001748B">
        <w:rPr>
          <w:rFonts w:eastAsiaTheme="minorHAnsi" w:cstheme="minorBidi"/>
          <w:sz w:val="20"/>
          <w:szCs w:val="20"/>
          <w:lang w:eastAsia="en-US"/>
        </w:rPr>
        <w:t>ban a la consecución de información relativa a la muerte de Johan Alexis, dejando de lado a su esposo y sus hijos, quienes debieron continuar su vida en medio de conflictos y circunstancias difíciles por las que pasaban constantemente</w:t>
      </w:r>
      <w:r w:rsidRPr="0001748B">
        <w:rPr>
          <w:rFonts w:eastAsiaTheme="minorHAnsi" w:cstheme="minorBidi"/>
          <w:sz w:val="20"/>
          <w:szCs w:val="20"/>
          <w:vertAlign w:val="superscript"/>
          <w:lang w:eastAsia="en-US"/>
        </w:rPr>
        <w:footnoteReference w:id="215"/>
      </w:r>
      <w:r w:rsidRPr="0001748B">
        <w:rPr>
          <w:rFonts w:eastAsiaTheme="minorHAnsi" w:cstheme="minorBidi"/>
          <w:sz w:val="20"/>
          <w:szCs w:val="20"/>
          <w:lang w:eastAsia="en-US"/>
        </w:rPr>
        <w:t>.</w:t>
      </w:r>
    </w:p>
    <w:p w:rsidR="00D7405E" w:rsidRPr="0001748B" w:rsidRDefault="00D7405E" w:rsidP="00025273">
      <w:pPr>
        <w:widowControl/>
        <w:adjustRightInd/>
        <w:spacing w:line="240" w:lineRule="auto"/>
        <w:textAlignment w:val="auto"/>
        <w:rPr>
          <w:rFonts w:eastAsiaTheme="minorHAnsi" w:cstheme="minorBidi"/>
          <w:sz w:val="20"/>
          <w:szCs w:val="20"/>
          <w:lang w:eastAsia="en-US"/>
        </w:rPr>
      </w:pPr>
    </w:p>
    <w:p w:rsidR="00D7405E" w:rsidRPr="0001748B" w:rsidRDefault="00D7405E" w:rsidP="00D7405E">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Por otra parte, la familia paterna de Johan Alexis fue afectada en lo referido a su seguridad, puesto que por distintas situaciones padecidas por el señor Edgar</w:t>
      </w:r>
      <w:r w:rsidR="004D6112">
        <w:rPr>
          <w:rFonts w:eastAsiaTheme="minorHAnsi" w:cstheme="minorBidi"/>
          <w:sz w:val="20"/>
          <w:szCs w:val="20"/>
          <w:lang w:eastAsia="en-US"/>
        </w:rPr>
        <w:t xml:space="preserve"> Humberto</w:t>
      </w:r>
      <w:r w:rsidRPr="0001748B">
        <w:rPr>
          <w:rFonts w:eastAsiaTheme="minorHAnsi" w:cstheme="minorBidi"/>
          <w:sz w:val="20"/>
          <w:szCs w:val="20"/>
          <w:lang w:eastAsia="en-US"/>
        </w:rPr>
        <w:t xml:space="preserve"> Ortiz</w:t>
      </w:r>
      <w:r w:rsidR="004D6112">
        <w:rPr>
          <w:rFonts w:eastAsiaTheme="minorHAnsi" w:cstheme="minorBidi"/>
          <w:sz w:val="20"/>
          <w:szCs w:val="20"/>
          <w:lang w:eastAsia="en-US"/>
        </w:rPr>
        <w:t xml:space="preserve"> Ruiz</w:t>
      </w:r>
      <w:r w:rsidRPr="0001748B">
        <w:rPr>
          <w:rFonts w:eastAsiaTheme="minorHAnsi" w:cstheme="minorBidi"/>
          <w:sz w:val="20"/>
          <w:szCs w:val="20"/>
          <w:lang w:eastAsia="en-US"/>
        </w:rPr>
        <w:t xml:space="preserve"> y los demás miembros de la familia, se sentían en constante riesgo y bajo amenaza </w:t>
      </w:r>
      <w:r w:rsidR="006F27E1" w:rsidRPr="0001748B">
        <w:rPr>
          <w:rFonts w:eastAsiaTheme="minorHAnsi" w:cstheme="minorBidi"/>
          <w:sz w:val="20"/>
          <w:szCs w:val="20"/>
          <w:lang w:eastAsia="en-US"/>
        </w:rPr>
        <w:t>de</w:t>
      </w:r>
      <w:r w:rsidRPr="0001748B">
        <w:rPr>
          <w:rFonts w:eastAsiaTheme="minorHAnsi" w:cstheme="minorBidi"/>
          <w:sz w:val="20"/>
          <w:szCs w:val="20"/>
          <w:lang w:eastAsia="en-US"/>
        </w:rPr>
        <w:t xml:space="preserve"> quienes querían evitar que continuaran con las averiguaciones sobre lo ocurrido</w:t>
      </w:r>
      <w:r w:rsidR="001F25F5" w:rsidRPr="0001748B">
        <w:rPr>
          <w:rFonts w:eastAsiaTheme="minorHAnsi" w:cstheme="minorBidi"/>
          <w:sz w:val="20"/>
          <w:szCs w:val="20"/>
          <w:vertAlign w:val="superscript"/>
          <w:lang w:eastAsia="en-US"/>
        </w:rPr>
        <w:footnoteReference w:id="216"/>
      </w:r>
      <w:r w:rsidRPr="0001748B">
        <w:rPr>
          <w:rFonts w:eastAsiaTheme="minorHAnsi" w:cstheme="minorBidi"/>
          <w:sz w:val="20"/>
          <w:szCs w:val="20"/>
          <w:lang w:eastAsia="en-US"/>
        </w:rPr>
        <w:t xml:space="preserve">. La familia temía estar en la calle y los padres se volvieron sobreprotectores por miedo al riesgo que corrían sus </w:t>
      </w:r>
      <w:r w:rsidR="006F27E1" w:rsidRPr="0001748B">
        <w:rPr>
          <w:rFonts w:eastAsiaTheme="minorHAnsi" w:cstheme="minorBidi"/>
          <w:sz w:val="20"/>
          <w:szCs w:val="20"/>
          <w:lang w:eastAsia="en-US"/>
        </w:rPr>
        <w:t xml:space="preserve">hijos </w:t>
      </w:r>
      <w:r w:rsidRPr="0001748B">
        <w:rPr>
          <w:rFonts w:eastAsiaTheme="minorHAnsi" w:cstheme="minorBidi"/>
          <w:sz w:val="20"/>
          <w:szCs w:val="20"/>
          <w:lang w:eastAsia="en-US"/>
        </w:rPr>
        <w:t>al salir del hogar</w:t>
      </w:r>
      <w:r w:rsidR="006F27E1" w:rsidRPr="0001748B">
        <w:rPr>
          <w:rFonts w:eastAsiaTheme="minorHAnsi" w:cstheme="minorBidi"/>
          <w:sz w:val="20"/>
          <w:szCs w:val="20"/>
          <w:lang w:eastAsia="en-US"/>
        </w:rPr>
        <w:t xml:space="preserve">. </w:t>
      </w:r>
      <w:r w:rsidR="00600CAA">
        <w:rPr>
          <w:rFonts w:eastAsiaTheme="minorHAnsi" w:cstheme="minorBidi"/>
          <w:sz w:val="20"/>
          <w:szCs w:val="20"/>
          <w:lang w:eastAsia="en-US"/>
        </w:rPr>
        <w:t>Además</w:t>
      </w:r>
      <w:r w:rsidRPr="0001748B">
        <w:rPr>
          <w:rFonts w:eastAsiaTheme="minorHAnsi" w:cstheme="minorBidi"/>
          <w:sz w:val="20"/>
          <w:szCs w:val="20"/>
          <w:lang w:eastAsia="en-US"/>
        </w:rPr>
        <w:t>, sin poder denunciar los hechos</w:t>
      </w:r>
      <w:r w:rsidR="006F27E1" w:rsidRPr="0001748B">
        <w:rPr>
          <w:rFonts w:eastAsiaTheme="minorHAnsi" w:cstheme="minorBidi"/>
          <w:sz w:val="20"/>
          <w:szCs w:val="20"/>
          <w:lang w:eastAsia="en-US"/>
        </w:rPr>
        <w:t>,</w:t>
      </w:r>
      <w:r w:rsidRPr="0001748B">
        <w:rPr>
          <w:rFonts w:eastAsiaTheme="minorHAnsi" w:cstheme="minorBidi"/>
          <w:sz w:val="20"/>
          <w:szCs w:val="20"/>
          <w:lang w:eastAsia="en-US"/>
        </w:rPr>
        <w:t xml:space="preserve"> pues no eran tomados en cuenta por las autoridades</w:t>
      </w:r>
      <w:r w:rsidR="006F27E1" w:rsidRPr="0001748B">
        <w:rPr>
          <w:rFonts w:eastAsiaTheme="minorHAnsi" w:cstheme="minorBidi"/>
          <w:sz w:val="20"/>
          <w:szCs w:val="20"/>
          <w:lang w:eastAsia="en-US"/>
        </w:rPr>
        <w:t xml:space="preserve"> ya que</w:t>
      </w:r>
      <w:r w:rsidRPr="0001748B">
        <w:rPr>
          <w:rFonts w:eastAsiaTheme="minorHAnsi" w:cstheme="minorBidi"/>
          <w:sz w:val="20"/>
          <w:szCs w:val="20"/>
          <w:lang w:eastAsia="en-US"/>
        </w:rPr>
        <w:t xml:space="preserve"> les decían que “[…] estaban dañando al Estado […]”</w:t>
      </w:r>
      <w:r w:rsidRPr="0001748B">
        <w:rPr>
          <w:rFonts w:eastAsiaTheme="minorHAnsi" w:cstheme="minorBidi"/>
          <w:sz w:val="20"/>
          <w:szCs w:val="20"/>
          <w:vertAlign w:val="superscript"/>
          <w:lang w:eastAsia="en-US"/>
        </w:rPr>
        <w:footnoteReference w:id="217"/>
      </w:r>
      <w:r w:rsidRPr="0001748B">
        <w:rPr>
          <w:rFonts w:eastAsiaTheme="minorHAnsi" w:cstheme="minorBidi"/>
          <w:sz w:val="20"/>
          <w:szCs w:val="20"/>
          <w:lang w:eastAsia="en-US"/>
        </w:rPr>
        <w:t xml:space="preserve"> y, por tanto, se encontraban en un </w:t>
      </w:r>
      <w:r w:rsidRPr="0001748B">
        <w:rPr>
          <w:rFonts w:eastAsiaTheme="minorHAnsi" w:cstheme="minorBidi"/>
          <w:sz w:val="20"/>
          <w:szCs w:val="20"/>
          <w:lang w:eastAsia="en-US"/>
        </w:rPr>
        <w:lastRenderedPageBreak/>
        <w:t>estado de total indefensión.</w:t>
      </w:r>
    </w:p>
    <w:p w:rsidR="00D7405E" w:rsidRPr="0001748B" w:rsidRDefault="00D7405E" w:rsidP="00D7405E">
      <w:pPr>
        <w:widowControl/>
        <w:adjustRightInd/>
        <w:spacing w:line="240" w:lineRule="auto"/>
        <w:ind w:left="720"/>
        <w:textAlignment w:val="auto"/>
        <w:rPr>
          <w:rFonts w:eastAsiaTheme="minorHAnsi" w:cstheme="minorBidi"/>
          <w:sz w:val="20"/>
          <w:szCs w:val="20"/>
          <w:lang w:eastAsia="en-US"/>
        </w:rPr>
      </w:pPr>
    </w:p>
    <w:p w:rsidR="00D7405E" w:rsidRPr="0001748B" w:rsidRDefault="00D7405E" w:rsidP="00D7405E">
      <w:pPr>
        <w:numPr>
          <w:ilvl w:val="0"/>
          <w:numId w:val="1"/>
        </w:numPr>
        <w:tabs>
          <w:tab w:val="left" w:pos="567"/>
          <w:tab w:val="num" w:pos="5057"/>
        </w:tabs>
        <w:spacing w:line="240" w:lineRule="auto"/>
        <w:ind w:left="0" w:firstLine="0"/>
        <w:rPr>
          <w:rFonts w:eastAsiaTheme="minorHAnsi" w:cstheme="minorBidi"/>
          <w:sz w:val="20"/>
          <w:szCs w:val="20"/>
          <w:lang w:eastAsia="en-US"/>
        </w:rPr>
      </w:pPr>
      <w:r w:rsidRPr="0001748B">
        <w:rPr>
          <w:rFonts w:eastAsiaTheme="minorHAnsi" w:cstheme="minorBidi"/>
          <w:sz w:val="20"/>
          <w:szCs w:val="20"/>
          <w:lang w:eastAsia="en-US"/>
        </w:rPr>
        <w:t>Los familiares maternos y paternos de Johan Alexis Ortiz Hernández sufrieron</w:t>
      </w:r>
      <w:r w:rsidR="00600CAA">
        <w:rPr>
          <w:rFonts w:eastAsiaTheme="minorHAnsi" w:cstheme="minorBidi"/>
          <w:sz w:val="20"/>
          <w:szCs w:val="20"/>
          <w:lang w:eastAsia="en-US"/>
        </w:rPr>
        <w:t>,</w:t>
      </w:r>
      <w:r w:rsidRPr="0001748B">
        <w:rPr>
          <w:rFonts w:eastAsiaTheme="minorHAnsi" w:cstheme="minorBidi"/>
          <w:sz w:val="20"/>
          <w:szCs w:val="20"/>
          <w:lang w:eastAsia="en-US"/>
        </w:rPr>
        <w:t xml:space="preserve"> además</w:t>
      </w:r>
      <w:r w:rsidR="00600CAA">
        <w:rPr>
          <w:rFonts w:eastAsiaTheme="minorHAnsi" w:cstheme="minorBidi"/>
          <w:sz w:val="20"/>
          <w:szCs w:val="20"/>
          <w:lang w:eastAsia="en-US"/>
        </w:rPr>
        <w:t>,</w:t>
      </w:r>
      <w:r w:rsidRPr="0001748B">
        <w:rPr>
          <w:rFonts w:eastAsiaTheme="minorHAnsi" w:cstheme="minorBidi"/>
          <w:sz w:val="20"/>
          <w:szCs w:val="20"/>
          <w:lang w:eastAsia="en-US"/>
        </w:rPr>
        <w:t xml:space="preserve"> diversos atentados físicos en la vía pública y en sus domicilios. La casa de la madre fue atacada en diversas oportunidades con piedras y mensajes amenazantes por sus actuaciones orientadas a esclarecer lo ocurrido a su hijo, además de llamadas telefónicas reiterando las amenazas</w:t>
      </w:r>
      <w:r w:rsidRPr="0001748B">
        <w:rPr>
          <w:rFonts w:eastAsiaTheme="minorHAnsi" w:cstheme="minorBidi"/>
          <w:sz w:val="20"/>
          <w:szCs w:val="20"/>
          <w:vertAlign w:val="superscript"/>
          <w:lang w:eastAsia="en-US"/>
        </w:rPr>
        <w:footnoteReference w:id="218"/>
      </w:r>
      <w:r w:rsidRPr="0001748B">
        <w:rPr>
          <w:rFonts w:eastAsiaTheme="minorHAnsi" w:cstheme="minorBidi"/>
          <w:sz w:val="20"/>
          <w:szCs w:val="20"/>
          <w:lang w:eastAsia="en-US"/>
        </w:rPr>
        <w:t>. Por su parte, la casa del padre de la víctima y su familia fue atacada con impactos de bala, cuando se encontraban todos sus miembros en el interior de la misma</w:t>
      </w:r>
      <w:r w:rsidRPr="0001748B">
        <w:rPr>
          <w:rFonts w:eastAsiaTheme="minorHAnsi" w:cstheme="minorBidi"/>
          <w:sz w:val="20"/>
          <w:szCs w:val="20"/>
          <w:vertAlign w:val="superscript"/>
          <w:lang w:eastAsia="en-US"/>
        </w:rPr>
        <w:footnoteReference w:id="219"/>
      </w:r>
      <w:r w:rsidRPr="0001748B">
        <w:rPr>
          <w:rFonts w:eastAsiaTheme="minorHAnsi" w:cstheme="minorBidi"/>
          <w:sz w:val="20"/>
          <w:szCs w:val="20"/>
          <w:lang w:eastAsia="en-US"/>
        </w:rPr>
        <w:t>. Estos atentados incrementaron la sensación de inseguridad de ambos núcleos familiares.</w:t>
      </w:r>
    </w:p>
    <w:p w:rsidR="00D7405E" w:rsidRPr="0001748B" w:rsidRDefault="00D7405E" w:rsidP="008031E5">
      <w:pPr>
        <w:widowControl/>
        <w:adjustRightInd/>
        <w:spacing w:line="240" w:lineRule="auto"/>
        <w:textAlignment w:val="auto"/>
        <w:rPr>
          <w:rFonts w:eastAsiaTheme="minorHAnsi" w:cstheme="minorBidi"/>
          <w:sz w:val="20"/>
          <w:szCs w:val="20"/>
          <w:lang w:eastAsia="en-US"/>
        </w:rPr>
      </w:pPr>
    </w:p>
    <w:p w:rsidR="00D34676" w:rsidRDefault="00D7405E" w:rsidP="00D34676">
      <w:pPr>
        <w:numPr>
          <w:ilvl w:val="0"/>
          <w:numId w:val="1"/>
        </w:numPr>
        <w:tabs>
          <w:tab w:val="left" w:pos="567"/>
          <w:tab w:val="num" w:pos="5057"/>
        </w:tabs>
        <w:spacing w:line="240" w:lineRule="auto"/>
        <w:ind w:left="0" w:firstLine="0"/>
        <w:rPr>
          <w:rFonts w:eastAsia="Times"/>
          <w:sz w:val="20"/>
          <w:szCs w:val="20"/>
        </w:rPr>
      </w:pPr>
      <w:r w:rsidRPr="0001748B">
        <w:rPr>
          <w:rFonts w:eastAsiaTheme="minorHAnsi" w:cstheme="minorBidi"/>
          <w:sz w:val="20"/>
          <w:szCs w:val="20"/>
          <w:lang w:eastAsia="en-US"/>
        </w:rPr>
        <w:t>Por lo anterior</w:t>
      </w:r>
      <w:r w:rsidR="001B626E" w:rsidRPr="0001748B">
        <w:rPr>
          <w:rFonts w:eastAsiaTheme="minorHAnsi" w:cstheme="minorBidi"/>
          <w:sz w:val="20"/>
          <w:szCs w:val="20"/>
          <w:lang w:eastAsia="en-US"/>
        </w:rPr>
        <w:t xml:space="preserve"> y en atención al reconocimiento de responsabilidad estatal, </w:t>
      </w:r>
      <w:r w:rsidRPr="0001748B">
        <w:rPr>
          <w:rFonts w:eastAsiaTheme="minorHAnsi" w:cstheme="minorBidi"/>
          <w:sz w:val="20"/>
          <w:szCs w:val="20"/>
          <w:lang w:eastAsia="en-US"/>
        </w:rPr>
        <w:t>l</w:t>
      </w:r>
      <w:r w:rsidR="001B626E" w:rsidRPr="0001748B">
        <w:rPr>
          <w:rFonts w:eastAsiaTheme="minorHAnsi" w:cstheme="minorBidi"/>
          <w:sz w:val="20"/>
          <w:szCs w:val="20"/>
          <w:lang w:eastAsia="en-US"/>
        </w:rPr>
        <w:t xml:space="preserve">a Corte </w:t>
      </w:r>
      <w:r w:rsidR="00887AD6" w:rsidRPr="0001748B">
        <w:rPr>
          <w:rFonts w:eastAsiaTheme="minorHAnsi" w:cstheme="minorBidi"/>
          <w:sz w:val="20"/>
          <w:szCs w:val="20"/>
          <w:lang w:eastAsia="en-US"/>
        </w:rPr>
        <w:t xml:space="preserve">concluye </w:t>
      </w:r>
      <w:r w:rsidR="001B626E" w:rsidRPr="0001748B">
        <w:rPr>
          <w:rFonts w:eastAsiaTheme="minorHAnsi" w:cstheme="minorBidi"/>
          <w:sz w:val="20"/>
          <w:szCs w:val="20"/>
          <w:lang w:eastAsia="en-US"/>
        </w:rPr>
        <w:t>que</w:t>
      </w:r>
      <w:r w:rsidRPr="0001748B">
        <w:rPr>
          <w:rFonts w:eastAsiaTheme="minorHAnsi" w:cstheme="minorBidi"/>
          <w:sz w:val="20"/>
          <w:szCs w:val="20"/>
          <w:lang w:eastAsia="en-US"/>
        </w:rPr>
        <w:t xml:space="preserve"> el Estado de Venezuela incurrió en actuaciones y omisiones relativas a la muerte de Johan Alexis Ortiz Hernández, que configuran violaciones al derecho a la integridad personal en perjuicio de </w:t>
      </w:r>
      <w:r w:rsidR="00CB2DF0">
        <w:rPr>
          <w:rFonts w:eastAsiaTheme="minorHAnsi" w:cstheme="minorBidi"/>
          <w:sz w:val="20"/>
          <w:szCs w:val="20"/>
          <w:lang w:eastAsia="en-US"/>
        </w:rPr>
        <w:t>sus</w:t>
      </w:r>
      <w:r w:rsidR="00CB2DF0" w:rsidRPr="0001748B">
        <w:rPr>
          <w:rFonts w:eastAsiaTheme="minorHAnsi" w:cstheme="minorBidi"/>
          <w:sz w:val="20"/>
          <w:szCs w:val="20"/>
          <w:lang w:eastAsia="en-US"/>
        </w:rPr>
        <w:t xml:space="preserve"> </w:t>
      </w:r>
      <w:r w:rsidRPr="0001748B">
        <w:rPr>
          <w:rFonts w:eastAsiaTheme="minorHAnsi" w:cstheme="minorBidi"/>
          <w:sz w:val="20"/>
          <w:szCs w:val="20"/>
          <w:lang w:eastAsia="en-US"/>
        </w:rPr>
        <w:t>familiares, id</w:t>
      </w:r>
      <w:r w:rsidRPr="006165E6">
        <w:rPr>
          <w:rFonts w:eastAsiaTheme="minorHAnsi" w:cstheme="minorBidi"/>
          <w:sz w:val="20"/>
          <w:szCs w:val="20"/>
          <w:lang w:eastAsia="en-US"/>
        </w:rPr>
        <w:t xml:space="preserve">entificados como </w:t>
      </w:r>
      <w:r w:rsidR="00D34676" w:rsidRPr="001D14E1">
        <w:rPr>
          <w:rFonts w:eastAsia="Times"/>
          <w:sz w:val="20"/>
          <w:szCs w:val="20"/>
        </w:rPr>
        <w:t>Zaida Hernández de Arellano</w:t>
      </w:r>
      <w:r w:rsidR="00D34676">
        <w:rPr>
          <w:rFonts w:eastAsia="Times"/>
          <w:sz w:val="20"/>
          <w:szCs w:val="20"/>
        </w:rPr>
        <w:t>,</w:t>
      </w:r>
      <w:r w:rsidR="00D34676" w:rsidRPr="001D14E1">
        <w:rPr>
          <w:rFonts w:eastAsia="Times"/>
          <w:sz w:val="20"/>
          <w:szCs w:val="20"/>
        </w:rPr>
        <w:t xml:space="preserve"> Edgar Humberto Ortiz Ruiz</w:t>
      </w:r>
      <w:r w:rsidR="00D34676">
        <w:rPr>
          <w:rFonts w:eastAsia="Times"/>
          <w:sz w:val="20"/>
          <w:szCs w:val="20"/>
        </w:rPr>
        <w:t>,</w:t>
      </w:r>
      <w:r w:rsidR="00D34676" w:rsidRPr="001D14E1">
        <w:rPr>
          <w:rFonts w:eastAsia="Times"/>
          <w:sz w:val="20"/>
          <w:szCs w:val="20"/>
        </w:rPr>
        <w:t xml:space="preserve"> Saúl Arellano Mora</w:t>
      </w:r>
      <w:r w:rsidR="00D34676">
        <w:rPr>
          <w:rFonts w:eastAsia="Times"/>
          <w:sz w:val="20"/>
          <w:szCs w:val="20"/>
        </w:rPr>
        <w:t>,</w:t>
      </w:r>
      <w:r w:rsidR="00D34676" w:rsidRPr="001D14E1">
        <w:rPr>
          <w:rFonts w:eastAsia="Times"/>
          <w:sz w:val="20"/>
          <w:szCs w:val="20"/>
        </w:rPr>
        <w:t xml:space="preserve"> Maritza González Cordero</w:t>
      </w:r>
      <w:r w:rsidR="00D34676">
        <w:rPr>
          <w:rFonts w:eastAsia="Times"/>
          <w:sz w:val="20"/>
          <w:szCs w:val="20"/>
        </w:rPr>
        <w:t>,</w:t>
      </w:r>
      <w:r w:rsidR="00D34676" w:rsidRPr="001D14E1">
        <w:rPr>
          <w:rFonts w:eastAsia="Times"/>
          <w:sz w:val="20"/>
          <w:szCs w:val="20"/>
        </w:rPr>
        <w:t xml:space="preserve"> Jeckson Edgardo Ortiz González</w:t>
      </w:r>
      <w:r w:rsidR="00D34676">
        <w:rPr>
          <w:rFonts w:eastAsia="Times"/>
          <w:sz w:val="20"/>
          <w:szCs w:val="20"/>
        </w:rPr>
        <w:t>,</w:t>
      </w:r>
      <w:r w:rsidR="00D34676" w:rsidRPr="001D14E1">
        <w:rPr>
          <w:rFonts w:eastAsia="Times"/>
          <w:sz w:val="20"/>
          <w:szCs w:val="20"/>
        </w:rPr>
        <w:t xml:space="preserve"> Greyssi Maried Ortiz González</w:t>
      </w:r>
      <w:r w:rsidR="00D34676">
        <w:rPr>
          <w:rFonts w:eastAsia="Times"/>
          <w:sz w:val="20"/>
          <w:szCs w:val="20"/>
        </w:rPr>
        <w:t>,</w:t>
      </w:r>
      <w:r w:rsidR="00D34676" w:rsidRPr="001D14E1">
        <w:rPr>
          <w:rFonts w:eastAsia="Times"/>
          <w:sz w:val="20"/>
          <w:szCs w:val="20"/>
        </w:rPr>
        <w:t xml:space="preserve"> Gregory Leonardo </w:t>
      </w:r>
      <w:r w:rsidR="00D34676">
        <w:rPr>
          <w:rFonts w:eastAsia="Times"/>
          <w:sz w:val="20"/>
          <w:szCs w:val="20"/>
        </w:rPr>
        <w:t>Ortiz González,</w:t>
      </w:r>
      <w:r w:rsidR="00D34676" w:rsidRPr="001D14E1">
        <w:rPr>
          <w:rFonts w:eastAsia="Times"/>
          <w:sz w:val="20"/>
          <w:szCs w:val="20"/>
        </w:rPr>
        <w:t xml:space="preserve"> Zaida Dariana Arellano Hernández y Saúl Johan Arellano Hernández.</w:t>
      </w:r>
    </w:p>
    <w:p w:rsidR="006F624A" w:rsidRPr="0001748B" w:rsidRDefault="006F624A" w:rsidP="00EE1B6B">
      <w:pPr>
        <w:widowControl/>
        <w:adjustRightInd/>
        <w:spacing w:line="240" w:lineRule="auto"/>
        <w:textAlignment w:val="auto"/>
        <w:rPr>
          <w:rFonts w:eastAsiaTheme="minorHAnsi" w:cstheme="minorBidi"/>
          <w:sz w:val="20"/>
          <w:szCs w:val="20"/>
          <w:lang w:eastAsia="en-US"/>
        </w:rPr>
      </w:pPr>
    </w:p>
    <w:p w:rsidR="0095557D" w:rsidRPr="0001748B" w:rsidRDefault="0095557D" w:rsidP="0095557D">
      <w:pPr>
        <w:keepNext/>
        <w:keepLines/>
        <w:tabs>
          <w:tab w:val="left" w:pos="851"/>
        </w:tabs>
        <w:spacing w:line="240" w:lineRule="auto"/>
        <w:jc w:val="center"/>
        <w:outlineLvl w:val="0"/>
        <w:rPr>
          <w:rFonts w:cs="Verdana"/>
          <w:b/>
          <w:bCs/>
          <w:caps/>
          <w:snapToGrid w:val="0"/>
          <w:sz w:val="20"/>
          <w:szCs w:val="20"/>
        </w:rPr>
      </w:pPr>
      <w:bookmarkStart w:id="114" w:name="_Toc375517149"/>
      <w:bookmarkStart w:id="115" w:name="_Toc449460763"/>
      <w:bookmarkStart w:id="116" w:name="_Toc459158147"/>
      <w:bookmarkStart w:id="117" w:name="_Toc495658693"/>
      <w:r w:rsidRPr="0001748B">
        <w:rPr>
          <w:rFonts w:cs="Verdana"/>
          <w:b/>
          <w:bCs/>
          <w:caps/>
          <w:snapToGrid w:val="0"/>
          <w:sz w:val="20"/>
          <w:szCs w:val="20"/>
        </w:rPr>
        <w:t>VIII</w:t>
      </w:r>
      <w:r w:rsidRPr="0001748B">
        <w:rPr>
          <w:rFonts w:cs="Verdana"/>
          <w:b/>
          <w:bCs/>
          <w:caps/>
          <w:snapToGrid w:val="0"/>
          <w:sz w:val="20"/>
          <w:szCs w:val="20"/>
        </w:rPr>
        <w:br/>
        <w:t>REPARACIONES</w:t>
      </w:r>
      <w:r w:rsidRPr="0001748B">
        <w:rPr>
          <w:rFonts w:cs="Verdana"/>
          <w:b/>
          <w:bCs/>
          <w:caps/>
          <w:snapToGrid w:val="0"/>
          <w:sz w:val="20"/>
          <w:szCs w:val="20"/>
        </w:rPr>
        <w:br/>
        <w:t>(</w:t>
      </w:r>
      <w:r w:rsidRPr="0001748B">
        <w:rPr>
          <w:rFonts w:cs="Verdana"/>
          <w:b/>
          <w:bCs/>
          <w:snapToGrid w:val="0"/>
          <w:sz w:val="20"/>
          <w:szCs w:val="20"/>
        </w:rPr>
        <w:t>Aplicación del artículo 63.1 de la Convención Americana</w:t>
      </w:r>
      <w:r w:rsidRPr="0001748B">
        <w:rPr>
          <w:rFonts w:cs="Verdana"/>
          <w:b/>
          <w:bCs/>
          <w:caps/>
          <w:snapToGrid w:val="0"/>
          <w:sz w:val="20"/>
          <w:szCs w:val="20"/>
        </w:rPr>
        <w:t>)</w:t>
      </w:r>
      <w:bookmarkEnd w:id="114"/>
      <w:bookmarkEnd w:id="115"/>
      <w:bookmarkEnd w:id="116"/>
      <w:bookmarkEnd w:id="117"/>
    </w:p>
    <w:p w:rsidR="001B626E" w:rsidRPr="0001748B" w:rsidRDefault="001B626E" w:rsidP="001B626E">
      <w:pPr>
        <w:tabs>
          <w:tab w:val="left" w:pos="720"/>
          <w:tab w:val="num" w:pos="1427"/>
        </w:tabs>
        <w:spacing w:line="240" w:lineRule="auto"/>
        <w:ind w:right="-90"/>
        <w:rPr>
          <w:rFonts w:cs="Verdana"/>
          <w:color w:val="000000"/>
          <w:sz w:val="20"/>
          <w:szCs w:val="20"/>
        </w:rPr>
      </w:pPr>
    </w:p>
    <w:p w:rsidR="001B626E" w:rsidRPr="0001748B" w:rsidRDefault="001B626E" w:rsidP="001B626E">
      <w:pPr>
        <w:numPr>
          <w:ilvl w:val="0"/>
          <w:numId w:val="1"/>
        </w:numPr>
        <w:tabs>
          <w:tab w:val="left" w:pos="567"/>
          <w:tab w:val="num" w:pos="5057"/>
        </w:tabs>
        <w:spacing w:line="240" w:lineRule="auto"/>
        <w:ind w:left="0" w:firstLine="0"/>
        <w:rPr>
          <w:sz w:val="20"/>
          <w:szCs w:val="20"/>
          <w:lang w:bidi="en-US"/>
        </w:rPr>
      </w:pPr>
      <w:r w:rsidRPr="0001748B">
        <w:rPr>
          <w:sz w:val="20"/>
          <w:szCs w:val="20"/>
          <w:lang w:eastAsia="es-ES" w:bidi="en-US"/>
        </w:rPr>
        <w:t>Sobre</w:t>
      </w:r>
      <w:r w:rsidRPr="0001748B">
        <w:rPr>
          <w:sz w:val="20"/>
          <w:szCs w:val="20"/>
          <w:lang w:bidi="en-US"/>
        </w:rPr>
        <w:t xml:space="preserve"> </w:t>
      </w:r>
      <w:r w:rsidRPr="0001748B">
        <w:rPr>
          <w:bCs/>
          <w:sz w:val="20"/>
          <w:szCs w:val="20"/>
          <w:lang w:bidi="en-US"/>
        </w:rPr>
        <w:t>la</w:t>
      </w:r>
      <w:r w:rsidRPr="0001748B">
        <w:rPr>
          <w:sz w:val="20"/>
          <w:szCs w:val="20"/>
          <w:lang w:bidi="en-US"/>
        </w:rPr>
        <w:t xml:space="preserve"> base de lo dispuesto en el artículo 63.1 de la Convención Americana</w:t>
      </w:r>
      <w:r w:rsidRPr="0001748B">
        <w:rPr>
          <w:sz w:val="20"/>
          <w:szCs w:val="20"/>
          <w:vertAlign w:val="superscript"/>
          <w:lang w:bidi="en-US"/>
        </w:rPr>
        <w:footnoteReference w:id="220"/>
      </w:r>
      <w:r w:rsidRPr="0001748B">
        <w:rPr>
          <w:sz w:val="20"/>
          <w:szCs w:val="20"/>
          <w:lang w:bidi="en-US"/>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01748B">
        <w:rPr>
          <w:sz w:val="20"/>
          <w:szCs w:val="20"/>
          <w:vertAlign w:val="superscript"/>
          <w:lang w:bidi="en-US"/>
        </w:rPr>
        <w:footnoteReference w:id="221"/>
      </w:r>
      <w:r w:rsidRPr="0001748B">
        <w:rPr>
          <w:sz w:val="20"/>
          <w:szCs w:val="20"/>
          <w:lang w:bidi="en-US"/>
        </w:rPr>
        <w:t>.</w:t>
      </w:r>
    </w:p>
    <w:p w:rsidR="001B626E" w:rsidRPr="0001748B" w:rsidRDefault="001B626E" w:rsidP="001B626E">
      <w:pPr>
        <w:autoSpaceDE w:val="0"/>
        <w:autoSpaceDN w:val="0"/>
        <w:spacing w:line="240" w:lineRule="auto"/>
        <w:rPr>
          <w:rFonts w:cs="Verdana"/>
          <w:color w:val="000000"/>
          <w:sz w:val="20"/>
          <w:szCs w:val="20"/>
        </w:rPr>
      </w:pPr>
    </w:p>
    <w:p w:rsidR="001B626E" w:rsidRPr="0001748B" w:rsidRDefault="001B626E" w:rsidP="001B626E">
      <w:pPr>
        <w:numPr>
          <w:ilvl w:val="0"/>
          <w:numId w:val="1"/>
        </w:numPr>
        <w:tabs>
          <w:tab w:val="left" w:pos="567"/>
          <w:tab w:val="num" w:pos="5057"/>
        </w:tabs>
        <w:spacing w:line="240" w:lineRule="auto"/>
        <w:ind w:left="0" w:firstLine="0"/>
        <w:rPr>
          <w:sz w:val="20"/>
          <w:szCs w:val="20"/>
          <w:lang w:bidi="en-US"/>
        </w:rPr>
      </w:pPr>
      <w:r w:rsidRPr="0001748B">
        <w:rPr>
          <w:bCs/>
          <w:sz w:val="20"/>
          <w:szCs w:val="20"/>
          <w:lang w:bidi="en-US"/>
        </w:rPr>
        <w:t xml:space="preserve">La </w:t>
      </w:r>
      <w:r w:rsidRPr="0001748B">
        <w:rPr>
          <w:sz w:val="20"/>
          <w:szCs w:val="20"/>
          <w:lang w:eastAsia="es-ES" w:bidi="en-US"/>
        </w:rPr>
        <w:t>reparación</w:t>
      </w:r>
      <w:r w:rsidRPr="0001748B">
        <w:rPr>
          <w:bCs/>
          <w:sz w:val="20"/>
          <w:szCs w:val="20"/>
          <w:lang w:bidi="en-US"/>
        </w:rPr>
        <w:t xml:space="preserve"> del daño ocasionado por la infracción de una obligación internacional requiere, siempre que sea posible, la plena restitución (</w:t>
      </w:r>
      <w:r w:rsidRPr="0001748B">
        <w:rPr>
          <w:bCs/>
          <w:i/>
          <w:sz w:val="20"/>
          <w:szCs w:val="20"/>
          <w:lang w:bidi="en-US"/>
        </w:rPr>
        <w:t>restitutio in integrum</w:t>
      </w:r>
      <w:r w:rsidRPr="0001748B">
        <w:rPr>
          <w:bCs/>
          <w:sz w:val="20"/>
          <w:szCs w:val="20"/>
          <w:lang w:bidi="en-US"/>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01748B">
        <w:rPr>
          <w:sz w:val="20"/>
          <w:szCs w:val="20"/>
          <w:vertAlign w:val="superscript"/>
          <w:lang w:bidi="en-US"/>
        </w:rPr>
        <w:footnoteReference w:id="222"/>
      </w:r>
      <w:r w:rsidRPr="0001748B">
        <w:rPr>
          <w:bCs/>
          <w:sz w:val="20"/>
          <w:szCs w:val="20"/>
          <w:lang w:bidi="en-US"/>
        </w:rPr>
        <w:t xml:space="preserve">. Por tanto, </w:t>
      </w:r>
      <w:r w:rsidRPr="0001748B">
        <w:rPr>
          <w:sz w:val="20"/>
          <w:szCs w:val="20"/>
          <w:lang w:bidi="en-US"/>
        </w:rPr>
        <w:t>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01748B">
        <w:rPr>
          <w:sz w:val="20"/>
          <w:szCs w:val="20"/>
          <w:vertAlign w:val="superscript"/>
          <w:lang w:bidi="en-US"/>
        </w:rPr>
        <w:footnoteReference w:id="223"/>
      </w:r>
      <w:r w:rsidRPr="0001748B">
        <w:rPr>
          <w:sz w:val="20"/>
          <w:szCs w:val="20"/>
          <w:lang w:bidi="en-US"/>
        </w:rPr>
        <w:t>.</w:t>
      </w:r>
    </w:p>
    <w:p w:rsidR="001B626E" w:rsidRPr="0001748B" w:rsidRDefault="001B626E" w:rsidP="001B626E">
      <w:pPr>
        <w:autoSpaceDE w:val="0"/>
        <w:autoSpaceDN w:val="0"/>
        <w:spacing w:line="240" w:lineRule="auto"/>
        <w:rPr>
          <w:rFonts w:cs="Verdana"/>
          <w:sz w:val="20"/>
          <w:szCs w:val="20"/>
        </w:rPr>
      </w:pPr>
    </w:p>
    <w:p w:rsidR="001B626E" w:rsidRPr="0001748B" w:rsidRDefault="001B626E" w:rsidP="001B626E">
      <w:pPr>
        <w:numPr>
          <w:ilvl w:val="0"/>
          <w:numId w:val="1"/>
        </w:numPr>
        <w:tabs>
          <w:tab w:val="left" w:pos="567"/>
          <w:tab w:val="num" w:pos="5057"/>
        </w:tabs>
        <w:spacing w:line="240" w:lineRule="auto"/>
        <w:ind w:left="0" w:firstLine="0"/>
        <w:rPr>
          <w:sz w:val="20"/>
          <w:szCs w:val="20"/>
          <w:lang w:bidi="en-US"/>
        </w:rPr>
      </w:pPr>
      <w:r w:rsidRPr="0001748B">
        <w:rPr>
          <w:sz w:val="20"/>
          <w:szCs w:val="20"/>
          <w:lang w:bidi="en-US"/>
        </w:rPr>
        <w:t xml:space="preserve">La </w:t>
      </w:r>
      <w:r w:rsidRPr="0001748B">
        <w:rPr>
          <w:bCs/>
          <w:sz w:val="20"/>
          <w:szCs w:val="20"/>
          <w:lang w:bidi="en-US"/>
        </w:rPr>
        <w:t>Corte</w:t>
      </w:r>
      <w:r w:rsidRPr="0001748B">
        <w:rPr>
          <w:sz w:val="20"/>
          <w:szCs w:val="20"/>
          <w:lang w:bidi="en-US"/>
        </w:rPr>
        <w:t xml:space="preserve">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01748B">
        <w:rPr>
          <w:sz w:val="20"/>
          <w:szCs w:val="20"/>
          <w:vertAlign w:val="superscript"/>
          <w:lang w:bidi="en-US"/>
        </w:rPr>
        <w:footnoteReference w:id="224"/>
      </w:r>
      <w:r w:rsidRPr="0001748B">
        <w:rPr>
          <w:sz w:val="20"/>
          <w:szCs w:val="20"/>
          <w:lang w:bidi="en-US"/>
        </w:rPr>
        <w:t>.</w:t>
      </w:r>
    </w:p>
    <w:p w:rsidR="001B626E" w:rsidRPr="0001748B" w:rsidRDefault="001B626E" w:rsidP="001B626E">
      <w:pPr>
        <w:tabs>
          <w:tab w:val="left" w:pos="567"/>
        </w:tabs>
        <w:spacing w:line="240" w:lineRule="auto"/>
        <w:rPr>
          <w:sz w:val="20"/>
          <w:szCs w:val="20"/>
          <w:lang w:bidi="en-US"/>
        </w:rPr>
      </w:pPr>
    </w:p>
    <w:p w:rsidR="001B626E" w:rsidRPr="0001748B" w:rsidRDefault="001B626E" w:rsidP="001B626E">
      <w:pPr>
        <w:numPr>
          <w:ilvl w:val="0"/>
          <w:numId w:val="1"/>
        </w:numPr>
        <w:tabs>
          <w:tab w:val="left" w:pos="567"/>
          <w:tab w:val="num" w:pos="5057"/>
        </w:tabs>
        <w:spacing w:line="240" w:lineRule="auto"/>
        <w:ind w:left="0" w:firstLine="0"/>
        <w:rPr>
          <w:sz w:val="20"/>
          <w:szCs w:val="20"/>
          <w:lang w:bidi="en-US"/>
        </w:rPr>
      </w:pPr>
      <w:r w:rsidRPr="0001748B">
        <w:rPr>
          <w:sz w:val="20"/>
          <w:szCs w:val="20"/>
        </w:rPr>
        <w:t>Tomando en cuenta el reconocimiento parcial de responsabilidad efectuado por el Estado</w:t>
      </w:r>
      <w:r w:rsidR="00B53BE3" w:rsidRPr="0001748B">
        <w:rPr>
          <w:sz w:val="20"/>
          <w:szCs w:val="20"/>
        </w:rPr>
        <w:t xml:space="preserve"> y</w:t>
      </w:r>
      <w:r w:rsidRPr="0001748B">
        <w:rPr>
          <w:sz w:val="20"/>
          <w:szCs w:val="20"/>
        </w:rPr>
        <w:t xml:space="preserve"> </w:t>
      </w:r>
      <w:r w:rsidR="00B53BE3" w:rsidRPr="0001748B">
        <w:rPr>
          <w:sz w:val="20"/>
          <w:szCs w:val="20"/>
        </w:rPr>
        <w:t>las consideraciones relativas a dicho reconocimiento</w:t>
      </w:r>
      <w:r w:rsidR="00A66710">
        <w:rPr>
          <w:sz w:val="20"/>
          <w:szCs w:val="20"/>
        </w:rPr>
        <w:t xml:space="preserve"> (</w:t>
      </w:r>
      <w:r w:rsidR="00A66710">
        <w:rPr>
          <w:i/>
          <w:sz w:val="20"/>
          <w:szCs w:val="20"/>
        </w:rPr>
        <w:t xml:space="preserve">supra </w:t>
      </w:r>
      <w:r w:rsidR="00A66710">
        <w:rPr>
          <w:sz w:val="20"/>
          <w:szCs w:val="20"/>
        </w:rPr>
        <w:t>Capítulo IV)</w:t>
      </w:r>
      <w:r w:rsidR="00B53BE3" w:rsidRPr="0001748B">
        <w:rPr>
          <w:sz w:val="20"/>
          <w:szCs w:val="20"/>
        </w:rPr>
        <w:t>, así como las violaciones a la Convención Americana declaradas en los capítulos anteriores</w:t>
      </w:r>
      <w:r w:rsidRPr="0001748B">
        <w:rPr>
          <w:sz w:val="20"/>
          <w:szCs w:val="20"/>
        </w:rPr>
        <w:t>, a la luz de los criterios fijados en la jurisprudencia del Tribunal en relación con la naturaleza y alcances de la obligación de reparar</w:t>
      </w:r>
      <w:r w:rsidRPr="0001748B">
        <w:rPr>
          <w:rStyle w:val="FootnoteReference"/>
          <w:sz w:val="20"/>
          <w:szCs w:val="20"/>
        </w:rPr>
        <w:footnoteReference w:id="225"/>
      </w:r>
      <w:r w:rsidRPr="0001748B">
        <w:rPr>
          <w:sz w:val="20"/>
          <w:szCs w:val="20"/>
        </w:rPr>
        <w:t>, la Corte analiza</w:t>
      </w:r>
      <w:r w:rsidR="00B53BE3" w:rsidRPr="0001748B">
        <w:rPr>
          <w:sz w:val="20"/>
          <w:szCs w:val="20"/>
        </w:rPr>
        <w:t>rá</w:t>
      </w:r>
      <w:r w:rsidRPr="0001748B">
        <w:rPr>
          <w:sz w:val="20"/>
          <w:szCs w:val="20"/>
        </w:rPr>
        <w:t xml:space="preserve"> las pretensiones presentadas por la Comisión y l</w:t>
      </w:r>
      <w:r w:rsidR="0080103E">
        <w:rPr>
          <w:sz w:val="20"/>
          <w:szCs w:val="20"/>
        </w:rPr>
        <w:t>a</w:t>
      </w:r>
      <w:r w:rsidRPr="0001748B">
        <w:rPr>
          <w:sz w:val="20"/>
          <w:szCs w:val="20"/>
        </w:rPr>
        <w:t xml:space="preserve">s representantes, </w:t>
      </w:r>
      <w:r w:rsidR="00B53BE3" w:rsidRPr="0001748B">
        <w:rPr>
          <w:sz w:val="20"/>
          <w:szCs w:val="20"/>
        </w:rPr>
        <w:t xml:space="preserve">así </w:t>
      </w:r>
      <w:r w:rsidRPr="0001748B">
        <w:rPr>
          <w:sz w:val="20"/>
          <w:szCs w:val="20"/>
        </w:rPr>
        <w:t>como los argumentos del Estado al respecto, con el objeto de disponer a continuación las medidas tendientes a reparar dichas violaciones.</w:t>
      </w:r>
    </w:p>
    <w:p w:rsidR="001B626E" w:rsidRPr="0001748B" w:rsidRDefault="001B626E" w:rsidP="001B626E">
      <w:pPr>
        <w:tabs>
          <w:tab w:val="left" w:pos="567"/>
        </w:tabs>
        <w:spacing w:line="240" w:lineRule="auto"/>
        <w:rPr>
          <w:sz w:val="20"/>
          <w:szCs w:val="20"/>
          <w:lang w:bidi="en-US"/>
        </w:rPr>
      </w:pPr>
    </w:p>
    <w:p w:rsidR="001B626E" w:rsidRPr="0001748B" w:rsidRDefault="001B626E" w:rsidP="008031E5">
      <w:pPr>
        <w:keepNext/>
        <w:keepLines/>
        <w:numPr>
          <w:ilvl w:val="0"/>
          <w:numId w:val="13"/>
        </w:numPr>
        <w:tabs>
          <w:tab w:val="left" w:pos="567"/>
          <w:tab w:val="left" w:pos="1134"/>
        </w:tabs>
        <w:spacing w:line="240" w:lineRule="auto"/>
        <w:ind w:left="567" w:firstLine="0"/>
        <w:outlineLvl w:val="1"/>
        <w:rPr>
          <w:rFonts w:eastAsia="MS Mincho"/>
          <w:b/>
          <w:bCs/>
          <w:i/>
          <w:sz w:val="20"/>
          <w:szCs w:val="20"/>
        </w:rPr>
      </w:pPr>
      <w:bookmarkStart w:id="118" w:name="_Toc476390738"/>
      <w:bookmarkStart w:id="119" w:name="_Toc495658694"/>
      <w:r w:rsidRPr="0001748B">
        <w:rPr>
          <w:rFonts w:eastAsia="MS Mincho"/>
          <w:b/>
          <w:bCs/>
          <w:i/>
          <w:sz w:val="20"/>
          <w:szCs w:val="20"/>
        </w:rPr>
        <w:t>Parte Lesionada</w:t>
      </w:r>
      <w:bookmarkEnd w:id="118"/>
      <w:bookmarkEnd w:id="119"/>
    </w:p>
    <w:p w:rsidR="001B626E" w:rsidRPr="0001748B" w:rsidRDefault="001B626E" w:rsidP="001B626E">
      <w:pPr>
        <w:tabs>
          <w:tab w:val="num" w:pos="720"/>
          <w:tab w:val="left" w:pos="851"/>
          <w:tab w:val="num" w:pos="1427"/>
        </w:tabs>
        <w:spacing w:line="240" w:lineRule="auto"/>
        <w:rPr>
          <w:sz w:val="20"/>
          <w:szCs w:val="20"/>
        </w:rPr>
      </w:pPr>
    </w:p>
    <w:p w:rsidR="001B626E" w:rsidRPr="0001748B" w:rsidRDefault="001B626E" w:rsidP="001B626E">
      <w:pPr>
        <w:numPr>
          <w:ilvl w:val="0"/>
          <w:numId w:val="1"/>
        </w:numPr>
        <w:tabs>
          <w:tab w:val="left" w:pos="567"/>
          <w:tab w:val="num" w:pos="5057"/>
        </w:tabs>
        <w:spacing w:line="240" w:lineRule="auto"/>
        <w:ind w:left="0" w:firstLine="0"/>
        <w:rPr>
          <w:rFonts w:eastAsia="Verdana" w:cs="Verdana"/>
          <w:sz w:val="16"/>
          <w:szCs w:val="16"/>
        </w:rPr>
      </w:pPr>
      <w:r w:rsidRPr="0001748B">
        <w:rPr>
          <w:rFonts w:eastAsia="MS Mincho"/>
          <w:sz w:val="20"/>
          <w:szCs w:val="20"/>
          <w:lang w:bidi="en-US"/>
        </w:rPr>
        <w:t xml:space="preserve">Se </w:t>
      </w:r>
      <w:r w:rsidRPr="0001748B">
        <w:rPr>
          <w:sz w:val="20"/>
          <w:szCs w:val="20"/>
          <w:lang w:bidi="en-US"/>
        </w:rPr>
        <w:t>considera</w:t>
      </w:r>
      <w:r w:rsidRPr="0001748B">
        <w:rPr>
          <w:rFonts w:eastAsia="MS Mincho"/>
          <w:sz w:val="20"/>
          <w:szCs w:val="20"/>
          <w:lang w:bidi="en-US"/>
        </w:rPr>
        <w:t xml:space="preserve"> parte lesionada, en los términos del artículo 63.1 de la Convención, a quienes han sido </w:t>
      </w:r>
      <w:r w:rsidRPr="0001748B">
        <w:rPr>
          <w:bCs/>
          <w:sz w:val="20"/>
          <w:szCs w:val="20"/>
          <w:lang w:bidi="en-US"/>
        </w:rPr>
        <w:t>declaradas</w:t>
      </w:r>
      <w:r w:rsidRPr="0001748B">
        <w:rPr>
          <w:rFonts w:eastAsia="MS Mincho"/>
          <w:sz w:val="20"/>
          <w:szCs w:val="20"/>
          <w:lang w:bidi="en-US"/>
        </w:rPr>
        <w:t xml:space="preserve"> víctimas de la violación de algún derecho consagrado en la misma. </w:t>
      </w:r>
      <w:r w:rsidR="00987577" w:rsidRPr="0001748B">
        <w:rPr>
          <w:rFonts w:eastAsia="MS Mincho"/>
          <w:sz w:val="20"/>
          <w:szCs w:val="20"/>
          <w:lang w:bidi="en-US"/>
        </w:rPr>
        <w:t>Por lo tanto</w:t>
      </w:r>
      <w:r w:rsidRPr="0001748B">
        <w:rPr>
          <w:rFonts w:eastAsia="MS Mincho"/>
          <w:sz w:val="20"/>
          <w:szCs w:val="20"/>
          <w:lang w:bidi="en-US"/>
        </w:rPr>
        <w:t xml:space="preserve">, esta Corte considera como “parte lesionada” a </w:t>
      </w:r>
      <w:r w:rsidRPr="0001748B">
        <w:rPr>
          <w:rFonts w:eastAsia="Verdana" w:cs="Verdana"/>
          <w:spacing w:val="1"/>
          <w:sz w:val="20"/>
          <w:szCs w:val="20"/>
        </w:rPr>
        <w:t>J</w:t>
      </w:r>
      <w:r w:rsidRPr="0001748B">
        <w:rPr>
          <w:rFonts w:eastAsia="Verdana" w:cs="Verdana"/>
          <w:spacing w:val="-1"/>
          <w:sz w:val="20"/>
          <w:szCs w:val="20"/>
        </w:rPr>
        <w:t>o</w:t>
      </w:r>
      <w:r w:rsidRPr="0001748B">
        <w:rPr>
          <w:rFonts w:eastAsia="Verdana" w:cs="Verdana"/>
          <w:spacing w:val="1"/>
          <w:sz w:val="20"/>
          <w:szCs w:val="20"/>
        </w:rPr>
        <w:t>h</w:t>
      </w:r>
      <w:r w:rsidRPr="0001748B">
        <w:rPr>
          <w:rFonts w:eastAsia="Verdana" w:cs="Verdana"/>
          <w:sz w:val="20"/>
          <w:szCs w:val="20"/>
        </w:rPr>
        <w:t>an</w:t>
      </w:r>
      <w:r w:rsidRPr="0001748B">
        <w:rPr>
          <w:rFonts w:eastAsia="Verdana" w:cs="Verdana"/>
          <w:spacing w:val="9"/>
          <w:sz w:val="20"/>
          <w:szCs w:val="20"/>
        </w:rPr>
        <w:t xml:space="preserve"> </w:t>
      </w:r>
      <w:r w:rsidRPr="0001748B">
        <w:rPr>
          <w:rFonts w:eastAsia="Verdana" w:cs="Verdana"/>
          <w:spacing w:val="1"/>
          <w:sz w:val="20"/>
          <w:szCs w:val="20"/>
        </w:rPr>
        <w:t>A</w:t>
      </w:r>
      <w:r w:rsidRPr="0001748B">
        <w:rPr>
          <w:rFonts w:eastAsia="Verdana" w:cs="Verdana"/>
          <w:spacing w:val="3"/>
          <w:sz w:val="20"/>
          <w:szCs w:val="20"/>
        </w:rPr>
        <w:t>l</w:t>
      </w:r>
      <w:r w:rsidRPr="0001748B">
        <w:rPr>
          <w:rFonts w:eastAsia="Verdana" w:cs="Verdana"/>
          <w:spacing w:val="-1"/>
          <w:sz w:val="20"/>
          <w:szCs w:val="20"/>
        </w:rPr>
        <w:t>e</w:t>
      </w:r>
      <w:r w:rsidRPr="0001748B">
        <w:rPr>
          <w:rFonts w:eastAsia="Verdana" w:cs="Verdana"/>
          <w:sz w:val="20"/>
          <w:szCs w:val="20"/>
        </w:rPr>
        <w:t>x</w:t>
      </w:r>
      <w:r w:rsidRPr="0001748B">
        <w:rPr>
          <w:rFonts w:eastAsia="Verdana" w:cs="Verdana"/>
          <w:spacing w:val="3"/>
          <w:sz w:val="20"/>
          <w:szCs w:val="20"/>
        </w:rPr>
        <w:t>i</w:t>
      </w:r>
      <w:r w:rsidRPr="0001748B">
        <w:rPr>
          <w:rFonts w:eastAsia="Verdana" w:cs="Verdana"/>
          <w:sz w:val="20"/>
          <w:szCs w:val="20"/>
        </w:rPr>
        <w:t>s</w:t>
      </w:r>
      <w:r w:rsidRPr="0001748B">
        <w:rPr>
          <w:rFonts w:eastAsia="Verdana" w:cs="Verdana"/>
          <w:spacing w:val="7"/>
          <w:sz w:val="20"/>
          <w:szCs w:val="20"/>
        </w:rPr>
        <w:t xml:space="preserve"> </w:t>
      </w:r>
      <w:r w:rsidRPr="0001748B">
        <w:rPr>
          <w:rFonts w:eastAsia="Verdana" w:cs="Verdana"/>
          <w:spacing w:val="-1"/>
          <w:sz w:val="20"/>
          <w:szCs w:val="20"/>
        </w:rPr>
        <w:t>Or</w:t>
      </w:r>
      <w:r w:rsidRPr="0001748B">
        <w:rPr>
          <w:rFonts w:eastAsia="Verdana" w:cs="Verdana"/>
          <w:spacing w:val="1"/>
          <w:sz w:val="20"/>
          <w:szCs w:val="20"/>
        </w:rPr>
        <w:t>ti</w:t>
      </w:r>
      <w:r w:rsidRPr="0001748B">
        <w:rPr>
          <w:rFonts w:eastAsia="Verdana" w:cs="Verdana"/>
          <w:sz w:val="20"/>
          <w:szCs w:val="20"/>
        </w:rPr>
        <w:t>z</w:t>
      </w:r>
      <w:r w:rsidRPr="0001748B">
        <w:rPr>
          <w:rFonts w:eastAsia="Verdana" w:cs="Verdana"/>
          <w:spacing w:val="8"/>
          <w:sz w:val="20"/>
          <w:szCs w:val="20"/>
        </w:rPr>
        <w:t xml:space="preserve"> </w:t>
      </w:r>
      <w:r w:rsidRPr="0001748B">
        <w:rPr>
          <w:rFonts w:eastAsia="Verdana" w:cs="Verdana"/>
          <w:spacing w:val="-1"/>
          <w:sz w:val="20"/>
          <w:szCs w:val="20"/>
        </w:rPr>
        <w:t>Her</w:t>
      </w:r>
      <w:r w:rsidRPr="0001748B">
        <w:rPr>
          <w:rFonts w:eastAsia="Verdana" w:cs="Verdana"/>
          <w:spacing w:val="1"/>
          <w:sz w:val="20"/>
          <w:szCs w:val="20"/>
        </w:rPr>
        <w:t>n</w:t>
      </w:r>
      <w:r w:rsidRPr="0001748B">
        <w:rPr>
          <w:rFonts w:eastAsia="Verdana" w:cs="Verdana"/>
          <w:sz w:val="20"/>
          <w:szCs w:val="20"/>
        </w:rPr>
        <w:t>á</w:t>
      </w:r>
      <w:r w:rsidRPr="0001748B">
        <w:rPr>
          <w:rFonts w:eastAsia="Verdana" w:cs="Verdana"/>
          <w:spacing w:val="1"/>
          <w:sz w:val="20"/>
          <w:szCs w:val="20"/>
        </w:rPr>
        <w:t>n</w:t>
      </w:r>
      <w:r w:rsidRPr="0001748B">
        <w:rPr>
          <w:rFonts w:eastAsia="Verdana" w:cs="Verdana"/>
          <w:spacing w:val="3"/>
          <w:sz w:val="20"/>
          <w:szCs w:val="20"/>
        </w:rPr>
        <w:t>d</w:t>
      </w:r>
      <w:r w:rsidRPr="0001748B">
        <w:rPr>
          <w:rFonts w:eastAsia="Verdana" w:cs="Verdana"/>
          <w:spacing w:val="-1"/>
          <w:sz w:val="20"/>
          <w:szCs w:val="20"/>
        </w:rPr>
        <w:t>e</w:t>
      </w:r>
      <w:r w:rsidRPr="0001748B">
        <w:rPr>
          <w:rFonts w:eastAsia="Verdana" w:cs="Verdana"/>
          <w:spacing w:val="1"/>
          <w:sz w:val="20"/>
          <w:szCs w:val="20"/>
        </w:rPr>
        <w:t>z</w:t>
      </w:r>
      <w:r w:rsidRPr="0001748B">
        <w:rPr>
          <w:rFonts w:eastAsia="Verdana" w:cs="Verdana"/>
          <w:sz w:val="20"/>
          <w:szCs w:val="20"/>
        </w:rPr>
        <w:t>,</w:t>
      </w:r>
      <w:r w:rsidRPr="0001748B">
        <w:rPr>
          <w:rFonts w:eastAsia="Verdana" w:cs="Verdana"/>
          <w:spacing w:val="1"/>
          <w:sz w:val="20"/>
          <w:szCs w:val="20"/>
        </w:rPr>
        <w:t xml:space="preserve"> </w:t>
      </w:r>
      <w:r w:rsidRPr="0001748B">
        <w:rPr>
          <w:rFonts w:eastAsia="Verdana" w:cs="Verdana"/>
          <w:sz w:val="20"/>
          <w:szCs w:val="20"/>
        </w:rPr>
        <w:t>Za</w:t>
      </w:r>
      <w:r w:rsidRPr="0001748B">
        <w:rPr>
          <w:rFonts w:eastAsia="Verdana" w:cs="Verdana"/>
          <w:spacing w:val="3"/>
          <w:sz w:val="20"/>
          <w:szCs w:val="20"/>
        </w:rPr>
        <w:t>i</w:t>
      </w:r>
      <w:r w:rsidRPr="0001748B">
        <w:rPr>
          <w:rFonts w:eastAsia="Verdana" w:cs="Verdana"/>
          <w:spacing w:val="1"/>
          <w:sz w:val="20"/>
          <w:szCs w:val="20"/>
        </w:rPr>
        <w:t>d</w:t>
      </w:r>
      <w:r w:rsidRPr="0001748B">
        <w:rPr>
          <w:rFonts w:eastAsia="Verdana" w:cs="Verdana"/>
          <w:sz w:val="20"/>
          <w:szCs w:val="20"/>
        </w:rPr>
        <w:t>a</w:t>
      </w:r>
      <w:r w:rsidRPr="0001748B">
        <w:rPr>
          <w:rFonts w:eastAsia="Verdana" w:cs="Verdana"/>
          <w:spacing w:val="8"/>
          <w:sz w:val="20"/>
          <w:szCs w:val="20"/>
        </w:rPr>
        <w:t xml:space="preserve"> </w:t>
      </w:r>
      <w:r w:rsidRPr="0001748B">
        <w:rPr>
          <w:rFonts w:eastAsia="Verdana" w:cs="Verdana"/>
          <w:spacing w:val="-1"/>
          <w:sz w:val="20"/>
          <w:szCs w:val="20"/>
        </w:rPr>
        <w:t>He</w:t>
      </w:r>
      <w:r w:rsidRPr="0001748B">
        <w:rPr>
          <w:rFonts w:eastAsia="Verdana" w:cs="Verdana"/>
          <w:spacing w:val="1"/>
          <w:sz w:val="20"/>
          <w:szCs w:val="20"/>
        </w:rPr>
        <w:t>rn</w:t>
      </w:r>
      <w:r w:rsidRPr="0001748B">
        <w:rPr>
          <w:rFonts w:eastAsia="Verdana" w:cs="Verdana"/>
          <w:sz w:val="20"/>
          <w:szCs w:val="20"/>
        </w:rPr>
        <w:t>á</w:t>
      </w:r>
      <w:r w:rsidRPr="0001748B">
        <w:rPr>
          <w:rFonts w:eastAsia="Verdana" w:cs="Verdana"/>
          <w:spacing w:val="1"/>
          <w:sz w:val="20"/>
          <w:szCs w:val="20"/>
        </w:rPr>
        <w:t>nd</w:t>
      </w:r>
      <w:r w:rsidRPr="0001748B">
        <w:rPr>
          <w:rFonts w:eastAsia="Verdana" w:cs="Verdana"/>
          <w:spacing w:val="-1"/>
          <w:sz w:val="20"/>
          <w:szCs w:val="20"/>
        </w:rPr>
        <w:t>e</w:t>
      </w:r>
      <w:r w:rsidRPr="0001748B">
        <w:rPr>
          <w:rFonts w:eastAsia="Verdana" w:cs="Verdana"/>
          <w:sz w:val="20"/>
          <w:szCs w:val="20"/>
        </w:rPr>
        <w:t>z</w:t>
      </w:r>
      <w:r w:rsidRPr="0001748B">
        <w:rPr>
          <w:rFonts w:eastAsia="Verdana" w:cs="Verdana"/>
          <w:spacing w:val="4"/>
          <w:sz w:val="20"/>
          <w:szCs w:val="20"/>
        </w:rPr>
        <w:t xml:space="preserve"> </w:t>
      </w:r>
      <w:r w:rsidRPr="0001748B">
        <w:rPr>
          <w:rFonts w:eastAsia="Verdana" w:cs="Verdana"/>
          <w:spacing w:val="-1"/>
          <w:sz w:val="20"/>
          <w:szCs w:val="20"/>
        </w:rPr>
        <w:t>de Arellano</w:t>
      </w:r>
      <w:r w:rsidRPr="0001748B">
        <w:rPr>
          <w:rFonts w:eastAsia="Verdana" w:cs="Verdana"/>
          <w:sz w:val="20"/>
          <w:szCs w:val="20"/>
        </w:rPr>
        <w:t xml:space="preserve">, </w:t>
      </w:r>
      <w:r w:rsidRPr="0001748B">
        <w:rPr>
          <w:rFonts w:eastAsia="Verdana" w:cs="Verdana"/>
          <w:spacing w:val="-1"/>
          <w:sz w:val="20"/>
          <w:szCs w:val="20"/>
        </w:rPr>
        <w:t>E</w:t>
      </w:r>
      <w:r w:rsidRPr="0001748B">
        <w:rPr>
          <w:rFonts w:eastAsia="Verdana" w:cs="Verdana"/>
          <w:spacing w:val="1"/>
          <w:sz w:val="20"/>
          <w:szCs w:val="20"/>
        </w:rPr>
        <w:t>dg</w:t>
      </w:r>
      <w:r w:rsidRPr="0001748B">
        <w:rPr>
          <w:rFonts w:eastAsia="Verdana" w:cs="Verdana"/>
          <w:sz w:val="20"/>
          <w:szCs w:val="20"/>
        </w:rPr>
        <w:t>ar</w:t>
      </w:r>
      <w:r w:rsidRPr="0001748B">
        <w:rPr>
          <w:rFonts w:eastAsia="Verdana" w:cs="Verdana"/>
          <w:spacing w:val="34"/>
          <w:sz w:val="20"/>
          <w:szCs w:val="20"/>
        </w:rPr>
        <w:t xml:space="preserve"> </w:t>
      </w:r>
      <w:r w:rsidRPr="0001748B">
        <w:rPr>
          <w:rFonts w:eastAsia="Verdana" w:cs="Verdana"/>
          <w:spacing w:val="-1"/>
          <w:sz w:val="20"/>
          <w:szCs w:val="20"/>
        </w:rPr>
        <w:t>H</w:t>
      </w:r>
      <w:r w:rsidRPr="0001748B">
        <w:rPr>
          <w:rFonts w:eastAsia="Verdana" w:cs="Verdana"/>
          <w:spacing w:val="1"/>
          <w:sz w:val="20"/>
          <w:szCs w:val="20"/>
        </w:rPr>
        <w:t>umbe</w:t>
      </w:r>
      <w:r w:rsidRPr="0001748B">
        <w:rPr>
          <w:rFonts w:eastAsia="Verdana" w:cs="Verdana"/>
          <w:spacing w:val="-1"/>
          <w:sz w:val="20"/>
          <w:szCs w:val="20"/>
        </w:rPr>
        <w:t>r</w:t>
      </w:r>
      <w:r w:rsidRPr="0001748B">
        <w:rPr>
          <w:rFonts w:eastAsia="Verdana" w:cs="Verdana"/>
          <w:spacing w:val="1"/>
          <w:sz w:val="20"/>
          <w:szCs w:val="20"/>
        </w:rPr>
        <w:t>t</w:t>
      </w:r>
      <w:r w:rsidRPr="0001748B">
        <w:rPr>
          <w:rFonts w:eastAsia="Verdana" w:cs="Verdana"/>
          <w:sz w:val="20"/>
          <w:szCs w:val="20"/>
        </w:rPr>
        <w:t>o</w:t>
      </w:r>
      <w:r w:rsidRPr="0001748B">
        <w:rPr>
          <w:rFonts w:eastAsia="Verdana" w:cs="Verdana"/>
          <w:spacing w:val="29"/>
          <w:sz w:val="20"/>
          <w:szCs w:val="20"/>
        </w:rPr>
        <w:t xml:space="preserve"> </w:t>
      </w:r>
      <w:r w:rsidRPr="0001748B">
        <w:rPr>
          <w:rFonts w:eastAsia="Verdana" w:cs="Verdana"/>
          <w:spacing w:val="2"/>
          <w:sz w:val="20"/>
          <w:szCs w:val="20"/>
        </w:rPr>
        <w:t>O</w:t>
      </w:r>
      <w:r w:rsidRPr="0001748B">
        <w:rPr>
          <w:rFonts w:eastAsia="Verdana" w:cs="Verdana"/>
          <w:spacing w:val="-1"/>
          <w:sz w:val="20"/>
          <w:szCs w:val="20"/>
        </w:rPr>
        <w:t>r</w:t>
      </w:r>
      <w:r w:rsidRPr="0001748B">
        <w:rPr>
          <w:rFonts w:eastAsia="Verdana" w:cs="Verdana"/>
          <w:spacing w:val="1"/>
          <w:sz w:val="20"/>
          <w:szCs w:val="20"/>
        </w:rPr>
        <w:t>t</w:t>
      </w:r>
      <w:r w:rsidRPr="0001748B">
        <w:rPr>
          <w:rFonts w:eastAsia="Verdana" w:cs="Verdana"/>
          <w:spacing w:val="3"/>
          <w:sz w:val="20"/>
          <w:szCs w:val="20"/>
        </w:rPr>
        <w:t>i</w:t>
      </w:r>
      <w:r w:rsidRPr="0001748B">
        <w:rPr>
          <w:rFonts w:eastAsia="Verdana" w:cs="Verdana"/>
          <w:sz w:val="20"/>
          <w:szCs w:val="20"/>
        </w:rPr>
        <w:t>z</w:t>
      </w:r>
      <w:r w:rsidRPr="0001748B">
        <w:rPr>
          <w:rFonts w:eastAsia="Verdana" w:cs="Verdana"/>
          <w:spacing w:val="34"/>
          <w:sz w:val="20"/>
          <w:szCs w:val="20"/>
        </w:rPr>
        <w:t xml:space="preserve"> </w:t>
      </w:r>
      <w:r w:rsidRPr="0001748B">
        <w:rPr>
          <w:rFonts w:eastAsia="Verdana" w:cs="Verdana"/>
          <w:spacing w:val="1"/>
          <w:sz w:val="20"/>
          <w:szCs w:val="20"/>
        </w:rPr>
        <w:t>Rui</w:t>
      </w:r>
      <w:r w:rsidRPr="0001748B">
        <w:rPr>
          <w:rFonts w:eastAsia="Verdana" w:cs="Verdana"/>
          <w:sz w:val="20"/>
          <w:szCs w:val="20"/>
        </w:rPr>
        <w:t>z,</w:t>
      </w:r>
      <w:r w:rsidRPr="0001748B">
        <w:rPr>
          <w:rFonts w:eastAsia="Verdana" w:cs="Verdana"/>
          <w:spacing w:val="29"/>
          <w:sz w:val="20"/>
          <w:szCs w:val="20"/>
        </w:rPr>
        <w:t xml:space="preserve"> </w:t>
      </w:r>
      <w:r w:rsidRPr="0001748B">
        <w:rPr>
          <w:rFonts w:eastAsia="Verdana" w:cs="Verdana"/>
          <w:sz w:val="20"/>
          <w:szCs w:val="20"/>
        </w:rPr>
        <w:t>M</w:t>
      </w:r>
      <w:r w:rsidRPr="0001748B">
        <w:rPr>
          <w:rFonts w:eastAsia="Verdana" w:cs="Verdana"/>
          <w:spacing w:val="3"/>
          <w:sz w:val="20"/>
          <w:szCs w:val="20"/>
        </w:rPr>
        <w:t>a</w:t>
      </w:r>
      <w:r w:rsidRPr="0001748B">
        <w:rPr>
          <w:rFonts w:eastAsia="Verdana" w:cs="Verdana"/>
          <w:spacing w:val="-1"/>
          <w:sz w:val="20"/>
          <w:szCs w:val="20"/>
        </w:rPr>
        <w:t>r</w:t>
      </w:r>
      <w:r w:rsidRPr="0001748B">
        <w:rPr>
          <w:rFonts w:eastAsia="Verdana" w:cs="Verdana"/>
          <w:spacing w:val="3"/>
          <w:sz w:val="20"/>
          <w:szCs w:val="20"/>
        </w:rPr>
        <w:t>i</w:t>
      </w:r>
      <w:r w:rsidRPr="0001748B">
        <w:rPr>
          <w:rFonts w:eastAsia="Verdana" w:cs="Verdana"/>
          <w:spacing w:val="1"/>
          <w:sz w:val="20"/>
          <w:szCs w:val="20"/>
        </w:rPr>
        <w:t>tz</w:t>
      </w:r>
      <w:r w:rsidRPr="0001748B">
        <w:rPr>
          <w:rFonts w:eastAsia="Verdana" w:cs="Verdana"/>
          <w:sz w:val="20"/>
          <w:szCs w:val="20"/>
        </w:rPr>
        <w:t>a</w:t>
      </w:r>
      <w:r w:rsidRPr="0001748B">
        <w:rPr>
          <w:rFonts w:eastAsia="Verdana" w:cs="Verdana"/>
          <w:spacing w:val="30"/>
          <w:sz w:val="20"/>
          <w:szCs w:val="20"/>
        </w:rPr>
        <w:t xml:space="preserve"> </w:t>
      </w:r>
      <w:r w:rsidRPr="0001748B">
        <w:rPr>
          <w:rFonts w:eastAsia="Verdana" w:cs="Verdana"/>
          <w:spacing w:val="-1"/>
          <w:sz w:val="20"/>
          <w:szCs w:val="20"/>
        </w:rPr>
        <w:t>Go</w:t>
      </w:r>
      <w:r w:rsidRPr="0001748B">
        <w:rPr>
          <w:rFonts w:eastAsia="Verdana" w:cs="Verdana"/>
          <w:spacing w:val="1"/>
          <w:sz w:val="20"/>
          <w:szCs w:val="20"/>
        </w:rPr>
        <w:t>nz</w:t>
      </w:r>
      <w:r w:rsidRPr="0001748B">
        <w:rPr>
          <w:rFonts w:eastAsia="Verdana" w:cs="Verdana"/>
          <w:sz w:val="20"/>
          <w:szCs w:val="20"/>
        </w:rPr>
        <w:t>á</w:t>
      </w:r>
      <w:r w:rsidRPr="0001748B">
        <w:rPr>
          <w:rFonts w:eastAsia="Verdana" w:cs="Verdana"/>
          <w:spacing w:val="3"/>
          <w:sz w:val="20"/>
          <w:szCs w:val="20"/>
        </w:rPr>
        <w:t>l</w:t>
      </w:r>
      <w:r w:rsidRPr="0001748B">
        <w:rPr>
          <w:rFonts w:eastAsia="Verdana" w:cs="Verdana"/>
          <w:spacing w:val="-1"/>
          <w:sz w:val="20"/>
          <w:szCs w:val="20"/>
        </w:rPr>
        <w:t>e</w:t>
      </w:r>
      <w:r w:rsidRPr="0001748B">
        <w:rPr>
          <w:rFonts w:eastAsia="Verdana" w:cs="Verdana"/>
          <w:sz w:val="20"/>
          <w:szCs w:val="20"/>
        </w:rPr>
        <w:t>z</w:t>
      </w:r>
      <w:r w:rsidRPr="0001748B">
        <w:rPr>
          <w:rFonts w:eastAsia="Verdana" w:cs="Verdana"/>
          <w:spacing w:val="29"/>
          <w:sz w:val="20"/>
          <w:szCs w:val="20"/>
        </w:rPr>
        <w:t xml:space="preserve"> </w:t>
      </w:r>
      <w:r w:rsidRPr="0001748B">
        <w:rPr>
          <w:rFonts w:eastAsia="Verdana" w:cs="Verdana"/>
          <w:sz w:val="20"/>
          <w:szCs w:val="20"/>
        </w:rPr>
        <w:t>C</w:t>
      </w:r>
      <w:r w:rsidRPr="0001748B">
        <w:rPr>
          <w:rFonts w:eastAsia="Verdana" w:cs="Verdana"/>
          <w:spacing w:val="1"/>
          <w:sz w:val="20"/>
          <w:szCs w:val="20"/>
        </w:rPr>
        <w:t>o</w:t>
      </w:r>
      <w:r w:rsidRPr="0001748B">
        <w:rPr>
          <w:rFonts w:eastAsia="Verdana" w:cs="Verdana"/>
          <w:spacing w:val="-1"/>
          <w:sz w:val="20"/>
          <w:szCs w:val="20"/>
        </w:rPr>
        <w:t>r</w:t>
      </w:r>
      <w:r w:rsidRPr="0001748B">
        <w:rPr>
          <w:rFonts w:eastAsia="Verdana" w:cs="Verdana"/>
          <w:spacing w:val="1"/>
          <w:sz w:val="20"/>
          <w:szCs w:val="20"/>
        </w:rPr>
        <w:t>de</w:t>
      </w:r>
      <w:r w:rsidRPr="0001748B">
        <w:rPr>
          <w:rFonts w:eastAsia="Verdana" w:cs="Verdana"/>
          <w:spacing w:val="-1"/>
          <w:sz w:val="20"/>
          <w:szCs w:val="20"/>
        </w:rPr>
        <w:t>r</w:t>
      </w:r>
      <w:r w:rsidRPr="0001748B">
        <w:rPr>
          <w:rFonts w:eastAsia="Verdana" w:cs="Verdana"/>
          <w:sz w:val="20"/>
          <w:szCs w:val="20"/>
        </w:rPr>
        <w:t>o,</w:t>
      </w:r>
      <w:r w:rsidRPr="0001748B">
        <w:rPr>
          <w:rFonts w:eastAsia="Verdana" w:cs="Verdana"/>
          <w:spacing w:val="30"/>
          <w:sz w:val="20"/>
          <w:szCs w:val="20"/>
        </w:rPr>
        <w:t xml:space="preserve"> </w:t>
      </w:r>
      <w:r w:rsidRPr="0001748B">
        <w:rPr>
          <w:rFonts w:eastAsia="Verdana" w:cs="Verdana"/>
          <w:spacing w:val="1"/>
          <w:sz w:val="20"/>
          <w:szCs w:val="20"/>
        </w:rPr>
        <w:t>S</w:t>
      </w:r>
      <w:r w:rsidRPr="0001748B">
        <w:rPr>
          <w:rFonts w:eastAsia="Verdana" w:cs="Verdana"/>
          <w:sz w:val="20"/>
          <w:szCs w:val="20"/>
        </w:rPr>
        <w:t>a</w:t>
      </w:r>
      <w:r w:rsidRPr="0001748B">
        <w:rPr>
          <w:rFonts w:eastAsia="Verdana" w:cs="Verdana"/>
          <w:spacing w:val="1"/>
          <w:sz w:val="20"/>
          <w:szCs w:val="20"/>
        </w:rPr>
        <w:t>ú</w:t>
      </w:r>
      <w:r w:rsidRPr="0001748B">
        <w:rPr>
          <w:rFonts w:eastAsia="Verdana" w:cs="Verdana"/>
          <w:sz w:val="20"/>
          <w:szCs w:val="20"/>
        </w:rPr>
        <w:t>l</w:t>
      </w:r>
      <w:r w:rsidRPr="0001748B">
        <w:rPr>
          <w:rFonts w:eastAsia="Verdana" w:cs="Verdana"/>
          <w:spacing w:val="36"/>
          <w:sz w:val="20"/>
          <w:szCs w:val="20"/>
        </w:rPr>
        <w:t xml:space="preserve"> </w:t>
      </w:r>
      <w:r w:rsidRPr="0001748B">
        <w:rPr>
          <w:rFonts w:eastAsia="Verdana" w:cs="Verdana"/>
          <w:spacing w:val="1"/>
          <w:sz w:val="20"/>
          <w:szCs w:val="20"/>
        </w:rPr>
        <w:t>A</w:t>
      </w:r>
      <w:r w:rsidRPr="0001748B">
        <w:rPr>
          <w:rFonts w:eastAsia="Verdana" w:cs="Verdana"/>
          <w:spacing w:val="-1"/>
          <w:sz w:val="20"/>
          <w:szCs w:val="20"/>
        </w:rPr>
        <w:t>re</w:t>
      </w:r>
      <w:r w:rsidRPr="0001748B">
        <w:rPr>
          <w:rFonts w:eastAsia="Verdana" w:cs="Verdana"/>
          <w:spacing w:val="1"/>
          <w:sz w:val="20"/>
          <w:szCs w:val="20"/>
        </w:rPr>
        <w:t>l</w:t>
      </w:r>
      <w:r w:rsidRPr="0001748B">
        <w:rPr>
          <w:rFonts w:eastAsia="Verdana" w:cs="Verdana"/>
          <w:spacing w:val="3"/>
          <w:sz w:val="20"/>
          <w:szCs w:val="20"/>
        </w:rPr>
        <w:t>l</w:t>
      </w:r>
      <w:r w:rsidRPr="0001748B">
        <w:rPr>
          <w:rFonts w:eastAsia="Verdana" w:cs="Verdana"/>
          <w:sz w:val="20"/>
          <w:szCs w:val="20"/>
        </w:rPr>
        <w:t>a</w:t>
      </w:r>
      <w:r w:rsidRPr="0001748B">
        <w:rPr>
          <w:rFonts w:eastAsia="Verdana" w:cs="Verdana"/>
          <w:spacing w:val="1"/>
          <w:sz w:val="20"/>
          <w:szCs w:val="20"/>
        </w:rPr>
        <w:t>n</w:t>
      </w:r>
      <w:r w:rsidRPr="0001748B">
        <w:rPr>
          <w:rFonts w:eastAsia="Verdana" w:cs="Verdana"/>
          <w:sz w:val="20"/>
          <w:szCs w:val="20"/>
        </w:rPr>
        <w:t>o M</w:t>
      </w:r>
      <w:r w:rsidRPr="0001748B">
        <w:rPr>
          <w:rFonts w:eastAsia="Verdana" w:cs="Verdana"/>
          <w:spacing w:val="-1"/>
          <w:sz w:val="20"/>
          <w:szCs w:val="20"/>
        </w:rPr>
        <w:t>or</w:t>
      </w:r>
      <w:r w:rsidRPr="0001748B">
        <w:rPr>
          <w:rFonts w:eastAsia="Verdana" w:cs="Verdana"/>
          <w:sz w:val="20"/>
          <w:szCs w:val="20"/>
        </w:rPr>
        <w:t>a,</w:t>
      </w:r>
      <w:r w:rsidRPr="0001748B">
        <w:rPr>
          <w:rFonts w:eastAsia="Verdana" w:cs="Verdana"/>
          <w:spacing w:val="3"/>
          <w:sz w:val="20"/>
          <w:szCs w:val="20"/>
        </w:rPr>
        <w:t xml:space="preserve"> J</w:t>
      </w:r>
      <w:r w:rsidRPr="0001748B">
        <w:rPr>
          <w:rFonts w:eastAsia="Verdana" w:cs="Verdana"/>
          <w:spacing w:val="-1"/>
          <w:sz w:val="20"/>
          <w:szCs w:val="20"/>
        </w:rPr>
        <w:t>ec</w:t>
      </w:r>
      <w:r w:rsidRPr="0001748B">
        <w:rPr>
          <w:rFonts w:eastAsia="Verdana" w:cs="Verdana"/>
          <w:spacing w:val="2"/>
          <w:sz w:val="20"/>
          <w:szCs w:val="20"/>
        </w:rPr>
        <w:t>k</w:t>
      </w:r>
      <w:r w:rsidRPr="0001748B">
        <w:rPr>
          <w:rFonts w:eastAsia="Verdana" w:cs="Verdana"/>
          <w:spacing w:val="-1"/>
          <w:sz w:val="20"/>
          <w:szCs w:val="20"/>
        </w:rPr>
        <w:t>so</w:t>
      </w:r>
      <w:r w:rsidRPr="0001748B">
        <w:rPr>
          <w:rFonts w:eastAsia="Verdana" w:cs="Verdana"/>
          <w:sz w:val="20"/>
          <w:szCs w:val="20"/>
        </w:rPr>
        <w:t>n</w:t>
      </w:r>
      <w:r w:rsidRPr="0001748B">
        <w:rPr>
          <w:rFonts w:eastAsia="Verdana" w:cs="Verdana"/>
          <w:spacing w:val="9"/>
          <w:sz w:val="20"/>
          <w:szCs w:val="20"/>
        </w:rPr>
        <w:t xml:space="preserve"> </w:t>
      </w:r>
      <w:r w:rsidRPr="0001748B">
        <w:rPr>
          <w:rFonts w:eastAsia="Verdana" w:cs="Verdana"/>
          <w:spacing w:val="-1"/>
          <w:sz w:val="20"/>
          <w:szCs w:val="20"/>
        </w:rPr>
        <w:t>E</w:t>
      </w:r>
      <w:r w:rsidRPr="0001748B">
        <w:rPr>
          <w:rFonts w:eastAsia="Verdana" w:cs="Verdana"/>
          <w:spacing w:val="1"/>
          <w:sz w:val="20"/>
          <w:szCs w:val="20"/>
        </w:rPr>
        <w:t>dg</w:t>
      </w:r>
      <w:r w:rsidRPr="0001748B">
        <w:rPr>
          <w:rFonts w:eastAsia="Verdana" w:cs="Verdana"/>
          <w:sz w:val="20"/>
          <w:szCs w:val="20"/>
        </w:rPr>
        <w:t>a</w:t>
      </w:r>
      <w:r w:rsidRPr="0001748B">
        <w:rPr>
          <w:rFonts w:eastAsia="Verdana" w:cs="Verdana"/>
          <w:spacing w:val="-1"/>
          <w:sz w:val="20"/>
          <w:szCs w:val="20"/>
        </w:rPr>
        <w:t>r</w:t>
      </w:r>
      <w:r w:rsidRPr="0001748B">
        <w:rPr>
          <w:rFonts w:eastAsia="Verdana" w:cs="Verdana"/>
          <w:spacing w:val="3"/>
          <w:sz w:val="20"/>
          <w:szCs w:val="20"/>
        </w:rPr>
        <w:t>d</w:t>
      </w:r>
      <w:r w:rsidRPr="0001748B">
        <w:rPr>
          <w:rFonts w:eastAsia="Verdana" w:cs="Verdana"/>
          <w:sz w:val="20"/>
          <w:szCs w:val="20"/>
        </w:rPr>
        <w:t>o</w:t>
      </w:r>
      <w:r w:rsidRPr="0001748B">
        <w:rPr>
          <w:rFonts w:eastAsia="Verdana" w:cs="Verdana"/>
          <w:spacing w:val="3"/>
          <w:sz w:val="20"/>
          <w:szCs w:val="20"/>
        </w:rPr>
        <w:t xml:space="preserve"> </w:t>
      </w:r>
      <w:r w:rsidRPr="0001748B">
        <w:rPr>
          <w:rFonts w:eastAsia="Verdana" w:cs="Verdana"/>
          <w:spacing w:val="2"/>
          <w:sz w:val="20"/>
          <w:szCs w:val="20"/>
        </w:rPr>
        <w:t>O</w:t>
      </w:r>
      <w:r w:rsidRPr="0001748B">
        <w:rPr>
          <w:rFonts w:eastAsia="Verdana" w:cs="Verdana"/>
          <w:spacing w:val="-1"/>
          <w:sz w:val="20"/>
          <w:szCs w:val="20"/>
        </w:rPr>
        <w:t>r</w:t>
      </w:r>
      <w:r w:rsidRPr="0001748B">
        <w:rPr>
          <w:rFonts w:eastAsia="Verdana" w:cs="Verdana"/>
          <w:spacing w:val="1"/>
          <w:sz w:val="20"/>
          <w:szCs w:val="20"/>
        </w:rPr>
        <w:t>t</w:t>
      </w:r>
      <w:r w:rsidRPr="0001748B">
        <w:rPr>
          <w:rFonts w:eastAsia="Verdana" w:cs="Verdana"/>
          <w:spacing w:val="3"/>
          <w:sz w:val="20"/>
          <w:szCs w:val="20"/>
        </w:rPr>
        <w:t>i</w:t>
      </w:r>
      <w:r w:rsidRPr="0001748B">
        <w:rPr>
          <w:rFonts w:eastAsia="Verdana" w:cs="Verdana"/>
          <w:sz w:val="20"/>
          <w:szCs w:val="20"/>
        </w:rPr>
        <w:t>z</w:t>
      </w:r>
      <w:r w:rsidRPr="0001748B">
        <w:rPr>
          <w:rFonts w:eastAsia="Verdana" w:cs="Verdana"/>
          <w:spacing w:val="9"/>
          <w:sz w:val="20"/>
          <w:szCs w:val="20"/>
        </w:rPr>
        <w:t xml:space="preserve"> </w:t>
      </w:r>
      <w:r w:rsidRPr="0001748B">
        <w:rPr>
          <w:rFonts w:eastAsia="Verdana" w:cs="Verdana"/>
          <w:spacing w:val="-1"/>
          <w:sz w:val="20"/>
          <w:szCs w:val="20"/>
        </w:rPr>
        <w:t>Go</w:t>
      </w:r>
      <w:r w:rsidRPr="0001748B">
        <w:rPr>
          <w:rFonts w:eastAsia="Verdana" w:cs="Verdana"/>
          <w:spacing w:val="1"/>
          <w:sz w:val="20"/>
          <w:szCs w:val="20"/>
        </w:rPr>
        <w:t>nz</w:t>
      </w:r>
      <w:r w:rsidRPr="0001748B">
        <w:rPr>
          <w:rFonts w:eastAsia="Verdana" w:cs="Verdana"/>
          <w:spacing w:val="-2"/>
          <w:sz w:val="20"/>
          <w:szCs w:val="20"/>
        </w:rPr>
        <w:t>á</w:t>
      </w:r>
      <w:r w:rsidRPr="0001748B">
        <w:rPr>
          <w:rFonts w:eastAsia="Verdana" w:cs="Verdana"/>
          <w:spacing w:val="3"/>
          <w:sz w:val="20"/>
          <w:szCs w:val="20"/>
        </w:rPr>
        <w:t>l</w:t>
      </w:r>
      <w:r w:rsidRPr="0001748B">
        <w:rPr>
          <w:rFonts w:eastAsia="Verdana" w:cs="Verdana"/>
          <w:spacing w:val="-1"/>
          <w:sz w:val="20"/>
          <w:szCs w:val="20"/>
        </w:rPr>
        <w:t>e</w:t>
      </w:r>
      <w:r w:rsidRPr="0001748B">
        <w:rPr>
          <w:rFonts w:eastAsia="Verdana" w:cs="Verdana"/>
          <w:sz w:val="20"/>
          <w:szCs w:val="20"/>
        </w:rPr>
        <w:t xml:space="preserve">z, </w:t>
      </w:r>
      <w:r w:rsidRPr="0001748B">
        <w:rPr>
          <w:rFonts w:eastAsia="Verdana" w:cs="Verdana"/>
          <w:spacing w:val="2"/>
          <w:sz w:val="20"/>
          <w:szCs w:val="20"/>
        </w:rPr>
        <w:t>G</w:t>
      </w:r>
      <w:r w:rsidRPr="0001748B">
        <w:rPr>
          <w:rFonts w:eastAsia="Verdana" w:cs="Verdana"/>
          <w:spacing w:val="-1"/>
          <w:sz w:val="20"/>
          <w:szCs w:val="20"/>
        </w:rPr>
        <w:t>re</w:t>
      </w:r>
      <w:r w:rsidR="004E7CE9" w:rsidRPr="0001748B">
        <w:rPr>
          <w:rFonts w:eastAsia="Verdana" w:cs="Verdana"/>
          <w:spacing w:val="3"/>
          <w:sz w:val="20"/>
          <w:szCs w:val="20"/>
        </w:rPr>
        <w:t>ys</w:t>
      </w:r>
      <w:r w:rsidRPr="0001748B">
        <w:rPr>
          <w:rFonts w:eastAsia="Verdana" w:cs="Verdana"/>
          <w:spacing w:val="-1"/>
          <w:sz w:val="20"/>
          <w:szCs w:val="20"/>
        </w:rPr>
        <w:t>s</w:t>
      </w:r>
      <w:r w:rsidR="004E7CE9" w:rsidRPr="0001748B">
        <w:rPr>
          <w:rFonts w:eastAsia="Verdana" w:cs="Verdana"/>
          <w:sz w:val="20"/>
          <w:szCs w:val="20"/>
        </w:rPr>
        <w:t>i</w:t>
      </w:r>
      <w:r w:rsidRPr="0001748B">
        <w:rPr>
          <w:rFonts w:eastAsia="Verdana" w:cs="Verdana"/>
          <w:spacing w:val="6"/>
          <w:sz w:val="20"/>
          <w:szCs w:val="20"/>
        </w:rPr>
        <w:t xml:space="preserve"> </w:t>
      </w:r>
      <w:r w:rsidRPr="0001748B">
        <w:rPr>
          <w:rFonts w:eastAsia="Verdana" w:cs="Verdana"/>
          <w:sz w:val="20"/>
          <w:szCs w:val="20"/>
        </w:rPr>
        <w:t>Ma</w:t>
      </w:r>
      <w:r w:rsidRPr="0001748B">
        <w:rPr>
          <w:rFonts w:eastAsia="Verdana" w:cs="Verdana"/>
          <w:spacing w:val="-1"/>
          <w:sz w:val="20"/>
          <w:szCs w:val="20"/>
        </w:rPr>
        <w:t>r</w:t>
      </w:r>
      <w:r w:rsidRPr="0001748B">
        <w:rPr>
          <w:rFonts w:eastAsia="Verdana" w:cs="Verdana"/>
          <w:spacing w:val="3"/>
          <w:sz w:val="20"/>
          <w:szCs w:val="20"/>
        </w:rPr>
        <w:t>i</w:t>
      </w:r>
      <w:r w:rsidRPr="0001748B">
        <w:rPr>
          <w:rFonts w:eastAsia="Verdana" w:cs="Verdana"/>
          <w:spacing w:val="-1"/>
          <w:sz w:val="20"/>
          <w:szCs w:val="20"/>
        </w:rPr>
        <w:t>e</w:t>
      </w:r>
      <w:r w:rsidRPr="0001748B">
        <w:rPr>
          <w:rFonts w:eastAsia="Verdana" w:cs="Verdana"/>
          <w:sz w:val="20"/>
          <w:szCs w:val="20"/>
        </w:rPr>
        <w:t>d</w:t>
      </w:r>
      <w:r w:rsidRPr="0001748B">
        <w:rPr>
          <w:rFonts w:eastAsia="Verdana" w:cs="Verdana"/>
          <w:spacing w:val="9"/>
          <w:sz w:val="20"/>
          <w:szCs w:val="20"/>
        </w:rPr>
        <w:t xml:space="preserve"> </w:t>
      </w:r>
      <w:r w:rsidRPr="0001748B">
        <w:rPr>
          <w:rFonts w:eastAsia="Verdana" w:cs="Verdana"/>
          <w:spacing w:val="-1"/>
          <w:sz w:val="20"/>
          <w:szCs w:val="20"/>
        </w:rPr>
        <w:t>Or</w:t>
      </w:r>
      <w:r w:rsidRPr="0001748B">
        <w:rPr>
          <w:rFonts w:eastAsia="Verdana" w:cs="Verdana"/>
          <w:spacing w:val="1"/>
          <w:sz w:val="20"/>
          <w:szCs w:val="20"/>
        </w:rPr>
        <w:t>t</w:t>
      </w:r>
      <w:r w:rsidRPr="0001748B">
        <w:rPr>
          <w:rFonts w:eastAsia="Verdana" w:cs="Verdana"/>
          <w:spacing w:val="3"/>
          <w:sz w:val="20"/>
          <w:szCs w:val="20"/>
        </w:rPr>
        <w:t>i</w:t>
      </w:r>
      <w:r w:rsidRPr="0001748B">
        <w:rPr>
          <w:rFonts w:eastAsia="Verdana" w:cs="Verdana"/>
          <w:sz w:val="20"/>
          <w:szCs w:val="20"/>
        </w:rPr>
        <w:t xml:space="preserve">z </w:t>
      </w:r>
      <w:r w:rsidRPr="0001748B">
        <w:rPr>
          <w:rFonts w:eastAsia="Verdana" w:cs="Verdana"/>
          <w:spacing w:val="-1"/>
          <w:sz w:val="20"/>
          <w:szCs w:val="20"/>
        </w:rPr>
        <w:t>Go</w:t>
      </w:r>
      <w:r w:rsidRPr="0001748B">
        <w:rPr>
          <w:rFonts w:eastAsia="Verdana" w:cs="Verdana"/>
          <w:spacing w:val="1"/>
          <w:sz w:val="20"/>
          <w:szCs w:val="20"/>
        </w:rPr>
        <w:t>nz</w:t>
      </w:r>
      <w:r w:rsidRPr="0001748B">
        <w:rPr>
          <w:rFonts w:eastAsia="Verdana" w:cs="Verdana"/>
          <w:sz w:val="20"/>
          <w:szCs w:val="20"/>
        </w:rPr>
        <w:t>á</w:t>
      </w:r>
      <w:r w:rsidRPr="0001748B">
        <w:rPr>
          <w:rFonts w:eastAsia="Verdana" w:cs="Verdana"/>
          <w:spacing w:val="3"/>
          <w:sz w:val="20"/>
          <w:szCs w:val="20"/>
        </w:rPr>
        <w:t>l</w:t>
      </w:r>
      <w:r w:rsidRPr="0001748B">
        <w:rPr>
          <w:rFonts w:eastAsia="Verdana" w:cs="Verdana"/>
          <w:spacing w:val="-1"/>
          <w:sz w:val="20"/>
          <w:szCs w:val="20"/>
        </w:rPr>
        <w:t>e</w:t>
      </w:r>
      <w:r w:rsidRPr="0001748B">
        <w:rPr>
          <w:rFonts w:eastAsia="Verdana" w:cs="Verdana"/>
          <w:sz w:val="20"/>
          <w:szCs w:val="20"/>
        </w:rPr>
        <w:t>z,</w:t>
      </w:r>
      <w:r w:rsidRPr="0001748B">
        <w:rPr>
          <w:rFonts w:eastAsia="Verdana" w:cs="Verdana"/>
          <w:spacing w:val="2"/>
          <w:sz w:val="20"/>
          <w:szCs w:val="20"/>
        </w:rPr>
        <w:t xml:space="preserve"> </w:t>
      </w:r>
      <w:r w:rsidRPr="0001748B">
        <w:rPr>
          <w:rFonts w:eastAsia="Verdana" w:cs="Verdana"/>
          <w:spacing w:val="-1"/>
          <w:sz w:val="20"/>
          <w:szCs w:val="20"/>
        </w:rPr>
        <w:t>G</w:t>
      </w:r>
      <w:r w:rsidRPr="0001748B">
        <w:rPr>
          <w:rFonts w:eastAsia="Verdana" w:cs="Verdana"/>
          <w:spacing w:val="1"/>
          <w:sz w:val="20"/>
          <w:szCs w:val="20"/>
        </w:rPr>
        <w:t>r</w:t>
      </w:r>
      <w:r w:rsidRPr="0001748B">
        <w:rPr>
          <w:rFonts w:eastAsia="Verdana" w:cs="Verdana"/>
          <w:spacing w:val="-1"/>
          <w:sz w:val="20"/>
          <w:szCs w:val="20"/>
        </w:rPr>
        <w:t>e</w:t>
      </w:r>
      <w:r w:rsidRPr="0001748B">
        <w:rPr>
          <w:rFonts w:eastAsia="Verdana" w:cs="Verdana"/>
          <w:spacing w:val="1"/>
          <w:sz w:val="20"/>
          <w:szCs w:val="20"/>
        </w:rPr>
        <w:t>go</w:t>
      </w:r>
      <w:r w:rsidRPr="0001748B">
        <w:rPr>
          <w:rFonts w:eastAsia="Verdana" w:cs="Verdana"/>
          <w:spacing w:val="-1"/>
          <w:sz w:val="20"/>
          <w:szCs w:val="20"/>
        </w:rPr>
        <w:t>r</w:t>
      </w:r>
      <w:r w:rsidRPr="0001748B">
        <w:rPr>
          <w:rFonts w:eastAsia="Verdana" w:cs="Verdana"/>
          <w:sz w:val="20"/>
          <w:szCs w:val="20"/>
        </w:rPr>
        <w:t>y</w:t>
      </w:r>
      <w:r w:rsidRPr="0001748B">
        <w:rPr>
          <w:rFonts w:eastAsia="Verdana" w:cs="Verdana"/>
          <w:spacing w:val="3"/>
          <w:sz w:val="20"/>
          <w:szCs w:val="20"/>
        </w:rPr>
        <w:t xml:space="preserve"> </w:t>
      </w:r>
      <w:r w:rsidRPr="0001748B">
        <w:rPr>
          <w:rFonts w:eastAsia="Verdana" w:cs="Verdana"/>
          <w:spacing w:val="2"/>
          <w:sz w:val="20"/>
          <w:szCs w:val="20"/>
        </w:rPr>
        <w:t>L</w:t>
      </w:r>
      <w:r w:rsidRPr="0001748B">
        <w:rPr>
          <w:rFonts w:eastAsia="Verdana" w:cs="Verdana"/>
          <w:spacing w:val="1"/>
          <w:sz w:val="20"/>
          <w:szCs w:val="20"/>
        </w:rPr>
        <w:t>e</w:t>
      </w:r>
      <w:r w:rsidRPr="0001748B">
        <w:rPr>
          <w:rFonts w:eastAsia="Verdana" w:cs="Verdana"/>
          <w:spacing w:val="-1"/>
          <w:sz w:val="20"/>
          <w:szCs w:val="20"/>
        </w:rPr>
        <w:t>o</w:t>
      </w:r>
      <w:r w:rsidRPr="0001748B">
        <w:rPr>
          <w:rFonts w:eastAsia="Verdana" w:cs="Verdana"/>
          <w:spacing w:val="1"/>
          <w:sz w:val="20"/>
          <w:szCs w:val="20"/>
        </w:rPr>
        <w:t>n</w:t>
      </w:r>
      <w:r w:rsidRPr="0001748B">
        <w:rPr>
          <w:rFonts w:eastAsia="Verdana" w:cs="Verdana"/>
          <w:sz w:val="20"/>
          <w:szCs w:val="20"/>
        </w:rPr>
        <w:t>a</w:t>
      </w:r>
      <w:r w:rsidRPr="0001748B">
        <w:rPr>
          <w:rFonts w:eastAsia="Verdana" w:cs="Verdana"/>
          <w:spacing w:val="-1"/>
          <w:sz w:val="20"/>
          <w:szCs w:val="20"/>
        </w:rPr>
        <w:t>r</w:t>
      </w:r>
      <w:r w:rsidRPr="0001748B">
        <w:rPr>
          <w:rFonts w:eastAsia="Verdana" w:cs="Verdana"/>
          <w:spacing w:val="1"/>
          <w:sz w:val="20"/>
          <w:szCs w:val="20"/>
        </w:rPr>
        <w:t>d</w:t>
      </w:r>
      <w:r w:rsidRPr="0001748B">
        <w:rPr>
          <w:rFonts w:eastAsia="Verdana" w:cs="Verdana"/>
          <w:sz w:val="20"/>
          <w:szCs w:val="20"/>
        </w:rPr>
        <w:t>o</w:t>
      </w:r>
      <w:r w:rsidRPr="0001748B">
        <w:rPr>
          <w:rFonts w:eastAsia="Verdana" w:cs="Verdana"/>
          <w:spacing w:val="4"/>
          <w:sz w:val="20"/>
          <w:szCs w:val="20"/>
        </w:rPr>
        <w:t xml:space="preserve"> </w:t>
      </w:r>
      <w:r w:rsidRPr="0001748B">
        <w:rPr>
          <w:rFonts w:eastAsia="Verdana" w:cs="Verdana"/>
          <w:spacing w:val="-1"/>
          <w:sz w:val="20"/>
          <w:szCs w:val="20"/>
        </w:rPr>
        <w:t>Or</w:t>
      </w:r>
      <w:r w:rsidRPr="0001748B">
        <w:rPr>
          <w:rFonts w:eastAsia="Verdana" w:cs="Verdana"/>
          <w:spacing w:val="3"/>
          <w:sz w:val="20"/>
          <w:szCs w:val="20"/>
        </w:rPr>
        <w:t>ti</w:t>
      </w:r>
      <w:r w:rsidRPr="0001748B">
        <w:rPr>
          <w:rFonts w:eastAsia="Verdana" w:cs="Verdana"/>
          <w:sz w:val="20"/>
          <w:szCs w:val="20"/>
        </w:rPr>
        <w:t>z</w:t>
      </w:r>
      <w:r w:rsidRPr="0001748B">
        <w:rPr>
          <w:rFonts w:eastAsia="Verdana" w:cs="Verdana"/>
          <w:spacing w:val="6"/>
          <w:sz w:val="20"/>
          <w:szCs w:val="20"/>
        </w:rPr>
        <w:t xml:space="preserve"> </w:t>
      </w:r>
      <w:r w:rsidRPr="0001748B">
        <w:rPr>
          <w:rFonts w:eastAsia="Verdana" w:cs="Verdana"/>
          <w:spacing w:val="-1"/>
          <w:sz w:val="20"/>
          <w:szCs w:val="20"/>
        </w:rPr>
        <w:t>Go</w:t>
      </w:r>
      <w:r w:rsidRPr="0001748B">
        <w:rPr>
          <w:rFonts w:eastAsia="Verdana" w:cs="Verdana"/>
          <w:spacing w:val="1"/>
          <w:sz w:val="20"/>
          <w:szCs w:val="20"/>
        </w:rPr>
        <w:t>nz</w:t>
      </w:r>
      <w:r w:rsidRPr="0001748B">
        <w:rPr>
          <w:rFonts w:eastAsia="Verdana" w:cs="Verdana"/>
          <w:sz w:val="20"/>
          <w:szCs w:val="20"/>
        </w:rPr>
        <w:t>á</w:t>
      </w:r>
      <w:r w:rsidRPr="0001748B">
        <w:rPr>
          <w:rFonts w:eastAsia="Verdana" w:cs="Verdana"/>
          <w:spacing w:val="3"/>
          <w:sz w:val="20"/>
          <w:szCs w:val="20"/>
        </w:rPr>
        <w:t>l</w:t>
      </w:r>
      <w:r w:rsidRPr="0001748B">
        <w:rPr>
          <w:rFonts w:eastAsia="Verdana" w:cs="Verdana"/>
          <w:spacing w:val="-1"/>
          <w:sz w:val="20"/>
          <w:szCs w:val="20"/>
        </w:rPr>
        <w:t>e</w:t>
      </w:r>
      <w:r w:rsidR="00856EDA" w:rsidRPr="0001748B">
        <w:rPr>
          <w:rFonts w:eastAsia="Verdana" w:cs="Verdana"/>
          <w:spacing w:val="-1"/>
          <w:sz w:val="20"/>
          <w:szCs w:val="20"/>
        </w:rPr>
        <w:t>z</w:t>
      </w:r>
      <w:r w:rsidRPr="0001748B">
        <w:rPr>
          <w:rFonts w:eastAsia="Verdana" w:cs="Verdana"/>
          <w:sz w:val="20"/>
          <w:szCs w:val="20"/>
        </w:rPr>
        <w:t>, Za</w:t>
      </w:r>
      <w:r w:rsidRPr="0001748B">
        <w:rPr>
          <w:rFonts w:eastAsia="Verdana" w:cs="Verdana"/>
          <w:spacing w:val="3"/>
          <w:sz w:val="20"/>
          <w:szCs w:val="20"/>
        </w:rPr>
        <w:t>i</w:t>
      </w:r>
      <w:r w:rsidRPr="0001748B">
        <w:rPr>
          <w:rFonts w:eastAsia="Verdana" w:cs="Verdana"/>
          <w:spacing w:val="1"/>
          <w:sz w:val="20"/>
          <w:szCs w:val="20"/>
        </w:rPr>
        <w:t>d</w:t>
      </w:r>
      <w:r w:rsidRPr="0001748B">
        <w:rPr>
          <w:rFonts w:eastAsia="Verdana" w:cs="Verdana"/>
          <w:sz w:val="20"/>
          <w:szCs w:val="20"/>
        </w:rPr>
        <w:t>a</w:t>
      </w:r>
      <w:r w:rsidRPr="0001748B">
        <w:rPr>
          <w:rFonts w:eastAsia="Verdana" w:cs="Verdana"/>
          <w:spacing w:val="7"/>
          <w:sz w:val="20"/>
          <w:szCs w:val="20"/>
        </w:rPr>
        <w:t xml:space="preserve"> </w:t>
      </w:r>
      <w:r w:rsidRPr="0001748B">
        <w:rPr>
          <w:rFonts w:eastAsia="Verdana" w:cs="Verdana"/>
          <w:sz w:val="20"/>
          <w:szCs w:val="20"/>
        </w:rPr>
        <w:t>Da</w:t>
      </w:r>
      <w:r w:rsidRPr="0001748B">
        <w:rPr>
          <w:rFonts w:eastAsia="Verdana" w:cs="Verdana"/>
          <w:spacing w:val="-3"/>
          <w:sz w:val="20"/>
          <w:szCs w:val="20"/>
        </w:rPr>
        <w:t>r</w:t>
      </w:r>
      <w:r w:rsidRPr="0001748B">
        <w:rPr>
          <w:rFonts w:eastAsia="Verdana" w:cs="Verdana"/>
          <w:spacing w:val="3"/>
          <w:sz w:val="20"/>
          <w:szCs w:val="20"/>
        </w:rPr>
        <w:t>i</w:t>
      </w:r>
      <w:r w:rsidRPr="0001748B">
        <w:rPr>
          <w:rFonts w:eastAsia="Verdana" w:cs="Verdana"/>
          <w:sz w:val="20"/>
          <w:szCs w:val="20"/>
        </w:rPr>
        <w:t>a</w:t>
      </w:r>
      <w:r w:rsidRPr="0001748B">
        <w:rPr>
          <w:rFonts w:eastAsia="Verdana" w:cs="Verdana"/>
          <w:spacing w:val="1"/>
          <w:sz w:val="20"/>
          <w:szCs w:val="20"/>
        </w:rPr>
        <w:t>n</w:t>
      </w:r>
      <w:r w:rsidRPr="0001748B">
        <w:rPr>
          <w:rFonts w:eastAsia="Verdana" w:cs="Verdana"/>
          <w:sz w:val="20"/>
          <w:szCs w:val="20"/>
        </w:rPr>
        <w:t>a</w:t>
      </w:r>
      <w:r w:rsidRPr="0001748B">
        <w:rPr>
          <w:rFonts w:eastAsia="Verdana" w:cs="Verdana"/>
          <w:spacing w:val="5"/>
          <w:sz w:val="20"/>
          <w:szCs w:val="20"/>
        </w:rPr>
        <w:t xml:space="preserve"> </w:t>
      </w:r>
      <w:r w:rsidRPr="0001748B">
        <w:rPr>
          <w:rFonts w:eastAsia="Verdana" w:cs="Verdana"/>
          <w:spacing w:val="1"/>
          <w:sz w:val="20"/>
          <w:szCs w:val="20"/>
        </w:rPr>
        <w:t>A</w:t>
      </w:r>
      <w:r w:rsidRPr="0001748B">
        <w:rPr>
          <w:rFonts w:eastAsia="Verdana" w:cs="Verdana"/>
          <w:spacing w:val="-1"/>
          <w:sz w:val="20"/>
          <w:szCs w:val="20"/>
        </w:rPr>
        <w:t>re</w:t>
      </w:r>
      <w:r w:rsidRPr="0001748B">
        <w:rPr>
          <w:rFonts w:eastAsia="Verdana" w:cs="Verdana"/>
          <w:spacing w:val="1"/>
          <w:sz w:val="20"/>
          <w:szCs w:val="20"/>
        </w:rPr>
        <w:t>l</w:t>
      </w:r>
      <w:r w:rsidRPr="0001748B">
        <w:rPr>
          <w:rFonts w:eastAsia="Verdana" w:cs="Verdana"/>
          <w:spacing w:val="3"/>
          <w:sz w:val="20"/>
          <w:szCs w:val="20"/>
        </w:rPr>
        <w:t>l</w:t>
      </w:r>
      <w:r w:rsidRPr="0001748B">
        <w:rPr>
          <w:rFonts w:eastAsia="Verdana" w:cs="Verdana"/>
          <w:sz w:val="20"/>
          <w:szCs w:val="20"/>
        </w:rPr>
        <w:t>a</w:t>
      </w:r>
      <w:r w:rsidRPr="0001748B">
        <w:rPr>
          <w:rFonts w:eastAsia="Verdana" w:cs="Verdana"/>
          <w:spacing w:val="1"/>
          <w:sz w:val="20"/>
          <w:szCs w:val="20"/>
        </w:rPr>
        <w:t>n</w:t>
      </w:r>
      <w:r w:rsidRPr="0001748B">
        <w:rPr>
          <w:rFonts w:eastAsia="Verdana" w:cs="Verdana"/>
          <w:sz w:val="20"/>
          <w:szCs w:val="20"/>
        </w:rPr>
        <w:t xml:space="preserve">o </w:t>
      </w:r>
      <w:r w:rsidRPr="0001748B">
        <w:rPr>
          <w:rFonts w:eastAsia="Verdana" w:cs="Verdana"/>
          <w:spacing w:val="-1"/>
          <w:sz w:val="20"/>
          <w:szCs w:val="20"/>
        </w:rPr>
        <w:t>H</w:t>
      </w:r>
      <w:r w:rsidRPr="0001748B">
        <w:rPr>
          <w:rFonts w:eastAsia="Verdana" w:cs="Verdana"/>
          <w:spacing w:val="1"/>
          <w:sz w:val="20"/>
          <w:szCs w:val="20"/>
        </w:rPr>
        <w:t>e</w:t>
      </w:r>
      <w:r w:rsidRPr="0001748B">
        <w:rPr>
          <w:rFonts w:eastAsia="Verdana" w:cs="Verdana"/>
          <w:spacing w:val="-1"/>
          <w:sz w:val="20"/>
          <w:szCs w:val="20"/>
        </w:rPr>
        <w:t>r</w:t>
      </w:r>
      <w:r w:rsidRPr="0001748B">
        <w:rPr>
          <w:rFonts w:eastAsia="Verdana" w:cs="Verdana"/>
          <w:spacing w:val="1"/>
          <w:sz w:val="20"/>
          <w:szCs w:val="20"/>
        </w:rPr>
        <w:t>n</w:t>
      </w:r>
      <w:r w:rsidRPr="0001748B">
        <w:rPr>
          <w:rFonts w:eastAsia="Verdana" w:cs="Verdana"/>
          <w:sz w:val="20"/>
          <w:szCs w:val="20"/>
        </w:rPr>
        <w:t>á</w:t>
      </w:r>
      <w:r w:rsidRPr="0001748B">
        <w:rPr>
          <w:rFonts w:eastAsia="Verdana" w:cs="Verdana"/>
          <w:spacing w:val="1"/>
          <w:sz w:val="20"/>
          <w:szCs w:val="20"/>
        </w:rPr>
        <w:t>nd</w:t>
      </w:r>
      <w:r w:rsidRPr="0001748B">
        <w:rPr>
          <w:rFonts w:eastAsia="Verdana" w:cs="Verdana"/>
          <w:spacing w:val="-1"/>
          <w:sz w:val="20"/>
          <w:szCs w:val="20"/>
        </w:rPr>
        <w:t>e</w:t>
      </w:r>
      <w:r w:rsidRPr="0001748B">
        <w:rPr>
          <w:rFonts w:eastAsia="Verdana" w:cs="Verdana"/>
          <w:sz w:val="20"/>
          <w:szCs w:val="20"/>
        </w:rPr>
        <w:t>z</w:t>
      </w:r>
      <w:r w:rsidR="00E32E0D">
        <w:rPr>
          <w:rFonts w:eastAsia="Verdana" w:cs="Verdana"/>
          <w:spacing w:val="-11"/>
          <w:sz w:val="20"/>
          <w:szCs w:val="20"/>
        </w:rPr>
        <w:t xml:space="preserve"> </w:t>
      </w:r>
      <w:r w:rsidRPr="0001748B">
        <w:rPr>
          <w:rFonts w:eastAsia="Verdana" w:cs="Verdana"/>
          <w:sz w:val="20"/>
          <w:szCs w:val="20"/>
        </w:rPr>
        <w:t xml:space="preserve">y </w:t>
      </w:r>
      <w:r w:rsidRPr="0001748B">
        <w:rPr>
          <w:rFonts w:eastAsia="Verdana" w:cs="Verdana"/>
          <w:spacing w:val="1"/>
          <w:sz w:val="20"/>
          <w:szCs w:val="20"/>
        </w:rPr>
        <w:t>S</w:t>
      </w:r>
      <w:r w:rsidRPr="0001748B">
        <w:rPr>
          <w:rFonts w:eastAsia="Verdana" w:cs="Verdana"/>
          <w:sz w:val="20"/>
          <w:szCs w:val="20"/>
        </w:rPr>
        <w:t>a</w:t>
      </w:r>
      <w:r w:rsidRPr="0001748B">
        <w:rPr>
          <w:rFonts w:eastAsia="Verdana" w:cs="Verdana"/>
          <w:spacing w:val="1"/>
          <w:sz w:val="20"/>
          <w:szCs w:val="20"/>
        </w:rPr>
        <w:t>ú</w:t>
      </w:r>
      <w:r w:rsidRPr="0001748B">
        <w:rPr>
          <w:rFonts w:eastAsia="Verdana" w:cs="Verdana"/>
          <w:sz w:val="20"/>
          <w:szCs w:val="20"/>
        </w:rPr>
        <w:t>l</w:t>
      </w:r>
      <w:r w:rsidRPr="0001748B">
        <w:rPr>
          <w:rFonts w:eastAsia="Verdana" w:cs="Verdana"/>
          <w:spacing w:val="-2"/>
          <w:sz w:val="20"/>
          <w:szCs w:val="20"/>
        </w:rPr>
        <w:t xml:space="preserve"> </w:t>
      </w:r>
      <w:r w:rsidRPr="0001748B">
        <w:rPr>
          <w:rFonts w:eastAsia="Verdana" w:cs="Verdana"/>
          <w:spacing w:val="1"/>
          <w:sz w:val="20"/>
          <w:szCs w:val="20"/>
        </w:rPr>
        <w:t>J</w:t>
      </w:r>
      <w:r w:rsidRPr="0001748B">
        <w:rPr>
          <w:rFonts w:eastAsia="Verdana" w:cs="Verdana"/>
          <w:spacing w:val="-1"/>
          <w:sz w:val="20"/>
          <w:szCs w:val="20"/>
        </w:rPr>
        <w:t>o</w:t>
      </w:r>
      <w:r w:rsidRPr="0001748B">
        <w:rPr>
          <w:rFonts w:eastAsia="Verdana" w:cs="Verdana"/>
          <w:spacing w:val="1"/>
          <w:sz w:val="20"/>
          <w:szCs w:val="20"/>
        </w:rPr>
        <w:t>h</w:t>
      </w:r>
      <w:r w:rsidRPr="0001748B">
        <w:rPr>
          <w:rFonts w:eastAsia="Verdana" w:cs="Verdana"/>
          <w:sz w:val="20"/>
          <w:szCs w:val="20"/>
        </w:rPr>
        <w:t>an</w:t>
      </w:r>
      <w:r w:rsidRPr="0001748B">
        <w:rPr>
          <w:rFonts w:eastAsia="Verdana" w:cs="Verdana"/>
          <w:spacing w:val="-6"/>
          <w:sz w:val="20"/>
          <w:szCs w:val="20"/>
        </w:rPr>
        <w:t xml:space="preserve"> </w:t>
      </w:r>
      <w:r w:rsidRPr="0001748B">
        <w:rPr>
          <w:rFonts w:eastAsia="Verdana" w:cs="Verdana"/>
          <w:spacing w:val="1"/>
          <w:sz w:val="20"/>
          <w:szCs w:val="20"/>
        </w:rPr>
        <w:t>A</w:t>
      </w:r>
      <w:r w:rsidRPr="0001748B">
        <w:rPr>
          <w:rFonts w:eastAsia="Verdana" w:cs="Verdana"/>
          <w:spacing w:val="-1"/>
          <w:sz w:val="20"/>
          <w:szCs w:val="20"/>
        </w:rPr>
        <w:t>re</w:t>
      </w:r>
      <w:r w:rsidRPr="0001748B">
        <w:rPr>
          <w:rFonts w:eastAsia="Verdana" w:cs="Verdana"/>
          <w:spacing w:val="1"/>
          <w:sz w:val="20"/>
          <w:szCs w:val="20"/>
        </w:rPr>
        <w:t>l</w:t>
      </w:r>
      <w:r w:rsidRPr="0001748B">
        <w:rPr>
          <w:rFonts w:eastAsia="Verdana" w:cs="Verdana"/>
          <w:spacing w:val="3"/>
          <w:sz w:val="20"/>
          <w:szCs w:val="20"/>
        </w:rPr>
        <w:t>l</w:t>
      </w:r>
      <w:r w:rsidRPr="0001748B">
        <w:rPr>
          <w:rFonts w:eastAsia="Verdana" w:cs="Verdana"/>
          <w:sz w:val="20"/>
          <w:szCs w:val="20"/>
        </w:rPr>
        <w:t>a</w:t>
      </w:r>
      <w:r w:rsidRPr="0001748B">
        <w:rPr>
          <w:rFonts w:eastAsia="Verdana" w:cs="Verdana"/>
          <w:spacing w:val="1"/>
          <w:sz w:val="20"/>
          <w:szCs w:val="20"/>
        </w:rPr>
        <w:t>n</w:t>
      </w:r>
      <w:r w:rsidRPr="0001748B">
        <w:rPr>
          <w:rFonts w:eastAsia="Verdana" w:cs="Verdana"/>
          <w:sz w:val="20"/>
          <w:szCs w:val="20"/>
        </w:rPr>
        <w:t>o</w:t>
      </w:r>
      <w:r w:rsidRPr="0001748B">
        <w:rPr>
          <w:rFonts w:eastAsia="Verdana" w:cs="Verdana"/>
          <w:spacing w:val="-10"/>
          <w:sz w:val="20"/>
          <w:szCs w:val="20"/>
        </w:rPr>
        <w:t xml:space="preserve"> </w:t>
      </w:r>
      <w:r w:rsidRPr="0001748B">
        <w:rPr>
          <w:rFonts w:eastAsia="Verdana" w:cs="Verdana"/>
          <w:spacing w:val="-1"/>
          <w:sz w:val="20"/>
          <w:szCs w:val="20"/>
        </w:rPr>
        <w:t>H</w:t>
      </w:r>
      <w:r w:rsidRPr="0001748B">
        <w:rPr>
          <w:rFonts w:eastAsia="Verdana" w:cs="Verdana"/>
          <w:spacing w:val="1"/>
          <w:sz w:val="20"/>
          <w:szCs w:val="20"/>
        </w:rPr>
        <w:t>e</w:t>
      </w:r>
      <w:r w:rsidRPr="0001748B">
        <w:rPr>
          <w:rFonts w:eastAsia="Verdana" w:cs="Verdana"/>
          <w:spacing w:val="-1"/>
          <w:sz w:val="20"/>
          <w:szCs w:val="20"/>
        </w:rPr>
        <w:t>r</w:t>
      </w:r>
      <w:r w:rsidRPr="0001748B">
        <w:rPr>
          <w:rFonts w:eastAsia="Verdana" w:cs="Verdana"/>
          <w:spacing w:val="1"/>
          <w:sz w:val="20"/>
          <w:szCs w:val="20"/>
        </w:rPr>
        <w:t>n</w:t>
      </w:r>
      <w:r w:rsidRPr="0001748B">
        <w:rPr>
          <w:rFonts w:eastAsia="Verdana" w:cs="Verdana"/>
          <w:sz w:val="20"/>
          <w:szCs w:val="20"/>
        </w:rPr>
        <w:t>á</w:t>
      </w:r>
      <w:r w:rsidRPr="0001748B">
        <w:rPr>
          <w:rFonts w:eastAsia="Verdana" w:cs="Verdana"/>
          <w:spacing w:val="1"/>
          <w:sz w:val="20"/>
          <w:szCs w:val="20"/>
        </w:rPr>
        <w:t>nd</w:t>
      </w:r>
      <w:r w:rsidRPr="0001748B">
        <w:rPr>
          <w:rFonts w:eastAsia="Verdana" w:cs="Verdana"/>
          <w:spacing w:val="-1"/>
          <w:sz w:val="20"/>
          <w:szCs w:val="20"/>
        </w:rPr>
        <w:t>e</w:t>
      </w:r>
      <w:r w:rsidRPr="0001748B">
        <w:rPr>
          <w:rFonts w:eastAsia="Verdana" w:cs="Verdana"/>
          <w:sz w:val="20"/>
          <w:szCs w:val="20"/>
        </w:rPr>
        <w:t>z</w:t>
      </w:r>
      <w:r w:rsidRPr="0001748B">
        <w:rPr>
          <w:rFonts w:eastAsia="Verdana" w:cs="Verdana"/>
          <w:sz w:val="16"/>
          <w:szCs w:val="16"/>
        </w:rPr>
        <w:t xml:space="preserve">, </w:t>
      </w:r>
      <w:r w:rsidRPr="0001748B">
        <w:rPr>
          <w:rFonts w:eastAsia="MS Mincho"/>
          <w:sz w:val="20"/>
          <w:szCs w:val="20"/>
          <w:lang w:bidi="en-US"/>
        </w:rPr>
        <w:t>quienes en su carácter de víctimas de las violaciones declaradas en esta Sentencia, serán consideradas beneficiarias y beneficiarios de las reparaciones que la Corte ordene.</w:t>
      </w:r>
    </w:p>
    <w:p w:rsidR="001B626E" w:rsidRPr="0001748B" w:rsidRDefault="001B626E" w:rsidP="001B626E">
      <w:pPr>
        <w:tabs>
          <w:tab w:val="num" w:pos="720"/>
          <w:tab w:val="left" w:pos="851"/>
          <w:tab w:val="num" w:pos="1427"/>
        </w:tabs>
        <w:spacing w:line="240" w:lineRule="auto"/>
        <w:rPr>
          <w:sz w:val="20"/>
          <w:szCs w:val="20"/>
        </w:rPr>
      </w:pPr>
    </w:p>
    <w:p w:rsidR="001B626E" w:rsidRPr="0001748B" w:rsidRDefault="001B626E" w:rsidP="008031E5">
      <w:pPr>
        <w:keepNext/>
        <w:keepLines/>
        <w:numPr>
          <w:ilvl w:val="0"/>
          <w:numId w:val="13"/>
        </w:numPr>
        <w:tabs>
          <w:tab w:val="left" w:pos="567"/>
          <w:tab w:val="left" w:pos="1134"/>
        </w:tabs>
        <w:spacing w:line="240" w:lineRule="auto"/>
        <w:ind w:left="567" w:firstLine="0"/>
        <w:outlineLvl w:val="1"/>
        <w:rPr>
          <w:rFonts w:eastAsia="MS Mincho"/>
          <w:b/>
          <w:bCs/>
          <w:i/>
          <w:sz w:val="20"/>
          <w:szCs w:val="20"/>
        </w:rPr>
      </w:pPr>
      <w:bookmarkStart w:id="120" w:name="_Toc476390739"/>
      <w:bookmarkStart w:id="121" w:name="_Toc495658695"/>
      <w:r w:rsidRPr="0001748B">
        <w:rPr>
          <w:rFonts w:eastAsia="MS Mincho"/>
          <w:b/>
          <w:bCs/>
          <w:i/>
          <w:sz w:val="20"/>
          <w:szCs w:val="20"/>
        </w:rPr>
        <w:t>Obligación de investigar los hechos e identificar, juzgar y, en su caso, sancionar a los responsables</w:t>
      </w:r>
      <w:bookmarkEnd w:id="120"/>
      <w:bookmarkEnd w:id="121"/>
    </w:p>
    <w:p w:rsidR="001B626E" w:rsidRPr="0001748B" w:rsidRDefault="001B626E" w:rsidP="001B626E">
      <w:pPr>
        <w:autoSpaceDE w:val="0"/>
        <w:autoSpaceDN w:val="0"/>
        <w:spacing w:line="240" w:lineRule="auto"/>
        <w:rPr>
          <w:rFonts w:cs="Verdana"/>
          <w:b/>
          <w:bCs/>
          <w:i/>
          <w:iCs/>
          <w:color w:val="000000"/>
          <w:sz w:val="20"/>
          <w:szCs w:val="20"/>
        </w:rPr>
      </w:pPr>
    </w:p>
    <w:p w:rsidR="001B626E" w:rsidRPr="0001748B" w:rsidRDefault="001B626E" w:rsidP="001B626E">
      <w:pPr>
        <w:numPr>
          <w:ilvl w:val="0"/>
          <w:numId w:val="1"/>
        </w:numPr>
        <w:tabs>
          <w:tab w:val="left" w:pos="567"/>
          <w:tab w:val="num" w:pos="5057"/>
        </w:tabs>
        <w:spacing w:line="240" w:lineRule="auto"/>
        <w:ind w:left="0" w:firstLine="0"/>
        <w:rPr>
          <w:rFonts w:eastAsia="MS Mincho"/>
          <w:sz w:val="20"/>
          <w:szCs w:val="20"/>
          <w:lang w:eastAsia="x-none" w:bidi="en-US"/>
        </w:rPr>
      </w:pPr>
      <w:r w:rsidRPr="0001748B">
        <w:rPr>
          <w:rFonts w:eastAsia="MS Mincho"/>
          <w:sz w:val="20"/>
          <w:szCs w:val="20"/>
          <w:lang w:bidi="en-US"/>
        </w:rPr>
        <w:t xml:space="preserve">La </w:t>
      </w:r>
      <w:r w:rsidRPr="0001748B">
        <w:rPr>
          <w:rFonts w:eastAsia="MS Mincho"/>
          <w:b/>
          <w:i/>
          <w:sz w:val="20"/>
          <w:szCs w:val="20"/>
          <w:lang w:bidi="en-US"/>
        </w:rPr>
        <w:t>Comisión</w:t>
      </w:r>
      <w:r w:rsidRPr="0001748B">
        <w:rPr>
          <w:rFonts w:eastAsia="MS Mincho"/>
          <w:sz w:val="20"/>
          <w:szCs w:val="20"/>
          <w:lang w:bidi="en-US"/>
        </w:rPr>
        <w:t xml:space="preserve"> solicitó a la Corte que ordenara al Estado r</w:t>
      </w:r>
      <w:r w:rsidRPr="0001748B">
        <w:rPr>
          <w:rFonts w:eastAsia="Verdana" w:cs="Verdana"/>
          <w:spacing w:val="-1"/>
          <w:sz w:val="20"/>
          <w:szCs w:val="20"/>
        </w:rPr>
        <w:t>e</w:t>
      </w:r>
      <w:r w:rsidRPr="0001748B">
        <w:rPr>
          <w:rFonts w:eastAsia="Verdana" w:cs="Verdana"/>
          <w:sz w:val="20"/>
          <w:szCs w:val="20"/>
        </w:rPr>
        <w:t>a</w:t>
      </w:r>
      <w:r w:rsidRPr="0001748B">
        <w:rPr>
          <w:rFonts w:eastAsia="Verdana" w:cs="Verdana"/>
          <w:spacing w:val="1"/>
          <w:sz w:val="20"/>
          <w:szCs w:val="20"/>
        </w:rPr>
        <w:t>l</w:t>
      </w:r>
      <w:r w:rsidRPr="0001748B">
        <w:rPr>
          <w:rFonts w:eastAsia="Verdana" w:cs="Verdana"/>
          <w:spacing w:val="3"/>
          <w:sz w:val="20"/>
          <w:szCs w:val="20"/>
        </w:rPr>
        <w:t>i</w:t>
      </w:r>
      <w:r w:rsidRPr="0001748B">
        <w:rPr>
          <w:rFonts w:eastAsia="Verdana" w:cs="Verdana"/>
          <w:spacing w:val="1"/>
          <w:sz w:val="20"/>
          <w:szCs w:val="20"/>
        </w:rPr>
        <w:t>z</w:t>
      </w:r>
      <w:r w:rsidRPr="0001748B">
        <w:rPr>
          <w:rFonts w:eastAsia="Verdana" w:cs="Verdana"/>
          <w:sz w:val="20"/>
          <w:szCs w:val="20"/>
        </w:rPr>
        <w:t>ar</w:t>
      </w:r>
      <w:r w:rsidRPr="0001748B">
        <w:rPr>
          <w:rFonts w:eastAsia="Verdana" w:cs="Verdana"/>
          <w:spacing w:val="3"/>
          <w:sz w:val="20"/>
          <w:szCs w:val="20"/>
        </w:rPr>
        <w:t xml:space="preserve"> </w:t>
      </w:r>
      <w:r w:rsidRPr="0001748B">
        <w:rPr>
          <w:rFonts w:eastAsia="Verdana" w:cs="Verdana"/>
          <w:spacing w:val="1"/>
          <w:sz w:val="20"/>
          <w:szCs w:val="20"/>
        </w:rPr>
        <w:t>un</w:t>
      </w:r>
      <w:r w:rsidRPr="0001748B">
        <w:rPr>
          <w:rFonts w:eastAsia="Verdana" w:cs="Verdana"/>
          <w:sz w:val="20"/>
          <w:szCs w:val="20"/>
        </w:rPr>
        <w:t>a</w:t>
      </w:r>
      <w:r w:rsidRPr="0001748B">
        <w:rPr>
          <w:rFonts w:eastAsia="Verdana" w:cs="Verdana"/>
          <w:spacing w:val="8"/>
          <w:sz w:val="20"/>
          <w:szCs w:val="20"/>
        </w:rPr>
        <w:t xml:space="preserve"> </w:t>
      </w:r>
      <w:r w:rsidRPr="0001748B">
        <w:rPr>
          <w:rFonts w:eastAsia="Verdana" w:cs="Verdana"/>
          <w:spacing w:val="1"/>
          <w:sz w:val="20"/>
          <w:szCs w:val="20"/>
        </w:rPr>
        <w:t>in</w:t>
      </w:r>
      <w:r w:rsidRPr="0001748B">
        <w:rPr>
          <w:rFonts w:eastAsia="Verdana" w:cs="Verdana"/>
          <w:sz w:val="20"/>
          <w:szCs w:val="20"/>
        </w:rPr>
        <w:t>v</w:t>
      </w:r>
      <w:r w:rsidRPr="0001748B">
        <w:rPr>
          <w:rFonts w:eastAsia="Verdana" w:cs="Verdana"/>
          <w:spacing w:val="-1"/>
          <w:sz w:val="20"/>
          <w:szCs w:val="20"/>
        </w:rPr>
        <w:t>es</w:t>
      </w:r>
      <w:r w:rsidRPr="0001748B">
        <w:rPr>
          <w:rFonts w:eastAsia="Verdana" w:cs="Verdana"/>
          <w:spacing w:val="1"/>
          <w:sz w:val="20"/>
          <w:szCs w:val="20"/>
        </w:rPr>
        <w:t>t</w:t>
      </w:r>
      <w:r w:rsidRPr="0001748B">
        <w:rPr>
          <w:rFonts w:eastAsia="Verdana" w:cs="Verdana"/>
          <w:spacing w:val="3"/>
          <w:sz w:val="20"/>
          <w:szCs w:val="20"/>
        </w:rPr>
        <w:t>i</w:t>
      </w:r>
      <w:r w:rsidRPr="0001748B">
        <w:rPr>
          <w:rFonts w:eastAsia="Verdana" w:cs="Verdana"/>
          <w:spacing w:val="1"/>
          <w:sz w:val="20"/>
          <w:szCs w:val="20"/>
        </w:rPr>
        <w:t>g</w:t>
      </w:r>
      <w:r w:rsidRPr="0001748B">
        <w:rPr>
          <w:rFonts w:eastAsia="Verdana" w:cs="Verdana"/>
          <w:sz w:val="20"/>
          <w:szCs w:val="20"/>
        </w:rPr>
        <w:t>a</w:t>
      </w:r>
      <w:r w:rsidRPr="0001748B">
        <w:rPr>
          <w:rFonts w:eastAsia="Verdana" w:cs="Verdana"/>
          <w:spacing w:val="-1"/>
          <w:sz w:val="20"/>
          <w:szCs w:val="20"/>
        </w:rPr>
        <w:t>c</w:t>
      </w:r>
      <w:r w:rsidRPr="0001748B">
        <w:rPr>
          <w:rFonts w:eastAsia="Verdana" w:cs="Verdana"/>
          <w:spacing w:val="3"/>
          <w:sz w:val="20"/>
          <w:szCs w:val="20"/>
        </w:rPr>
        <w:t>i</w:t>
      </w:r>
      <w:r w:rsidRPr="0001748B">
        <w:rPr>
          <w:rFonts w:eastAsia="Verdana" w:cs="Verdana"/>
          <w:spacing w:val="-1"/>
          <w:sz w:val="20"/>
          <w:szCs w:val="20"/>
        </w:rPr>
        <w:t>ó</w:t>
      </w:r>
      <w:r w:rsidRPr="0001748B">
        <w:rPr>
          <w:rFonts w:eastAsia="Verdana" w:cs="Verdana"/>
          <w:sz w:val="20"/>
          <w:szCs w:val="20"/>
        </w:rPr>
        <w:t xml:space="preserve">n </w:t>
      </w:r>
      <w:r w:rsidRPr="0001748B">
        <w:rPr>
          <w:rFonts w:eastAsia="Verdana" w:cs="Verdana"/>
          <w:spacing w:val="-1"/>
          <w:sz w:val="20"/>
          <w:szCs w:val="20"/>
        </w:rPr>
        <w:t>co</w:t>
      </w:r>
      <w:r w:rsidRPr="0001748B">
        <w:rPr>
          <w:rFonts w:eastAsia="Verdana" w:cs="Verdana"/>
          <w:spacing w:val="1"/>
          <w:sz w:val="20"/>
          <w:szCs w:val="20"/>
        </w:rPr>
        <w:t>mp</w:t>
      </w:r>
      <w:r w:rsidRPr="0001748B">
        <w:rPr>
          <w:rFonts w:eastAsia="Verdana" w:cs="Verdana"/>
          <w:spacing w:val="3"/>
          <w:sz w:val="20"/>
          <w:szCs w:val="20"/>
        </w:rPr>
        <w:t>l</w:t>
      </w:r>
      <w:r w:rsidRPr="0001748B">
        <w:rPr>
          <w:rFonts w:eastAsia="Verdana" w:cs="Verdana"/>
          <w:spacing w:val="-1"/>
          <w:sz w:val="20"/>
          <w:szCs w:val="20"/>
        </w:rPr>
        <w:t>e</w:t>
      </w:r>
      <w:r w:rsidRPr="0001748B">
        <w:rPr>
          <w:rFonts w:eastAsia="Verdana" w:cs="Verdana"/>
          <w:spacing w:val="1"/>
          <w:sz w:val="20"/>
          <w:szCs w:val="20"/>
        </w:rPr>
        <w:t>t</w:t>
      </w:r>
      <w:r w:rsidRPr="0001748B">
        <w:rPr>
          <w:rFonts w:eastAsia="Verdana" w:cs="Verdana"/>
          <w:sz w:val="20"/>
          <w:szCs w:val="20"/>
        </w:rPr>
        <w:t>a,</w:t>
      </w:r>
      <w:r w:rsidRPr="0001748B">
        <w:rPr>
          <w:rFonts w:eastAsia="Verdana" w:cs="Verdana"/>
          <w:spacing w:val="1"/>
          <w:sz w:val="20"/>
          <w:szCs w:val="20"/>
        </w:rPr>
        <w:t xml:space="preserve"> </w:t>
      </w:r>
      <w:r w:rsidRPr="0001748B">
        <w:rPr>
          <w:bCs/>
          <w:sz w:val="20"/>
          <w:szCs w:val="20"/>
          <w:lang w:bidi="en-US"/>
        </w:rPr>
        <w:t>imparcial</w:t>
      </w:r>
      <w:r w:rsidRPr="0001748B">
        <w:rPr>
          <w:rFonts w:eastAsia="Verdana" w:cs="Verdana"/>
          <w:spacing w:val="3"/>
          <w:sz w:val="20"/>
          <w:szCs w:val="20"/>
        </w:rPr>
        <w:t xml:space="preserve"> </w:t>
      </w:r>
      <w:r w:rsidRPr="0001748B">
        <w:rPr>
          <w:rFonts w:eastAsia="Verdana" w:cs="Verdana"/>
          <w:sz w:val="20"/>
          <w:szCs w:val="20"/>
        </w:rPr>
        <w:t>y</w:t>
      </w:r>
      <w:r w:rsidRPr="0001748B">
        <w:rPr>
          <w:rFonts w:eastAsia="Verdana" w:cs="Verdana"/>
          <w:spacing w:val="13"/>
          <w:sz w:val="20"/>
          <w:szCs w:val="20"/>
        </w:rPr>
        <w:t xml:space="preserve"> </w:t>
      </w:r>
      <w:r w:rsidRPr="0001748B">
        <w:rPr>
          <w:rFonts w:eastAsia="Verdana" w:cs="Verdana"/>
          <w:spacing w:val="-1"/>
          <w:sz w:val="20"/>
          <w:szCs w:val="20"/>
        </w:rPr>
        <w:t>ef</w:t>
      </w:r>
      <w:r w:rsidRPr="0001748B">
        <w:rPr>
          <w:rFonts w:eastAsia="Verdana" w:cs="Verdana"/>
          <w:spacing w:val="1"/>
          <w:sz w:val="20"/>
          <w:szCs w:val="20"/>
        </w:rPr>
        <w:t>e</w:t>
      </w:r>
      <w:r w:rsidRPr="0001748B">
        <w:rPr>
          <w:rFonts w:eastAsia="Verdana" w:cs="Verdana"/>
          <w:spacing w:val="-1"/>
          <w:sz w:val="20"/>
          <w:szCs w:val="20"/>
        </w:rPr>
        <w:t>c</w:t>
      </w:r>
      <w:r w:rsidRPr="0001748B">
        <w:rPr>
          <w:rFonts w:eastAsia="Verdana" w:cs="Verdana"/>
          <w:spacing w:val="1"/>
          <w:sz w:val="20"/>
          <w:szCs w:val="20"/>
        </w:rPr>
        <w:t>t</w:t>
      </w:r>
      <w:r w:rsidRPr="0001748B">
        <w:rPr>
          <w:rFonts w:eastAsia="Verdana" w:cs="Verdana"/>
          <w:spacing w:val="3"/>
          <w:sz w:val="20"/>
          <w:szCs w:val="20"/>
        </w:rPr>
        <w:t>i</w:t>
      </w:r>
      <w:r w:rsidRPr="0001748B">
        <w:rPr>
          <w:rFonts w:eastAsia="Verdana" w:cs="Verdana"/>
          <w:sz w:val="20"/>
          <w:szCs w:val="20"/>
        </w:rPr>
        <w:t>va</w:t>
      </w:r>
      <w:r w:rsidRPr="0001748B">
        <w:rPr>
          <w:rFonts w:eastAsia="Verdana" w:cs="Verdana"/>
          <w:spacing w:val="4"/>
          <w:sz w:val="20"/>
          <w:szCs w:val="20"/>
        </w:rPr>
        <w:t xml:space="preserve"> </w:t>
      </w:r>
      <w:r w:rsidRPr="0001748B">
        <w:rPr>
          <w:rFonts w:eastAsia="Verdana" w:cs="Verdana"/>
          <w:spacing w:val="1"/>
          <w:sz w:val="20"/>
          <w:szCs w:val="20"/>
        </w:rPr>
        <w:t>d</w:t>
      </w:r>
      <w:r w:rsidRPr="0001748B">
        <w:rPr>
          <w:rFonts w:eastAsia="Verdana" w:cs="Verdana"/>
          <w:sz w:val="20"/>
          <w:szCs w:val="20"/>
        </w:rPr>
        <w:t>e</w:t>
      </w:r>
      <w:r w:rsidRPr="0001748B">
        <w:rPr>
          <w:rFonts w:eastAsia="Verdana" w:cs="Verdana"/>
          <w:spacing w:val="9"/>
          <w:sz w:val="20"/>
          <w:szCs w:val="20"/>
        </w:rPr>
        <w:t xml:space="preserve"> </w:t>
      </w:r>
      <w:r w:rsidRPr="0001748B">
        <w:rPr>
          <w:rFonts w:eastAsia="Verdana" w:cs="Verdana"/>
          <w:spacing w:val="3"/>
          <w:sz w:val="20"/>
          <w:szCs w:val="20"/>
        </w:rPr>
        <w:t>l</w:t>
      </w:r>
      <w:r w:rsidRPr="0001748B">
        <w:rPr>
          <w:rFonts w:eastAsia="Verdana" w:cs="Verdana"/>
          <w:sz w:val="20"/>
          <w:szCs w:val="20"/>
        </w:rPr>
        <w:t>as</w:t>
      </w:r>
      <w:r w:rsidRPr="0001748B">
        <w:rPr>
          <w:rFonts w:eastAsia="Verdana" w:cs="Verdana"/>
          <w:spacing w:val="8"/>
          <w:sz w:val="20"/>
          <w:szCs w:val="20"/>
        </w:rPr>
        <w:t xml:space="preserve"> </w:t>
      </w:r>
      <w:r w:rsidRPr="0001748B">
        <w:rPr>
          <w:rFonts w:eastAsia="Verdana" w:cs="Verdana"/>
          <w:sz w:val="20"/>
          <w:szCs w:val="20"/>
        </w:rPr>
        <w:t>v</w:t>
      </w:r>
      <w:r w:rsidRPr="0001748B">
        <w:rPr>
          <w:rFonts w:eastAsia="Verdana" w:cs="Verdana"/>
          <w:spacing w:val="3"/>
          <w:sz w:val="20"/>
          <w:szCs w:val="20"/>
        </w:rPr>
        <w:t>i</w:t>
      </w:r>
      <w:r w:rsidRPr="0001748B">
        <w:rPr>
          <w:rFonts w:eastAsia="Verdana" w:cs="Verdana"/>
          <w:spacing w:val="-1"/>
          <w:sz w:val="20"/>
          <w:szCs w:val="20"/>
        </w:rPr>
        <w:t>o</w:t>
      </w:r>
      <w:r w:rsidRPr="0001748B">
        <w:rPr>
          <w:rFonts w:eastAsia="Verdana" w:cs="Verdana"/>
          <w:spacing w:val="1"/>
          <w:sz w:val="20"/>
          <w:szCs w:val="20"/>
        </w:rPr>
        <w:t>l</w:t>
      </w:r>
      <w:r w:rsidRPr="0001748B">
        <w:rPr>
          <w:rFonts w:eastAsia="Verdana" w:cs="Verdana"/>
          <w:sz w:val="20"/>
          <w:szCs w:val="20"/>
        </w:rPr>
        <w:t>a</w:t>
      </w:r>
      <w:r w:rsidRPr="0001748B">
        <w:rPr>
          <w:rFonts w:eastAsia="Verdana" w:cs="Verdana"/>
          <w:spacing w:val="-1"/>
          <w:sz w:val="20"/>
          <w:szCs w:val="20"/>
        </w:rPr>
        <w:t>c</w:t>
      </w:r>
      <w:r w:rsidRPr="0001748B">
        <w:rPr>
          <w:rFonts w:eastAsia="Verdana" w:cs="Verdana"/>
          <w:spacing w:val="3"/>
          <w:sz w:val="20"/>
          <w:szCs w:val="20"/>
        </w:rPr>
        <w:t>i</w:t>
      </w:r>
      <w:r w:rsidRPr="0001748B">
        <w:rPr>
          <w:rFonts w:eastAsia="Verdana" w:cs="Verdana"/>
          <w:spacing w:val="-1"/>
          <w:sz w:val="20"/>
          <w:szCs w:val="20"/>
        </w:rPr>
        <w:t>o</w:t>
      </w:r>
      <w:r w:rsidRPr="0001748B">
        <w:rPr>
          <w:rFonts w:eastAsia="Verdana" w:cs="Verdana"/>
          <w:spacing w:val="1"/>
          <w:sz w:val="20"/>
          <w:szCs w:val="20"/>
        </w:rPr>
        <w:t>n</w:t>
      </w:r>
      <w:r w:rsidRPr="0001748B">
        <w:rPr>
          <w:rFonts w:eastAsia="Verdana" w:cs="Verdana"/>
          <w:spacing w:val="-1"/>
          <w:sz w:val="20"/>
          <w:szCs w:val="20"/>
        </w:rPr>
        <w:t>e</w:t>
      </w:r>
      <w:r w:rsidRPr="0001748B">
        <w:rPr>
          <w:rFonts w:eastAsia="Verdana" w:cs="Verdana"/>
          <w:sz w:val="20"/>
          <w:szCs w:val="20"/>
        </w:rPr>
        <w:t xml:space="preserve">s </w:t>
      </w:r>
      <w:r w:rsidRPr="0001748B">
        <w:rPr>
          <w:rFonts w:eastAsia="Verdana" w:cs="Verdana"/>
          <w:spacing w:val="3"/>
          <w:sz w:val="20"/>
          <w:szCs w:val="20"/>
        </w:rPr>
        <w:t>d</w:t>
      </w:r>
      <w:r w:rsidRPr="0001748B">
        <w:rPr>
          <w:rFonts w:eastAsia="Verdana" w:cs="Verdana"/>
          <w:sz w:val="20"/>
          <w:szCs w:val="20"/>
        </w:rPr>
        <w:t>e</w:t>
      </w:r>
      <w:r w:rsidRPr="0001748B">
        <w:rPr>
          <w:rFonts w:eastAsia="Verdana" w:cs="Verdana"/>
          <w:spacing w:val="9"/>
          <w:sz w:val="20"/>
          <w:szCs w:val="20"/>
        </w:rPr>
        <w:t xml:space="preserve"> </w:t>
      </w:r>
      <w:r w:rsidRPr="0001748B">
        <w:rPr>
          <w:rFonts w:eastAsia="Verdana" w:cs="Verdana"/>
          <w:spacing w:val="1"/>
          <w:sz w:val="20"/>
          <w:szCs w:val="20"/>
        </w:rPr>
        <w:t>der</w:t>
      </w:r>
      <w:r w:rsidRPr="0001748B">
        <w:rPr>
          <w:rFonts w:eastAsia="Verdana" w:cs="Verdana"/>
          <w:spacing w:val="-1"/>
          <w:sz w:val="20"/>
          <w:szCs w:val="20"/>
        </w:rPr>
        <w:t>ec</w:t>
      </w:r>
      <w:r w:rsidRPr="0001748B">
        <w:rPr>
          <w:rFonts w:eastAsia="Verdana" w:cs="Verdana"/>
          <w:spacing w:val="1"/>
          <w:sz w:val="20"/>
          <w:szCs w:val="20"/>
        </w:rPr>
        <w:t>ho</w:t>
      </w:r>
      <w:r w:rsidRPr="0001748B">
        <w:rPr>
          <w:rFonts w:eastAsia="Verdana" w:cs="Verdana"/>
          <w:sz w:val="20"/>
          <w:szCs w:val="20"/>
        </w:rPr>
        <w:t xml:space="preserve">s </w:t>
      </w:r>
      <w:r w:rsidRPr="0001748B">
        <w:rPr>
          <w:rFonts w:eastAsia="Verdana" w:cs="Verdana"/>
          <w:spacing w:val="1"/>
          <w:sz w:val="20"/>
          <w:szCs w:val="20"/>
        </w:rPr>
        <w:t>hum</w:t>
      </w:r>
      <w:r w:rsidRPr="0001748B">
        <w:rPr>
          <w:rFonts w:eastAsia="Verdana" w:cs="Verdana"/>
          <w:sz w:val="20"/>
          <w:szCs w:val="20"/>
        </w:rPr>
        <w:t>a</w:t>
      </w:r>
      <w:r w:rsidRPr="0001748B">
        <w:rPr>
          <w:rFonts w:eastAsia="Verdana" w:cs="Verdana"/>
          <w:spacing w:val="1"/>
          <w:sz w:val="20"/>
          <w:szCs w:val="20"/>
        </w:rPr>
        <w:t>n</w:t>
      </w:r>
      <w:r w:rsidRPr="0001748B">
        <w:rPr>
          <w:rFonts w:eastAsia="Verdana" w:cs="Verdana"/>
          <w:spacing w:val="-1"/>
          <w:sz w:val="20"/>
          <w:szCs w:val="20"/>
        </w:rPr>
        <w:t>o</w:t>
      </w:r>
      <w:r w:rsidRPr="0001748B">
        <w:rPr>
          <w:rFonts w:eastAsia="Verdana" w:cs="Verdana"/>
          <w:sz w:val="20"/>
          <w:szCs w:val="20"/>
        </w:rPr>
        <w:t xml:space="preserve">s </w:t>
      </w:r>
      <w:r w:rsidRPr="0001748B">
        <w:rPr>
          <w:rFonts w:eastAsia="Verdana" w:cs="Verdana"/>
          <w:spacing w:val="1"/>
          <w:sz w:val="20"/>
          <w:szCs w:val="20"/>
        </w:rPr>
        <w:t>d</w:t>
      </w:r>
      <w:r w:rsidRPr="0001748B">
        <w:rPr>
          <w:rFonts w:eastAsia="Verdana" w:cs="Verdana"/>
          <w:spacing w:val="-1"/>
          <w:sz w:val="20"/>
          <w:szCs w:val="20"/>
        </w:rPr>
        <w:t>ec</w:t>
      </w:r>
      <w:r w:rsidRPr="0001748B">
        <w:rPr>
          <w:rFonts w:eastAsia="Verdana" w:cs="Verdana"/>
          <w:spacing w:val="3"/>
          <w:sz w:val="20"/>
          <w:szCs w:val="20"/>
        </w:rPr>
        <w:t>l</w:t>
      </w:r>
      <w:r w:rsidRPr="0001748B">
        <w:rPr>
          <w:rFonts w:eastAsia="Verdana" w:cs="Verdana"/>
          <w:sz w:val="20"/>
          <w:szCs w:val="20"/>
        </w:rPr>
        <w:t>a</w:t>
      </w:r>
      <w:r w:rsidRPr="0001748B">
        <w:rPr>
          <w:rFonts w:eastAsia="Verdana" w:cs="Verdana"/>
          <w:spacing w:val="-1"/>
          <w:sz w:val="20"/>
          <w:szCs w:val="20"/>
        </w:rPr>
        <w:t>r</w:t>
      </w:r>
      <w:r w:rsidRPr="0001748B">
        <w:rPr>
          <w:rFonts w:eastAsia="Verdana" w:cs="Verdana"/>
          <w:sz w:val="20"/>
          <w:szCs w:val="20"/>
        </w:rPr>
        <w:t>a</w:t>
      </w:r>
      <w:r w:rsidRPr="0001748B">
        <w:rPr>
          <w:rFonts w:eastAsia="Verdana" w:cs="Verdana"/>
          <w:spacing w:val="1"/>
          <w:sz w:val="20"/>
          <w:szCs w:val="20"/>
        </w:rPr>
        <w:t>d</w:t>
      </w:r>
      <w:r w:rsidRPr="0001748B">
        <w:rPr>
          <w:rFonts w:eastAsia="Verdana" w:cs="Verdana"/>
          <w:sz w:val="20"/>
          <w:szCs w:val="20"/>
        </w:rPr>
        <w:t xml:space="preserve">as </w:t>
      </w:r>
      <w:r w:rsidRPr="0001748B">
        <w:rPr>
          <w:rFonts w:eastAsia="Verdana" w:cs="Verdana"/>
          <w:spacing w:val="-1"/>
          <w:sz w:val="20"/>
          <w:szCs w:val="20"/>
        </w:rPr>
        <w:t>e</w:t>
      </w:r>
      <w:r w:rsidRPr="0001748B">
        <w:rPr>
          <w:rFonts w:eastAsia="Verdana" w:cs="Verdana"/>
          <w:sz w:val="20"/>
          <w:szCs w:val="20"/>
        </w:rPr>
        <w:t xml:space="preserve">n </w:t>
      </w:r>
      <w:r w:rsidRPr="0001748B">
        <w:rPr>
          <w:rFonts w:eastAsia="Verdana" w:cs="Verdana"/>
          <w:spacing w:val="-1"/>
          <w:sz w:val="20"/>
          <w:szCs w:val="20"/>
        </w:rPr>
        <w:t>e</w:t>
      </w:r>
      <w:r w:rsidRPr="0001748B">
        <w:rPr>
          <w:rFonts w:eastAsia="Verdana" w:cs="Verdana"/>
          <w:sz w:val="20"/>
          <w:szCs w:val="20"/>
        </w:rPr>
        <w:t xml:space="preserve">l </w:t>
      </w:r>
      <w:r w:rsidRPr="0001748B">
        <w:rPr>
          <w:rFonts w:eastAsia="Verdana" w:cs="Verdana"/>
          <w:spacing w:val="3"/>
          <w:sz w:val="20"/>
          <w:szCs w:val="20"/>
        </w:rPr>
        <w:t>i</w:t>
      </w:r>
      <w:r w:rsidRPr="0001748B">
        <w:rPr>
          <w:rFonts w:eastAsia="Verdana" w:cs="Verdana"/>
          <w:spacing w:val="1"/>
          <w:sz w:val="20"/>
          <w:szCs w:val="20"/>
        </w:rPr>
        <w:t>n</w:t>
      </w:r>
      <w:r w:rsidRPr="0001748B">
        <w:rPr>
          <w:rFonts w:eastAsia="Verdana" w:cs="Verdana"/>
          <w:spacing w:val="-1"/>
          <w:sz w:val="20"/>
          <w:szCs w:val="20"/>
        </w:rPr>
        <w:t>for</w:t>
      </w:r>
      <w:r w:rsidRPr="0001748B">
        <w:rPr>
          <w:rFonts w:eastAsia="Verdana" w:cs="Verdana"/>
          <w:spacing w:val="1"/>
          <w:sz w:val="20"/>
          <w:szCs w:val="20"/>
        </w:rPr>
        <w:t>m</w:t>
      </w:r>
      <w:r w:rsidRPr="0001748B">
        <w:rPr>
          <w:rFonts w:eastAsia="Verdana" w:cs="Verdana"/>
          <w:spacing w:val="-1"/>
          <w:sz w:val="20"/>
          <w:szCs w:val="20"/>
        </w:rPr>
        <w:t>e de fondo</w:t>
      </w:r>
      <w:r w:rsidRPr="0001748B">
        <w:rPr>
          <w:rFonts w:eastAsia="Verdana" w:cs="Verdana"/>
          <w:sz w:val="20"/>
          <w:szCs w:val="20"/>
        </w:rPr>
        <w:t xml:space="preserve">, </w:t>
      </w:r>
      <w:r w:rsidRPr="0001748B">
        <w:rPr>
          <w:rFonts w:eastAsia="Verdana" w:cs="Verdana"/>
          <w:spacing w:val="2"/>
          <w:sz w:val="20"/>
          <w:szCs w:val="20"/>
        </w:rPr>
        <w:t>c</w:t>
      </w:r>
      <w:r w:rsidRPr="0001748B">
        <w:rPr>
          <w:rFonts w:eastAsia="Verdana" w:cs="Verdana"/>
          <w:spacing w:val="-1"/>
          <w:sz w:val="20"/>
          <w:szCs w:val="20"/>
        </w:rPr>
        <w:t>o</w:t>
      </w:r>
      <w:r w:rsidRPr="0001748B">
        <w:rPr>
          <w:rFonts w:eastAsia="Verdana" w:cs="Verdana"/>
          <w:sz w:val="20"/>
          <w:szCs w:val="20"/>
        </w:rPr>
        <w:t xml:space="preserve">n </w:t>
      </w:r>
      <w:r w:rsidRPr="0001748B">
        <w:rPr>
          <w:rFonts w:eastAsia="Verdana" w:cs="Verdana"/>
          <w:spacing w:val="-1"/>
          <w:sz w:val="20"/>
          <w:szCs w:val="20"/>
        </w:rPr>
        <w:t>e</w:t>
      </w:r>
      <w:r w:rsidRPr="0001748B">
        <w:rPr>
          <w:rFonts w:eastAsia="Verdana" w:cs="Verdana"/>
          <w:sz w:val="20"/>
          <w:szCs w:val="20"/>
        </w:rPr>
        <w:t xml:space="preserve">l </w:t>
      </w:r>
      <w:r w:rsidRPr="0001748B">
        <w:rPr>
          <w:rFonts w:eastAsia="Verdana" w:cs="Verdana"/>
          <w:spacing w:val="-1"/>
          <w:sz w:val="20"/>
          <w:szCs w:val="20"/>
        </w:rPr>
        <w:t>o</w:t>
      </w:r>
      <w:r w:rsidRPr="0001748B">
        <w:rPr>
          <w:rFonts w:eastAsia="Verdana" w:cs="Verdana"/>
          <w:spacing w:val="1"/>
          <w:sz w:val="20"/>
          <w:szCs w:val="20"/>
        </w:rPr>
        <w:t>bj</w:t>
      </w:r>
      <w:r w:rsidRPr="0001748B">
        <w:rPr>
          <w:rFonts w:eastAsia="Verdana" w:cs="Verdana"/>
          <w:spacing w:val="-1"/>
          <w:sz w:val="20"/>
          <w:szCs w:val="20"/>
        </w:rPr>
        <w:t>e</w:t>
      </w:r>
      <w:r w:rsidRPr="0001748B">
        <w:rPr>
          <w:rFonts w:eastAsia="Verdana" w:cs="Verdana"/>
          <w:spacing w:val="1"/>
          <w:sz w:val="20"/>
          <w:szCs w:val="20"/>
        </w:rPr>
        <w:t>t</w:t>
      </w:r>
      <w:r w:rsidRPr="0001748B">
        <w:rPr>
          <w:rFonts w:eastAsia="Verdana" w:cs="Verdana"/>
          <w:sz w:val="20"/>
          <w:szCs w:val="20"/>
        </w:rPr>
        <w:t xml:space="preserve">o </w:t>
      </w:r>
      <w:r w:rsidRPr="0001748B">
        <w:rPr>
          <w:rFonts w:eastAsia="Verdana" w:cs="Verdana"/>
          <w:spacing w:val="1"/>
          <w:sz w:val="20"/>
          <w:szCs w:val="20"/>
        </w:rPr>
        <w:t>d</w:t>
      </w:r>
      <w:r w:rsidRPr="0001748B">
        <w:rPr>
          <w:rFonts w:eastAsia="Verdana" w:cs="Verdana"/>
          <w:sz w:val="20"/>
          <w:szCs w:val="20"/>
        </w:rPr>
        <w:t xml:space="preserve">e </w:t>
      </w:r>
      <w:r w:rsidRPr="0001748B">
        <w:rPr>
          <w:rFonts w:eastAsia="Verdana" w:cs="Verdana"/>
          <w:spacing w:val="-1"/>
          <w:sz w:val="20"/>
          <w:szCs w:val="20"/>
        </w:rPr>
        <w:t>es</w:t>
      </w:r>
      <w:r w:rsidRPr="0001748B">
        <w:rPr>
          <w:rFonts w:eastAsia="Verdana" w:cs="Verdana"/>
          <w:spacing w:val="1"/>
          <w:sz w:val="20"/>
          <w:szCs w:val="20"/>
        </w:rPr>
        <w:t>t</w:t>
      </w:r>
      <w:r w:rsidRPr="0001748B">
        <w:rPr>
          <w:rFonts w:eastAsia="Verdana" w:cs="Verdana"/>
          <w:sz w:val="20"/>
          <w:szCs w:val="20"/>
        </w:rPr>
        <w:t>a</w:t>
      </w:r>
      <w:r w:rsidRPr="0001748B">
        <w:rPr>
          <w:rFonts w:eastAsia="Verdana" w:cs="Verdana"/>
          <w:spacing w:val="1"/>
          <w:sz w:val="20"/>
          <w:szCs w:val="20"/>
        </w:rPr>
        <w:t>b</w:t>
      </w:r>
      <w:r w:rsidRPr="0001748B">
        <w:rPr>
          <w:rFonts w:eastAsia="Verdana" w:cs="Verdana"/>
          <w:spacing w:val="3"/>
          <w:sz w:val="20"/>
          <w:szCs w:val="20"/>
        </w:rPr>
        <w:t>l</w:t>
      </w:r>
      <w:r w:rsidRPr="0001748B">
        <w:rPr>
          <w:rFonts w:eastAsia="Verdana" w:cs="Verdana"/>
          <w:spacing w:val="1"/>
          <w:sz w:val="20"/>
          <w:szCs w:val="20"/>
        </w:rPr>
        <w:t>e</w:t>
      </w:r>
      <w:r w:rsidRPr="0001748B">
        <w:rPr>
          <w:rFonts w:eastAsia="Verdana" w:cs="Verdana"/>
          <w:spacing w:val="-1"/>
          <w:sz w:val="20"/>
          <w:szCs w:val="20"/>
        </w:rPr>
        <w:t>c</w:t>
      </w:r>
      <w:r w:rsidRPr="0001748B">
        <w:rPr>
          <w:rFonts w:eastAsia="Verdana" w:cs="Verdana"/>
          <w:spacing w:val="1"/>
          <w:sz w:val="20"/>
          <w:szCs w:val="20"/>
        </w:rPr>
        <w:t>e</w:t>
      </w:r>
      <w:r w:rsidRPr="0001748B">
        <w:rPr>
          <w:rFonts w:eastAsia="Verdana" w:cs="Verdana"/>
          <w:sz w:val="20"/>
          <w:szCs w:val="20"/>
        </w:rPr>
        <w:t xml:space="preserve">r y </w:t>
      </w:r>
      <w:r w:rsidRPr="0001748B">
        <w:rPr>
          <w:rFonts w:eastAsia="Verdana" w:cs="Verdana"/>
          <w:spacing w:val="-1"/>
          <w:sz w:val="20"/>
          <w:szCs w:val="20"/>
        </w:rPr>
        <w:t>s</w:t>
      </w:r>
      <w:r w:rsidRPr="0001748B">
        <w:rPr>
          <w:rFonts w:eastAsia="Verdana" w:cs="Verdana"/>
          <w:sz w:val="20"/>
          <w:szCs w:val="20"/>
        </w:rPr>
        <w:t>a</w:t>
      </w:r>
      <w:r w:rsidRPr="0001748B">
        <w:rPr>
          <w:rFonts w:eastAsia="Verdana" w:cs="Verdana"/>
          <w:spacing w:val="1"/>
          <w:sz w:val="20"/>
          <w:szCs w:val="20"/>
        </w:rPr>
        <w:t>n</w:t>
      </w:r>
      <w:r w:rsidRPr="0001748B">
        <w:rPr>
          <w:rFonts w:eastAsia="Verdana" w:cs="Verdana"/>
          <w:spacing w:val="-1"/>
          <w:sz w:val="20"/>
          <w:szCs w:val="20"/>
        </w:rPr>
        <w:t>c</w:t>
      </w:r>
      <w:r w:rsidRPr="0001748B">
        <w:rPr>
          <w:rFonts w:eastAsia="Verdana" w:cs="Verdana"/>
          <w:spacing w:val="3"/>
          <w:sz w:val="20"/>
          <w:szCs w:val="20"/>
        </w:rPr>
        <w:t>i</w:t>
      </w:r>
      <w:r w:rsidRPr="0001748B">
        <w:rPr>
          <w:rFonts w:eastAsia="Verdana" w:cs="Verdana"/>
          <w:spacing w:val="-1"/>
          <w:sz w:val="20"/>
          <w:szCs w:val="20"/>
        </w:rPr>
        <w:t>o</w:t>
      </w:r>
      <w:r w:rsidRPr="0001748B">
        <w:rPr>
          <w:rFonts w:eastAsia="Verdana" w:cs="Verdana"/>
          <w:spacing w:val="1"/>
          <w:sz w:val="20"/>
          <w:szCs w:val="20"/>
        </w:rPr>
        <w:t>n</w:t>
      </w:r>
      <w:r w:rsidRPr="0001748B">
        <w:rPr>
          <w:rFonts w:eastAsia="Verdana" w:cs="Verdana"/>
          <w:sz w:val="20"/>
          <w:szCs w:val="20"/>
        </w:rPr>
        <w:t xml:space="preserve">ar </w:t>
      </w:r>
      <w:r w:rsidRPr="0001748B">
        <w:rPr>
          <w:rFonts w:eastAsia="Verdana" w:cs="Verdana"/>
          <w:spacing w:val="3"/>
          <w:sz w:val="20"/>
          <w:szCs w:val="20"/>
        </w:rPr>
        <w:t>l</w:t>
      </w:r>
      <w:r w:rsidRPr="0001748B">
        <w:rPr>
          <w:rFonts w:eastAsia="Verdana" w:cs="Verdana"/>
          <w:sz w:val="20"/>
          <w:szCs w:val="20"/>
        </w:rPr>
        <w:t xml:space="preserve">a </w:t>
      </w:r>
      <w:r w:rsidRPr="0001748B">
        <w:rPr>
          <w:rFonts w:eastAsia="Verdana" w:cs="Verdana"/>
          <w:spacing w:val="-1"/>
          <w:sz w:val="20"/>
          <w:szCs w:val="20"/>
        </w:rPr>
        <w:t>r</w:t>
      </w:r>
      <w:r w:rsidRPr="0001748B">
        <w:rPr>
          <w:rFonts w:eastAsia="Verdana" w:cs="Verdana"/>
          <w:spacing w:val="1"/>
          <w:sz w:val="20"/>
          <w:szCs w:val="20"/>
        </w:rPr>
        <w:t>e</w:t>
      </w:r>
      <w:r w:rsidRPr="0001748B">
        <w:rPr>
          <w:rFonts w:eastAsia="Verdana" w:cs="Verdana"/>
          <w:spacing w:val="-1"/>
          <w:sz w:val="20"/>
          <w:szCs w:val="20"/>
        </w:rPr>
        <w:t>s</w:t>
      </w:r>
      <w:r w:rsidRPr="0001748B">
        <w:rPr>
          <w:rFonts w:eastAsia="Verdana" w:cs="Verdana"/>
          <w:spacing w:val="1"/>
          <w:sz w:val="20"/>
          <w:szCs w:val="20"/>
        </w:rPr>
        <w:t>p</w:t>
      </w:r>
      <w:r w:rsidRPr="0001748B">
        <w:rPr>
          <w:rFonts w:eastAsia="Verdana" w:cs="Verdana"/>
          <w:spacing w:val="-1"/>
          <w:sz w:val="20"/>
          <w:szCs w:val="20"/>
        </w:rPr>
        <w:t>o</w:t>
      </w:r>
      <w:r w:rsidRPr="0001748B">
        <w:rPr>
          <w:rFonts w:eastAsia="Verdana" w:cs="Verdana"/>
          <w:spacing w:val="1"/>
          <w:sz w:val="20"/>
          <w:szCs w:val="20"/>
        </w:rPr>
        <w:t>n</w:t>
      </w:r>
      <w:r w:rsidRPr="0001748B">
        <w:rPr>
          <w:rFonts w:eastAsia="Verdana" w:cs="Verdana"/>
          <w:spacing w:val="-1"/>
          <w:sz w:val="20"/>
          <w:szCs w:val="20"/>
        </w:rPr>
        <w:t>s</w:t>
      </w:r>
      <w:r w:rsidRPr="0001748B">
        <w:rPr>
          <w:rFonts w:eastAsia="Verdana" w:cs="Verdana"/>
          <w:sz w:val="20"/>
          <w:szCs w:val="20"/>
        </w:rPr>
        <w:t>a</w:t>
      </w:r>
      <w:r w:rsidRPr="0001748B">
        <w:rPr>
          <w:rFonts w:eastAsia="Verdana" w:cs="Verdana"/>
          <w:spacing w:val="1"/>
          <w:sz w:val="20"/>
          <w:szCs w:val="20"/>
        </w:rPr>
        <w:t>b</w:t>
      </w:r>
      <w:r w:rsidRPr="0001748B">
        <w:rPr>
          <w:rFonts w:eastAsia="Verdana" w:cs="Verdana"/>
          <w:spacing w:val="3"/>
          <w:sz w:val="20"/>
          <w:szCs w:val="20"/>
        </w:rPr>
        <w:t>i</w:t>
      </w:r>
      <w:r w:rsidRPr="0001748B">
        <w:rPr>
          <w:rFonts w:eastAsia="Verdana" w:cs="Verdana"/>
          <w:spacing w:val="1"/>
          <w:sz w:val="20"/>
          <w:szCs w:val="20"/>
        </w:rPr>
        <w:t>l</w:t>
      </w:r>
      <w:r w:rsidRPr="0001748B">
        <w:rPr>
          <w:rFonts w:eastAsia="Verdana" w:cs="Verdana"/>
          <w:spacing w:val="3"/>
          <w:sz w:val="20"/>
          <w:szCs w:val="20"/>
        </w:rPr>
        <w:t>i</w:t>
      </w:r>
      <w:r w:rsidRPr="0001748B">
        <w:rPr>
          <w:rFonts w:eastAsia="Verdana" w:cs="Verdana"/>
          <w:spacing w:val="1"/>
          <w:sz w:val="20"/>
          <w:szCs w:val="20"/>
        </w:rPr>
        <w:t>d</w:t>
      </w:r>
      <w:r w:rsidRPr="0001748B">
        <w:rPr>
          <w:rFonts w:eastAsia="Verdana" w:cs="Verdana"/>
          <w:sz w:val="20"/>
          <w:szCs w:val="20"/>
        </w:rPr>
        <w:t>ad</w:t>
      </w:r>
      <w:r w:rsidRPr="0001748B">
        <w:rPr>
          <w:rFonts w:eastAsia="Verdana" w:cs="Verdana"/>
          <w:spacing w:val="-19"/>
          <w:sz w:val="20"/>
          <w:szCs w:val="20"/>
        </w:rPr>
        <w:t xml:space="preserve"> </w:t>
      </w:r>
      <w:r w:rsidRPr="0001748B">
        <w:rPr>
          <w:rFonts w:eastAsia="Verdana" w:cs="Verdana"/>
          <w:spacing w:val="3"/>
          <w:sz w:val="20"/>
          <w:szCs w:val="20"/>
        </w:rPr>
        <w:t>i</w:t>
      </w:r>
      <w:r w:rsidRPr="0001748B">
        <w:rPr>
          <w:rFonts w:eastAsia="Verdana" w:cs="Verdana"/>
          <w:spacing w:val="1"/>
          <w:sz w:val="20"/>
          <w:szCs w:val="20"/>
        </w:rPr>
        <w:t>nt</w:t>
      </w:r>
      <w:r w:rsidRPr="0001748B">
        <w:rPr>
          <w:rFonts w:eastAsia="Verdana" w:cs="Verdana"/>
          <w:spacing w:val="-4"/>
          <w:sz w:val="20"/>
          <w:szCs w:val="20"/>
        </w:rPr>
        <w:t>e</w:t>
      </w:r>
      <w:r w:rsidRPr="0001748B">
        <w:rPr>
          <w:rFonts w:eastAsia="Verdana" w:cs="Verdana"/>
          <w:spacing w:val="3"/>
          <w:sz w:val="20"/>
          <w:szCs w:val="20"/>
        </w:rPr>
        <w:t>l</w:t>
      </w:r>
      <w:r w:rsidRPr="0001748B">
        <w:rPr>
          <w:rFonts w:eastAsia="Verdana" w:cs="Verdana"/>
          <w:spacing w:val="-1"/>
          <w:sz w:val="20"/>
          <w:szCs w:val="20"/>
        </w:rPr>
        <w:t>ec</w:t>
      </w:r>
      <w:r w:rsidRPr="0001748B">
        <w:rPr>
          <w:rFonts w:eastAsia="Verdana" w:cs="Verdana"/>
          <w:spacing w:val="1"/>
          <w:sz w:val="20"/>
          <w:szCs w:val="20"/>
        </w:rPr>
        <w:t>tu</w:t>
      </w:r>
      <w:r w:rsidRPr="0001748B">
        <w:rPr>
          <w:rFonts w:eastAsia="Verdana" w:cs="Verdana"/>
          <w:sz w:val="20"/>
          <w:szCs w:val="20"/>
        </w:rPr>
        <w:t>al</w:t>
      </w:r>
      <w:r w:rsidRPr="0001748B">
        <w:rPr>
          <w:rFonts w:eastAsia="Verdana" w:cs="Verdana"/>
          <w:spacing w:val="-8"/>
          <w:sz w:val="20"/>
          <w:szCs w:val="20"/>
        </w:rPr>
        <w:t xml:space="preserve"> </w:t>
      </w:r>
      <w:r w:rsidRPr="0001748B">
        <w:rPr>
          <w:rFonts w:eastAsia="Verdana" w:cs="Verdana"/>
          <w:sz w:val="20"/>
          <w:szCs w:val="20"/>
        </w:rPr>
        <w:t>y</w:t>
      </w:r>
      <w:r w:rsidRPr="0001748B">
        <w:rPr>
          <w:rFonts w:eastAsia="Verdana" w:cs="Verdana"/>
          <w:spacing w:val="-2"/>
          <w:sz w:val="20"/>
          <w:szCs w:val="20"/>
        </w:rPr>
        <w:t xml:space="preserve"> </w:t>
      </w:r>
      <w:r w:rsidRPr="0001748B">
        <w:rPr>
          <w:rFonts w:eastAsia="Verdana" w:cs="Verdana"/>
          <w:spacing w:val="1"/>
          <w:sz w:val="20"/>
          <w:szCs w:val="20"/>
        </w:rPr>
        <w:t>m</w:t>
      </w:r>
      <w:r w:rsidRPr="0001748B">
        <w:rPr>
          <w:rFonts w:eastAsia="Verdana" w:cs="Verdana"/>
          <w:sz w:val="20"/>
          <w:szCs w:val="20"/>
        </w:rPr>
        <w:t>a</w:t>
      </w:r>
      <w:r w:rsidRPr="0001748B">
        <w:rPr>
          <w:rFonts w:eastAsia="Verdana" w:cs="Verdana"/>
          <w:spacing w:val="1"/>
          <w:sz w:val="20"/>
          <w:szCs w:val="20"/>
        </w:rPr>
        <w:t>t</w:t>
      </w:r>
      <w:r w:rsidRPr="0001748B">
        <w:rPr>
          <w:rFonts w:eastAsia="Verdana" w:cs="Verdana"/>
          <w:spacing w:val="-1"/>
          <w:sz w:val="20"/>
          <w:szCs w:val="20"/>
        </w:rPr>
        <w:t>er</w:t>
      </w:r>
      <w:r w:rsidRPr="0001748B">
        <w:rPr>
          <w:rFonts w:eastAsia="Verdana" w:cs="Verdana"/>
          <w:spacing w:val="3"/>
          <w:sz w:val="20"/>
          <w:szCs w:val="20"/>
        </w:rPr>
        <w:t>i</w:t>
      </w:r>
      <w:r w:rsidRPr="0001748B">
        <w:rPr>
          <w:rFonts w:eastAsia="Verdana" w:cs="Verdana"/>
          <w:sz w:val="20"/>
          <w:szCs w:val="20"/>
        </w:rPr>
        <w:t>al</w:t>
      </w:r>
      <w:r w:rsidRPr="0001748B">
        <w:rPr>
          <w:rFonts w:eastAsia="Verdana" w:cs="Verdana"/>
          <w:spacing w:val="-6"/>
          <w:sz w:val="20"/>
          <w:szCs w:val="20"/>
        </w:rPr>
        <w:t xml:space="preserve"> </w:t>
      </w:r>
      <w:r w:rsidRPr="0001748B">
        <w:rPr>
          <w:rFonts w:eastAsia="Verdana" w:cs="Verdana"/>
          <w:spacing w:val="1"/>
          <w:sz w:val="20"/>
          <w:szCs w:val="20"/>
        </w:rPr>
        <w:t>d</w:t>
      </w:r>
      <w:r w:rsidRPr="0001748B">
        <w:rPr>
          <w:rFonts w:eastAsia="Verdana" w:cs="Verdana"/>
          <w:sz w:val="20"/>
          <w:szCs w:val="20"/>
        </w:rPr>
        <w:t>e</w:t>
      </w:r>
      <w:r w:rsidRPr="0001748B">
        <w:rPr>
          <w:rFonts w:eastAsia="Verdana" w:cs="Verdana"/>
          <w:spacing w:val="-4"/>
          <w:sz w:val="20"/>
          <w:szCs w:val="20"/>
        </w:rPr>
        <w:t xml:space="preserve"> </w:t>
      </w:r>
      <w:r w:rsidRPr="0001748B">
        <w:rPr>
          <w:rFonts w:eastAsia="Verdana" w:cs="Verdana"/>
          <w:spacing w:val="3"/>
          <w:sz w:val="20"/>
          <w:szCs w:val="20"/>
        </w:rPr>
        <w:t>l</w:t>
      </w:r>
      <w:r w:rsidRPr="0001748B">
        <w:rPr>
          <w:rFonts w:eastAsia="Verdana" w:cs="Verdana"/>
          <w:spacing w:val="-1"/>
          <w:sz w:val="20"/>
          <w:szCs w:val="20"/>
        </w:rPr>
        <w:t>o</w:t>
      </w:r>
      <w:r w:rsidRPr="0001748B">
        <w:rPr>
          <w:rFonts w:eastAsia="Verdana" w:cs="Verdana"/>
          <w:sz w:val="20"/>
          <w:szCs w:val="20"/>
        </w:rPr>
        <w:t>s</w:t>
      </w:r>
      <w:r w:rsidRPr="0001748B">
        <w:rPr>
          <w:rFonts w:eastAsia="Verdana" w:cs="Verdana"/>
          <w:spacing w:val="-4"/>
          <w:sz w:val="20"/>
          <w:szCs w:val="20"/>
        </w:rPr>
        <w:t xml:space="preserve"> </w:t>
      </w:r>
      <w:r w:rsidRPr="0001748B">
        <w:rPr>
          <w:rFonts w:eastAsia="Verdana" w:cs="Verdana"/>
          <w:spacing w:val="1"/>
          <w:sz w:val="20"/>
          <w:szCs w:val="20"/>
        </w:rPr>
        <w:t>h</w:t>
      </w:r>
      <w:r w:rsidRPr="0001748B">
        <w:rPr>
          <w:rFonts w:eastAsia="Verdana" w:cs="Verdana"/>
          <w:spacing w:val="-1"/>
          <w:sz w:val="20"/>
          <w:szCs w:val="20"/>
        </w:rPr>
        <w:t>e</w:t>
      </w:r>
      <w:r w:rsidRPr="0001748B">
        <w:rPr>
          <w:rFonts w:eastAsia="Verdana" w:cs="Verdana"/>
          <w:spacing w:val="2"/>
          <w:sz w:val="20"/>
          <w:szCs w:val="20"/>
        </w:rPr>
        <w:t>c</w:t>
      </w:r>
      <w:r w:rsidRPr="0001748B">
        <w:rPr>
          <w:rFonts w:eastAsia="Verdana" w:cs="Verdana"/>
          <w:spacing w:val="1"/>
          <w:sz w:val="20"/>
          <w:szCs w:val="20"/>
        </w:rPr>
        <w:t>h</w:t>
      </w:r>
      <w:r w:rsidRPr="0001748B">
        <w:rPr>
          <w:rFonts w:eastAsia="Verdana" w:cs="Verdana"/>
          <w:spacing w:val="-1"/>
          <w:sz w:val="20"/>
          <w:szCs w:val="20"/>
        </w:rPr>
        <w:t>o</w:t>
      </w:r>
      <w:r w:rsidRPr="0001748B">
        <w:rPr>
          <w:rFonts w:eastAsia="Verdana" w:cs="Verdana"/>
          <w:sz w:val="20"/>
          <w:szCs w:val="20"/>
        </w:rPr>
        <w:t>s</w:t>
      </w:r>
      <w:r w:rsidRPr="0001748B">
        <w:rPr>
          <w:rFonts w:eastAsia="Verdana" w:cs="Verdana"/>
          <w:spacing w:val="-8"/>
          <w:sz w:val="20"/>
          <w:szCs w:val="20"/>
        </w:rPr>
        <w:t xml:space="preserve"> </w:t>
      </w:r>
      <w:r w:rsidRPr="0001748B">
        <w:rPr>
          <w:rFonts w:eastAsia="Verdana" w:cs="Verdana"/>
          <w:spacing w:val="3"/>
          <w:sz w:val="20"/>
          <w:szCs w:val="20"/>
        </w:rPr>
        <w:t>d</w:t>
      </w:r>
      <w:r w:rsidRPr="0001748B">
        <w:rPr>
          <w:rFonts w:eastAsia="Verdana" w:cs="Verdana"/>
          <w:spacing w:val="-1"/>
          <w:sz w:val="20"/>
          <w:szCs w:val="20"/>
        </w:rPr>
        <w:t>e</w:t>
      </w:r>
      <w:r w:rsidRPr="0001748B">
        <w:rPr>
          <w:rFonts w:eastAsia="Verdana" w:cs="Verdana"/>
          <w:spacing w:val="2"/>
          <w:sz w:val="20"/>
          <w:szCs w:val="20"/>
        </w:rPr>
        <w:t>s</w:t>
      </w:r>
      <w:r w:rsidRPr="0001748B">
        <w:rPr>
          <w:rFonts w:eastAsia="Verdana" w:cs="Verdana"/>
          <w:spacing w:val="-1"/>
          <w:sz w:val="20"/>
          <w:szCs w:val="20"/>
        </w:rPr>
        <w:t>cr</w:t>
      </w:r>
      <w:r w:rsidRPr="0001748B">
        <w:rPr>
          <w:rFonts w:eastAsia="Verdana" w:cs="Verdana"/>
          <w:spacing w:val="3"/>
          <w:sz w:val="20"/>
          <w:szCs w:val="20"/>
        </w:rPr>
        <w:t>i</w:t>
      </w:r>
      <w:r w:rsidRPr="0001748B">
        <w:rPr>
          <w:rFonts w:eastAsia="Verdana" w:cs="Verdana"/>
          <w:spacing w:val="1"/>
          <w:sz w:val="20"/>
          <w:szCs w:val="20"/>
        </w:rPr>
        <w:t>t</w:t>
      </w:r>
      <w:r w:rsidRPr="0001748B">
        <w:rPr>
          <w:rFonts w:eastAsia="Verdana" w:cs="Verdana"/>
          <w:spacing w:val="-1"/>
          <w:sz w:val="20"/>
          <w:szCs w:val="20"/>
        </w:rPr>
        <w:t xml:space="preserve">os. Asimismo, </w:t>
      </w:r>
      <w:r w:rsidR="000E2FF1" w:rsidRPr="0001748B">
        <w:rPr>
          <w:rFonts w:eastAsia="Verdana" w:cs="Verdana"/>
          <w:spacing w:val="-1"/>
          <w:sz w:val="20"/>
          <w:szCs w:val="20"/>
        </w:rPr>
        <w:t>requirió</w:t>
      </w:r>
      <w:r w:rsidRPr="0001748B">
        <w:rPr>
          <w:rFonts w:eastAsia="Verdana" w:cs="Verdana"/>
          <w:spacing w:val="-1"/>
          <w:sz w:val="20"/>
          <w:szCs w:val="20"/>
        </w:rPr>
        <w:t xml:space="preserve"> que se ordenara </w:t>
      </w:r>
      <w:r w:rsidRPr="0001748B">
        <w:rPr>
          <w:rFonts w:eastAsia="Verdana" w:cs="Verdana"/>
          <w:sz w:val="20"/>
          <w:szCs w:val="20"/>
        </w:rPr>
        <w:t>d</w:t>
      </w:r>
      <w:r w:rsidRPr="0001748B">
        <w:rPr>
          <w:rFonts w:eastAsia="Verdana" w:cs="Verdana"/>
          <w:spacing w:val="3"/>
          <w:sz w:val="20"/>
          <w:szCs w:val="20"/>
        </w:rPr>
        <w:t>i</w:t>
      </w:r>
      <w:r w:rsidRPr="0001748B">
        <w:rPr>
          <w:rFonts w:eastAsia="Verdana" w:cs="Verdana"/>
          <w:spacing w:val="-1"/>
          <w:sz w:val="20"/>
          <w:szCs w:val="20"/>
        </w:rPr>
        <w:t>s</w:t>
      </w:r>
      <w:r w:rsidRPr="0001748B">
        <w:rPr>
          <w:rFonts w:eastAsia="Verdana" w:cs="Verdana"/>
          <w:spacing w:val="1"/>
          <w:sz w:val="20"/>
          <w:szCs w:val="20"/>
        </w:rPr>
        <w:t>p</w:t>
      </w:r>
      <w:r w:rsidRPr="0001748B">
        <w:rPr>
          <w:rFonts w:eastAsia="Verdana" w:cs="Verdana"/>
          <w:spacing w:val="-1"/>
          <w:sz w:val="20"/>
          <w:szCs w:val="20"/>
        </w:rPr>
        <w:t>o</w:t>
      </w:r>
      <w:r w:rsidRPr="0001748B">
        <w:rPr>
          <w:rFonts w:eastAsia="Verdana" w:cs="Verdana"/>
          <w:spacing w:val="1"/>
          <w:sz w:val="20"/>
          <w:szCs w:val="20"/>
        </w:rPr>
        <w:t>n</w:t>
      </w:r>
      <w:r w:rsidRPr="0001748B">
        <w:rPr>
          <w:rFonts w:eastAsia="Verdana" w:cs="Verdana"/>
          <w:spacing w:val="-1"/>
          <w:sz w:val="20"/>
          <w:szCs w:val="20"/>
        </w:rPr>
        <w:t>e</w:t>
      </w:r>
      <w:r w:rsidRPr="0001748B">
        <w:rPr>
          <w:rFonts w:eastAsia="Verdana" w:cs="Verdana"/>
          <w:sz w:val="20"/>
          <w:szCs w:val="20"/>
        </w:rPr>
        <w:t>r</w:t>
      </w:r>
      <w:r w:rsidRPr="0001748B">
        <w:rPr>
          <w:rFonts w:eastAsia="Verdana" w:cs="Verdana"/>
          <w:spacing w:val="4"/>
          <w:sz w:val="20"/>
          <w:szCs w:val="20"/>
        </w:rPr>
        <w:t xml:space="preserve"> </w:t>
      </w:r>
      <w:r w:rsidRPr="0001748B">
        <w:rPr>
          <w:rFonts w:eastAsia="Verdana" w:cs="Verdana"/>
          <w:spacing w:val="3"/>
          <w:sz w:val="20"/>
          <w:szCs w:val="20"/>
        </w:rPr>
        <w:t>l</w:t>
      </w:r>
      <w:r w:rsidRPr="0001748B">
        <w:rPr>
          <w:rFonts w:eastAsia="Verdana" w:cs="Verdana"/>
          <w:sz w:val="20"/>
          <w:szCs w:val="20"/>
        </w:rPr>
        <w:t>as</w:t>
      </w:r>
      <w:r w:rsidRPr="0001748B">
        <w:rPr>
          <w:rFonts w:eastAsia="Verdana" w:cs="Verdana"/>
          <w:spacing w:val="10"/>
          <w:sz w:val="20"/>
          <w:szCs w:val="20"/>
        </w:rPr>
        <w:t xml:space="preserve"> </w:t>
      </w:r>
      <w:r w:rsidRPr="0001748B">
        <w:rPr>
          <w:rFonts w:eastAsia="Verdana" w:cs="Verdana"/>
          <w:spacing w:val="1"/>
          <w:sz w:val="20"/>
          <w:szCs w:val="20"/>
        </w:rPr>
        <w:t>m</w:t>
      </w:r>
      <w:r w:rsidRPr="0001748B">
        <w:rPr>
          <w:rFonts w:eastAsia="Verdana" w:cs="Verdana"/>
          <w:spacing w:val="-1"/>
          <w:sz w:val="20"/>
          <w:szCs w:val="20"/>
        </w:rPr>
        <w:t>e</w:t>
      </w:r>
      <w:r w:rsidRPr="0001748B">
        <w:rPr>
          <w:rFonts w:eastAsia="Verdana" w:cs="Verdana"/>
          <w:spacing w:val="1"/>
          <w:sz w:val="20"/>
          <w:szCs w:val="20"/>
        </w:rPr>
        <w:t>d</w:t>
      </w:r>
      <w:r w:rsidRPr="0001748B">
        <w:rPr>
          <w:rFonts w:eastAsia="Verdana" w:cs="Verdana"/>
          <w:spacing w:val="3"/>
          <w:sz w:val="20"/>
          <w:szCs w:val="20"/>
        </w:rPr>
        <w:t>i</w:t>
      </w:r>
      <w:r w:rsidRPr="0001748B">
        <w:rPr>
          <w:rFonts w:eastAsia="Verdana" w:cs="Verdana"/>
          <w:spacing w:val="1"/>
          <w:sz w:val="20"/>
          <w:szCs w:val="20"/>
        </w:rPr>
        <w:t>d</w:t>
      </w:r>
      <w:r w:rsidRPr="0001748B">
        <w:rPr>
          <w:rFonts w:eastAsia="Verdana" w:cs="Verdana"/>
          <w:sz w:val="20"/>
          <w:szCs w:val="20"/>
        </w:rPr>
        <w:t>as</w:t>
      </w:r>
      <w:r w:rsidRPr="0001748B">
        <w:rPr>
          <w:rFonts w:eastAsia="Verdana" w:cs="Verdana"/>
          <w:spacing w:val="5"/>
          <w:sz w:val="20"/>
          <w:szCs w:val="20"/>
        </w:rPr>
        <w:t xml:space="preserve"> </w:t>
      </w:r>
      <w:r w:rsidRPr="0001748B">
        <w:rPr>
          <w:rFonts w:eastAsia="Verdana" w:cs="Verdana"/>
          <w:sz w:val="20"/>
          <w:szCs w:val="20"/>
        </w:rPr>
        <w:t>a</w:t>
      </w:r>
      <w:r w:rsidRPr="0001748B">
        <w:rPr>
          <w:rFonts w:eastAsia="Verdana" w:cs="Verdana"/>
          <w:spacing w:val="1"/>
          <w:sz w:val="20"/>
          <w:szCs w:val="20"/>
        </w:rPr>
        <w:t>dm</w:t>
      </w:r>
      <w:r w:rsidRPr="0001748B">
        <w:rPr>
          <w:rFonts w:eastAsia="Verdana" w:cs="Verdana"/>
          <w:spacing w:val="3"/>
          <w:sz w:val="20"/>
          <w:szCs w:val="20"/>
        </w:rPr>
        <w:t>i</w:t>
      </w:r>
      <w:r w:rsidRPr="0001748B">
        <w:rPr>
          <w:rFonts w:eastAsia="Verdana" w:cs="Verdana"/>
          <w:spacing w:val="-1"/>
          <w:sz w:val="20"/>
          <w:szCs w:val="20"/>
        </w:rPr>
        <w:t>n</w:t>
      </w:r>
      <w:r w:rsidRPr="0001748B">
        <w:rPr>
          <w:rFonts w:eastAsia="Verdana" w:cs="Verdana"/>
          <w:spacing w:val="3"/>
          <w:sz w:val="20"/>
          <w:szCs w:val="20"/>
        </w:rPr>
        <w:t>i</w:t>
      </w:r>
      <w:r w:rsidRPr="0001748B">
        <w:rPr>
          <w:rFonts w:eastAsia="Verdana" w:cs="Verdana"/>
          <w:spacing w:val="-1"/>
          <w:sz w:val="20"/>
          <w:szCs w:val="20"/>
        </w:rPr>
        <w:t>s</w:t>
      </w:r>
      <w:r w:rsidRPr="0001748B">
        <w:rPr>
          <w:rFonts w:eastAsia="Verdana" w:cs="Verdana"/>
          <w:spacing w:val="1"/>
          <w:sz w:val="20"/>
          <w:szCs w:val="20"/>
        </w:rPr>
        <w:t>t</w:t>
      </w:r>
      <w:r w:rsidRPr="0001748B">
        <w:rPr>
          <w:rFonts w:eastAsia="Verdana" w:cs="Verdana"/>
          <w:spacing w:val="-1"/>
          <w:sz w:val="20"/>
          <w:szCs w:val="20"/>
        </w:rPr>
        <w:t>r</w:t>
      </w:r>
      <w:r w:rsidRPr="0001748B">
        <w:rPr>
          <w:rFonts w:eastAsia="Verdana" w:cs="Verdana"/>
          <w:sz w:val="20"/>
          <w:szCs w:val="20"/>
        </w:rPr>
        <w:t>a</w:t>
      </w:r>
      <w:r w:rsidRPr="0001748B">
        <w:rPr>
          <w:rFonts w:eastAsia="Verdana" w:cs="Verdana"/>
          <w:spacing w:val="-2"/>
          <w:sz w:val="20"/>
          <w:szCs w:val="20"/>
        </w:rPr>
        <w:t>t</w:t>
      </w:r>
      <w:r w:rsidRPr="0001748B">
        <w:rPr>
          <w:rFonts w:eastAsia="Verdana" w:cs="Verdana"/>
          <w:spacing w:val="3"/>
          <w:sz w:val="20"/>
          <w:szCs w:val="20"/>
        </w:rPr>
        <w:t>i</w:t>
      </w:r>
      <w:r w:rsidRPr="0001748B">
        <w:rPr>
          <w:rFonts w:eastAsia="Verdana" w:cs="Verdana"/>
          <w:sz w:val="20"/>
          <w:szCs w:val="20"/>
        </w:rPr>
        <w:t>va</w:t>
      </w:r>
      <w:r w:rsidRPr="0001748B">
        <w:rPr>
          <w:rFonts w:eastAsia="Verdana" w:cs="Verdana"/>
          <w:spacing w:val="-1"/>
          <w:sz w:val="20"/>
          <w:szCs w:val="20"/>
        </w:rPr>
        <w:t>s</w:t>
      </w:r>
      <w:r w:rsidRPr="0001748B">
        <w:rPr>
          <w:rFonts w:eastAsia="Verdana" w:cs="Verdana"/>
          <w:sz w:val="20"/>
          <w:szCs w:val="20"/>
        </w:rPr>
        <w:t>,</w:t>
      </w:r>
      <w:r w:rsidRPr="0001748B">
        <w:rPr>
          <w:rFonts w:eastAsia="Verdana" w:cs="Verdana"/>
          <w:spacing w:val="-3"/>
          <w:sz w:val="20"/>
          <w:szCs w:val="20"/>
        </w:rPr>
        <w:t xml:space="preserve"> </w:t>
      </w:r>
      <w:r w:rsidRPr="0001748B">
        <w:rPr>
          <w:rFonts w:eastAsia="Verdana" w:cs="Verdana"/>
          <w:spacing w:val="1"/>
          <w:sz w:val="20"/>
          <w:szCs w:val="20"/>
        </w:rPr>
        <w:t>d</w:t>
      </w:r>
      <w:r w:rsidRPr="0001748B">
        <w:rPr>
          <w:rFonts w:eastAsia="Verdana" w:cs="Verdana"/>
          <w:spacing w:val="3"/>
          <w:sz w:val="20"/>
          <w:szCs w:val="20"/>
        </w:rPr>
        <w:t>i</w:t>
      </w:r>
      <w:r w:rsidRPr="0001748B">
        <w:rPr>
          <w:rFonts w:eastAsia="Verdana" w:cs="Verdana"/>
          <w:spacing w:val="-1"/>
          <w:sz w:val="20"/>
          <w:szCs w:val="20"/>
        </w:rPr>
        <w:t>sc</w:t>
      </w:r>
      <w:r w:rsidRPr="0001748B">
        <w:rPr>
          <w:rFonts w:eastAsia="Verdana" w:cs="Verdana"/>
          <w:spacing w:val="3"/>
          <w:sz w:val="20"/>
          <w:szCs w:val="20"/>
        </w:rPr>
        <w:t>i</w:t>
      </w:r>
      <w:r w:rsidRPr="0001748B">
        <w:rPr>
          <w:rFonts w:eastAsia="Verdana" w:cs="Verdana"/>
          <w:spacing w:val="-2"/>
          <w:sz w:val="20"/>
          <w:szCs w:val="20"/>
        </w:rPr>
        <w:t>p</w:t>
      </w:r>
      <w:r w:rsidRPr="0001748B">
        <w:rPr>
          <w:rFonts w:eastAsia="Verdana" w:cs="Verdana"/>
          <w:spacing w:val="1"/>
          <w:sz w:val="20"/>
          <w:szCs w:val="20"/>
        </w:rPr>
        <w:t>li</w:t>
      </w:r>
      <w:r w:rsidRPr="0001748B">
        <w:rPr>
          <w:rFonts w:eastAsia="Verdana" w:cs="Verdana"/>
          <w:spacing w:val="-1"/>
          <w:sz w:val="20"/>
          <w:szCs w:val="20"/>
        </w:rPr>
        <w:t>n</w:t>
      </w:r>
      <w:r w:rsidRPr="0001748B">
        <w:rPr>
          <w:rFonts w:eastAsia="Verdana" w:cs="Verdana"/>
          <w:sz w:val="20"/>
          <w:szCs w:val="20"/>
        </w:rPr>
        <w:t>a</w:t>
      </w:r>
      <w:r w:rsidRPr="0001748B">
        <w:rPr>
          <w:rFonts w:eastAsia="Verdana" w:cs="Verdana"/>
          <w:spacing w:val="-1"/>
          <w:sz w:val="20"/>
          <w:szCs w:val="20"/>
        </w:rPr>
        <w:t>r</w:t>
      </w:r>
      <w:r w:rsidRPr="0001748B">
        <w:rPr>
          <w:rFonts w:eastAsia="Verdana" w:cs="Verdana"/>
          <w:spacing w:val="3"/>
          <w:sz w:val="20"/>
          <w:szCs w:val="20"/>
        </w:rPr>
        <w:t>i</w:t>
      </w:r>
      <w:r w:rsidRPr="0001748B">
        <w:rPr>
          <w:rFonts w:eastAsia="Verdana" w:cs="Verdana"/>
          <w:sz w:val="20"/>
          <w:szCs w:val="20"/>
        </w:rPr>
        <w:t>as o</w:t>
      </w:r>
      <w:r w:rsidRPr="0001748B">
        <w:rPr>
          <w:rFonts w:eastAsia="Verdana" w:cs="Verdana"/>
          <w:spacing w:val="12"/>
          <w:sz w:val="20"/>
          <w:szCs w:val="20"/>
        </w:rPr>
        <w:t xml:space="preserve"> </w:t>
      </w:r>
      <w:r w:rsidRPr="0001748B">
        <w:rPr>
          <w:rFonts w:eastAsia="Verdana" w:cs="Verdana"/>
          <w:spacing w:val="1"/>
          <w:sz w:val="20"/>
          <w:szCs w:val="20"/>
        </w:rPr>
        <w:t>p</w:t>
      </w:r>
      <w:r w:rsidRPr="0001748B">
        <w:rPr>
          <w:rFonts w:eastAsia="Verdana" w:cs="Verdana"/>
          <w:spacing w:val="-1"/>
          <w:sz w:val="20"/>
          <w:szCs w:val="20"/>
        </w:rPr>
        <w:t>e</w:t>
      </w:r>
      <w:r w:rsidRPr="0001748B">
        <w:rPr>
          <w:rFonts w:eastAsia="Verdana" w:cs="Verdana"/>
          <w:spacing w:val="1"/>
          <w:sz w:val="20"/>
          <w:szCs w:val="20"/>
        </w:rPr>
        <w:t>n</w:t>
      </w:r>
      <w:r w:rsidRPr="0001748B">
        <w:rPr>
          <w:rFonts w:eastAsia="Verdana" w:cs="Verdana"/>
          <w:sz w:val="20"/>
          <w:szCs w:val="20"/>
        </w:rPr>
        <w:t>a</w:t>
      </w:r>
      <w:r w:rsidRPr="0001748B">
        <w:rPr>
          <w:rFonts w:eastAsia="Verdana" w:cs="Verdana"/>
          <w:spacing w:val="3"/>
          <w:sz w:val="20"/>
          <w:szCs w:val="20"/>
        </w:rPr>
        <w:t>l</w:t>
      </w:r>
      <w:r w:rsidRPr="0001748B">
        <w:rPr>
          <w:rFonts w:eastAsia="Verdana" w:cs="Verdana"/>
          <w:spacing w:val="-1"/>
          <w:sz w:val="20"/>
          <w:szCs w:val="20"/>
        </w:rPr>
        <w:t>e</w:t>
      </w:r>
      <w:r w:rsidRPr="0001748B">
        <w:rPr>
          <w:rFonts w:eastAsia="Verdana" w:cs="Verdana"/>
          <w:sz w:val="20"/>
          <w:szCs w:val="20"/>
        </w:rPr>
        <w:t>s</w:t>
      </w:r>
      <w:r w:rsidRPr="0001748B">
        <w:rPr>
          <w:rFonts w:eastAsia="Verdana" w:cs="Verdana"/>
          <w:spacing w:val="5"/>
          <w:sz w:val="20"/>
          <w:szCs w:val="20"/>
        </w:rPr>
        <w:t xml:space="preserve"> </w:t>
      </w:r>
      <w:r w:rsidRPr="0001748B">
        <w:rPr>
          <w:rFonts w:eastAsia="Verdana" w:cs="Verdana"/>
          <w:spacing w:val="2"/>
          <w:sz w:val="20"/>
          <w:szCs w:val="20"/>
        </w:rPr>
        <w:t>c</w:t>
      </w:r>
      <w:r w:rsidRPr="0001748B">
        <w:rPr>
          <w:rFonts w:eastAsia="Verdana" w:cs="Verdana"/>
          <w:spacing w:val="-1"/>
          <w:sz w:val="20"/>
          <w:szCs w:val="20"/>
        </w:rPr>
        <w:t>o</w:t>
      </w:r>
      <w:r w:rsidRPr="0001748B">
        <w:rPr>
          <w:rFonts w:eastAsia="Verdana" w:cs="Verdana"/>
          <w:spacing w:val="1"/>
          <w:sz w:val="20"/>
          <w:szCs w:val="20"/>
        </w:rPr>
        <w:t>r</w:t>
      </w:r>
      <w:r w:rsidRPr="0001748B">
        <w:rPr>
          <w:rFonts w:eastAsia="Verdana" w:cs="Verdana"/>
          <w:spacing w:val="-1"/>
          <w:sz w:val="20"/>
          <w:szCs w:val="20"/>
        </w:rPr>
        <w:t>r</w:t>
      </w:r>
      <w:r w:rsidRPr="0001748B">
        <w:rPr>
          <w:rFonts w:eastAsia="Verdana" w:cs="Verdana"/>
          <w:spacing w:val="1"/>
          <w:sz w:val="20"/>
          <w:szCs w:val="20"/>
        </w:rPr>
        <w:t>e</w:t>
      </w:r>
      <w:r w:rsidRPr="0001748B">
        <w:rPr>
          <w:rFonts w:eastAsia="Verdana" w:cs="Verdana"/>
          <w:spacing w:val="-1"/>
          <w:sz w:val="20"/>
          <w:szCs w:val="20"/>
        </w:rPr>
        <w:t>s</w:t>
      </w:r>
      <w:r w:rsidRPr="0001748B">
        <w:rPr>
          <w:rFonts w:eastAsia="Verdana" w:cs="Verdana"/>
          <w:spacing w:val="3"/>
          <w:sz w:val="20"/>
          <w:szCs w:val="20"/>
        </w:rPr>
        <w:t>p</w:t>
      </w:r>
      <w:r w:rsidRPr="0001748B">
        <w:rPr>
          <w:rFonts w:eastAsia="Verdana" w:cs="Verdana"/>
          <w:spacing w:val="-1"/>
          <w:sz w:val="20"/>
          <w:szCs w:val="20"/>
        </w:rPr>
        <w:t>o</w:t>
      </w:r>
      <w:r w:rsidRPr="0001748B">
        <w:rPr>
          <w:rFonts w:eastAsia="Verdana" w:cs="Verdana"/>
          <w:spacing w:val="1"/>
          <w:sz w:val="20"/>
          <w:szCs w:val="20"/>
        </w:rPr>
        <w:t>nd</w:t>
      </w:r>
      <w:r w:rsidRPr="0001748B">
        <w:rPr>
          <w:rFonts w:eastAsia="Verdana" w:cs="Verdana"/>
          <w:spacing w:val="3"/>
          <w:sz w:val="20"/>
          <w:szCs w:val="20"/>
        </w:rPr>
        <w:t>i</w:t>
      </w:r>
      <w:r w:rsidRPr="0001748B">
        <w:rPr>
          <w:rFonts w:eastAsia="Verdana" w:cs="Verdana"/>
          <w:spacing w:val="-1"/>
          <w:sz w:val="20"/>
          <w:szCs w:val="20"/>
        </w:rPr>
        <w:t>e</w:t>
      </w:r>
      <w:r w:rsidRPr="0001748B">
        <w:rPr>
          <w:rFonts w:eastAsia="Verdana" w:cs="Verdana"/>
          <w:spacing w:val="1"/>
          <w:sz w:val="20"/>
          <w:szCs w:val="20"/>
        </w:rPr>
        <w:t>nt</w:t>
      </w:r>
      <w:r w:rsidRPr="0001748B">
        <w:rPr>
          <w:rFonts w:eastAsia="Verdana" w:cs="Verdana"/>
          <w:spacing w:val="-1"/>
          <w:sz w:val="20"/>
          <w:szCs w:val="20"/>
        </w:rPr>
        <w:t>e</w:t>
      </w:r>
      <w:r w:rsidRPr="0001748B">
        <w:rPr>
          <w:rFonts w:eastAsia="Verdana" w:cs="Verdana"/>
          <w:sz w:val="20"/>
          <w:szCs w:val="20"/>
        </w:rPr>
        <w:t>s</w:t>
      </w:r>
      <w:r w:rsidRPr="0001748B">
        <w:rPr>
          <w:rFonts w:eastAsia="Verdana" w:cs="Verdana"/>
          <w:spacing w:val="-4"/>
          <w:sz w:val="20"/>
          <w:szCs w:val="20"/>
        </w:rPr>
        <w:t xml:space="preserve"> </w:t>
      </w:r>
      <w:r w:rsidRPr="0001748B">
        <w:rPr>
          <w:rFonts w:eastAsia="Verdana" w:cs="Verdana"/>
          <w:spacing w:val="-1"/>
          <w:sz w:val="20"/>
          <w:szCs w:val="20"/>
        </w:rPr>
        <w:t>f</w:t>
      </w:r>
      <w:r w:rsidRPr="0001748B">
        <w:rPr>
          <w:rFonts w:eastAsia="Verdana" w:cs="Verdana"/>
          <w:spacing w:val="1"/>
          <w:sz w:val="20"/>
          <w:szCs w:val="20"/>
        </w:rPr>
        <w:t>r</w:t>
      </w:r>
      <w:r w:rsidRPr="0001748B">
        <w:rPr>
          <w:rFonts w:eastAsia="Verdana" w:cs="Verdana"/>
          <w:spacing w:val="-1"/>
          <w:sz w:val="20"/>
          <w:szCs w:val="20"/>
        </w:rPr>
        <w:t>e</w:t>
      </w:r>
      <w:r w:rsidRPr="0001748B">
        <w:rPr>
          <w:rFonts w:eastAsia="Verdana" w:cs="Verdana"/>
          <w:spacing w:val="1"/>
          <w:sz w:val="20"/>
          <w:szCs w:val="20"/>
        </w:rPr>
        <w:t>nt</w:t>
      </w:r>
      <w:r w:rsidRPr="0001748B">
        <w:rPr>
          <w:rFonts w:eastAsia="Verdana" w:cs="Verdana"/>
          <w:sz w:val="20"/>
          <w:szCs w:val="20"/>
        </w:rPr>
        <w:t>e</w:t>
      </w:r>
      <w:r w:rsidRPr="0001748B">
        <w:rPr>
          <w:rFonts w:eastAsia="Verdana" w:cs="Verdana"/>
          <w:spacing w:val="6"/>
          <w:sz w:val="20"/>
          <w:szCs w:val="20"/>
        </w:rPr>
        <w:t xml:space="preserve"> </w:t>
      </w:r>
      <w:r w:rsidRPr="0001748B">
        <w:rPr>
          <w:rFonts w:eastAsia="Verdana" w:cs="Verdana"/>
          <w:sz w:val="20"/>
          <w:szCs w:val="20"/>
        </w:rPr>
        <w:t>a</w:t>
      </w:r>
      <w:r w:rsidRPr="0001748B">
        <w:rPr>
          <w:rFonts w:eastAsia="Verdana" w:cs="Verdana"/>
          <w:spacing w:val="13"/>
          <w:sz w:val="20"/>
          <w:szCs w:val="20"/>
        </w:rPr>
        <w:t xml:space="preserve"> </w:t>
      </w:r>
      <w:r w:rsidRPr="0001748B">
        <w:rPr>
          <w:rFonts w:eastAsia="Verdana" w:cs="Verdana"/>
          <w:spacing w:val="3"/>
          <w:sz w:val="20"/>
          <w:szCs w:val="20"/>
        </w:rPr>
        <w:t>l</w:t>
      </w:r>
      <w:r w:rsidRPr="0001748B">
        <w:rPr>
          <w:rFonts w:eastAsia="Verdana" w:cs="Verdana"/>
          <w:sz w:val="20"/>
          <w:szCs w:val="20"/>
        </w:rPr>
        <w:t>as a</w:t>
      </w:r>
      <w:r w:rsidRPr="0001748B">
        <w:rPr>
          <w:rFonts w:eastAsia="Verdana" w:cs="Verdana"/>
          <w:spacing w:val="-1"/>
          <w:sz w:val="20"/>
          <w:szCs w:val="20"/>
        </w:rPr>
        <w:t>cc</w:t>
      </w:r>
      <w:r w:rsidRPr="0001748B">
        <w:rPr>
          <w:rFonts w:eastAsia="Verdana" w:cs="Verdana"/>
          <w:spacing w:val="3"/>
          <w:sz w:val="20"/>
          <w:szCs w:val="20"/>
        </w:rPr>
        <w:t>i</w:t>
      </w:r>
      <w:r w:rsidRPr="0001748B">
        <w:rPr>
          <w:rFonts w:eastAsia="Verdana" w:cs="Verdana"/>
          <w:spacing w:val="-1"/>
          <w:sz w:val="20"/>
          <w:szCs w:val="20"/>
        </w:rPr>
        <w:t>o</w:t>
      </w:r>
      <w:r w:rsidRPr="0001748B">
        <w:rPr>
          <w:rFonts w:eastAsia="Verdana" w:cs="Verdana"/>
          <w:spacing w:val="1"/>
          <w:sz w:val="20"/>
          <w:szCs w:val="20"/>
        </w:rPr>
        <w:t>n</w:t>
      </w:r>
      <w:r w:rsidRPr="0001748B">
        <w:rPr>
          <w:rFonts w:eastAsia="Verdana" w:cs="Verdana"/>
          <w:spacing w:val="-1"/>
          <w:sz w:val="20"/>
          <w:szCs w:val="20"/>
        </w:rPr>
        <w:t>e</w:t>
      </w:r>
      <w:r w:rsidRPr="0001748B">
        <w:rPr>
          <w:rFonts w:eastAsia="Verdana" w:cs="Verdana"/>
          <w:sz w:val="20"/>
          <w:szCs w:val="20"/>
        </w:rPr>
        <w:t>s</w:t>
      </w:r>
      <w:r w:rsidRPr="0001748B">
        <w:rPr>
          <w:rFonts w:eastAsia="Verdana" w:cs="Verdana"/>
          <w:spacing w:val="29"/>
          <w:sz w:val="20"/>
          <w:szCs w:val="20"/>
        </w:rPr>
        <w:t xml:space="preserve"> </w:t>
      </w:r>
      <w:r w:rsidRPr="0001748B">
        <w:rPr>
          <w:rFonts w:eastAsia="Verdana" w:cs="Verdana"/>
          <w:sz w:val="20"/>
          <w:szCs w:val="20"/>
        </w:rPr>
        <w:t>u</w:t>
      </w:r>
      <w:r w:rsidRPr="0001748B">
        <w:rPr>
          <w:rFonts w:eastAsia="Verdana" w:cs="Verdana"/>
          <w:spacing w:val="37"/>
          <w:sz w:val="20"/>
          <w:szCs w:val="20"/>
        </w:rPr>
        <w:t xml:space="preserve"> </w:t>
      </w:r>
      <w:r w:rsidRPr="0001748B">
        <w:rPr>
          <w:rFonts w:eastAsia="Verdana" w:cs="Verdana"/>
          <w:spacing w:val="-1"/>
          <w:sz w:val="20"/>
          <w:szCs w:val="20"/>
        </w:rPr>
        <w:t>o</w:t>
      </w:r>
      <w:r w:rsidRPr="0001748B">
        <w:rPr>
          <w:rFonts w:eastAsia="Verdana" w:cs="Verdana"/>
          <w:spacing w:val="1"/>
          <w:sz w:val="20"/>
          <w:szCs w:val="20"/>
        </w:rPr>
        <w:t>m</w:t>
      </w:r>
      <w:r w:rsidRPr="0001748B">
        <w:rPr>
          <w:rFonts w:eastAsia="Verdana" w:cs="Verdana"/>
          <w:spacing w:val="3"/>
          <w:sz w:val="20"/>
          <w:szCs w:val="20"/>
        </w:rPr>
        <w:t>i</w:t>
      </w:r>
      <w:r w:rsidRPr="0001748B">
        <w:rPr>
          <w:rFonts w:eastAsia="Verdana" w:cs="Verdana"/>
          <w:spacing w:val="-1"/>
          <w:sz w:val="20"/>
          <w:szCs w:val="20"/>
        </w:rPr>
        <w:t>s</w:t>
      </w:r>
      <w:r w:rsidRPr="0001748B">
        <w:rPr>
          <w:rFonts w:eastAsia="Verdana" w:cs="Verdana"/>
          <w:spacing w:val="3"/>
          <w:sz w:val="20"/>
          <w:szCs w:val="20"/>
        </w:rPr>
        <w:t>i</w:t>
      </w:r>
      <w:r w:rsidRPr="0001748B">
        <w:rPr>
          <w:rFonts w:eastAsia="Verdana" w:cs="Verdana"/>
          <w:spacing w:val="-1"/>
          <w:sz w:val="20"/>
          <w:szCs w:val="20"/>
        </w:rPr>
        <w:t>o</w:t>
      </w:r>
      <w:r w:rsidRPr="0001748B">
        <w:rPr>
          <w:rFonts w:eastAsia="Verdana" w:cs="Verdana"/>
          <w:spacing w:val="1"/>
          <w:sz w:val="20"/>
          <w:szCs w:val="20"/>
        </w:rPr>
        <w:t>n</w:t>
      </w:r>
      <w:r w:rsidRPr="0001748B">
        <w:rPr>
          <w:rFonts w:eastAsia="Verdana" w:cs="Verdana"/>
          <w:spacing w:val="-1"/>
          <w:sz w:val="20"/>
          <w:szCs w:val="20"/>
        </w:rPr>
        <w:t>e</w:t>
      </w:r>
      <w:r w:rsidRPr="0001748B">
        <w:rPr>
          <w:rFonts w:eastAsia="Verdana" w:cs="Verdana"/>
          <w:sz w:val="20"/>
          <w:szCs w:val="20"/>
        </w:rPr>
        <w:t>s</w:t>
      </w:r>
      <w:r w:rsidRPr="0001748B">
        <w:rPr>
          <w:rFonts w:eastAsia="Verdana" w:cs="Verdana"/>
          <w:spacing w:val="27"/>
          <w:sz w:val="20"/>
          <w:szCs w:val="20"/>
        </w:rPr>
        <w:t xml:space="preserve"> </w:t>
      </w:r>
      <w:r w:rsidRPr="0001748B">
        <w:rPr>
          <w:rFonts w:eastAsia="Verdana" w:cs="Verdana"/>
          <w:spacing w:val="3"/>
          <w:sz w:val="20"/>
          <w:szCs w:val="20"/>
        </w:rPr>
        <w:t>d</w:t>
      </w:r>
      <w:r w:rsidRPr="0001748B">
        <w:rPr>
          <w:rFonts w:eastAsia="Verdana" w:cs="Verdana"/>
          <w:sz w:val="20"/>
          <w:szCs w:val="20"/>
        </w:rPr>
        <w:t>e</w:t>
      </w:r>
      <w:r w:rsidRPr="0001748B">
        <w:rPr>
          <w:rFonts w:eastAsia="Verdana" w:cs="Verdana"/>
          <w:spacing w:val="34"/>
          <w:sz w:val="20"/>
          <w:szCs w:val="20"/>
        </w:rPr>
        <w:t xml:space="preserve"> </w:t>
      </w:r>
      <w:r w:rsidRPr="0001748B">
        <w:rPr>
          <w:rFonts w:eastAsia="Verdana" w:cs="Verdana"/>
          <w:spacing w:val="3"/>
          <w:sz w:val="20"/>
          <w:szCs w:val="20"/>
        </w:rPr>
        <w:t>l</w:t>
      </w:r>
      <w:r w:rsidRPr="0001748B">
        <w:rPr>
          <w:rFonts w:eastAsia="Verdana" w:cs="Verdana"/>
          <w:spacing w:val="-1"/>
          <w:sz w:val="20"/>
          <w:szCs w:val="20"/>
        </w:rPr>
        <w:t>o</w:t>
      </w:r>
      <w:r w:rsidRPr="0001748B">
        <w:rPr>
          <w:rFonts w:eastAsia="Verdana" w:cs="Verdana"/>
          <w:sz w:val="20"/>
          <w:szCs w:val="20"/>
        </w:rPr>
        <w:t>s</w:t>
      </w:r>
      <w:r w:rsidRPr="0001748B">
        <w:rPr>
          <w:rFonts w:eastAsia="Verdana" w:cs="Verdana"/>
          <w:spacing w:val="35"/>
          <w:sz w:val="20"/>
          <w:szCs w:val="20"/>
        </w:rPr>
        <w:t xml:space="preserve"> </w:t>
      </w:r>
      <w:r w:rsidRPr="0001748B">
        <w:rPr>
          <w:rFonts w:eastAsia="Verdana" w:cs="Verdana"/>
          <w:spacing w:val="-1"/>
          <w:sz w:val="20"/>
          <w:szCs w:val="20"/>
        </w:rPr>
        <w:t>f</w:t>
      </w:r>
      <w:r w:rsidRPr="0001748B">
        <w:rPr>
          <w:rFonts w:eastAsia="Verdana" w:cs="Verdana"/>
          <w:spacing w:val="1"/>
          <w:sz w:val="20"/>
          <w:szCs w:val="20"/>
        </w:rPr>
        <w:t>un</w:t>
      </w:r>
      <w:r w:rsidRPr="0001748B">
        <w:rPr>
          <w:rFonts w:eastAsia="Verdana" w:cs="Verdana"/>
          <w:spacing w:val="-1"/>
          <w:sz w:val="20"/>
          <w:szCs w:val="20"/>
        </w:rPr>
        <w:t>c</w:t>
      </w:r>
      <w:r w:rsidRPr="0001748B">
        <w:rPr>
          <w:rFonts w:eastAsia="Verdana" w:cs="Verdana"/>
          <w:spacing w:val="3"/>
          <w:sz w:val="20"/>
          <w:szCs w:val="20"/>
        </w:rPr>
        <w:t>i</w:t>
      </w:r>
      <w:r w:rsidRPr="0001748B">
        <w:rPr>
          <w:rFonts w:eastAsia="Verdana" w:cs="Verdana"/>
          <w:spacing w:val="-1"/>
          <w:sz w:val="20"/>
          <w:szCs w:val="20"/>
        </w:rPr>
        <w:t>o</w:t>
      </w:r>
      <w:r w:rsidRPr="0001748B">
        <w:rPr>
          <w:rFonts w:eastAsia="Verdana" w:cs="Verdana"/>
          <w:spacing w:val="1"/>
          <w:sz w:val="20"/>
          <w:szCs w:val="20"/>
        </w:rPr>
        <w:t>n</w:t>
      </w:r>
      <w:r w:rsidRPr="0001748B">
        <w:rPr>
          <w:rFonts w:eastAsia="Verdana" w:cs="Verdana"/>
          <w:sz w:val="20"/>
          <w:szCs w:val="20"/>
        </w:rPr>
        <w:t>a</w:t>
      </w:r>
      <w:r w:rsidRPr="0001748B">
        <w:rPr>
          <w:rFonts w:eastAsia="Verdana" w:cs="Verdana"/>
          <w:spacing w:val="-1"/>
          <w:sz w:val="20"/>
          <w:szCs w:val="20"/>
        </w:rPr>
        <w:t>r</w:t>
      </w:r>
      <w:r w:rsidRPr="0001748B">
        <w:rPr>
          <w:rFonts w:eastAsia="Verdana" w:cs="Verdana"/>
          <w:spacing w:val="3"/>
          <w:sz w:val="20"/>
          <w:szCs w:val="20"/>
        </w:rPr>
        <w:t>i</w:t>
      </w:r>
      <w:r w:rsidRPr="0001748B">
        <w:rPr>
          <w:rFonts w:eastAsia="Verdana" w:cs="Verdana"/>
          <w:spacing w:val="-1"/>
          <w:sz w:val="20"/>
          <w:szCs w:val="20"/>
        </w:rPr>
        <w:t>o</w:t>
      </w:r>
      <w:r w:rsidRPr="0001748B">
        <w:rPr>
          <w:rFonts w:eastAsia="Verdana" w:cs="Verdana"/>
          <w:sz w:val="20"/>
          <w:szCs w:val="20"/>
        </w:rPr>
        <w:t>s</w:t>
      </w:r>
      <w:r w:rsidRPr="0001748B">
        <w:rPr>
          <w:rFonts w:eastAsia="Verdana" w:cs="Verdana"/>
          <w:spacing w:val="25"/>
          <w:sz w:val="20"/>
          <w:szCs w:val="20"/>
        </w:rPr>
        <w:t xml:space="preserve"> </w:t>
      </w:r>
      <w:r w:rsidRPr="0001748B">
        <w:rPr>
          <w:rFonts w:eastAsia="Verdana" w:cs="Verdana"/>
          <w:spacing w:val="-1"/>
          <w:sz w:val="20"/>
          <w:szCs w:val="20"/>
        </w:rPr>
        <w:t>es</w:t>
      </w:r>
      <w:r w:rsidRPr="0001748B">
        <w:rPr>
          <w:rFonts w:eastAsia="Verdana" w:cs="Verdana"/>
          <w:spacing w:val="1"/>
          <w:sz w:val="20"/>
          <w:szCs w:val="20"/>
        </w:rPr>
        <w:t>t</w:t>
      </w:r>
      <w:r w:rsidRPr="0001748B">
        <w:rPr>
          <w:rFonts w:eastAsia="Verdana" w:cs="Verdana"/>
          <w:sz w:val="20"/>
          <w:szCs w:val="20"/>
        </w:rPr>
        <w:t>a</w:t>
      </w:r>
      <w:r w:rsidRPr="0001748B">
        <w:rPr>
          <w:rFonts w:eastAsia="Verdana" w:cs="Verdana"/>
          <w:spacing w:val="3"/>
          <w:sz w:val="20"/>
          <w:szCs w:val="20"/>
        </w:rPr>
        <w:t>t</w:t>
      </w:r>
      <w:r w:rsidRPr="0001748B">
        <w:rPr>
          <w:rFonts w:eastAsia="Verdana" w:cs="Verdana"/>
          <w:sz w:val="20"/>
          <w:szCs w:val="20"/>
        </w:rPr>
        <w:t>a</w:t>
      </w:r>
      <w:r w:rsidRPr="0001748B">
        <w:rPr>
          <w:rFonts w:eastAsia="Verdana" w:cs="Verdana"/>
          <w:spacing w:val="3"/>
          <w:sz w:val="20"/>
          <w:szCs w:val="20"/>
        </w:rPr>
        <w:t>l</w:t>
      </w:r>
      <w:r w:rsidRPr="0001748B">
        <w:rPr>
          <w:rFonts w:eastAsia="Verdana" w:cs="Verdana"/>
          <w:spacing w:val="-1"/>
          <w:sz w:val="20"/>
          <w:szCs w:val="20"/>
        </w:rPr>
        <w:t>e</w:t>
      </w:r>
      <w:r w:rsidRPr="0001748B">
        <w:rPr>
          <w:rFonts w:eastAsia="Verdana" w:cs="Verdana"/>
          <w:sz w:val="20"/>
          <w:szCs w:val="20"/>
        </w:rPr>
        <w:t>s</w:t>
      </w:r>
      <w:r w:rsidRPr="0001748B">
        <w:rPr>
          <w:rFonts w:eastAsia="Verdana" w:cs="Verdana"/>
          <w:spacing w:val="28"/>
          <w:sz w:val="20"/>
          <w:szCs w:val="20"/>
        </w:rPr>
        <w:t xml:space="preserve"> </w:t>
      </w:r>
      <w:r w:rsidRPr="0001748B">
        <w:rPr>
          <w:rFonts w:eastAsia="Verdana" w:cs="Verdana"/>
          <w:spacing w:val="1"/>
          <w:sz w:val="20"/>
          <w:szCs w:val="20"/>
        </w:rPr>
        <w:t>qu</w:t>
      </w:r>
      <w:r w:rsidRPr="0001748B">
        <w:rPr>
          <w:rFonts w:eastAsia="Verdana" w:cs="Verdana"/>
          <w:sz w:val="20"/>
          <w:szCs w:val="20"/>
        </w:rPr>
        <w:t>e</w:t>
      </w:r>
      <w:r w:rsidRPr="0001748B">
        <w:rPr>
          <w:rFonts w:eastAsia="Verdana" w:cs="Verdana"/>
          <w:spacing w:val="33"/>
          <w:sz w:val="20"/>
          <w:szCs w:val="20"/>
        </w:rPr>
        <w:t xml:space="preserve"> </w:t>
      </w:r>
      <w:r w:rsidRPr="0001748B">
        <w:rPr>
          <w:rFonts w:eastAsia="Verdana" w:cs="Verdana"/>
          <w:spacing w:val="-1"/>
          <w:sz w:val="20"/>
          <w:szCs w:val="20"/>
        </w:rPr>
        <w:t>co</w:t>
      </w:r>
      <w:r w:rsidRPr="0001748B">
        <w:rPr>
          <w:rFonts w:eastAsia="Verdana" w:cs="Verdana"/>
          <w:spacing w:val="1"/>
          <w:sz w:val="20"/>
          <w:szCs w:val="20"/>
        </w:rPr>
        <w:t>nt</w:t>
      </w:r>
      <w:r w:rsidRPr="0001748B">
        <w:rPr>
          <w:rFonts w:eastAsia="Verdana" w:cs="Verdana"/>
          <w:spacing w:val="-1"/>
          <w:sz w:val="20"/>
          <w:szCs w:val="20"/>
        </w:rPr>
        <w:t>r</w:t>
      </w:r>
      <w:r w:rsidRPr="0001748B">
        <w:rPr>
          <w:rFonts w:eastAsia="Verdana" w:cs="Verdana"/>
          <w:spacing w:val="3"/>
          <w:sz w:val="20"/>
          <w:szCs w:val="20"/>
        </w:rPr>
        <w:t>i</w:t>
      </w:r>
      <w:r w:rsidRPr="0001748B">
        <w:rPr>
          <w:rFonts w:eastAsia="Verdana" w:cs="Verdana"/>
          <w:spacing w:val="1"/>
          <w:sz w:val="20"/>
          <w:szCs w:val="20"/>
        </w:rPr>
        <w:t>bu</w:t>
      </w:r>
      <w:r w:rsidRPr="0001748B">
        <w:rPr>
          <w:rFonts w:eastAsia="Verdana" w:cs="Verdana"/>
          <w:sz w:val="20"/>
          <w:szCs w:val="20"/>
        </w:rPr>
        <w:t>y</w:t>
      </w:r>
      <w:r w:rsidRPr="0001748B">
        <w:rPr>
          <w:rFonts w:eastAsia="Verdana" w:cs="Verdana"/>
          <w:spacing w:val="-1"/>
          <w:sz w:val="20"/>
          <w:szCs w:val="20"/>
        </w:rPr>
        <w:t>e</w:t>
      </w:r>
      <w:r w:rsidRPr="0001748B">
        <w:rPr>
          <w:rFonts w:eastAsia="Verdana" w:cs="Verdana"/>
          <w:spacing w:val="1"/>
          <w:sz w:val="20"/>
          <w:szCs w:val="20"/>
        </w:rPr>
        <w:t>r</w:t>
      </w:r>
      <w:r w:rsidRPr="0001748B">
        <w:rPr>
          <w:rFonts w:eastAsia="Verdana" w:cs="Verdana"/>
          <w:spacing w:val="-1"/>
          <w:sz w:val="20"/>
          <w:szCs w:val="20"/>
        </w:rPr>
        <w:t>o</w:t>
      </w:r>
      <w:r w:rsidRPr="0001748B">
        <w:rPr>
          <w:rFonts w:eastAsia="Verdana" w:cs="Verdana"/>
          <w:sz w:val="20"/>
          <w:szCs w:val="20"/>
        </w:rPr>
        <w:t>n</w:t>
      </w:r>
      <w:r w:rsidRPr="0001748B">
        <w:rPr>
          <w:rFonts w:eastAsia="Verdana" w:cs="Verdana"/>
          <w:spacing w:val="27"/>
          <w:sz w:val="20"/>
          <w:szCs w:val="20"/>
        </w:rPr>
        <w:t xml:space="preserve"> </w:t>
      </w:r>
      <w:r w:rsidRPr="0001748B">
        <w:rPr>
          <w:rFonts w:eastAsia="Verdana" w:cs="Verdana"/>
          <w:sz w:val="20"/>
          <w:szCs w:val="20"/>
        </w:rPr>
        <w:t>a</w:t>
      </w:r>
      <w:r w:rsidRPr="0001748B">
        <w:rPr>
          <w:rFonts w:eastAsia="Verdana" w:cs="Verdana"/>
          <w:spacing w:val="36"/>
          <w:sz w:val="20"/>
          <w:szCs w:val="20"/>
        </w:rPr>
        <w:t xml:space="preserve"> </w:t>
      </w:r>
      <w:r w:rsidRPr="0001748B">
        <w:rPr>
          <w:rFonts w:eastAsia="Verdana" w:cs="Verdana"/>
          <w:spacing w:val="3"/>
          <w:sz w:val="20"/>
          <w:szCs w:val="20"/>
        </w:rPr>
        <w:t>l</w:t>
      </w:r>
      <w:r w:rsidRPr="0001748B">
        <w:rPr>
          <w:rFonts w:eastAsia="Verdana" w:cs="Verdana"/>
          <w:sz w:val="20"/>
          <w:szCs w:val="20"/>
        </w:rPr>
        <w:t>a demora injustificada,</w:t>
      </w:r>
      <w:r w:rsidRPr="0001748B">
        <w:rPr>
          <w:rFonts w:eastAsia="Verdana" w:cs="Verdana"/>
          <w:spacing w:val="36"/>
          <w:sz w:val="20"/>
          <w:szCs w:val="20"/>
        </w:rPr>
        <w:t xml:space="preserve"> </w:t>
      </w:r>
      <w:r w:rsidRPr="0001748B">
        <w:rPr>
          <w:rFonts w:eastAsia="Verdana" w:cs="Verdana"/>
          <w:spacing w:val="1"/>
          <w:sz w:val="20"/>
          <w:szCs w:val="20"/>
        </w:rPr>
        <w:t>d</w:t>
      </w:r>
      <w:r w:rsidRPr="0001748B">
        <w:rPr>
          <w:rFonts w:eastAsia="Verdana" w:cs="Verdana"/>
          <w:spacing w:val="-1"/>
          <w:sz w:val="20"/>
          <w:szCs w:val="20"/>
        </w:rPr>
        <w:t>e</w:t>
      </w:r>
      <w:r w:rsidRPr="0001748B">
        <w:rPr>
          <w:rFonts w:eastAsia="Verdana" w:cs="Verdana"/>
          <w:spacing w:val="1"/>
          <w:sz w:val="20"/>
          <w:szCs w:val="20"/>
        </w:rPr>
        <w:t>n</w:t>
      </w:r>
      <w:r w:rsidRPr="0001748B">
        <w:rPr>
          <w:rFonts w:eastAsia="Verdana" w:cs="Verdana"/>
          <w:spacing w:val="-1"/>
          <w:sz w:val="20"/>
          <w:szCs w:val="20"/>
        </w:rPr>
        <w:t>e</w:t>
      </w:r>
      <w:r w:rsidRPr="0001748B">
        <w:rPr>
          <w:rFonts w:eastAsia="Verdana" w:cs="Verdana"/>
          <w:spacing w:val="1"/>
          <w:sz w:val="20"/>
          <w:szCs w:val="20"/>
        </w:rPr>
        <w:t>g</w:t>
      </w:r>
      <w:r w:rsidRPr="0001748B">
        <w:rPr>
          <w:rFonts w:eastAsia="Verdana" w:cs="Verdana"/>
          <w:sz w:val="20"/>
          <w:szCs w:val="20"/>
        </w:rPr>
        <w:t>a</w:t>
      </w:r>
      <w:r w:rsidRPr="0001748B">
        <w:rPr>
          <w:rFonts w:eastAsia="Verdana" w:cs="Verdana"/>
          <w:spacing w:val="-1"/>
          <w:sz w:val="20"/>
          <w:szCs w:val="20"/>
        </w:rPr>
        <w:t>c</w:t>
      </w:r>
      <w:r w:rsidRPr="0001748B">
        <w:rPr>
          <w:rFonts w:eastAsia="Verdana" w:cs="Verdana"/>
          <w:spacing w:val="3"/>
          <w:sz w:val="20"/>
          <w:szCs w:val="20"/>
        </w:rPr>
        <w:t>i</w:t>
      </w:r>
      <w:r w:rsidRPr="0001748B">
        <w:rPr>
          <w:rFonts w:eastAsia="Verdana" w:cs="Verdana"/>
          <w:spacing w:val="-1"/>
          <w:sz w:val="20"/>
          <w:szCs w:val="20"/>
        </w:rPr>
        <w:t>ó</w:t>
      </w:r>
      <w:r w:rsidRPr="0001748B">
        <w:rPr>
          <w:rFonts w:eastAsia="Verdana" w:cs="Verdana"/>
          <w:sz w:val="20"/>
          <w:szCs w:val="20"/>
        </w:rPr>
        <w:t>n</w:t>
      </w:r>
      <w:r w:rsidRPr="0001748B">
        <w:rPr>
          <w:rFonts w:eastAsia="Verdana" w:cs="Verdana"/>
          <w:spacing w:val="27"/>
          <w:sz w:val="20"/>
          <w:szCs w:val="20"/>
        </w:rPr>
        <w:t xml:space="preserve"> </w:t>
      </w:r>
      <w:r w:rsidRPr="0001748B">
        <w:rPr>
          <w:rFonts w:eastAsia="Verdana" w:cs="Verdana"/>
          <w:spacing w:val="1"/>
          <w:sz w:val="20"/>
          <w:szCs w:val="20"/>
        </w:rPr>
        <w:t>d</w:t>
      </w:r>
      <w:r w:rsidRPr="0001748B">
        <w:rPr>
          <w:rFonts w:eastAsia="Verdana" w:cs="Verdana"/>
          <w:sz w:val="20"/>
          <w:szCs w:val="20"/>
        </w:rPr>
        <w:t xml:space="preserve">e </w:t>
      </w:r>
      <w:r w:rsidRPr="0001748B">
        <w:rPr>
          <w:rFonts w:eastAsia="Verdana" w:cs="Verdana"/>
          <w:spacing w:val="1"/>
          <w:sz w:val="20"/>
          <w:szCs w:val="20"/>
        </w:rPr>
        <w:t>ju</w:t>
      </w:r>
      <w:r w:rsidRPr="0001748B">
        <w:rPr>
          <w:rFonts w:eastAsia="Verdana" w:cs="Verdana"/>
          <w:spacing w:val="-1"/>
          <w:sz w:val="20"/>
          <w:szCs w:val="20"/>
        </w:rPr>
        <w:t>s</w:t>
      </w:r>
      <w:r w:rsidRPr="0001748B">
        <w:rPr>
          <w:rFonts w:eastAsia="Verdana" w:cs="Verdana"/>
          <w:spacing w:val="1"/>
          <w:sz w:val="20"/>
          <w:szCs w:val="20"/>
        </w:rPr>
        <w:t>t</w:t>
      </w:r>
      <w:r w:rsidRPr="0001748B">
        <w:rPr>
          <w:rFonts w:eastAsia="Verdana" w:cs="Verdana"/>
          <w:spacing w:val="3"/>
          <w:sz w:val="20"/>
          <w:szCs w:val="20"/>
        </w:rPr>
        <w:t>i</w:t>
      </w:r>
      <w:r w:rsidRPr="0001748B">
        <w:rPr>
          <w:rFonts w:eastAsia="Verdana" w:cs="Verdana"/>
          <w:spacing w:val="-3"/>
          <w:sz w:val="20"/>
          <w:szCs w:val="20"/>
        </w:rPr>
        <w:t>c</w:t>
      </w:r>
      <w:r w:rsidRPr="0001748B">
        <w:rPr>
          <w:rFonts w:eastAsia="Verdana" w:cs="Verdana"/>
          <w:spacing w:val="3"/>
          <w:sz w:val="20"/>
          <w:szCs w:val="20"/>
        </w:rPr>
        <w:t>i</w:t>
      </w:r>
      <w:r w:rsidRPr="0001748B">
        <w:rPr>
          <w:rFonts w:eastAsia="Verdana" w:cs="Verdana"/>
          <w:sz w:val="20"/>
          <w:szCs w:val="20"/>
        </w:rPr>
        <w:t>a</w:t>
      </w:r>
      <w:r w:rsidRPr="0001748B">
        <w:rPr>
          <w:rFonts w:eastAsia="Verdana" w:cs="Verdana"/>
          <w:spacing w:val="-7"/>
          <w:sz w:val="20"/>
          <w:szCs w:val="20"/>
        </w:rPr>
        <w:t xml:space="preserve"> </w:t>
      </w:r>
      <w:r w:rsidRPr="0001748B">
        <w:rPr>
          <w:rFonts w:eastAsia="Verdana" w:cs="Verdana"/>
          <w:sz w:val="20"/>
          <w:szCs w:val="20"/>
        </w:rPr>
        <w:t>e</w:t>
      </w:r>
      <w:r w:rsidRPr="0001748B">
        <w:rPr>
          <w:rFonts w:eastAsia="Verdana" w:cs="Verdana"/>
          <w:spacing w:val="-3"/>
          <w:sz w:val="20"/>
          <w:szCs w:val="20"/>
        </w:rPr>
        <w:t xml:space="preserve"> </w:t>
      </w:r>
      <w:r w:rsidRPr="0001748B">
        <w:rPr>
          <w:rFonts w:eastAsia="Verdana" w:cs="Verdana"/>
          <w:spacing w:val="3"/>
          <w:sz w:val="20"/>
          <w:szCs w:val="20"/>
        </w:rPr>
        <w:t>i</w:t>
      </w:r>
      <w:r w:rsidRPr="0001748B">
        <w:rPr>
          <w:rFonts w:eastAsia="Verdana" w:cs="Verdana"/>
          <w:spacing w:val="1"/>
          <w:sz w:val="20"/>
          <w:szCs w:val="20"/>
        </w:rPr>
        <w:t>mp</w:t>
      </w:r>
      <w:r w:rsidRPr="0001748B">
        <w:rPr>
          <w:rFonts w:eastAsia="Verdana" w:cs="Verdana"/>
          <w:spacing w:val="-1"/>
          <w:sz w:val="20"/>
          <w:szCs w:val="20"/>
        </w:rPr>
        <w:t>un</w:t>
      </w:r>
      <w:r w:rsidRPr="0001748B">
        <w:rPr>
          <w:rFonts w:eastAsia="Verdana" w:cs="Verdana"/>
          <w:spacing w:val="3"/>
          <w:sz w:val="20"/>
          <w:szCs w:val="20"/>
        </w:rPr>
        <w:t>i</w:t>
      </w:r>
      <w:r w:rsidRPr="0001748B">
        <w:rPr>
          <w:rFonts w:eastAsia="Verdana" w:cs="Verdana"/>
          <w:spacing w:val="1"/>
          <w:sz w:val="20"/>
          <w:szCs w:val="20"/>
        </w:rPr>
        <w:t>d</w:t>
      </w:r>
      <w:r w:rsidRPr="0001748B">
        <w:rPr>
          <w:rFonts w:eastAsia="Verdana" w:cs="Verdana"/>
          <w:sz w:val="20"/>
          <w:szCs w:val="20"/>
        </w:rPr>
        <w:t>ad</w:t>
      </w:r>
      <w:r w:rsidRPr="0001748B">
        <w:rPr>
          <w:rFonts w:eastAsia="Verdana" w:cs="Verdana"/>
          <w:spacing w:val="-11"/>
          <w:sz w:val="20"/>
          <w:szCs w:val="20"/>
        </w:rPr>
        <w:t xml:space="preserve"> </w:t>
      </w:r>
      <w:r w:rsidRPr="0001748B">
        <w:rPr>
          <w:rFonts w:eastAsia="Verdana" w:cs="Verdana"/>
          <w:spacing w:val="-1"/>
          <w:sz w:val="20"/>
          <w:szCs w:val="20"/>
        </w:rPr>
        <w:t>e</w:t>
      </w:r>
      <w:r w:rsidRPr="0001748B">
        <w:rPr>
          <w:rFonts w:eastAsia="Verdana" w:cs="Verdana"/>
          <w:sz w:val="20"/>
          <w:szCs w:val="20"/>
        </w:rPr>
        <w:t>n</w:t>
      </w:r>
      <w:r w:rsidRPr="0001748B">
        <w:rPr>
          <w:rFonts w:eastAsia="Verdana" w:cs="Verdana"/>
          <w:spacing w:val="-2"/>
          <w:sz w:val="20"/>
          <w:szCs w:val="20"/>
        </w:rPr>
        <w:t xml:space="preserve"> </w:t>
      </w:r>
      <w:r w:rsidRPr="0001748B">
        <w:rPr>
          <w:rFonts w:eastAsia="Verdana" w:cs="Verdana"/>
          <w:spacing w:val="3"/>
          <w:sz w:val="20"/>
          <w:szCs w:val="20"/>
        </w:rPr>
        <w:t>l</w:t>
      </w:r>
      <w:r w:rsidRPr="0001748B">
        <w:rPr>
          <w:rFonts w:eastAsia="Verdana" w:cs="Verdana"/>
          <w:sz w:val="20"/>
          <w:szCs w:val="20"/>
        </w:rPr>
        <w:t>a</w:t>
      </w:r>
      <w:r w:rsidRPr="0001748B">
        <w:rPr>
          <w:rFonts w:eastAsia="Verdana" w:cs="Verdana"/>
          <w:spacing w:val="-2"/>
          <w:sz w:val="20"/>
          <w:szCs w:val="20"/>
        </w:rPr>
        <w:t xml:space="preserve"> </w:t>
      </w:r>
      <w:r w:rsidRPr="0001748B">
        <w:rPr>
          <w:rFonts w:eastAsia="Verdana" w:cs="Verdana"/>
          <w:spacing w:val="1"/>
          <w:sz w:val="20"/>
          <w:szCs w:val="20"/>
        </w:rPr>
        <w:t>qu</w:t>
      </w:r>
      <w:r w:rsidRPr="0001748B">
        <w:rPr>
          <w:rFonts w:eastAsia="Verdana" w:cs="Verdana"/>
          <w:sz w:val="20"/>
          <w:szCs w:val="20"/>
        </w:rPr>
        <w:t>e</w:t>
      </w:r>
      <w:r w:rsidRPr="0001748B">
        <w:rPr>
          <w:rFonts w:eastAsia="Verdana" w:cs="Verdana"/>
          <w:spacing w:val="-6"/>
          <w:sz w:val="20"/>
          <w:szCs w:val="20"/>
        </w:rPr>
        <w:t xml:space="preserve"> </w:t>
      </w:r>
      <w:r w:rsidRPr="0001748B">
        <w:rPr>
          <w:rFonts w:eastAsia="Verdana" w:cs="Verdana"/>
          <w:spacing w:val="-1"/>
          <w:sz w:val="20"/>
          <w:szCs w:val="20"/>
        </w:rPr>
        <w:t>s</w:t>
      </w:r>
      <w:r w:rsidRPr="0001748B">
        <w:rPr>
          <w:rFonts w:eastAsia="Verdana" w:cs="Verdana"/>
          <w:sz w:val="20"/>
          <w:szCs w:val="20"/>
        </w:rPr>
        <w:t>e</w:t>
      </w:r>
      <w:r w:rsidRPr="0001748B">
        <w:rPr>
          <w:rFonts w:eastAsia="Verdana" w:cs="Verdana"/>
          <w:spacing w:val="-2"/>
          <w:sz w:val="20"/>
          <w:szCs w:val="20"/>
        </w:rPr>
        <w:t xml:space="preserve"> </w:t>
      </w:r>
      <w:r w:rsidRPr="0001748B">
        <w:rPr>
          <w:rFonts w:eastAsia="Verdana" w:cs="Verdana"/>
          <w:spacing w:val="-1"/>
          <w:sz w:val="20"/>
          <w:szCs w:val="20"/>
        </w:rPr>
        <w:t>e</w:t>
      </w:r>
      <w:r w:rsidRPr="0001748B">
        <w:rPr>
          <w:rFonts w:eastAsia="Verdana" w:cs="Verdana"/>
          <w:spacing w:val="1"/>
          <w:sz w:val="20"/>
          <w:szCs w:val="20"/>
        </w:rPr>
        <w:t>n</w:t>
      </w:r>
      <w:r w:rsidRPr="0001748B">
        <w:rPr>
          <w:rFonts w:eastAsia="Verdana" w:cs="Verdana"/>
          <w:spacing w:val="-1"/>
          <w:sz w:val="20"/>
          <w:szCs w:val="20"/>
        </w:rPr>
        <w:t>c</w:t>
      </w:r>
      <w:r w:rsidRPr="0001748B">
        <w:rPr>
          <w:rFonts w:eastAsia="Verdana" w:cs="Verdana"/>
          <w:spacing w:val="1"/>
          <w:sz w:val="20"/>
          <w:szCs w:val="20"/>
        </w:rPr>
        <w:t>u</w:t>
      </w:r>
      <w:r w:rsidRPr="0001748B">
        <w:rPr>
          <w:rFonts w:eastAsia="Verdana" w:cs="Verdana"/>
          <w:spacing w:val="-1"/>
          <w:sz w:val="20"/>
          <w:szCs w:val="20"/>
        </w:rPr>
        <w:t>e</w:t>
      </w:r>
      <w:r w:rsidRPr="0001748B">
        <w:rPr>
          <w:rFonts w:eastAsia="Verdana" w:cs="Verdana"/>
          <w:spacing w:val="1"/>
          <w:sz w:val="20"/>
          <w:szCs w:val="20"/>
        </w:rPr>
        <w:t>n</w:t>
      </w:r>
      <w:r w:rsidRPr="0001748B">
        <w:rPr>
          <w:rFonts w:eastAsia="Verdana" w:cs="Verdana"/>
          <w:spacing w:val="3"/>
          <w:sz w:val="20"/>
          <w:szCs w:val="20"/>
        </w:rPr>
        <w:t>t</w:t>
      </w:r>
      <w:r w:rsidRPr="0001748B">
        <w:rPr>
          <w:rFonts w:eastAsia="Verdana" w:cs="Verdana"/>
          <w:spacing w:val="-1"/>
          <w:sz w:val="20"/>
          <w:szCs w:val="20"/>
        </w:rPr>
        <w:t>r</w:t>
      </w:r>
      <w:r w:rsidRPr="0001748B">
        <w:rPr>
          <w:rFonts w:eastAsia="Verdana" w:cs="Verdana"/>
          <w:sz w:val="20"/>
          <w:szCs w:val="20"/>
        </w:rPr>
        <w:t>an</w:t>
      </w:r>
      <w:r w:rsidRPr="0001748B">
        <w:rPr>
          <w:rFonts w:eastAsia="Verdana" w:cs="Verdana"/>
          <w:spacing w:val="-11"/>
          <w:sz w:val="20"/>
          <w:szCs w:val="20"/>
        </w:rPr>
        <w:t xml:space="preserve"> </w:t>
      </w:r>
      <w:r w:rsidRPr="0001748B">
        <w:rPr>
          <w:rFonts w:eastAsia="Verdana" w:cs="Verdana"/>
          <w:spacing w:val="3"/>
          <w:sz w:val="20"/>
          <w:szCs w:val="20"/>
        </w:rPr>
        <w:t>l</w:t>
      </w:r>
      <w:r w:rsidRPr="0001748B">
        <w:rPr>
          <w:rFonts w:eastAsia="Verdana" w:cs="Verdana"/>
          <w:spacing w:val="-1"/>
          <w:sz w:val="20"/>
          <w:szCs w:val="20"/>
        </w:rPr>
        <w:t>o</w:t>
      </w:r>
      <w:r w:rsidRPr="0001748B">
        <w:rPr>
          <w:rFonts w:eastAsia="Verdana" w:cs="Verdana"/>
          <w:sz w:val="20"/>
          <w:szCs w:val="20"/>
        </w:rPr>
        <w:t>s</w:t>
      </w:r>
      <w:r w:rsidRPr="0001748B">
        <w:rPr>
          <w:rFonts w:eastAsia="Verdana" w:cs="Verdana"/>
          <w:spacing w:val="-4"/>
          <w:sz w:val="20"/>
          <w:szCs w:val="20"/>
        </w:rPr>
        <w:t xml:space="preserve"> </w:t>
      </w:r>
      <w:r w:rsidRPr="0001748B">
        <w:rPr>
          <w:rFonts w:eastAsia="Verdana" w:cs="Verdana"/>
          <w:spacing w:val="1"/>
          <w:sz w:val="20"/>
          <w:szCs w:val="20"/>
        </w:rPr>
        <w:t>he</w:t>
      </w:r>
      <w:r w:rsidRPr="0001748B">
        <w:rPr>
          <w:rFonts w:eastAsia="Verdana" w:cs="Verdana"/>
          <w:spacing w:val="-1"/>
          <w:sz w:val="20"/>
          <w:szCs w:val="20"/>
        </w:rPr>
        <w:t>c</w:t>
      </w:r>
      <w:r w:rsidRPr="0001748B">
        <w:rPr>
          <w:rFonts w:eastAsia="Verdana" w:cs="Verdana"/>
          <w:spacing w:val="1"/>
          <w:sz w:val="20"/>
          <w:szCs w:val="20"/>
        </w:rPr>
        <w:t>h</w:t>
      </w:r>
      <w:r w:rsidRPr="0001748B">
        <w:rPr>
          <w:rFonts w:eastAsia="Verdana" w:cs="Verdana"/>
          <w:spacing w:val="-1"/>
          <w:sz w:val="20"/>
          <w:szCs w:val="20"/>
        </w:rPr>
        <w:t>o</w:t>
      </w:r>
      <w:r w:rsidRPr="0001748B">
        <w:rPr>
          <w:rFonts w:eastAsia="Verdana" w:cs="Verdana"/>
          <w:sz w:val="20"/>
          <w:szCs w:val="20"/>
        </w:rPr>
        <w:t>s</w:t>
      </w:r>
      <w:r w:rsidRPr="0001748B">
        <w:rPr>
          <w:rFonts w:eastAsia="Verdana" w:cs="Verdana"/>
          <w:spacing w:val="-6"/>
          <w:sz w:val="20"/>
          <w:szCs w:val="20"/>
        </w:rPr>
        <w:t xml:space="preserve"> </w:t>
      </w:r>
      <w:r w:rsidRPr="0001748B">
        <w:rPr>
          <w:rFonts w:eastAsia="Verdana" w:cs="Verdana"/>
          <w:spacing w:val="1"/>
          <w:sz w:val="20"/>
          <w:szCs w:val="20"/>
        </w:rPr>
        <w:t>d</w:t>
      </w:r>
      <w:r w:rsidRPr="0001748B">
        <w:rPr>
          <w:rFonts w:eastAsia="Verdana" w:cs="Verdana"/>
          <w:spacing w:val="-1"/>
          <w:sz w:val="20"/>
          <w:szCs w:val="20"/>
        </w:rPr>
        <w:t>e</w:t>
      </w:r>
      <w:r w:rsidRPr="0001748B">
        <w:rPr>
          <w:rFonts w:eastAsia="Verdana" w:cs="Verdana"/>
          <w:sz w:val="20"/>
          <w:szCs w:val="20"/>
        </w:rPr>
        <w:t>l</w:t>
      </w:r>
      <w:r w:rsidRPr="0001748B">
        <w:rPr>
          <w:rFonts w:eastAsia="Verdana" w:cs="Verdana"/>
          <w:spacing w:val="1"/>
          <w:sz w:val="20"/>
          <w:szCs w:val="20"/>
        </w:rPr>
        <w:t xml:space="preserve"> </w:t>
      </w:r>
      <w:r w:rsidRPr="0001748B">
        <w:rPr>
          <w:rFonts w:eastAsia="Verdana" w:cs="Verdana"/>
          <w:spacing w:val="-1"/>
          <w:sz w:val="20"/>
          <w:szCs w:val="20"/>
        </w:rPr>
        <w:t>c</w:t>
      </w:r>
      <w:r w:rsidRPr="0001748B">
        <w:rPr>
          <w:rFonts w:eastAsia="Verdana" w:cs="Verdana"/>
          <w:sz w:val="20"/>
          <w:szCs w:val="20"/>
        </w:rPr>
        <w:t>a</w:t>
      </w:r>
      <w:r w:rsidRPr="0001748B">
        <w:rPr>
          <w:rFonts w:eastAsia="Verdana" w:cs="Verdana"/>
          <w:spacing w:val="2"/>
          <w:sz w:val="20"/>
          <w:szCs w:val="20"/>
        </w:rPr>
        <w:t>s</w:t>
      </w:r>
      <w:r w:rsidRPr="0001748B">
        <w:rPr>
          <w:rFonts w:eastAsia="Verdana" w:cs="Verdana"/>
          <w:spacing w:val="-1"/>
          <w:sz w:val="20"/>
          <w:szCs w:val="20"/>
        </w:rPr>
        <w:t>o</w:t>
      </w:r>
      <w:r w:rsidRPr="0001748B">
        <w:rPr>
          <w:rFonts w:eastAsia="Verdana" w:cs="Verdana"/>
          <w:sz w:val="20"/>
          <w:szCs w:val="20"/>
        </w:rPr>
        <w:t xml:space="preserve">. De igual forma, la Comisión </w:t>
      </w:r>
      <w:r w:rsidR="00FA6169" w:rsidRPr="0001748B">
        <w:rPr>
          <w:rFonts w:eastAsia="Verdana" w:cs="Verdana"/>
          <w:sz w:val="20"/>
          <w:szCs w:val="20"/>
        </w:rPr>
        <w:t>solicitó</w:t>
      </w:r>
      <w:r w:rsidRPr="0001748B">
        <w:rPr>
          <w:rFonts w:eastAsia="Verdana" w:cs="Verdana"/>
          <w:sz w:val="20"/>
          <w:szCs w:val="20"/>
        </w:rPr>
        <w:t xml:space="preserve"> a la Corte </w:t>
      </w:r>
      <w:r w:rsidR="00FA6169" w:rsidRPr="0001748B">
        <w:rPr>
          <w:rFonts w:eastAsia="Verdana" w:cs="Verdana"/>
          <w:sz w:val="20"/>
          <w:szCs w:val="20"/>
        </w:rPr>
        <w:t xml:space="preserve">que </w:t>
      </w:r>
      <w:r w:rsidRPr="0001748B">
        <w:rPr>
          <w:rFonts w:eastAsia="Verdana" w:cs="Verdana"/>
          <w:sz w:val="20"/>
          <w:szCs w:val="20"/>
        </w:rPr>
        <w:t>ordenara al Estado desplegar la debida diligencia requerida para el esclarecimiento de las distintas versiones sobre lo ocurrido a la víctima, así como los distintos niveles de responsabilidad que sean atribuibles a las autoridades militares que estuvieron a cargo de la práctica y que por acción u omisión, derivaron en el incumplimiento del instructivo de operaciones tal y como fue reconocido por el Estado.</w:t>
      </w:r>
    </w:p>
    <w:p w:rsidR="001B626E" w:rsidRPr="0001748B" w:rsidRDefault="001B626E" w:rsidP="001B626E">
      <w:pPr>
        <w:tabs>
          <w:tab w:val="left" w:pos="709"/>
          <w:tab w:val="num" w:pos="1427"/>
        </w:tabs>
        <w:spacing w:line="240" w:lineRule="auto"/>
        <w:ind w:right="-90"/>
        <w:rPr>
          <w:sz w:val="20"/>
          <w:szCs w:val="20"/>
          <w:lang w:eastAsia="x-none"/>
        </w:rPr>
      </w:pPr>
    </w:p>
    <w:p w:rsidR="001B626E" w:rsidRPr="0001748B" w:rsidRDefault="001B626E" w:rsidP="001B626E">
      <w:pPr>
        <w:numPr>
          <w:ilvl w:val="0"/>
          <w:numId w:val="1"/>
        </w:numPr>
        <w:tabs>
          <w:tab w:val="left" w:pos="567"/>
          <w:tab w:val="num" w:pos="5057"/>
        </w:tabs>
        <w:spacing w:line="240" w:lineRule="auto"/>
        <w:ind w:left="0" w:firstLine="0"/>
        <w:rPr>
          <w:rFonts w:eastAsia="Verdana" w:cs="Verdana"/>
          <w:b/>
          <w:bCs/>
          <w:sz w:val="16"/>
          <w:szCs w:val="16"/>
        </w:rPr>
      </w:pPr>
      <w:r w:rsidRPr="0001748B">
        <w:rPr>
          <w:bCs/>
          <w:sz w:val="20"/>
          <w:szCs w:val="20"/>
          <w:lang w:bidi="en-US"/>
        </w:rPr>
        <w:t>Las</w:t>
      </w:r>
      <w:r w:rsidRPr="0001748B">
        <w:rPr>
          <w:rFonts w:eastAsia="MS Mincho"/>
          <w:sz w:val="20"/>
          <w:szCs w:val="20"/>
          <w:lang w:bidi="en-US"/>
        </w:rPr>
        <w:t xml:space="preserve"> </w:t>
      </w:r>
      <w:r w:rsidRPr="0001748B">
        <w:rPr>
          <w:rFonts w:eastAsia="MS Mincho"/>
          <w:b/>
          <w:i/>
          <w:sz w:val="20"/>
          <w:szCs w:val="20"/>
          <w:lang w:bidi="en-US"/>
        </w:rPr>
        <w:t>representantes</w:t>
      </w:r>
      <w:r w:rsidRPr="0001748B">
        <w:rPr>
          <w:rFonts w:eastAsia="MS Mincho"/>
          <w:i/>
          <w:sz w:val="20"/>
          <w:szCs w:val="20"/>
          <w:lang w:bidi="en-US"/>
        </w:rPr>
        <w:t xml:space="preserve"> </w:t>
      </w:r>
      <w:r w:rsidRPr="0001748B">
        <w:rPr>
          <w:rFonts w:eastAsia="MS Mincho"/>
          <w:sz w:val="20"/>
          <w:szCs w:val="20"/>
          <w:lang w:bidi="en-US"/>
        </w:rPr>
        <w:t xml:space="preserve">solicitaron a la Corte que ordenara al Estado </w:t>
      </w:r>
      <w:r w:rsidRPr="0001748B">
        <w:rPr>
          <w:rFonts w:eastAsia="Verdana" w:cs="Verdana"/>
          <w:sz w:val="20"/>
          <w:szCs w:val="20"/>
        </w:rPr>
        <w:t>c</w:t>
      </w:r>
      <w:r w:rsidRPr="0001748B">
        <w:rPr>
          <w:rFonts w:eastAsia="Verdana" w:cs="Verdana"/>
          <w:spacing w:val="1"/>
          <w:sz w:val="20"/>
          <w:szCs w:val="20"/>
        </w:rPr>
        <w:t>ump</w:t>
      </w:r>
      <w:r w:rsidRPr="0001748B">
        <w:rPr>
          <w:rFonts w:eastAsia="Verdana" w:cs="Verdana"/>
          <w:sz w:val="20"/>
          <w:szCs w:val="20"/>
        </w:rPr>
        <w:t>lir</w:t>
      </w:r>
      <w:r w:rsidRPr="0001748B">
        <w:rPr>
          <w:rFonts w:eastAsia="Verdana" w:cs="Verdana"/>
          <w:spacing w:val="4"/>
          <w:sz w:val="20"/>
          <w:szCs w:val="20"/>
        </w:rPr>
        <w:t xml:space="preserve"> </w:t>
      </w:r>
      <w:r w:rsidRPr="0001748B">
        <w:rPr>
          <w:rFonts w:eastAsia="Verdana" w:cs="Verdana"/>
          <w:spacing w:val="-1"/>
          <w:sz w:val="20"/>
          <w:szCs w:val="20"/>
        </w:rPr>
        <w:t>co</w:t>
      </w:r>
      <w:r w:rsidRPr="0001748B">
        <w:rPr>
          <w:rFonts w:eastAsia="Verdana" w:cs="Verdana"/>
          <w:sz w:val="20"/>
          <w:szCs w:val="20"/>
        </w:rPr>
        <w:t>n</w:t>
      </w:r>
      <w:r w:rsidRPr="0001748B">
        <w:rPr>
          <w:rFonts w:eastAsia="Verdana" w:cs="Verdana"/>
          <w:spacing w:val="11"/>
          <w:sz w:val="20"/>
          <w:szCs w:val="20"/>
        </w:rPr>
        <w:t xml:space="preserve"> </w:t>
      </w:r>
      <w:r w:rsidRPr="0001748B">
        <w:rPr>
          <w:rFonts w:eastAsia="Verdana" w:cs="Verdana"/>
          <w:spacing w:val="-1"/>
          <w:sz w:val="20"/>
          <w:szCs w:val="20"/>
        </w:rPr>
        <w:t>s</w:t>
      </w:r>
      <w:r w:rsidRPr="0001748B">
        <w:rPr>
          <w:rFonts w:eastAsia="Verdana" w:cs="Verdana"/>
          <w:sz w:val="20"/>
          <w:szCs w:val="20"/>
        </w:rPr>
        <w:t>u</w:t>
      </w:r>
      <w:r w:rsidRPr="0001748B">
        <w:rPr>
          <w:rFonts w:eastAsia="Verdana" w:cs="Verdana"/>
          <w:spacing w:val="10"/>
          <w:sz w:val="20"/>
          <w:szCs w:val="20"/>
        </w:rPr>
        <w:t xml:space="preserve"> </w:t>
      </w:r>
      <w:r w:rsidRPr="0001748B">
        <w:rPr>
          <w:rFonts w:eastAsia="Verdana" w:cs="Verdana"/>
          <w:spacing w:val="-1"/>
          <w:sz w:val="20"/>
          <w:szCs w:val="20"/>
        </w:rPr>
        <w:t>o</w:t>
      </w:r>
      <w:r w:rsidRPr="0001748B">
        <w:rPr>
          <w:rFonts w:eastAsia="Verdana" w:cs="Verdana"/>
          <w:spacing w:val="1"/>
          <w:sz w:val="20"/>
          <w:szCs w:val="20"/>
        </w:rPr>
        <w:t>b</w:t>
      </w:r>
      <w:r w:rsidRPr="0001748B">
        <w:rPr>
          <w:rFonts w:eastAsia="Verdana" w:cs="Verdana"/>
          <w:spacing w:val="3"/>
          <w:sz w:val="20"/>
          <w:szCs w:val="20"/>
        </w:rPr>
        <w:t>li</w:t>
      </w:r>
      <w:r w:rsidRPr="0001748B">
        <w:rPr>
          <w:rFonts w:eastAsia="Verdana" w:cs="Verdana"/>
          <w:spacing w:val="1"/>
          <w:sz w:val="20"/>
          <w:szCs w:val="20"/>
        </w:rPr>
        <w:t>g</w:t>
      </w:r>
      <w:r w:rsidRPr="0001748B">
        <w:rPr>
          <w:rFonts w:eastAsia="Verdana" w:cs="Verdana"/>
          <w:sz w:val="20"/>
          <w:szCs w:val="20"/>
        </w:rPr>
        <w:t>a</w:t>
      </w:r>
      <w:r w:rsidRPr="0001748B">
        <w:rPr>
          <w:rFonts w:eastAsia="Verdana" w:cs="Verdana"/>
          <w:spacing w:val="-3"/>
          <w:sz w:val="20"/>
          <w:szCs w:val="20"/>
        </w:rPr>
        <w:t>c</w:t>
      </w:r>
      <w:r w:rsidRPr="0001748B">
        <w:rPr>
          <w:rFonts w:eastAsia="Verdana" w:cs="Verdana"/>
          <w:spacing w:val="3"/>
          <w:sz w:val="20"/>
          <w:szCs w:val="20"/>
        </w:rPr>
        <w:t>i</w:t>
      </w:r>
      <w:r w:rsidRPr="0001748B">
        <w:rPr>
          <w:rFonts w:eastAsia="Verdana" w:cs="Verdana"/>
          <w:spacing w:val="-1"/>
          <w:sz w:val="20"/>
          <w:szCs w:val="20"/>
        </w:rPr>
        <w:t>ó</w:t>
      </w:r>
      <w:r w:rsidRPr="0001748B">
        <w:rPr>
          <w:rFonts w:eastAsia="Verdana" w:cs="Verdana"/>
          <w:sz w:val="20"/>
          <w:szCs w:val="20"/>
        </w:rPr>
        <w:t>n</w:t>
      </w:r>
      <w:r w:rsidRPr="0001748B">
        <w:rPr>
          <w:rFonts w:eastAsia="Verdana" w:cs="Verdana"/>
          <w:spacing w:val="2"/>
          <w:sz w:val="20"/>
          <w:szCs w:val="20"/>
        </w:rPr>
        <w:t xml:space="preserve"> </w:t>
      </w:r>
      <w:r w:rsidRPr="0001748B">
        <w:rPr>
          <w:rFonts w:eastAsia="Verdana" w:cs="Verdana"/>
          <w:spacing w:val="1"/>
          <w:sz w:val="20"/>
          <w:szCs w:val="20"/>
        </w:rPr>
        <w:t>d</w:t>
      </w:r>
      <w:r w:rsidRPr="0001748B">
        <w:rPr>
          <w:rFonts w:eastAsia="Verdana" w:cs="Verdana"/>
          <w:sz w:val="20"/>
          <w:szCs w:val="20"/>
        </w:rPr>
        <w:t>e</w:t>
      </w:r>
      <w:r w:rsidRPr="0001748B">
        <w:rPr>
          <w:rFonts w:eastAsia="Verdana" w:cs="Verdana"/>
          <w:spacing w:val="7"/>
          <w:sz w:val="20"/>
          <w:szCs w:val="20"/>
        </w:rPr>
        <w:t xml:space="preserve"> </w:t>
      </w:r>
      <w:r w:rsidRPr="0001748B">
        <w:rPr>
          <w:rFonts w:eastAsia="Verdana" w:cs="Verdana"/>
          <w:spacing w:val="3"/>
          <w:sz w:val="20"/>
          <w:szCs w:val="20"/>
        </w:rPr>
        <w:t>i</w:t>
      </w:r>
      <w:r w:rsidRPr="0001748B">
        <w:rPr>
          <w:rFonts w:eastAsia="Verdana" w:cs="Verdana"/>
          <w:spacing w:val="1"/>
          <w:sz w:val="20"/>
          <w:szCs w:val="20"/>
        </w:rPr>
        <w:t>n</w:t>
      </w:r>
      <w:r w:rsidRPr="0001748B">
        <w:rPr>
          <w:rFonts w:eastAsia="Verdana" w:cs="Verdana"/>
          <w:sz w:val="20"/>
          <w:szCs w:val="20"/>
        </w:rPr>
        <w:t>v</w:t>
      </w:r>
      <w:r w:rsidRPr="0001748B">
        <w:rPr>
          <w:rFonts w:eastAsia="Verdana" w:cs="Verdana"/>
          <w:spacing w:val="-1"/>
          <w:sz w:val="20"/>
          <w:szCs w:val="20"/>
        </w:rPr>
        <w:t>es</w:t>
      </w:r>
      <w:r w:rsidRPr="0001748B">
        <w:rPr>
          <w:rFonts w:eastAsia="Verdana" w:cs="Verdana"/>
          <w:spacing w:val="1"/>
          <w:sz w:val="20"/>
          <w:szCs w:val="20"/>
        </w:rPr>
        <w:t>t</w:t>
      </w:r>
      <w:r w:rsidRPr="0001748B">
        <w:rPr>
          <w:rFonts w:eastAsia="Verdana" w:cs="Verdana"/>
          <w:spacing w:val="3"/>
          <w:sz w:val="20"/>
          <w:szCs w:val="20"/>
        </w:rPr>
        <w:t>i</w:t>
      </w:r>
      <w:r w:rsidRPr="0001748B">
        <w:rPr>
          <w:rFonts w:eastAsia="Verdana" w:cs="Verdana"/>
          <w:spacing w:val="1"/>
          <w:sz w:val="20"/>
          <w:szCs w:val="20"/>
        </w:rPr>
        <w:t>g</w:t>
      </w:r>
      <w:r w:rsidRPr="0001748B">
        <w:rPr>
          <w:rFonts w:eastAsia="Verdana" w:cs="Verdana"/>
          <w:sz w:val="20"/>
          <w:szCs w:val="20"/>
        </w:rPr>
        <w:t xml:space="preserve">ar </w:t>
      </w:r>
      <w:r w:rsidRPr="0001748B">
        <w:rPr>
          <w:rFonts w:eastAsia="Verdana" w:cs="Verdana"/>
          <w:spacing w:val="3"/>
          <w:sz w:val="20"/>
          <w:szCs w:val="20"/>
        </w:rPr>
        <w:t>l</w:t>
      </w:r>
      <w:r w:rsidRPr="0001748B">
        <w:rPr>
          <w:rFonts w:eastAsia="Verdana" w:cs="Verdana"/>
          <w:spacing w:val="-1"/>
          <w:sz w:val="20"/>
          <w:szCs w:val="20"/>
        </w:rPr>
        <w:t>o</w:t>
      </w:r>
      <w:r w:rsidRPr="0001748B">
        <w:rPr>
          <w:rFonts w:eastAsia="Verdana" w:cs="Verdana"/>
          <w:sz w:val="20"/>
          <w:szCs w:val="20"/>
        </w:rPr>
        <w:t>s</w:t>
      </w:r>
      <w:r w:rsidRPr="0001748B">
        <w:rPr>
          <w:rFonts w:eastAsia="Verdana" w:cs="Verdana"/>
          <w:spacing w:val="8"/>
          <w:sz w:val="20"/>
          <w:szCs w:val="20"/>
        </w:rPr>
        <w:t xml:space="preserve"> </w:t>
      </w:r>
      <w:r w:rsidRPr="0001748B">
        <w:rPr>
          <w:rFonts w:eastAsia="Verdana" w:cs="Verdana"/>
          <w:spacing w:val="1"/>
          <w:sz w:val="20"/>
          <w:szCs w:val="20"/>
        </w:rPr>
        <w:t>h</w:t>
      </w:r>
      <w:r w:rsidRPr="0001748B">
        <w:rPr>
          <w:rFonts w:eastAsia="Verdana" w:cs="Verdana"/>
          <w:spacing w:val="-1"/>
          <w:sz w:val="20"/>
          <w:szCs w:val="20"/>
        </w:rPr>
        <w:t>ec</w:t>
      </w:r>
      <w:r w:rsidRPr="0001748B">
        <w:rPr>
          <w:rFonts w:eastAsia="Verdana" w:cs="Verdana"/>
          <w:spacing w:val="4"/>
          <w:sz w:val="20"/>
          <w:szCs w:val="20"/>
        </w:rPr>
        <w:t>h</w:t>
      </w:r>
      <w:r w:rsidRPr="0001748B">
        <w:rPr>
          <w:rFonts w:eastAsia="Verdana" w:cs="Verdana"/>
          <w:spacing w:val="-1"/>
          <w:sz w:val="20"/>
          <w:szCs w:val="20"/>
        </w:rPr>
        <w:t>o</w:t>
      </w:r>
      <w:r w:rsidRPr="0001748B">
        <w:rPr>
          <w:rFonts w:eastAsia="Verdana" w:cs="Verdana"/>
          <w:sz w:val="20"/>
          <w:szCs w:val="20"/>
        </w:rPr>
        <w:t>s</w:t>
      </w:r>
      <w:r w:rsidRPr="0001748B">
        <w:rPr>
          <w:rFonts w:eastAsia="Verdana" w:cs="Verdana"/>
          <w:spacing w:val="4"/>
          <w:sz w:val="20"/>
          <w:szCs w:val="20"/>
        </w:rPr>
        <w:t xml:space="preserve"> </w:t>
      </w:r>
      <w:r w:rsidRPr="0001748B">
        <w:rPr>
          <w:rFonts w:eastAsia="Verdana" w:cs="Verdana"/>
          <w:spacing w:val="3"/>
          <w:sz w:val="20"/>
          <w:szCs w:val="20"/>
        </w:rPr>
        <w:t>d</w:t>
      </w:r>
      <w:r w:rsidRPr="0001748B">
        <w:rPr>
          <w:rFonts w:eastAsia="Verdana" w:cs="Verdana"/>
          <w:sz w:val="20"/>
          <w:szCs w:val="20"/>
        </w:rPr>
        <w:t>e</w:t>
      </w:r>
      <w:r w:rsidRPr="0001748B">
        <w:rPr>
          <w:rFonts w:eastAsia="Verdana" w:cs="Verdana"/>
          <w:spacing w:val="7"/>
          <w:sz w:val="20"/>
          <w:szCs w:val="20"/>
        </w:rPr>
        <w:t xml:space="preserve"> </w:t>
      </w:r>
      <w:r w:rsidRPr="0001748B">
        <w:rPr>
          <w:rFonts w:eastAsia="Verdana" w:cs="Verdana"/>
          <w:spacing w:val="2"/>
          <w:sz w:val="20"/>
          <w:szCs w:val="20"/>
        </w:rPr>
        <w:t>f</w:t>
      </w:r>
      <w:r w:rsidRPr="0001748B">
        <w:rPr>
          <w:rFonts w:eastAsia="Verdana" w:cs="Verdana"/>
          <w:spacing w:val="-1"/>
          <w:sz w:val="20"/>
          <w:szCs w:val="20"/>
        </w:rPr>
        <w:t>or</w:t>
      </w:r>
      <w:r w:rsidRPr="0001748B">
        <w:rPr>
          <w:rFonts w:eastAsia="Verdana" w:cs="Verdana"/>
          <w:spacing w:val="3"/>
          <w:sz w:val="20"/>
          <w:szCs w:val="20"/>
        </w:rPr>
        <w:t>m</w:t>
      </w:r>
      <w:r w:rsidRPr="0001748B">
        <w:rPr>
          <w:rFonts w:eastAsia="Verdana" w:cs="Verdana"/>
          <w:sz w:val="20"/>
          <w:szCs w:val="20"/>
        </w:rPr>
        <w:t>a</w:t>
      </w:r>
      <w:r w:rsidRPr="0001748B">
        <w:rPr>
          <w:rFonts w:eastAsia="Verdana" w:cs="Verdana"/>
          <w:spacing w:val="5"/>
          <w:sz w:val="20"/>
          <w:szCs w:val="20"/>
        </w:rPr>
        <w:t xml:space="preserve"> </w:t>
      </w:r>
      <w:r w:rsidRPr="0001748B">
        <w:rPr>
          <w:rFonts w:eastAsia="Verdana" w:cs="Verdana"/>
          <w:spacing w:val="1"/>
          <w:sz w:val="20"/>
          <w:szCs w:val="20"/>
        </w:rPr>
        <w:t>dil</w:t>
      </w:r>
      <w:r w:rsidRPr="0001748B">
        <w:rPr>
          <w:rFonts w:eastAsia="Verdana" w:cs="Verdana"/>
          <w:spacing w:val="3"/>
          <w:sz w:val="20"/>
          <w:szCs w:val="20"/>
        </w:rPr>
        <w:t>i</w:t>
      </w:r>
      <w:r w:rsidRPr="0001748B">
        <w:rPr>
          <w:rFonts w:eastAsia="Verdana" w:cs="Verdana"/>
          <w:spacing w:val="1"/>
          <w:sz w:val="20"/>
          <w:szCs w:val="20"/>
        </w:rPr>
        <w:t>g</w:t>
      </w:r>
      <w:r w:rsidRPr="0001748B">
        <w:rPr>
          <w:rFonts w:eastAsia="Verdana" w:cs="Verdana"/>
          <w:spacing w:val="-1"/>
          <w:sz w:val="20"/>
          <w:szCs w:val="20"/>
        </w:rPr>
        <w:t>e</w:t>
      </w:r>
      <w:r w:rsidRPr="0001748B">
        <w:rPr>
          <w:rFonts w:eastAsia="Verdana" w:cs="Verdana"/>
          <w:spacing w:val="1"/>
          <w:sz w:val="20"/>
          <w:szCs w:val="20"/>
        </w:rPr>
        <w:t>nt</w:t>
      </w:r>
      <w:r w:rsidRPr="0001748B">
        <w:rPr>
          <w:rFonts w:eastAsia="Verdana" w:cs="Verdana"/>
          <w:spacing w:val="-1"/>
          <w:sz w:val="20"/>
          <w:szCs w:val="20"/>
        </w:rPr>
        <w:t>e</w:t>
      </w:r>
      <w:r w:rsidRPr="0001748B">
        <w:rPr>
          <w:rFonts w:eastAsia="Verdana" w:cs="Verdana"/>
          <w:sz w:val="20"/>
          <w:szCs w:val="20"/>
        </w:rPr>
        <w:t>,</w:t>
      </w:r>
      <w:r w:rsidRPr="0001748B">
        <w:rPr>
          <w:rFonts w:eastAsia="Verdana" w:cs="Verdana"/>
          <w:spacing w:val="2"/>
          <w:sz w:val="20"/>
          <w:szCs w:val="20"/>
        </w:rPr>
        <w:t xml:space="preserve"> </w:t>
      </w:r>
      <w:r w:rsidRPr="0001748B">
        <w:rPr>
          <w:rFonts w:eastAsia="Verdana" w:cs="Verdana"/>
          <w:spacing w:val="1"/>
          <w:sz w:val="20"/>
          <w:szCs w:val="20"/>
        </w:rPr>
        <w:t>imp</w:t>
      </w:r>
      <w:r w:rsidRPr="0001748B">
        <w:rPr>
          <w:rFonts w:eastAsia="Verdana" w:cs="Verdana"/>
          <w:sz w:val="20"/>
          <w:szCs w:val="20"/>
        </w:rPr>
        <w:t>a</w:t>
      </w:r>
      <w:r w:rsidRPr="0001748B">
        <w:rPr>
          <w:rFonts w:eastAsia="Verdana" w:cs="Verdana"/>
          <w:spacing w:val="-1"/>
          <w:sz w:val="20"/>
          <w:szCs w:val="20"/>
        </w:rPr>
        <w:t>rc</w:t>
      </w:r>
      <w:r w:rsidRPr="0001748B">
        <w:rPr>
          <w:rFonts w:eastAsia="Verdana" w:cs="Verdana"/>
          <w:spacing w:val="3"/>
          <w:sz w:val="20"/>
          <w:szCs w:val="20"/>
        </w:rPr>
        <w:t>i</w:t>
      </w:r>
      <w:r w:rsidRPr="0001748B">
        <w:rPr>
          <w:rFonts w:eastAsia="Verdana" w:cs="Verdana"/>
          <w:sz w:val="20"/>
          <w:szCs w:val="20"/>
        </w:rPr>
        <w:t>al</w:t>
      </w:r>
      <w:r w:rsidRPr="0001748B">
        <w:rPr>
          <w:rFonts w:eastAsia="Verdana" w:cs="Verdana"/>
          <w:spacing w:val="5"/>
          <w:sz w:val="20"/>
          <w:szCs w:val="20"/>
        </w:rPr>
        <w:t xml:space="preserve"> </w:t>
      </w:r>
      <w:r w:rsidRPr="0001748B">
        <w:rPr>
          <w:rFonts w:eastAsia="Verdana" w:cs="Verdana"/>
          <w:sz w:val="20"/>
          <w:szCs w:val="20"/>
        </w:rPr>
        <w:t>y</w:t>
      </w:r>
      <w:r w:rsidRPr="0001748B">
        <w:rPr>
          <w:rFonts w:eastAsia="Verdana" w:cs="Verdana"/>
          <w:spacing w:val="10"/>
          <w:sz w:val="20"/>
          <w:szCs w:val="20"/>
        </w:rPr>
        <w:t xml:space="preserve"> </w:t>
      </w:r>
      <w:r w:rsidRPr="0001748B">
        <w:rPr>
          <w:rFonts w:eastAsia="Verdana" w:cs="Verdana"/>
          <w:spacing w:val="-1"/>
          <w:sz w:val="20"/>
          <w:szCs w:val="20"/>
        </w:rPr>
        <w:t>ef</w:t>
      </w:r>
      <w:r w:rsidRPr="0001748B">
        <w:rPr>
          <w:rFonts w:eastAsia="Verdana" w:cs="Verdana"/>
          <w:spacing w:val="1"/>
          <w:sz w:val="20"/>
          <w:szCs w:val="20"/>
        </w:rPr>
        <w:t>e</w:t>
      </w:r>
      <w:r w:rsidRPr="0001748B">
        <w:rPr>
          <w:rFonts w:eastAsia="Verdana" w:cs="Verdana"/>
          <w:spacing w:val="-1"/>
          <w:sz w:val="20"/>
          <w:szCs w:val="20"/>
        </w:rPr>
        <w:t>c</w:t>
      </w:r>
      <w:r w:rsidRPr="0001748B">
        <w:rPr>
          <w:rFonts w:eastAsia="Verdana" w:cs="Verdana"/>
          <w:spacing w:val="1"/>
          <w:sz w:val="20"/>
          <w:szCs w:val="20"/>
        </w:rPr>
        <w:t>t</w:t>
      </w:r>
      <w:r w:rsidRPr="0001748B">
        <w:rPr>
          <w:rFonts w:eastAsia="Verdana" w:cs="Verdana"/>
          <w:spacing w:val="3"/>
          <w:sz w:val="20"/>
          <w:szCs w:val="20"/>
        </w:rPr>
        <w:t>i</w:t>
      </w:r>
      <w:r w:rsidRPr="0001748B">
        <w:rPr>
          <w:rFonts w:eastAsia="Verdana" w:cs="Verdana"/>
          <w:sz w:val="20"/>
          <w:szCs w:val="20"/>
        </w:rPr>
        <w:t>va</w:t>
      </w:r>
      <w:r w:rsidRPr="0001748B">
        <w:rPr>
          <w:rFonts w:eastAsia="Verdana" w:cs="Verdana"/>
          <w:spacing w:val="3"/>
          <w:sz w:val="20"/>
          <w:szCs w:val="20"/>
        </w:rPr>
        <w:t xml:space="preserve"> </w:t>
      </w:r>
      <w:r w:rsidRPr="0001748B">
        <w:rPr>
          <w:rFonts w:eastAsia="Verdana" w:cs="Verdana"/>
          <w:sz w:val="20"/>
          <w:szCs w:val="20"/>
        </w:rPr>
        <w:t xml:space="preserve">e </w:t>
      </w:r>
      <w:r w:rsidRPr="0001748B">
        <w:rPr>
          <w:rFonts w:eastAsia="Verdana" w:cs="Verdana"/>
          <w:spacing w:val="3"/>
          <w:sz w:val="20"/>
          <w:szCs w:val="20"/>
        </w:rPr>
        <w:t>i</w:t>
      </w:r>
      <w:r w:rsidRPr="0001748B">
        <w:rPr>
          <w:rFonts w:eastAsia="Verdana" w:cs="Verdana"/>
          <w:spacing w:val="1"/>
          <w:sz w:val="20"/>
          <w:szCs w:val="20"/>
        </w:rPr>
        <w:t>d</w:t>
      </w:r>
      <w:r w:rsidRPr="0001748B">
        <w:rPr>
          <w:rFonts w:eastAsia="Verdana" w:cs="Verdana"/>
          <w:spacing w:val="-1"/>
          <w:sz w:val="20"/>
          <w:szCs w:val="20"/>
        </w:rPr>
        <w:t>e</w:t>
      </w:r>
      <w:r w:rsidRPr="0001748B">
        <w:rPr>
          <w:rFonts w:eastAsia="Verdana" w:cs="Verdana"/>
          <w:spacing w:val="1"/>
          <w:sz w:val="20"/>
          <w:szCs w:val="20"/>
        </w:rPr>
        <w:t>n</w:t>
      </w:r>
      <w:r w:rsidRPr="0001748B">
        <w:rPr>
          <w:rFonts w:eastAsia="Verdana" w:cs="Verdana"/>
          <w:spacing w:val="-2"/>
          <w:sz w:val="20"/>
          <w:szCs w:val="20"/>
        </w:rPr>
        <w:t>t</w:t>
      </w:r>
      <w:r w:rsidRPr="0001748B">
        <w:rPr>
          <w:rFonts w:eastAsia="Verdana" w:cs="Verdana"/>
          <w:spacing w:val="3"/>
          <w:sz w:val="20"/>
          <w:szCs w:val="20"/>
        </w:rPr>
        <w:t>i</w:t>
      </w:r>
      <w:r w:rsidRPr="0001748B">
        <w:rPr>
          <w:rFonts w:eastAsia="Verdana" w:cs="Verdana"/>
          <w:spacing w:val="-3"/>
          <w:sz w:val="20"/>
          <w:szCs w:val="20"/>
        </w:rPr>
        <w:t>f</w:t>
      </w:r>
      <w:r w:rsidRPr="0001748B">
        <w:rPr>
          <w:rFonts w:eastAsia="Verdana" w:cs="Verdana"/>
          <w:spacing w:val="3"/>
          <w:sz w:val="20"/>
          <w:szCs w:val="20"/>
        </w:rPr>
        <w:t>i</w:t>
      </w:r>
      <w:r w:rsidRPr="0001748B">
        <w:rPr>
          <w:rFonts w:eastAsia="Verdana" w:cs="Verdana"/>
          <w:spacing w:val="-1"/>
          <w:sz w:val="20"/>
          <w:szCs w:val="20"/>
        </w:rPr>
        <w:t>c</w:t>
      </w:r>
      <w:r w:rsidRPr="0001748B">
        <w:rPr>
          <w:rFonts w:eastAsia="Verdana" w:cs="Verdana"/>
          <w:sz w:val="20"/>
          <w:szCs w:val="20"/>
        </w:rPr>
        <w:t>a</w:t>
      </w:r>
      <w:r w:rsidRPr="0001748B">
        <w:rPr>
          <w:rFonts w:eastAsia="Verdana" w:cs="Verdana"/>
          <w:spacing w:val="-1"/>
          <w:sz w:val="20"/>
          <w:szCs w:val="20"/>
        </w:rPr>
        <w:t>r</w:t>
      </w:r>
      <w:r w:rsidRPr="0001748B">
        <w:rPr>
          <w:rFonts w:eastAsia="Verdana" w:cs="Verdana"/>
          <w:sz w:val="20"/>
          <w:szCs w:val="20"/>
        </w:rPr>
        <w:t>,</w:t>
      </w:r>
      <w:r w:rsidRPr="0001748B">
        <w:rPr>
          <w:rFonts w:eastAsia="Verdana" w:cs="Verdana"/>
          <w:spacing w:val="3"/>
          <w:sz w:val="20"/>
          <w:szCs w:val="20"/>
        </w:rPr>
        <w:t xml:space="preserve"> </w:t>
      </w:r>
      <w:r w:rsidRPr="0001748B">
        <w:rPr>
          <w:rFonts w:eastAsia="Verdana" w:cs="Verdana"/>
          <w:spacing w:val="1"/>
          <w:sz w:val="20"/>
          <w:szCs w:val="20"/>
        </w:rPr>
        <w:t>juzg</w:t>
      </w:r>
      <w:r w:rsidRPr="0001748B">
        <w:rPr>
          <w:rFonts w:eastAsia="Verdana" w:cs="Verdana"/>
          <w:sz w:val="20"/>
          <w:szCs w:val="20"/>
        </w:rPr>
        <w:t>ar</w:t>
      </w:r>
      <w:r w:rsidRPr="0001748B">
        <w:rPr>
          <w:rFonts w:eastAsia="Verdana" w:cs="Verdana"/>
          <w:spacing w:val="8"/>
          <w:sz w:val="20"/>
          <w:szCs w:val="20"/>
        </w:rPr>
        <w:t xml:space="preserve"> </w:t>
      </w:r>
      <w:r w:rsidRPr="0001748B">
        <w:rPr>
          <w:rFonts w:eastAsia="Verdana" w:cs="Verdana"/>
          <w:sz w:val="20"/>
          <w:szCs w:val="20"/>
        </w:rPr>
        <w:t>y</w:t>
      </w:r>
      <w:r w:rsidRPr="0001748B">
        <w:rPr>
          <w:rFonts w:eastAsia="Verdana" w:cs="Verdana"/>
          <w:spacing w:val="16"/>
          <w:sz w:val="20"/>
          <w:szCs w:val="20"/>
        </w:rPr>
        <w:t xml:space="preserve"> </w:t>
      </w:r>
      <w:r w:rsidRPr="0001748B">
        <w:rPr>
          <w:rFonts w:eastAsia="Verdana" w:cs="Verdana"/>
          <w:spacing w:val="-1"/>
          <w:sz w:val="20"/>
          <w:szCs w:val="20"/>
        </w:rPr>
        <w:t>s</w:t>
      </w:r>
      <w:r w:rsidRPr="0001748B">
        <w:rPr>
          <w:rFonts w:eastAsia="Verdana" w:cs="Verdana"/>
          <w:sz w:val="20"/>
          <w:szCs w:val="20"/>
        </w:rPr>
        <w:t>a</w:t>
      </w:r>
      <w:r w:rsidRPr="0001748B">
        <w:rPr>
          <w:rFonts w:eastAsia="Verdana" w:cs="Verdana"/>
          <w:spacing w:val="1"/>
          <w:sz w:val="20"/>
          <w:szCs w:val="20"/>
        </w:rPr>
        <w:t>n</w:t>
      </w:r>
      <w:r w:rsidRPr="0001748B">
        <w:rPr>
          <w:rFonts w:eastAsia="Verdana" w:cs="Verdana"/>
          <w:spacing w:val="-1"/>
          <w:sz w:val="20"/>
          <w:szCs w:val="20"/>
        </w:rPr>
        <w:t>c</w:t>
      </w:r>
      <w:r w:rsidRPr="0001748B">
        <w:rPr>
          <w:rFonts w:eastAsia="Verdana" w:cs="Verdana"/>
          <w:spacing w:val="3"/>
          <w:sz w:val="20"/>
          <w:szCs w:val="20"/>
        </w:rPr>
        <w:t>i</w:t>
      </w:r>
      <w:r w:rsidRPr="0001748B">
        <w:rPr>
          <w:rFonts w:eastAsia="Verdana" w:cs="Verdana"/>
          <w:spacing w:val="-1"/>
          <w:sz w:val="20"/>
          <w:szCs w:val="20"/>
        </w:rPr>
        <w:t>o</w:t>
      </w:r>
      <w:r w:rsidRPr="0001748B">
        <w:rPr>
          <w:rFonts w:eastAsia="Verdana" w:cs="Verdana"/>
          <w:spacing w:val="1"/>
          <w:sz w:val="20"/>
          <w:szCs w:val="20"/>
        </w:rPr>
        <w:t>n</w:t>
      </w:r>
      <w:r w:rsidRPr="0001748B">
        <w:rPr>
          <w:rFonts w:eastAsia="Verdana" w:cs="Verdana"/>
          <w:sz w:val="20"/>
          <w:szCs w:val="20"/>
        </w:rPr>
        <w:t>ar</w:t>
      </w:r>
      <w:r w:rsidRPr="0001748B">
        <w:rPr>
          <w:rFonts w:eastAsia="Verdana" w:cs="Verdana"/>
          <w:spacing w:val="4"/>
          <w:sz w:val="20"/>
          <w:szCs w:val="20"/>
        </w:rPr>
        <w:t xml:space="preserve"> </w:t>
      </w:r>
      <w:r w:rsidRPr="0001748B">
        <w:rPr>
          <w:rFonts w:eastAsia="Verdana" w:cs="Verdana"/>
          <w:sz w:val="20"/>
          <w:szCs w:val="20"/>
        </w:rPr>
        <w:t>a</w:t>
      </w:r>
      <w:r w:rsidRPr="0001748B">
        <w:rPr>
          <w:rFonts w:eastAsia="Verdana" w:cs="Verdana"/>
          <w:spacing w:val="16"/>
          <w:sz w:val="20"/>
          <w:szCs w:val="20"/>
        </w:rPr>
        <w:t xml:space="preserve"> </w:t>
      </w:r>
      <w:r w:rsidRPr="0001748B">
        <w:rPr>
          <w:rFonts w:eastAsia="Verdana" w:cs="Verdana"/>
          <w:spacing w:val="3"/>
          <w:sz w:val="20"/>
          <w:szCs w:val="20"/>
        </w:rPr>
        <w:t>l</w:t>
      </w:r>
      <w:r w:rsidRPr="0001748B">
        <w:rPr>
          <w:rFonts w:eastAsia="Verdana" w:cs="Verdana"/>
          <w:spacing w:val="-1"/>
          <w:sz w:val="20"/>
          <w:szCs w:val="20"/>
        </w:rPr>
        <w:t>o</w:t>
      </w:r>
      <w:r w:rsidRPr="0001748B">
        <w:rPr>
          <w:rFonts w:eastAsia="Verdana" w:cs="Verdana"/>
          <w:sz w:val="20"/>
          <w:szCs w:val="20"/>
        </w:rPr>
        <w:t>s</w:t>
      </w:r>
      <w:r w:rsidRPr="0001748B">
        <w:rPr>
          <w:rFonts w:eastAsia="Verdana" w:cs="Verdana"/>
          <w:spacing w:val="14"/>
          <w:sz w:val="20"/>
          <w:szCs w:val="20"/>
        </w:rPr>
        <w:t xml:space="preserve"> </w:t>
      </w:r>
      <w:r w:rsidRPr="0001748B">
        <w:rPr>
          <w:rFonts w:eastAsia="Verdana" w:cs="Verdana"/>
          <w:spacing w:val="1"/>
          <w:sz w:val="20"/>
          <w:szCs w:val="20"/>
        </w:rPr>
        <w:t>r</w:t>
      </w:r>
      <w:r w:rsidRPr="0001748B">
        <w:rPr>
          <w:rFonts w:eastAsia="Verdana" w:cs="Verdana"/>
          <w:spacing w:val="-1"/>
          <w:sz w:val="20"/>
          <w:szCs w:val="20"/>
        </w:rPr>
        <w:t>es</w:t>
      </w:r>
      <w:r w:rsidRPr="0001748B">
        <w:rPr>
          <w:rFonts w:eastAsia="Verdana" w:cs="Verdana"/>
          <w:spacing w:val="3"/>
          <w:sz w:val="20"/>
          <w:szCs w:val="20"/>
        </w:rPr>
        <w:t>p</w:t>
      </w:r>
      <w:r w:rsidRPr="0001748B">
        <w:rPr>
          <w:rFonts w:eastAsia="Verdana" w:cs="Verdana"/>
          <w:spacing w:val="-1"/>
          <w:sz w:val="20"/>
          <w:szCs w:val="20"/>
        </w:rPr>
        <w:t>o</w:t>
      </w:r>
      <w:r w:rsidRPr="0001748B">
        <w:rPr>
          <w:rFonts w:eastAsia="Verdana" w:cs="Verdana"/>
          <w:spacing w:val="1"/>
          <w:sz w:val="20"/>
          <w:szCs w:val="20"/>
        </w:rPr>
        <w:t>n</w:t>
      </w:r>
      <w:r w:rsidRPr="0001748B">
        <w:rPr>
          <w:rFonts w:eastAsia="Verdana" w:cs="Verdana"/>
          <w:spacing w:val="-1"/>
          <w:sz w:val="20"/>
          <w:szCs w:val="20"/>
        </w:rPr>
        <w:t>s</w:t>
      </w:r>
      <w:r w:rsidRPr="0001748B">
        <w:rPr>
          <w:rFonts w:eastAsia="Verdana" w:cs="Verdana"/>
          <w:sz w:val="20"/>
          <w:szCs w:val="20"/>
        </w:rPr>
        <w:t>a</w:t>
      </w:r>
      <w:r w:rsidRPr="0001748B">
        <w:rPr>
          <w:rFonts w:eastAsia="Verdana" w:cs="Verdana"/>
          <w:spacing w:val="1"/>
          <w:sz w:val="20"/>
          <w:szCs w:val="20"/>
        </w:rPr>
        <w:t>b</w:t>
      </w:r>
      <w:r w:rsidRPr="0001748B">
        <w:rPr>
          <w:rFonts w:eastAsia="Verdana" w:cs="Verdana"/>
          <w:spacing w:val="3"/>
          <w:sz w:val="20"/>
          <w:szCs w:val="20"/>
        </w:rPr>
        <w:t>l</w:t>
      </w:r>
      <w:r w:rsidRPr="0001748B">
        <w:rPr>
          <w:rFonts w:eastAsia="Verdana" w:cs="Verdana"/>
          <w:spacing w:val="-1"/>
          <w:sz w:val="20"/>
          <w:szCs w:val="20"/>
        </w:rPr>
        <w:t>es</w:t>
      </w:r>
      <w:r w:rsidRPr="0001748B">
        <w:rPr>
          <w:rFonts w:eastAsia="Verdana" w:cs="Verdana"/>
          <w:sz w:val="20"/>
          <w:szCs w:val="20"/>
        </w:rPr>
        <w:t xml:space="preserve">, </w:t>
      </w:r>
      <w:r w:rsidRPr="0001748B">
        <w:rPr>
          <w:rFonts w:eastAsia="Verdana" w:cs="Verdana"/>
          <w:spacing w:val="3"/>
          <w:sz w:val="20"/>
          <w:szCs w:val="20"/>
        </w:rPr>
        <w:t>d</w:t>
      </w:r>
      <w:r w:rsidRPr="0001748B">
        <w:rPr>
          <w:rFonts w:eastAsia="Verdana" w:cs="Verdana"/>
          <w:spacing w:val="-1"/>
          <w:sz w:val="20"/>
          <w:szCs w:val="20"/>
        </w:rPr>
        <w:t>e</w:t>
      </w:r>
      <w:r w:rsidRPr="0001748B">
        <w:rPr>
          <w:rFonts w:eastAsia="Verdana" w:cs="Verdana"/>
          <w:spacing w:val="1"/>
          <w:sz w:val="20"/>
          <w:szCs w:val="20"/>
        </w:rPr>
        <w:t>b</w:t>
      </w:r>
      <w:r w:rsidRPr="0001748B">
        <w:rPr>
          <w:rFonts w:eastAsia="Verdana" w:cs="Verdana"/>
          <w:spacing w:val="3"/>
          <w:sz w:val="20"/>
          <w:szCs w:val="20"/>
        </w:rPr>
        <w:t>i</w:t>
      </w:r>
      <w:r w:rsidRPr="0001748B">
        <w:rPr>
          <w:rFonts w:eastAsia="Verdana" w:cs="Verdana"/>
          <w:spacing w:val="-1"/>
          <w:sz w:val="20"/>
          <w:szCs w:val="20"/>
        </w:rPr>
        <w:t>e</w:t>
      </w:r>
      <w:r w:rsidRPr="0001748B">
        <w:rPr>
          <w:rFonts w:eastAsia="Verdana" w:cs="Verdana"/>
          <w:spacing w:val="1"/>
          <w:sz w:val="20"/>
          <w:szCs w:val="20"/>
        </w:rPr>
        <w:t>nd</w:t>
      </w:r>
      <w:r w:rsidRPr="0001748B">
        <w:rPr>
          <w:rFonts w:eastAsia="Verdana" w:cs="Verdana"/>
          <w:sz w:val="20"/>
          <w:szCs w:val="20"/>
        </w:rPr>
        <w:t>o</w:t>
      </w:r>
      <w:r w:rsidRPr="0001748B">
        <w:rPr>
          <w:rFonts w:eastAsia="Verdana" w:cs="Verdana"/>
          <w:spacing w:val="7"/>
          <w:sz w:val="20"/>
          <w:szCs w:val="20"/>
        </w:rPr>
        <w:t xml:space="preserve"> </w:t>
      </w:r>
      <w:r w:rsidRPr="0001748B">
        <w:rPr>
          <w:rFonts w:eastAsia="Verdana" w:cs="Verdana"/>
          <w:sz w:val="20"/>
          <w:szCs w:val="20"/>
        </w:rPr>
        <w:t>el</w:t>
      </w:r>
      <w:r w:rsidRPr="0001748B">
        <w:rPr>
          <w:rFonts w:eastAsia="Verdana" w:cs="Verdana"/>
          <w:spacing w:val="16"/>
          <w:sz w:val="20"/>
          <w:szCs w:val="20"/>
        </w:rPr>
        <w:t xml:space="preserve"> </w:t>
      </w:r>
      <w:r w:rsidRPr="0001748B">
        <w:rPr>
          <w:rFonts w:eastAsia="Verdana" w:cs="Verdana"/>
          <w:spacing w:val="-1"/>
          <w:sz w:val="20"/>
          <w:szCs w:val="20"/>
        </w:rPr>
        <w:t>Es</w:t>
      </w:r>
      <w:r w:rsidRPr="0001748B">
        <w:rPr>
          <w:rFonts w:eastAsia="Verdana" w:cs="Verdana"/>
          <w:spacing w:val="1"/>
          <w:sz w:val="20"/>
          <w:szCs w:val="20"/>
        </w:rPr>
        <w:t>t</w:t>
      </w:r>
      <w:r w:rsidRPr="0001748B">
        <w:rPr>
          <w:rFonts w:eastAsia="Verdana" w:cs="Verdana"/>
          <w:sz w:val="20"/>
          <w:szCs w:val="20"/>
        </w:rPr>
        <w:t>a</w:t>
      </w:r>
      <w:r w:rsidRPr="0001748B">
        <w:rPr>
          <w:rFonts w:eastAsia="Verdana" w:cs="Verdana"/>
          <w:spacing w:val="3"/>
          <w:sz w:val="20"/>
          <w:szCs w:val="20"/>
        </w:rPr>
        <w:t>d</w:t>
      </w:r>
      <w:r w:rsidRPr="0001748B">
        <w:rPr>
          <w:rFonts w:eastAsia="Verdana" w:cs="Verdana"/>
          <w:sz w:val="20"/>
          <w:szCs w:val="20"/>
        </w:rPr>
        <w:t>o</w:t>
      </w:r>
      <w:r w:rsidRPr="0001748B">
        <w:rPr>
          <w:rFonts w:eastAsia="Verdana" w:cs="Verdana"/>
          <w:spacing w:val="9"/>
          <w:sz w:val="20"/>
          <w:szCs w:val="20"/>
        </w:rPr>
        <w:t xml:space="preserve"> </w:t>
      </w:r>
      <w:r w:rsidRPr="0001748B">
        <w:rPr>
          <w:rFonts w:eastAsia="Verdana" w:cs="Verdana"/>
          <w:spacing w:val="1"/>
          <w:sz w:val="20"/>
          <w:szCs w:val="20"/>
        </w:rPr>
        <w:t>r</w:t>
      </w:r>
      <w:r w:rsidRPr="0001748B">
        <w:rPr>
          <w:rFonts w:eastAsia="Verdana" w:cs="Verdana"/>
          <w:spacing w:val="-1"/>
          <w:sz w:val="20"/>
          <w:szCs w:val="20"/>
        </w:rPr>
        <w:t>e</w:t>
      </w:r>
      <w:r w:rsidRPr="0001748B">
        <w:rPr>
          <w:rFonts w:eastAsia="Verdana" w:cs="Verdana"/>
          <w:sz w:val="20"/>
          <w:szCs w:val="20"/>
        </w:rPr>
        <w:t>a</w:t>
      </w:r>
      <w:r w:rsidRPr="0001748B">
        <w:rPr>
          <w:rFonts w:eastAsia="Verdana" w:cs="Verdana"/>
          <w:spacing w:val="1"/>
          <w:sz w:val="20"/>
          <w:szCs w:val="20"/>
        </w:rPr>
        <w:t>l</w:t>
      </w:r>
      <w:r w:rsidRPr="0001748B">
        <w:rPr>
          <w:rFonts w:eastAsia="Verdana" w:cs="Verdana"/>
          <w:spacing w:val="3"/>
          <w:sz w:val="20"/>
          <w:szCs w:val="20"/>
        </w:rPr>
        <w:t>i</w:t>
      </w:r>
      <w:r w:rsidRPr="0001748B">
        <w:rPr>
          <w:rFonts w:eastAsia="Verdana" w:cs="Verdana"/>
          <w:spacing w:val="1"/>
          <w:sz w:val="20"/>
          <w:szCs w:val="20"/>
        </w:rPr>
        <w:t>z</w:t>
      </w:r>
      <w:r w:rsidRPr="0001748B">
        <w:rPr>
          <w:rFonts w:eastAsia="Verdana" w:cs="Verdana"/>
          <w:sz w:val="20"/>
          <w:szCs w:val="20"/>
        </w:rPr>
        <w:t xml:space="preserve">ar </w:t>
      </w:r>
      <w:r w:rsidRPr="0001748B">
        <w:rPr>
          <w:rFonts w:eastAsia="Verdana" w:cs="Verdana"/>
          <w:spacing w:val="3"/>
          <w:sz w:val="20"/>
          <w:szCs w:val="20"/>
        </w:rPr>
        <w:t>i</w:t>
      </w:r>
      <w:r w:rsidRPr="0001748B">
        <w:rPr>
          <w:rFonts w:eastAsia="Verdana" w:cs="Verdana"/>
          <w:spacing w:val="1"/>
          <w:sz w:val="20"/>
          <w:szCs w:val="20"/>
        </w:rPr>
        <w:t>nm</w:t>
      </w:r>
      <w:r w:rsidRPr="0001748B">
        <w:rPr>
          <w:rFonts w:eastAsia="Verdana" w:cs="Verdana"/>
          <w:spacing w:val="-1"/>
          <w:sz w:val="20"/>
          <w:szCs w:val="20"/>
        </w:rPr>
        <w:t>e</w:t>
      </w:r>
      <w:r w:rsidRPr="0001748B">
        <w:rPr>
          <w:rFonts w:eastAsia="Verdana" w:cs="Verdana"/>
          <w:spacing w:val="-2"/>
          <w:sz w:val="20"/>
          <w:szCs w:val="20"/>
        </w:rPr>
        <w:t>d</w:t>
      </w:r>
      <w:r w:rsidRPr="0001748B">
        <w:rPr>
          <w:rFonts w:eastAsia="Verdana" w:cs="Verdana"/>
          <w:spacing w:val="3"/>
          <w:sz w:val="20"/>
          <w:szCs w:val="20"/>
        </w:rPr>
        <w:t>i</w:t>
      </w:r>
      <w:r w:rsidRPr="0001748B">
        <w:rPr>
          <w:rFonts w:eastAsia="Verdana" w:cs="Verdana"/>
          <w:sz w:val="20"/>
          <w:szCs w:val="20"/>
        </w:rPr>
        <w:t>a</w:t>
      </w:r>
      <w:r w:rsidRPr="0001748B">
        <w:rPr>
          <w:rFonts w:eastAsia="Verdana" w:cs="Verdana"/>
          <w:spacing w:val="1"/>
          <w:sz w:val="20"/>
          <w:szCs w:val="20"/>
        </w:rPr>
        <w:t>t</w:t>
      </w:r>
      <w:r w:rsidRPr="0001748B">
        <w:rPr>
          <w:rFonts w:eastAsia="Verdana" w:cs="Verdana"/>
          <w:sz w:val="20"/>
          <w:szCs w:val="20"/>
        </w:rPr>
        <w:t>a</w:t>
      </w:r>
      <w:r w:rsidRPr="0001748B">
        <w:rPr>
          <w:rFonts w:eastAsia="Verdana" w:cs="Verdana"/>
          <w:spacing w:val="1"/>
          <w:sz w:val="20"/>
          <w:szCs w:val="20"/>
        </w:rPr>
        <w:t>m</w:t>
      </w:r>
      <w:r w:rsidRPr="0001748B">
        <w:rPr>
          <w:rFonts w:eastAsia="Verdana" w:cs="Verdana"/>
          <w:spacing w:val="-1"/>
          <w:sz w:val="20"/>
          <w:szCs w:val="20"/>
        </w:rPr>
        <w:t>e</w:t>
      </w:r>
      <w:r w:rsidRPr="0001748B">
        <w:rPr>
          <w:rFonts w:eastAsia="Verdana" w:cs="Verdana"/>
          <w:spacing w:val="1"/>
          <w:sz w:val="20"/>
          <w:szCs w:val="20"/>
        </w:rPr>
        <w:t>nt</w:t>
      </w:r>
      <w:r w:rsidRPr="0001748B">
        <w:rPr>
          <w:rFonts w:eastAsia="Verdana" w:cs="Verdana"/>
          <w:sz w:val="20"/>
          <w:szCs w:val="20"/>
        </w:rPr>
        <w:t>e</w:t>
      </w:r>
      <w:r w:rsidRPr="0001748B">
        <w:rPr>
          <w:rFonts w:eastAsia="Verdana" w:cs="Verdana"/>
          <w:spacing w:val="-8"/>
          <w:sz w:val="20"/>
          <w:szCs w:val="20"/>
        </w:rPr>
        <w:t xml:space="preserve"> </w:t>
      </w:r>
      <w:r w:rsidRPr="0001748B">
        <w:rPr>
          <w:rFonts w:eastAsia="Verdana" w:cs="Verdana"/>
          <w:spacing w:val="3"/>
          <w:sz w:val="20"/>
          <w:szCs w:val="20"/>
        </w:rPr>
        <w:t>l</w:t>
      </w:r>
      <w:r w:rsidRPr="0001748B">
        <w:rPr>
          <w:rFonts w:eastAsia="Verdana" w:cs="Verdana"/>
          <w:sz w:val="20"/>
          <w:szCs w:val="20"/>
        </w:rPr>
        <w:t>as</w:t>
      </w:r>
      <w:r w:rsidRPr="0001748B">
        <w:rPr>
          <w:rFonts w:eastAsia="Verdana" w:cs="Verdana"/>
          <w:spacing w:val="5"/>
          <w:sz w:val="20"/>
          <w:szCs w:val="20"/>
        </w:rPr>
        <w:t xml:space="preserve"> </w:t>
      </w:r>
      <w:r w:rsidRPr="0001748B">
        <w:rPr>
          <w:rFonts w:eastAsia="Verdana" w:cs="Verdana"/>
          <w:spacing w:val="1"/>
          <w:sz w:val="20"/>
          <w:szCs w:val="20"/>
        </w:rPr>
        <w:t>dilig</w:t>
      </w:r>
      <w:r w:rsidRPr="0001748B">
        <w:rPr>
          <w:rFonts w:eastAsia="Verdana" w:cs="Verdana"/>
          <w:spacing w:val="-1"/>
          <w:sz w:val="20"/>
          <w:szCs w:val="20"/>
        </w:rPr>
        <w:t>e</w:t>
      </w:r>
      <w:r w:rsidRPr="0001748B">
        <w:rPr>
          <w:rFonts w:eastAsia="Verdana" w:cs="Verdana"/>
          <w:spacing w:val="1"/>
          <w:sz w:val="20"/>
          <w:szCs w:val="20"/>
        </w:rPr>
        <w:t>n</w:t>
      </w:r>
      <w:r w:rsidRPr="0001748B">
        <w:rPr>
          <w:rFonts w:eastAsia="Verdana" w:cs="Verdana"/>
          <w:spacing w:val="-1"/>
          <w:sz w:val="20"/>
          <w:szCs w:val="20"/>
        </w:rPr>
        <w:t>c</w:t>
      </w:r>
      <w:r w:rsidRPr="0001748B">
        <w:rPr>
          <w:rFonts w:eastAsia="Verdana" w:cs="Verdana"/>
          <w:spacing w:val="3"/>
          <w:sz w:val="20"/>
          <w:szCs w:val="20"/>
        </w:rPr>
        <w:t>i</w:t>
      </w:r>
      <w:r w:rsidRPr="0001748B">
        <w:rPr>
          <w:rFonts w:eastAsia="Verdana" w:cs="Verdana"/>
          <w:sz w:val="20"/>
          <w:szCs w:val="20"/>
        </w:rPr>
        <w:t>as</w:t>
      </w:r>
      <w:r w:rsidRPr="0001748B">
        <w:rPr>
          <w:rFonts w:eastAsia="Verdana" w:cs="Verdana"/>
          <w:spacing w:val="-2"/>
          <w:sz w:val="20"/>
          <w:szCs w:val="20"/>
        </w:rPr>
        <w:t xml:space="preserve"> </w:t>
      </w:r>
      <w:r w:rsidRPr="0001748B">
        <w:rPr>
          <w:rFonts w:eastAsia="Verdana" w:cs="Verdana"/>
          <w:spacing w:val="1"/>
          <w:sz w:val="20"/>
          <w:szCs w:val="20"/>
        </w:rPr>
        <w:t>p</w:t>
      </w:r>
      <w:r w:rsidRPr="0001748B">
        <w:rPr>
          <w:rFonts w:eastAsia="Verdana" w:cs="Verdana"/>
          <w:sz w:val="20"/>
          <w:szCs w:val="20"/>
        </w:rPr>
        <w:t>a</w:t>
      </w:r>
      <w:r w:rsidRPr="0001748B">
        <w:rPr>
          <w:rFonts w:eastAsia="Verdana" w:cs="Verdana"/>
          <w:spacing w:val="-1"/>
          <w:sz w:val="20"/>
          <w:szCs w:val="20"/>
        </w:rPr>
        <w:t>r</w:t>
      </w:r>
      <w:r w:rsidRPr="0001748B">
        <w:rPr>
          <w:rFonts w:eastAsia="Verdana" w:cs="Verdana"/>
          <w:sz w:val="20"/>
          <w:szCs w:val="20"/>
        </w:rPr>
        <w:t>a</w:t>
      </w:r>
      <w:r w:rsidRPr="0001748B">
        <w:rPr>
          <w:rFonts w:eastAsia="Verdana" w:cs="Verdana"/>
          <w:spacing w:val="4"/>
          <w:sz w:val="20"/>
          <w:szCs w:val="20"/>
        </w:rPr>
        <w:t xml:space="preserve"> </w:t>
      </w:r>
      <w:r w:rsidRPr="0001748B">
        <w:rPr>
          <w:rFonts w:eastAsia="Verdana" w:cs="Verdana"/>
          <w:spacing w:val="3"/>
          <w:sz w:val="20"/>
          <w:szCs w:val="20"/>
        </w:rPr>
        <w:t>a</w:t>
      </w:r>
      <w:r w:rsidRPr="0001748B">
        <w:rPr>
          <w:rFonts w:eastAsia="Verdana" w:cs="Verdana"/>
          <w:spacing w:val="-1"/>
          <w:sz w:val="20"/>
          <w:szCs w:val="20"/>
        </w:rPr>
        <w:t>c</w:t>
      </w:r>
      <w:r w:rsidRPr="0001748B">
        <w:rPr>
          <w:rFonts w:eastAsia="Verdana" w:cs="Verdana"/>
          <w:spacing w:val="1"/>
          <w:sz w:val="20"/>
          <w:szCs w:val="20"/>
        </w:rPr>
        <w:t>t</w:t>
      </w:r>
      <w:r w:rsidRPr="0001748B">
        <w:rPr>
          <w:rFonts w:eastAsia="Verdana" w:cs="Verdana"/>
          <w:spacing w:val="3"/>
          <w:sz w:val="20"/>
          <w:szCs w:val="20"/>
        </w:rPr>
        <w:t>i</w:t>
      </w:r>
      <w:r w:rsidRPr="0001748B">
        <w:rPr>
          <w:rFonts w:eastAsia="Verdana" w:cs="Verdana"/>
          <w:sz w:val="20"/>
          <w:szCs w:val="20"/>
        </w:rPr>
        <w:t>var</w:t>
      </w:r>
      <w:r w:rsidRPr="0001748B">
        <w:rPr>
          <w:rFonts w:eastAsia="Verdana" w:cs="Verdana"/>
          <w:spacing w:val="1"/>
          <w:sz w:val="20"/>
          <w:szCs w:val="20"/>
        </w:rPr>
        <w:t xml:space="preserve"> </w:t>
      </w:r>
      <w:r w:rsidRPr="0001748B">
        <w:rPr>
          <w:rFonts w:eastAsia="Verdana" w:cs="Verdana"/>
          <w:sz w:val="20"/>
          <w:szCs w:val="20"/>
        </w:rPr>
        <w:t>y</w:t>
      </w:r>
      <w:r w:rsidRPr="0001748B">
        <w:rPr>
          <w:rFonts w:eastAsia="Verdana" w:cs="Verdana"/>
          <w:spacing w:val="10"/>
          <w:sz w:val="20"/>
          <w:szCs w:val="20"/>
        </w:rPr>
        <w:t xml:space="preserve"> </w:t>
      </w:r>
      <w:r w:rsidRPr="0001748B">
        <w:rPr>
          <w:rFonts w:eastAsia="Verdana" w:cs="Verdana"/>
          <w:spacing w:val="2"/>
          <w:sz w:val="20"/>
          <w:szCs w:val="20"/>
        </w:rPr>
        <w:t>c</w:t>
      </w:r>
      <w:r w:rsidRPr="0001748B">
        <w:rPr>
          <w:rFonts w:eastAsia="Verdana" w:cs="Verdana"/>
          <w:spacing w:val="-1"/>
          <w:sz w:val="20"/>
          <w:szCs w:val="20"/>
        </w:rPr>
        <w:t>o</w:t>
      </w:r>
      <w:r w:rsidRPr="0001748B">
        <w:rPr>
          <w:rFonts w:eastAsia="Verdana" w:cs="Verdana"/>
          <w:spacing w:val="1"/>
          <w:sz w:val="20"/>
          <w:szCs w:val="20"/>
        </w:rPr>
        <w:t>mp</w:t>
      </w:r>
      <w:r w:rsidRPr="0001748B">
        <w:rPr>
          <w:rFonts w:eastAsia="Verdana" w:cs="Verdana"/>
          <w:spacing w:val="3"/>
          <w:sz w:val="20"/>
          <w:szCs w:val="20"/>
        </w:rPr>
        <w:t>l</w:t>
      </w:r>
      <w:r w:rsidRPr="0001748B">
        <w:rPr>
          <w:rFonts w:eastAsia="Verdana" w:cs="Verdana"/>
          <w:spacing w:val="-1"/>
          <w:sz w:val="20"/>
          <w:szCs w:val="20"/>
        </w:rPr>
        <w:t>e</w:t>
      </w:r>
      <w:r w:rsidRPr="0001748B">
        <w:rPr>
          <w:rFonts w:eastAsia="Verdana" w:cs="Verdana"/>
          <w:spacing w:val="1"/>
          <w:sz w:val="20"/>
          <w:szCs w:val="20"/>
        </w:rPr>
        <w:t>t</w:t>
      </w:r>
      <w:r w:rsidRPr="0001748B">
        <w:rPr>
          <w:rFonts w:eastAsia="Verdana" w:cs="Verdana"/>
          <w:sz w:val="20"/>
          <w:szCs w:val="20"/>
        </w:rPr>
        <w:t xml:space="preserve">ar </w:t>
      </w:r>
      <w:r w:rsidRPr="0001748B">
        <w:rPr>
          <w:rFonts w:eastAsia="Verdana" w:cs="Verdana"/>
          <w:spacing w:val="-1"/>
          <w:sz w:val="20"/>
          <w:szCs w:val="20"/>
        </w:rPr>
        <w:t>ef</w:t>
      </w:r>
      <w:r w:rsidRPr="0001748B">
        <w:rPr>
          <w:rFonts w:eastAsia="Verdana" w:cs="Verdana"/>
          <w:spacing w:val="3"/>
          <w:sz w:val="20"/>
          <w:szCs w:val="20"/>
        </w:rPr>
        <w:t>i</w:t>
      </w:r>
      <w:r w:rsidRPr="0001748B">
        <w:rPr>
          <w:rFonts w:eastAsia="Verdana" w:cs="Verdana"/>
          <w:spacing w:val="-1"/>
          <w:sz w:val="20"/>
          <w:szCs w:val="20"/>
        </w:rPr>
        <w:t>c</w:t>
      </w:r>
      <w:r w:rsidRPr="0001748B">
        <w:rPr>
          <w:rFonts w:eastAsia="Verdana" w:cs="Verdana"/>
          <w:sz w:val="20"/>
          <w:szCs w:val="20"/>
        </w:rPr>
        <w:t>a</w:t>
      </w:r>
      <w:r w:rsidRPr="0001748B">
        <w:rPr>
          <w:rFonts w:eastAsia="Verdana" w:cs="Verdana"/>
          <w:spacing w:val="1"/>
          <w:sz w:val="20"/>
          <w:szCs w:val="20"/>
        </w:rPr>
        <w:t>zm</w:t>
      </w:r>
      <w:r w:rsidRPr="0001748B">
        <w:rPr>
          <w:rFonts w:eastAsia="Verdana" w:cs="Verdana"/>
          <w:spacing w:val="-1"/>
          <w:sz w:val="20"/>
          <w:szCs w:val="20"/>
        </w:rPr>
        <w:t>e</w:t>
      </w:r>
      <w:r w:rsidRPr="0001748B">
        <w:rPr>
          <w:rFonts w:eastAsia="Verdana" w:cs="Verdana"/>
          <w:spacing w:val="1"/>
          <w:sz w:val="20"/>
          <w:szCs w:val="20"/>
        </w:rPr>
        <w:t>nt</w:t>
      </w:r>
      <w:r w:rsidRPr="0001748B">
        <w:rPr>
          <w:rFonts w:eastAsia="Verdana" w:cs="Verdana"/>
          <w:sz w:val="20"/>
          <w:szCs w:val="20"/>
        </w:rPr>
        <w:t>e</w:t>
      </w:r>
      <w:r w:rsidRPr="0001748B">
        <w:rPr>
          <w:rFonts w:eastAsia="Verdana" w:cs="Verdana"/>
          <w:spacing w:val="-4"/>
          <w:sz w:val="20"/>
          <w:szCs w:val="20"/>
        </w:rPr>
        <w:t xml:space="preserve"> </w:t>
      </w:r>
      <w:r w:rsidRPr="0001748B">
        <w:rPr>
          <w:rFonts w:eastAsia="Verdana" w:cs="Verdana"/>
          <w:spacing w:val="3"/>
          <w:sz w:val="20"/>
          <w:szCs w:val="20"/>
        </w:rPr>
        <w:t>l</w:t>
      </w:r>
      <w:r w:rsidRPr="0001748B">
        <w:rPr>
          <w:rFonts w:eastAsia="Verdana" w:cs="Verdana"/>
          <w:sz w:val="20"/>
          <w:szCs w:val="20"/>
        </w:rPr>
        <w:t>a</w:t>
      </w:r>
      <w:r w:rsidRPr="0001748B">
        <w:rPr>
          <w:rFonts w:eastAsia="Verdana" w:cs="Verdana"/>
          <w:spacing w:val="7"/>
          <w:sz w:val="20"/>
          <w:szCs w:val="20"/>
        </w:rPr>
        <w:t xml:space="preserve"> </w:t>
      </w:r>
      <w:r w:rsidRPr="0001748B">
        <w:rPr>
          <w:rFonts w:eastAsia="Verdana" w:cs="Verdana"/>
          <w:spacing w:val="3"/>
          <w:sz w:val="20"/>
          <w:szCs w:val="20"/>
        </w:rPr>
        <w:t>i</w:t>
      </w:r>
      <w:r w:rsidRPr="0001748B">
        <w:rPr>
          <w:rFonts w:eastAsia="Verdana" w:cs="Verdana"/>
          <w:spacing w:val="1"/>
          <w:sz w:val="20"/>
          <w:szCs w:val="20"/>
        </w:rPr>
        <w:t>n</w:t>
      </w:r>
      <w:r w:rsidRPr="0001748B">
        <w:rPr>
          <w:rFonts w:eastAsia="Verdana" w:cs="Verdana"/>
          <w:sz w:val="20"/>
          <w:szCs w:val="20"/>
        </w:rPr>
        <w:t>v</w:t>
      </w:r>
      <w:r w:rsidRPr="0001748B">
        <w:rPr>
          <w:rFonts w:eastAsia="Verdana" w:cs="Verdana"/>
          <w:spacing w:val="-1"/>
          <w:sz w:val="20"/>
          <w:szCs w:val="20"/>
        </w:rPr>
        <w:t>es</w:t>
      </w:r>
      <w:r w:rsidRPr="0001748B">
        <w:rPr>
          <w:rFonts w:eastAsia="Verdana" w:cs="Verdana"/>
          <w:spacing w:val="1"/>
          <w:sz w:val="20"/>
          <w:szCs w:val="20"/>
        </w:rPr>
        <w:t>t</w:t>
      </w:r>
      <w:r w:rsidRPr="0001748B">
        <w:rPr>
          <w:rFonts w:eastAsia="Verdana" w:cs="Verdana"/>
          <w:spacing w:val="3"/>
          <w:sz w:val="20"/>
          <w:szCs w:val="20"/>
        </w:rPr>
        <w:t>i</w:t>
      </w:r>
      <w:r w:rsidRPr="0001748B">
        <w:rPr>
          <w:rFonts w:eastAsia="Verdana" w:cs="Verdana"/>
          <w:spacing w:val="1"/>
          <w:sz w:val="20"/>
          <w:szCs w:val="20"/>
        </w:rPr>
        <w:t>g</w:t>
      </w:r>
      <w:r w:rsidRPr="0001748B">
        <w:rPr>
          <w:rFonts w:eastAsia="Verdana" w:cs="Verdana"/>
          <w:sz w:val="20"/>
          <w:szCs w:val="20"/>
        </w:rPr>
        <w:t>a</w:t>
      </w:r>
      <w:r w:rsidRPr="0001748B">
        <w:rPr>
          <w:rFonts w:eastAsia="Verdana" w:cs="Verdana"/>
          <w:spacing w:val="-3"/>
          <w:sz w:val="20"/>
          <w:szCs w:val="20"/>
        </w:rPr>
        <w:t>c</w:t>
      </w:r>
      <w:r w:rsidRPr="0001748B">
        <w:rPr>
          <w:rFonts w:eastAsia="Verdana" w:cs="Verdana"/>
          <w:spacing w:val="3"/>
          <w:sz w:val="20"/>
          <w:szCs w:val="20"/>
        </w:rPr>
        <w:t>i</w:t>
      </w:r>
      <w:r w:rsidRPr="0001748B">
        <w:rPr>
          <w:rFonts w:eastAsia="Verdana" w:cs="Verdana"/>
          <w:spacing w:val="-1"/>
          <w:sz w:val="20"/>
          <w:szCs w:val="20"/>
        </w:rPr>
        <w:t>ó</w:t>
      </w:r>
      <w:r w:rsidRPr="0001748B">
        <w:rPr>
          <w:rFonts w:eastAsia="Verdana" w:cs="Verdana"/>
          <w:sz w:val="20"/>
          <w:szCs w:val="20"/>
        </w:rPr>
        <w:t>n</w:t>
      </w:r>
      <w:r w:rsidRPr="0001748B">
        <w:rPr>
          <w:rFonts w:eastAsia="Verdana" w:cs="Verdana"/>
          <w:spacing w:val="-3"/>
          <w:sz w:val="20"/>
          <w:szCs w:val="20"/>
        </w:rPr>
        <w:t xml:space="preserve"> </w:t>
      </w:r>
      <w:r w:rsidRPr="0001748B">
        <w:rPr>
          <w:rFonts w:eastAsia="Verdana" w:cs="Verdana"/>
          <w:spacing w:val="1"/>
          <w:sz w:val="20"/>
          <w:szCs w:val="20"/>
        </w:rPr>
        <w:t>d</w:t>
      </w:r>
      <w:r w:rsidRPr="0001748B">
        <w:rPr>
          <w:rFonts w:eastAsia="Verdana" w:cs="Verdana"/>
          <w:spacing w:val="-1"/>
          <w:sz w:val="20"/>
          <w:szCs w:val="20"/>
        </w:rPr>
        <w:t>e</w:t>
      </w:r>
      <w:r w:rsidRPr="0001748B">
        <w:rPr>
          <w:rFonts w:eastAsia="Verdana" w:cs="Verdana"/>
          <w:spacing w:val="1"/>
          <w:sz w:val="20"/>
          <w:szCs w:val="20"/>
        </w:rPr>
        <w:t>nt</w:t>
      </w:r>
      <w:r w:rsidRPr="0001748B">
        <w:rPr>
          <w:rFonts w:eastAsia="Verdana" w:cs="Verdana"/>
          <w:spacing w:val="-1"/>
          <w:sz w:val="20"/>
          <w:szCs w:val="20"/>
        </w:rPr>
        <w:t xml:space="preserve">ro </w:t>
      </w:r>
      <w:r w:rsidRPr="0001748B">
        <w:rPr>
          <w:rFonts w:eastAsia="Verdana" w:cs="Verdana"/>
          <w:spacing w:val="1"/>
          <w:sz w:val="20"/>
          <w:szCs w:val="20"/>
        </w:rPr>
        <w:t>d</w:t>
      </w:r>
      <w:r w:rsidRPr="0001748B">
        <w:rPr>
          <w:rFonts w:eastAsia="Verdana" w:cs="Verdana"/>
          <w:sz w:val="20"/>
          <w:szCs w:val="20"/>
        </w:rPr>
        <w:t>e</w:t>
      </w:r>
      <w:r w:rsidRPr="0001748B">
        <w:rPr>
          <w:rFonts w:eastAsia="Verdana" w:cs="Verdana"/>
          <w:spacing w:val="14"/>
          <w:sz w:val="20"/>
          <w:szCs w:val="20"/>
        </w:rPr>
        <w:t xml:space="preserve"> </w:t>
      </w:r>
      <w:r w:rsidRPr="0001748B">
        <w:rPr>
          <w:rFonts w:eastAsia="Verdana" w:cs="Verdana"/>
          <w:spacing w:val="1"/>
          <w:sz w:val="20"/>
          <w:szCs w:val="20"/>
        </w:rPr>
        <w:t>u</w:t>
      </w:r>
      <w:r w:rsidRPr="0001748B">
        <w:rPr>
          <w:rFonts w:eastAsia="Verdana" w:cs="Verdana"/>
          <w:sz w:val="20"/>
          <w:szCs w:val="20"/>
        </w:rPr>
        <w:t>n</w:t>
      </w:r>
      <w:r w:rsidRPr="0001748B">
        <w:rPr>
          <w:rFonts w:eastAsia="Verdana" w:cs="Verdana"/>
          <w:spacing w:val="17"/>
          <w:sz w:val="20"/>
          <w:szCs w:val="20"/>
        </w:rPr>
        <w:t xml:space="preserve"> </w:t>
      </w:r>
      <w:r w:rsidRPr="0001748B">
        <w:rPr>
          <w:rFonts w:eastAsia="Verdana" w:cs="Verdana"/>
          <w:spacing w:val="1"/>
          <w:sz w:val="20"/>
          <w:szCs w:val="20"/>
        </w:rPr>
        <w:t>p</w:t>
      </w:r>
      <w:r w:rsidRPr="0001748B">
        <w:rPr>
          <w:rFonts w:eastAsia="Verdana" w:cs="Verdana"/>
          <w:spacing w:val="3"/>
          <w:sz w:val="20"/>
          <w:szCs w:val="20"/>
        </w:rPr>
        <w:t>l</w:t>
      </w:r>
      <w:r w:rsidRPr="0001748B">
        <w:rPr>
          <w:rFonts w:eastAsia="Verdana" w:cs="Verdana"/>
          <w:sz w:val="20"/>
          <w:szCs w:val="20"/>
        </w:rPr>
        <w:t>a</w:t>
      </w:r>
      <w:r w:rsidRPr="0001748B">
        <w:rPr>
          <w:rFonts w:eastAsia="Verdana" w:cs="Verdana"/>
          <w:spacing w:val="1"/>
          <w:sz w:val="20"/>
          <w:szCs w:val="20"/>
        </w:rPr>
        <w:t>z</w:t>
      </w:r>
      <w:r w:rsidRPr="0001748B">
        <w:rPr>
          <w:rFonts w:eastAsia="Verdana" w:cs="Verdana"/>
          <w:sz w:val="20"/>
          <w:szCs w:val="20"/>
        </w:rPr>
        <w:t>o</w:t>
      </w:r>
      <w:r w:rsidRPr="0001748B">
        <w:rPr>
          <w:rFonts w:eastAsia="Verdana" w:cs="Verdana"/>
          <w:spacing w:val="12"/>
          <w:sz w:val="20"/>
          <w:szCs w:val="20"/>
        </w:rPr>
        <w:t xml:space="preserve"> </w:t>
      </w:r>
      <w:r w:rsidRPr="0001748B">
        <w:rPr>
          <w:rFonts w:eastAsia="Verdana" w:cs="Verdana"/>
          <w:spacing w:val="-1"/>
          <w:sz w:val="20"/>
          <w:szCs w:val="20"/>
        </w:rPr>
        <w:t>r</w:t>
      </w:r>
      <w:r w:rsidRPr="0001748B">
        <w:rPr>
          <w:rFonts w:eastAsia="Verdana" w:cs="Verdana"/>
          <w:sz w:val="20"/>
          <w:szCs w:val="20"/>
        </w:rPr>
        <w:t>a</w:t>
      </w:r>
      <w:r w:rsidRPr="0001748B">
        <w:rPr>
          <w:rFonts w:eastAsia="Verdana" w:cs="Verdana"/>
          <w:spacing w:val="3"/>
          <w:sz w:val="20"/>
          <w:szCs w:val="20"/>
        </w:rPr>
        <w:t>z</w:t>
      </w:r>
      <w:r w:rsidRPr="0001748B">
        <w:rPr>
          <w:rFonts w:eastAsia="Verdana" w:cs="Verdana"/>
          <w:spacing w:val="-1"/>
          <w:sz w:val="20"/>
          <w:szCs w:val="20"/>
        </w:rPr>
        <w:t>o</w:t>
      </w:r>
      <w:r w:rsidRPr="0001748B">
        <w:rPr>
          <w:rFonts w:eastAsia="Verdana" w:cs="Verdana"/>
          <w:spacing w:val="1"/>
          <w:sz w:val="20"/>
          <w:szCs w:val="20"/>
        </w:rPr>
        <w:t>n</w:t>
      </w:r>
      <w:r w:rsidRPr="0001748B">
        <w:rPr>
          <w:rFonts w:eastAsia="Verdana" w:cs="Verdana"/>
          <w:sz w:val="20"/>
          <w:szCs w:val="20"/>
        </w:rPr>
        <w:t>a</w:t>
      </w:r>
      <w:r w:rsidRPr="0001748B">
        <w:rPr>
          <w:rFonts w:eastAsia="Verdana" w:cs="Verdana"/>
          <w:spacing w:val="1"/>
          <w:sz w:val="20"/>
          <w:szCs w:val="20"/>
        </w:rPr>
        <w:t>b</w:t>
      </w:r>
      <w:r w:rsidRPr="0001748B">
        <w:rPr>
          <w:rFonts w:eastAsia="Verdana" w:cs="Verdana"/>
          <w:spacing w:val="3"/>
          <w:sz w:val="20"/>
          <w:szCs w:val="20"/>
        </w:rPr>
        <w:t>l</w:t>
      </w:r>
      <w:r w:rsidRPr="0001748B">
        <w:rPr>
          <w:rFonts w:eastAsia="Verdana" w:cs="Verdana"/>
          <w:sz w:val="20"/>
          <w:szCs w:val="20"/>
        </w:rPr>
        <w:t>e</w:t>
      </w:r>
      <w:r w:rsidRPr="0001748B">
        <w:rPr>
          <w:rFonts w:eastAsia="Verdana" w:cs="Verdana"/>
          <w:spacing w:val="7"/>
          <w:sz w:val="20"/>
          <w:szCs w:val="20"/>
        </w:rPr>
        <w:t xml:space="preserve"> </w:t>
      </w:r>
      <w:r w:rsidRPr="0001748B">
        <w:rPr>
          <w:rFonts w:eastAsia="Verdana" w:cs="Verdana"/>
          <w:sz w:val="20"/>
          <w:szCs w:val="20"/>
        </w:rPr>
        <w:t>y</w:t>
      </w:r>
      <w:r w:rsidRPr="0001748B">
        <w:rPr>
          <w:rFonts w:eastAsia="Verdana" w:cs="Verdana"/>
          <w:spacing w:val="17"/>
          <w:sz w:val="20"/>
          <w:szCs w:val="20"/>
        </w:rPr>
        <w:t xml:space="preserve"> </w:t>
      </w:r>
      <w:r w:rsidRPr="0001748B">
        <w:rPr>
          <w:rFonts w:eastAsia="Verdana" w:cs="Verdana"/>
          <w:spacing w:val="1"/>
          <w:sz w:val="20"/>
          <w:szCs w:val="20"/>
        </w:rPr>
        <w:t>d</w:t>
      </w:r>
      <w:r w:rsidRPr="0001748B">
        <w:rPr>
          <w:rFonts w:eastAsia="Verdana" w:cs="Verdana"/>
          <w:spacing w:val="-1"/>
          <w:sz w:val="20"/>
          <w:szCs w:val="20"/>
        </w:rPr>
        <w:t>e</w:t>
      </w:r>
      <w:r w:rsidRPr="0001748B">
        <w:rPr>
          <w:rFonts w:eastAsia="Verdana" w:cs="Verdana"/>
          <w:spacing w:val="3"/>
          <w:sz w:val="20"/>
          <w:szCs w:val="20"/>
        </w:rPr>
        <w:t>t</w:t>
      </w:r>
      <w:r w:rsidRPr="0001748B">
        <w:rPr>
          <w:rFonts w:eastAsia="Verdana" w:cs="Verdana"/>
          <w:spacing w:val="-1"/>
          <w:sz w:val="20"/>
          <w:szCs w:val="20"/>
        </w:rPr>
        <w:t>er</w:t>
      </w:r>
      <w:r w:rsidRPr="0001748B">
        <w:rPr>
          <w:rFonts w:eastAsia="Verdana" w:cs="Verdana"/>
          <w:spacing w:val="1"/>
          <w:sz w:val="20"/>
          <w:szCs w:val="20"/>
        </w:rPr>
        <w:t>m</w:t>
      </w:r>
      <w:r w:rsidRPr="0001748B">
        <w:rPr>
          <w:rFonts w:eastAsia="Verdana" w:cs="Verdana"/>
          <w:spacing w:val="3"/>
          <w:sz w:val="20"/>
          <w:szCs w:val="20"/>
        </w:rPr>
        <w:t>i</w:t>
      </w:r>
      <w:r w:rsidRPr="0001748B">
        <w:rPr>
          <w:rFonts w:eastAsia="Verdana" w:cs="Verdana"/>
          <w:spacing w:val="1"/>
          <w:sz w:val="20"/>
          <w:szCs w:val="20"/>
        </w:rPr>
        <w:t>n</w:t>
      </w:r>
      <w:r w:rsidRPr="0001748B">
        <w:rPr>
          <w:rFonts w:eastAsia="Verdana" w:cs="Verdana"/>
          <w:sz w:val="20"/>
          <w:szCs w:val="20"/>
        </w:rPr>
        <w:t>ar</w:t>
      </w:r>
      <w:r w:rsidRPr="0001748B">
        <w:rPr>
          <w:rFonts w:eastAsia="Verdana" w:cs="Verdana"/>
          <w:spacing w:val="6"/>
          <w:sz w:val="20"/>
          <w:szCs w:val="20"/>
        </w:rPr>
        <w:t xml:space="preserve"> </w:t>
      </w:r>
      <w:r w:rsidRPr="0001748B">
        <w:rPr>
          <w:rFonts w:eastAsia="Verdana" w:cs="Verdana"/>
          <w:spacing w:val="3"/>
          <w:sz w:val="20"/>
          <w:szCs w:val="20"/>
        </w:rPr>
        <w:t>l</w:t>
      </w:r>
      <w:r w:rsidRPr="0001748B">
        <w:rPr>
          <w:rFonts w:eastAsia="Verdana" w:cs="Verdana"/>
          <w:sz w:val="20"/>
          <w:szCs w:val="20"/>
        </w:rPr>
        <w:t>as</w:t>
      </w:r>
      <w:r w:rsidRPr="0001748B">
        <w:rPr>
          <w:rFonts w:eastAsia="Verdana" w:cs="Verdana"/>
          <w:spacing w:val="17"/>
          <w:sz w:val="20"/>
          <w:szCs w:val="20"/>
        </w:rPr>
        <w:t xml:space="preserve"> </w:t>
      </w:r>
      <w:r w:rsidRPr="0001748B">
        <w:rPr>
          <w:rFonts w:eastAsia="Verdana" w:cs="Verdana"/>
          <w:spacing w:val="-1"/>
          <w:sz w:val="20"/>
          <w:szCs w:val="20"/>
        </w:rPr>
        <w:t>r</w:t>
      </w:r>
      <w:r w:rsidRPr="0001748B">
        <w:rPr>
          <w:rFonts w:eastAsia="Verdana" w:cs="Verdana"/>
          <w:spacing w:val="1"/>
          <w:sz w:val="20"/>
          <w:szCs w:val="20"/>
        </w:rPr>
        <w:t>e</w:t>
      </w:r>
      <w:r w:rsidRPr="0001748B">
        <w:rPr>
          <w:rFonts w:eastAsia="Verdana" w:cs="Verdana"/>
          <w:spacing w:val="-1"/>
          <w:sz w:val="20"/>
          <w:szCs w:val="20"/>
        </w:rPr>
        <w:t>s</w:t>
      </w:r>
      <w:r w:rsidRPr="0001748B">
        <w:rPr>
          <w:rFonts w:eastAsia="Verdana" w:cs="Verdana"/>
          <w:spacing w:val="1"/>
          <w:sz w:val="20"/>
          <w:szCs w:val="20"/>
        </w:rPr>
        <w:t>pon</w:t>
      </w:r>
      <w:r w:rsidRPr="0001748B">
        <w:rPr>
          <w:rFonts w:eastAsia="Verdana" w:cs="Verdana"/>
          <w:spacing w:val="-1"/>
          <w:sz w:val="20"/>
          <w:szCs w:val="20"/>
        </w:rPr>
        <w:t>s</w:t>
      </w:r>
      <w:r w:rsidRPr="0001748B">
        <w:rPr>
          <w:rFonts w:eastAsia="Verdana" w:cs="Verdana"/>
          <w:sz w:val="20"/>
          <w:szCs w:val="20"/>
        </w:rPr>
        <w:t>a</w:t>
      </w:r>
      <w:r w:rsidRPr="0001748B">
        <w:rPr>
          <w:rFonts w:eastAsia="Verdana" w:cs="Verdana"/>
          <w:spacing w:val="1"/>
          <w:sz w:val="20"/>
          <w:szCs w:val="20"/>
        </w:rPr>
        <w:t>bil</w:t>
      </w:r>
      <w:r w:rsidRPr="0001748B">
        <w:rPr>
          <w:rFonts w:eastAsia="Verdana" w:cs="Verdana"/>
          <w:spacing w:val="3"/>
          <w:sz w:val="20"/>
          <w:szCs w:val="20"/>
        </w:rPr>
        <w:t>i</w:t>
      </w:r>
      <w:r w:rsidRPr="0001748B">
        <w:rPr>
          <w:rFonts w:eastAsia="Verdana" w:cs="Verdana"/>
          <w:spacing w:val="1"/>
          <w:sz w:val="20"/>
          <w:szCs w:val="20"/>
        </w:rPr>
        <w:t>d</w:t>
      </w:r>
      <w:r w:rsidRPr="0001748B">
        <w:rPr>
          <w:rFonts w:eastAsia="Verdana" w:cs="Verdana"/>
          <w:sz w:val="20"/>
          <w:szCs w:val="20"/>
        </w:rPr>
        <w:t>a</w:t>
      </w:r>
      <w:r w:rsidRPr="0001748B">
        <w:rPr>
          <w:rFonts w:eastAsia="Verdana" w:cs="Verdana"/>
          <w:spacing w:val="1"/>
          <w:sz w:val="20"/>
          <w:szCs w:val="20"/>
        </w:rPr>
        <w:t>d</w:t>
      </w:r>
      <w:r w:rsidRPr="0001748B">
        <w:rPr>
          <w:rFonts w:eastAsia="Verdana" w:cs="Verdana"/>
          <w:spacing w:val="-1"/>
          <w:sz w:val="20"/>
          <w:szCs w:val="20"/>
        </w:rPr>
        <w:t>e</w:t>
      </w:r>
      <w:r w:rsidRPr="0001748B">
        <w:rPr>
          <w:rFonts w:eastAsia="Verdana" w:cs="Verdana"/>
          <w:sz w:val="20"/>
          <w:szCs w:val="20"/>
        </w:rPr>
        <w:t xml:space="preserve">s </w:t>
      </w:r>
      <w:r w:rsidRPr="0001748B">
        <w:rPr>
          <w:rFonts w:eastAsia="Verdana" w:cs="Verdana"/>
          <w:spacing w:val="-1"/>
          <w:sz w:val="20"/>
          <w:szCs w:val="20"/>
        </w:rPr>
        <w:t>re</w:t>
      </w:r>
      <w:r w:rsidRPr="0001748B">
        <w:rPr>
          <w:rFonts w:eastAsia="Verdana" w:cs="Verdana"/>
          <w:spacing w:val="3"/>
          <w:sz w:val="20"/>
          <w:szCs w:val="20"/>
        </w:rPr>
        <w:t>m</w:t>
      </w:r>
      <w:r w:rsidRPr="0001748B">
        <w:rPr>
          <w:rFonts w:eastAsia="Verdana" w:cs="Verdana"/>
          <w:spacing w:val="-1"/>
          <w:sz w:val="20"/>
          <w:szCs w:val="20"/>
        </w:rPr>
        <w:t>o</w:t>
      </w:r>
      <w:r w:rsidRPr="0001748B">
        <w:rPr>
          <w:rFonts w:eastAsia="Verdana" w:cs="Verdana"/>
          <w:sz w:val="20"/>
          <w:szCs w:val="20"/>
        </w:rPr>
        <w:t>v</w:t>
      </w:r>
      <w:r w:rsidRPr="0001748B">
        <w:rPr>
          <w:rFonts w:eastAsia="Verdana" w:cs="Verdana"/>
          <w:spacing w:val="3"/>
          <w:sz w:val="20"/>
          <w:szCs w:val="20"/>
        </w:rPr>
        <w:t>i</w:t>
      </w:r>
      <w:r w:rsidRPr="0001748B">
        <w:rPr>
          <w:rFonts w:eastAsia="Verdana" w:cs="Verdana"/>
          <w:spacing w:val="-1"/>
          <w:sz w:val="20"/>
          <w:szCs w:val="20"/>
        </w:rPr>
        <w:t>e</w:t>
      </w:r>
      <w:r w:rsidRPr="0001748B">
        <w:rPr>
          <w:rFonts w:eastAsia="Verdana" w:cs="Verdana"/>
          <w:spacing w:val="1"/>
          <w:sz w:val="20"/>
          <w:szCs w:val="20"/>
        </w:rPr>
        <w:t>n</w:t>
      </w:r>
      <w:r w:rsidRPr="0001748B">
        <w:rPr>
          <w:rFonts w:eastAsia="Verdana" w:cs="Verdana"/>
          <w:spacing w:val="3"/>
          <w:sz w:val="20"/>
          <w:szCs w:val="20"/>
        </w:rPr>
        <w:t>d</w:t>
      </w:r>
      <w:r w:rsidRPr="0001748B">
        <w:rPr>
          <w:rFonts w:eastAsia="Verdana" w:cs="Verdana"/>
          <w:sz w:val="20"/>
          <w:szCs w:val="20"/>
        </w:rPr>
        <w:t>o</w:t>
      </w:r>
      <w:r w:rsidRPr="0001748B">
        <w:rPr>
          <w:rFonts w:eastAsia="Verdana" w:cs="Verdana"/>
          <w:spacing w:val="5"/>
          <w:sz w:val="20"/>
          <w:szCs w:val="20"/>
        </w:rPr>
        <w:t xml:space="preserve"> </w:t>
      </w:r>
      <w:r w:rsidRPr="0001748B">
        <w:rPr>
          <w:rFonts w:eastAsia="Verdana" w:cs="Verdana"/>
          <w:spacing w:val="1"/>
          <w:sz w:val="20"/>
          <w:szCs w:val="20"/>
        </w:rPr>
        <w:t>t</w:t>
      </w:r>
      <w:r w:rsidRPr="0001748B">
        <w:rPr>
          <w:rFonts w:eastAsia="Verdana" w:cs="Verdana"/>
          <w:spacing w:val="-1"/>
          <w:sz w:val="20"/>
          <w:szCs w:val="20"/>
        </w:rPr>
        <w:t>o</w:t>
      </w:r>
      <w:r w:rsidRPr="0001748B">
        <w:rPr>
          <w:rFonts w:eastAsia="Verdana" w:cs="Verdana"/>
          <w:spacing w:val="3"/>
          <w:sz w:val="20"/>
          <w:szCs w:val="20"/>
        </w:rPr>
        <w:t>d</w:t>
      </w:r>
      <w:r w:rsidRPr="0001748B">
        <w:rPr>
          <w:rFonts w:eastAsia="Verdana" w:cs="Verdana"/>
          <w:spacing w:val="-1"/>
          <w:sz w:val="20"/>
          <w:szCs w:val="20"/>
        </w:rPr>
        <w:t>o</w:t>
      </w:r>
      <w:r w:rsidRPr="0001748B">
        <w:rPr>
          <w:rFonts w:eastAsia="Verdana" w:cs="Verdana"/>
          <w:sz w:val="20"/>
          <w:szCs w:val="20"/>
        </w:rPr>
        <w:t>s</w:t>
      </w:r>
      <w:r w:rsidRPr="0001748B">
        <w:rPr>
          <w:rFonts w:eastAsia="Verdana" w:cs="Verdana"/>
          <w:spacing w:val="14"/>
          <w:sz w:val="20"/>
          <w:szCs w:val="20"/>
        </w:rPr>
        <w:t xml:space="preserve"> </w:t>
      </w:r>
      <w:r w:rsidRPr="0001748B">
        <w:rPr>
          <w:rFonts w:eastAsia="Verdana" w:cs="Verdana"/>
          <w:spacing w:val="3"/>
          <w:sz w:val="20"/>
          <w:szCs w:val="20"/>
        </w:rPr>
        <w:t>l</w:t>
      </w:r>
      <w:r w:rsidRPr="0001748B">
        <w:rPr>
          <w:rFonts w:eastAsia="Verdana" w:cs="Verdana"/>
          <w:spacing w:val="-1"/>
          <w:sz w:val="20"/>
          <w:szCs w:val="20"/>
        </w:rPr>
        <w:t>o</w:t>
      </w:r>
      <w:r w:rsidRPr="0001748B">
        <w:rPr>
          <w:rFonts w:eastAsia="Verdana" w:cs="Verdana"/>
          <w:sz w:val="20"/>
          <w:szCs w:val="20"/>
        </w:rPr>
        <w:t>s</w:t>
      </w:r>
      <w:r w:rsidRPr="0001748B">
        <w:rPr>
          <w:rFonts w:eastAsia="Verdana" w:cs="Verdana"/>
          <w:spacing w:val="17"/>
          <w:sz w:val="20"/>
          <w:szCs w:val="20"/>
        </w:rPr>
        <w:t xml:space="preserve"> </w:t>
      </w:r>
      <w:r w:rsidRPr="0001748B">
        <w:rPr>
          <w:rFonts w:eastAsia="Verdana" w:cs="Verdana"/>
          <w:spacing w:val="-1"/>
          <w:sz w:val="20"/>
          <w:szCs w:val="20"/>
        </w:rPr>
        <w:t>o</w:t>
      </w:r>
      <w:r w:rsidRPr="0001748B">
        <w:rPr>
          <w:rFonts w:eastAsia="Verdana" w:cs="Verdana"/>
          <w:spacing w:val="1"/>
          <w:sz w:val="20"/>
          <w:szCs w:val="20"/>
        </w:rPr>
        <w:t>b</w:t>
      </w:r>
      <w:r w:rsidRPr="0001748B">
        <w:rPr>
          <w:rFonts w:eastAsia="Verdana" w:cs="Verdana"/>
          <w:spacing w:val="-1"/>
          <w:sz w:val="20"/>
          <w:szCs w:val="20"/>
        </w:rPr>
        <w:t>s</w:t>
      </w:r>
      <w:r w:rsidRPr="0001748B">
        <w:rPr>
          <w:rFonts w:eastAsia="Verdana" w:cs="Verdana"/>
          <w:spacing w:val="1"/>
          <w:sz w:val="20"/>
          <w:szCs w:val="20"/>
        </w:rPr>
        <w:t>t</w:t>
      </w:r>
      <w:r w:rsidRPr="0001748B">
        <w:rPr>
          <w:rFonts w:eastAsia="Verdana" w:cs="Verdana"/>
          <w:spacing w:val="3"/>
          <w:sz w:val="20"/>
          <w:szCs w:val="20"/>
        </w:rPr>
        <w:t>á</w:t>
      </w:r>
      <w:r w:rsidRPr="0001748B">
        <w:rPr>
          <w:rFonts w:eastAsia="Verdana" w:cs="Verdana"/>
          <w:spacing w:val="-1"/>
          <w:sz w:val="20"/>
          <w:szCs w:val="20"/>
        </w:rPr>
        <w:t>c</w:t>
      </w:r>
      <w:r w:rsidRPr="0001748B">
        <w:rPr>
          <w:rFonts w:eastAsia="Verdana" w:cs="Verdana"/>
          <w:spacing w:val="1"/>
          <w:sz w:val="20"/>
          <w:szCs w:val="20"/>
        </w:rPr>
        <w:t>u</w:t>
      </w:r>
      <w:r w:rsidRPr="0001748B">
        <w:rPr>
          <w:rFonts w:eastAsia="Verdana" w:cs="Verdana"/>
          <w:spacing w:val="3"/>
          <w:sz w:val="20"/>
          <w:szCs w:val="20"/>
        </w:rPr>
        <w:t>l</w:t>
      </w:r>
      <w:r w:rsidRPr="0001748B">
        <w:rPr>
          <w:rFonts w:eastAsia="Verdana" w:cs="Verdana"/>
          <w:spacing w:val="-1"/>
          <w:sz w:val="20"/>
          <w:szCs w:val="20"/>
        </w:rPr>
        <w:t xml:space="preserve">os </w:t>
      </w:r>
      <w:r w:rsidRPr="0001748B">
        <w:rPr>
          <w:rFonts w:eastAsia="Verdana" w:cs="Verdana"/>
          <w:spacing w:val="1"/>
          <w:sz w:val="20"/>
          <w:szCs w:val="20"/>
        </w:rPr>
        <w:t>p</w:t>
      </w:r>
      <w:r w:rsidRPr="0001748B">
        <w:rPr>
          <w:rFonts w:eastAsia="Verdana" w:cs="Verdana"/>
          <w:sz w:val="20"/>
          <w:szCs w:val="20"/>
        </w:rPr>
        <w:t>a</w:t>
      </w:r>
      <w:r w:rsidRPr="0001748B">
        <w:rPr>
          <w:rFonts w:eastAsia="Verdana" w:cs="Verdana"/>
          <w:spacing w:val="-1"/>
          <w:sz w:val="20"/>
          <w:szCs w:val="20"/>
        </w:rPr>
        <w:t>r</w:t>
      </w:r>
      <w:r w:rsidRPr="0001748B">
        <w:rPr>
          <w:rFonts w:eastAsia="Verdana" w:cs="Verdana"/>
          <w:sz w:val="20"/>
          <w:szCs w:val="20"/>
        </w:rPr>
        <w:t>a</w:t>
      </w:r>
      <w:r w:rsidRPr="0001748B">
        <w:rPr>
          <w:rFonts w:eastAsia="Verdana" w:cs="Verdana"/>
          <w:spacing w:val="8"/>
          <w:sz w:val="20"/>
          <w:szCs w:val="20"/>
        </w:rPr>
        <w:t xml:space="preserve"> </w:t>
      </w:r>
      <w:r w:rsidRPr="0001748B">
        <w:rPr>
          <w:rFonts w:eastAsia="Verdana" w:cs="Verdana"/>
          <w:spacing w:val="-1"/>
          <w:sz w:val="20"/>
          <w:szCs w:val="20"/>
        </w:rPr>
        <w:t>e</w:t>
      </w:r>
      <w:r w:rsidRPr="0001748B">
        <w:rPr>
          <w:rFonts w:eastAsia="Verdana" w:cs="Verdana"/>
          <w:spacing w:val="1"/>
          <w:sz w:val="20"/>
          <w:szCs w:val="20"/>
        </w:rPr>
        <w:t>l</w:t>
      </w:r>
      <w:r w:rsidRPr="0001748B">
        <w:rPr>
          <w:rFonts w:eastAsia="Verdana" w:cs="Verdana"/>
          <w:spacing w:val="3"/>
          <w:sz w:val="20"/>
          <w:szCs w:val="20"/>
        </w:rPr>
        <w:t>l</w:t>
      </w:r>
      <w:r w:rsidRPr="0001748B">
        <w:rPr>
          <w:rFonts w:eastAsia="Verdana" w:cs="Verdana"/>
          <w:spacing w:val="-1"/>
          <w:sz w:val="20"/>
          <w:szCs w:val="20"/>
        </w:rPr>
        <w:t>o</w:t>
      </w:r>
      <w:r w:rsidRPr="0001748B">
        <w:rPr>
          <w:rFonts w:eastAsia="Verdana" w:cs="Verdana"/>
          <w:sz w:val="20"/>
          <w:szCs w:val="20"/>
        </w:rPr>
        <w:t xml:space="preserve">, </w:t>
      </w:r>
      <w:r w:rsidRPr="0001748B">
        <w:rPr>
          <w:sz w:val="20"/>
          <w:szCs w:val="20"/>
          <w:lang w:eastAsia="x-none"/>
        </w:rPr>
        <w:t>con el fin de evitar la repetición de los hechos graves ocurridos, y que las víctimas puedan conocer la verdad de lo acontecido.</w:t>
      </w:r>
      <w:r w:rsidR="00A6213A">
        <w:rPr>
          <w:sz w:val="20"/>
          <w:szCs w:val="20"/>
          <w:lang w:eastAsia="x-none"/>
        </w:rPr>
        <w:t xml:space="preserve"> </w:t>
      </w:r>
      <w:r w:rsidR="009104FE">
        <w:rPr>
          <w:rFonts w:eastAsia="Verdana" w:cs="Verdana"/>
          <w:spacing w:val="1"/>
          <w:sz w:val="20"/>
          <w:szCs w:val="20"/>
        </w:rPr>
        <w:lastRenderedPageBreak/>
        <w:t>Consideraron</w:t>
      </w:r>
      <w:r w:rsidRPr="0001748B">
        <w:rPr>
          <w:rFonts w:eastAsia="Verdana" w:cs="Verdana"/>
          <w:sz w:val="20"/>
          <w:szCs w:val="20"/>
        </w:rPr>
        <w:t>, a</w:t>
      </w:r>
      <w:r w:rsidRPr="0001748B">
        <w:rPr>
          <w:rFonts w:eastAsia="Verdana" w:cs="Verdana"/>
          <w:spacing w:val="1"/>
          <w:sz w:val="20"/>
          <w:szCs w:val="20"/>
        </w:rPr>
        <w:t>d</w:t>
      </w:r>
      <w:r w:rsidRPr="0001748B">
        <w:rPr>
          <w:rFonts w:eastAsia="Verdana" w:cs="Verdana"/>
          <w:spacing w:val="-1"/>
          <w:sz w:val="20"/>
          <w:szCs w:val="20"/>
        </w:rPr>
        <w:t>e</w:t>
      </w:r>
      <w:r w:rsidRPr="0001748B">
        <w:rPr>
          <w:rFonts w:eastAsia="Verdana" w:cs="Verdana"/>
          <w:spacing w:val="1"/>
          <w:sz w:val="20"/>
          <w:szCs w:val="20"/>
        </w:rPr>
        <w:t>m</w:t>
      </w:r>
      <w:r w:rsidRPr="0001748B">
        <w:rPr>
          <w:rFonts w:eastAsia="Verdana" w:cs="Verdana"/>
          <w:sz w:val="20"/>
          <w:szCs w:val="20"/>
        </w:rPr>
        <w:t>á</w:t>
      </w:r>
      <w:r w:rsidRPr="0001748B">
        <w:rPr>
          <w:rFonts w:eastAsia="Verdana" w:cs="Verdana"/>
          <w:spacing w:val="-1"/>
          <w:sz w:val="20"/>
          <w:szCs w:val="20"/>
        </w:rPr>
        <w:t>s</w:t>
      </w:r>
      <w:r w:rsidRPr="0001748B">
        <w:rPr>
          <w:rFonts w:eastAsia="Verdana" w:cs="Verdana"/>
          <w:sz w:val="20"/>
          <w:szCs w:val="20"/>
        </w:rPr>
        <w:t>,</w:t>
      </w:r>
      <w:r w:rsidRPr="0001748B">
        <w:rPr>
          <w:rFonts w:eastAsia="Verdana" w:cs="Verdana"/>
          <w:spacing w:val="3"/>
          <w:sz w:val="20"/>
          <w:szCs w:val="20"/>
        </w:rPr>
        <w:t xml:space="preserve"> </w:t>
      </w:r>
      <w:r w:rsidRPr="0001748B">
        <w:rPr>
          <w:rFonts w:eastAsia="Verdana" w:cs="Verdana"/>
          <w:spacing w:val="1"/>
          <w:sz w:val="20"/>
          <w:szCs w:val="20"/>
        </w:rPr>
        <w:t>qu</w:t>
      </w:r>
      <w:r w:rsidRPr="0001748B">
        <w:rPr>
          <w:rFonts w:eastAsia="Verdana" w:cs="Verdana"/>
          <w:sz w:val="20"/>
          <w:szCs w:val="20"/>
        </w:rPr>
        <w:t>e</w:t>
      </w:r>
      <w:r w:rsidRPr="0001748B">
        <w:rPr>
          <w:rFonts w:eastAsia="Verdana" w:cs="Verdana"/>
          <w:spacing w:val="7"/>
          <w:sz w:val="20"/>
          <w:szCs w:val="20"/>
        </w:rPr>
        <w:t xml:space="preserve"> </w:t>
      </w:r>
      <w:r w:rsidRPr="0001748B">
        <w:rPr>
          <w:rFonts w:eastAsia="Verdana" w:cs="Verdana"/>
          <w:spacing w:val="-1"/>
          <w:sz w:val="20"/>
          <w:szCs w:val="20"/>
        </w:rPr>
        <w:t>e</w:t>
      </w:r>
      <w:r w:rsidRPr="0001748B">
        <w:rPr>
          <w:rFonts w:eastAsia="Verdana" w:cs="Verdana"/>
          <w:sz w:val="20"/>
          <w:szCs w:val="20"/>
        </w:rPr>
        <w:t>l</w:t>
      </w:r>
      <w:r w:rsidRPr="0001748B">
        <w:rPr>
          <w:rFonts w:eastAsia="Verdana" w:cs="Verdana"/>
          <w:spacing w:val="11"/>
          <w:sz w:val="20"/>
          <w:szCs w:val="20"/>
        </w:rPr>
        <w:t xml:space="preserve"> </w:t>
      </w:r>
      <w:r w:rsidRPr="0001748B">
        <w:rPr>
          <w:rFonts w:eastAsia="Verdana" w:cs="Verdana"/>
          <w:spacing w:val="1"/>
          <w:sz w:val="20"/>
          <w:szCs w:val="20"/>
        </w:rPr>
        <w:t>E</w:t>
      </w:r>
      <w:r w:rsidRPr="0001748B">
        <w:rPr>
          <w:rFonts w:eastAsia="Verdana" w:cs="Verdana"/>
          <w:spacing w:val="-1"/>
          <w:sz w:val="20"/>
          <w:szCs w:val="20"/>
        </w:rPr>
        <w:t>s</w:t>
      </w:r>
      <w:r w:rsidRPr="0001748B">
        <w:rPr>
          <w:rFonts w:eastAsia="Verdana" w:cs="Verdana"/>
          <w:spacing w:val="1"/>
          <w:sz w:val="20"/>
          <w:szCs w:val="20"/>
        </w:rPr>
        <w:t>t</w:t>
      </w:r>
      <w:r w:rsidRPr="0001748B">
        <w:rPr>
          <w:rFonts w:eastAsia="Verdana" w:cs="Verdana"/>
          <w:sz w:val="20"/>
          <w:szCs w:val="20"/>
        </w:rPr>
        <w:t>a</w:t>
      </w:r>
      <w:r w:rsidRPr="0001748B">
        <w:rPr>
          <w:rFonts w:eastAsia="Verdana" w:cs="Verdana"/>
          <w:spacing w:val="3"/>
          <w:sz w:val="20"/>
          <w:szCs w:val="20"/>
        </w:rPr>
        <w:t>d</w:t>
      </w:r>
      <w:r w:rsidRPr="0001748B">
        <w:rPr>
          <w:rFonts w:eastAsia="Verdana" w:cs="Verdana"/>
          <w:sz w:val="20"/>
          <w:szCs w:val="20"/>
        </w:rPr>
        <w:t>o</w:t>
      </w:r>
      <w:r w:rsidR="009104FE">
        <w:rPr>
          <w:rFonts w:eastAsia="Verdana" w:cs="Verdana"/>
          <w:sz w:val="20"/>
          <w:szCs w:val="20"/>
        </w:rPr>
        <w:t xml:space="preserve"> debe</w:t>
      </w:r>
      <w:r w:rsidRPr="0001748B">
        <w:rPr>
          <w:rFonts w:eastAsia="Verdana" w:cs="Verdana"/>
          <w:spacing w:val="2"/>
          <w:sz w:val="20"/>
          <w:szCs w:val="20"/>
        </w:rPr>
        <w:t xml:space="preserve"> </w:t>
      </w:r>
      <w:r w:rsidRPr="0001748B">
        <w:rPr>
          <w:rFonts w:eastAsia="Verdana" w:cs="Verdana"/>
          <w:sz w:val="20"/>
          <w:szCs w:val="20"/>
        </w:rPr>
        <w:t>a</w:t>
      </w:r>
      <w:r w:rsidRPr="0001748B">
        <w:rPr>
          <w:rFonts w:eastAsia="Verdana" w:cs="Verdana"/>
          <w:spacing w:val="2"/>
          <w:sz w:val="20"/>
          <w:szCs w:val="20"/>
        </w:rPr>
        <w:t>s</w:t>
      </w:r>
      <w:r w:rsidRPr="0001748B">
        <w:rPr>
          <w:rFonts w:eastAsia="Verdana" w:cs="Verdana"/>
          <w:spacing w:val="-1"/>
          <w:sz w:val="20"/>
          <w:szCs w:val="20"/>
        </w:rPr>
        <w:t>e</w:t>
      </w:r>
      <w:r w:rsidRPr="0001748B">
        <w:rPr>
          <w:rFonts w:eastAsia="Verdana" w:cs="Verdana"/>
          <w:spacing w:val="1"/>
          <w:sz w:val="20"/>
          <w:szCs w:val="20"/>
        </w:rPr>
        <w:t>gur</w:t>
      </w:r>
      <w:r w:rsidRPr="0001748B">
        <w:rPr>
          <w:rFonts w:eastAsia="Verdana" w:cs="Verdana"/>
          <w:sz w:val="20"/>
          <w:szCs w:val="20"/>
        </w:rPr>
        <w:t xml:space="preserve"> </w:t>
      </w:r>
      <w:r w:rsidRPr="0001748B">
        <w:rPr>
          <w:rFonts w:eastAsia="Verdana" w:cs="Verdana"/>
          <w:spacing w:val="1"/>
          <w:sz w:val="20"/>
          <w:szCs w:val="20"/>
        </w:rPr>
        <w:t>q</w:t>
      </w:r>
      <w:r w:rsidRPr="0001748B">
        <w:rPr>
          <w:rFonts w:eastAsia="Verdana" w:cs="Verdana"/>
          <w:spacing w:val="4"/>
          <w:sz w:val="20"/>
          <w:szCs w:val="20"/>
        </w:rPr>
        <w:t>u</w:t>
      </w:r>
      <w:r w:rsidRPr="0001748B">
        <w:rPr>
          <w:rFonts w:eastAsia="Verdana" w:cs="Verdana"/>
          <w:sz w:val="20"/>
          <w:szCs w:val="20"/>
        </w:rPr>
        <w:t>e</w:t>
      </w:r>
      <w:r w:rsidRPr="0001748B">
        <w:rPr>
          <w:rFonts w:eastAsia="Verdana" w:cs="Verdana"/>
          <w:spacing w:val="7"/>
          <w:sz w:val="20"/>
          <w:szCs w:val="20"/>
        </w:rPr>
        <w:t xml:space="preserve"> </w:t>
      </w:r>
      <w:r w:rsidRPr="0001748B">
        <w:rPr>
          <w:rFonts w:eastAsia="Verdana" w:cs="Verdana"/>
          <w:spacing w:val="9"/>
          <w:sz w:val="20"/>
          <w:szCs w:val="20"/>
        </w:rPr>
        <w:t xml:space="preserve">todos los órganos del sistema de justicia involucrados en el caso </w:t>
      </w:r>
      <w:r w:rsidRPr="0001748B">
        <w:rPr>
          <w:rFonts w:eastAsia="Verdana" w:cs="Verdana"/>
          <w:spacing w:val="-1"/>
          <w:sz w:val="20"/>
          <w:szCs w:val="20"/>
        </w:rPr>
        <w:t>c</w:t>
      </w:r>
      <w:r w:rsidRPr="0001748B">
        <w:rPr>
          <w:rFonts w:eastAsia="Verdana" w:cs="Verdana"/>
          <w:spacing w:val="1"/>
          <w:sz w:val="20"/>
          <w:szCs w:val="20"/>
        </w:rPr>
        <w:t>uent</w:t>
      </w:r>
      <w:r w:rsidRPr="0001748B">
        <w:rPr>
          <w:rFonts w:eastAsia="Verdana" w:cs="Verdana"/>
          <w:sz w:val="20"/>
          <w:szCs w:val="20"/>
        </w:rPr>
        <w:t>en</w:t>
      </w:r>
      <w:r w:rsidRPr="0001748B">
        <w:rPr>
          <w:rFonts w:eastAsia="Verdana" w:cs="Verdana"/>
          <w:spacing w:val="2"/>
          <w:sz w:val="20"/>
          <w:szCs w:val="20"/>
        </w:rPr>
        <w:t xml:space="preserve"> c</w:t>
      </w:r>
      <w:r w:rsidRPr="0001748B">
        <w:rPr>
          <w:rFonts w:eastAsia="Verdana" w:cs="Verdana"/>
          <w:spacing w:val="-1"/>
          <w:sz w:val="20"/>
          <w:szCs w:val="20"/>
        </w:rPr>
        <w:t>o</w:t>
      </w:r>
      <w:r w:rsidRPr="0001748B">
        <w:rPr>
          <w:rFonts w:eastAsia="Verdana" w:cs="Verdana"/>
          <w:sz w:val="20"/>
          <w:szCs w:val="20"/>
        </w:rPr>
        <w:t>n</w:t>
      </w:r>
      <w:r w:rsidRPr="0001748B">
        <w:rPr>
          <w:rFonts w:eastAsia="Verdana" w:cs="Verdana"/>
          <w:spacing w:val="7"/>
          <w:sz w:val="20"/>
          <w:szCs w:val="20"/>
        </w:rPr>
        <w:t xml:space="preserve"> </w:t>
      </w:r>
      <w:r w:rsidRPr="0001748B">
        <w:rPr>
          <w:rFonts w:eastAsia="Verdana" w:cs="Verdana"/>
          <w:spacing w:val="3"/>
          <w:sz w:val="20"/>
          <w:szCs w:val="20"/>
        </w:rPr>
        <w:t>l</w:t>
      </w:r>
      <w:r w:rsidRPr="0001748B">
        <w:rPr>
          <w:rFonts w:eastAsia="Verdana" w:cs="Verdana"/>
          <w:spacing w:val="-1"/>
          <w:sz w:val="20"/>
          <w:szCs w:val="20"/>
        </w:rPr>
        <w:t>o</w:t>
      </w:r>
      <w:r w:rsidRPr="0001748B">
        <w:rPr>
          <w:rFonts w:eastAsia="Verdana" w:cs="Verdana"/>
          <w:sz w:val="20"/>
          <w:szCs w:val="20"/>
        </w:rPr>
        <w:t>s</w:t>
      </w:r>
      <w:r w:rsidRPr="0001748B">
        <w:rPr>
          <w:rFonts w:eastAsia="Verdana" w:cs="Verdana"/>
          <w:spacing w:val="9"/>
          <w:sz w:val="20"/>
          <w:szCs w:val="20"/>
        </w:rPr>
        <w:t xml:space="preserve"> </w:t>
      </w:r>
      <w:r w:rsidRPr="0001748B">
        <w:rPr>
          <w:rFonts w:eastAsia="Verdana" w:cs="Verdana"/>
          <w:spacing w:val="-1"/>
          <w:sz w:val="20"/>
          <w:szCs w:val="20"/>
        </w:rPr>
        <w:t>r</w:t>
      </w:r>
      <w:r w:rsidRPr="0001748B">
        <w:rPr>
          <w:rFonts w:eastAsia="Verdana" w:cs="Verdana"/>
          <w:spacing w:val="1"/>
          <w:sz w:val="20"/>
          <w:szCs w:val="20"/>
        </w:rPr>
        <w:t>e</w:t>
      </w:r>
      <w:r w:rsidRPr="0001748B">
        <w:rPr>
          <w:rFonts w:eastAsia="Verdana" w:cs="Verdana"/>
          <w:spacing w:val="-1"/>
          <w:sz w:val="20"/>
          <w:szCs w:val="20"/>
        </w:rPr>
        <w:t>c</w:t>
      </w:r>
      <w:r w:rsidRPr="0001748B">
        <w:rPr>
          <w:rFonts w:eastAsia="Verdana" w:cs="Verdana"/>
          <w:spacing w:val="1"/>
          <w:sz w:val="20"/>
          <w:szCs w:val="20"/>
        </w:rPr>
        <w:t>u</w:t>
      </w:r>
      <w:r w:rsidRPr="0001748B">
        <w:rPr>
          <w:rFonts w:eastAsia="Verdana" w:cs="Verdana"/>
          <w:spacing w:val="-1"/>
          <w:sz w:val="20"/>
          <w:szCs w:val="20"/>
        </w:rPr>
        <w:t>r</w:t>
      </w:r>
      <w:r w:rsidRPr="0001748B">
        <w:rPr>
          <w:rFonts w:eastAsia="Verdana" w:cs="Verdana"/>
          <w:spacing w:val="2"/>
          <w:sz w:val="20"/>
          <w:szCs w:val="20"/>
        </w:rPr>
        <w:t>s</w:t>
      </w:r>
      <w:r w:rsidRPr="0001748B">
        <w:rPr>
          <w:rFonts w:eastAsia="Verdana" w:cs="Verdana"/>
          <w:spacing w:val="-1"/>
          <w:sz w:val="20"/>
          <w:szCs w:val="20"/>
        </w:rPr>
        <w:t xml:space="preserve">os </w:t>
      </w:r>
      <w:r w:rsidRPr="0001748B">
        <w:rPr>
          <w:rFonts w:eastAsia="Verdana" w:cs="Verdana"/>
          <w:spacing w:val="1"/>
          <w:sz w:val="20"/>
          <w:szCs w:val="20"/>
        </w:rPr>
        <w:t>hum</w:t>
      </w:r>
      <w:r w:rsidRPr="0001748B">
        <w:rPr>
          <w:rFonts w:eastAsia="Verdana" w:cs="Verdana"/>
          <w:sz w:val="20"/>
          <w:szCs w:val="20"/>
        </w:rPr>
        <w:t>a</w:t>
      </w:r>
      <w:r w:rsidRPr="0001748B">
        <w:rPr>
          <w:rFonts w:eastAsia="Verdana" w:cs="Verdana"/>
          <w:spacing w:val="1"/>
          <w:sz w:val="20"/>
          <w:szCs w:val="20"/>
        </w:rPr>
        <w:t>n</w:t>
      </w:r>
      <w:r w:rsidRPr="0001748B">
        <w:rPr>
          <w:rFonts w:eastAsia="Verdana" w:cs="Verdana"/>
          <w:spacing w:val="-1"/>
          <w:sz w:val="20"/>
          <w:szCs w:val="20"/>
        </w:rPr>
        <w:t>o</w:t>
      </w:r>
      <w:r w:rsidRPr="0001748B">
        <w:rPr>
          <w:rFonts w:eastAsia="Verdana" w:cs="Verdana"/>
          <w:sz w:val="20"/>
          <w:szCs w:val="20"/>
        </w:rPr>
        <w:t>s</w:t>
      </w:r>
      <w:r w:rsidRPr="0001748B">
        <w:rPr>
          <w:rFonts w:eastAsia="Verdana" w:cs="Verdana"/>
          <w:spacing w:val="3"/>
          <w:sz w:val="20"/>
          <w:szCs w:val="20"/>
        </w:rPr>
        <w:t xml:space="preserve"> </w:t>
      </w:r>
      <w:r w:rsidRPr="0001748B">
        <w:rPr>
          <w:rFonts w:eastAsia="Verdana" w:cs="Verdana"/>
          <w:sz w:val="20"/>
          <w:szCs w:val="20"/>
        </w:rPr>
        <w:t>y</w:t>
      </w:r>
      <w:r w:rsidRPr="0001748B">
        <w:rPr>
          <w:rFonts w:eastAsia="Verdana" w:cs="Verdana"/>
          <w:spacing w:val="12"/>
          <w:sz w:val="20"/>
          <w:szCs w:val="20"/>
        </w:rPr>
        <w:t xml:space="preserve"> </w:t>
      </w:r>
      <w:r w:rsidRPr="0001748B">
        <w:rPr>
          <w:rFonts w:eastAsia="Verdana" w:cs="Verdana"/>
          <w:spacing w:val="1"/>
          <w:sz w:val="20"/>
          <w:szCs w:val="20"/>
        </w:rPr>
        <w:t>m</w:t>
      </w:r>
      <w:r w:rsidRPr="0001748B">
        <w:rPr>
          <w:rFonts w:eastAsia="Verdana" w:cs="Verdana"/>
          <w:sz w:val="20"/>
          <w:szCs w:val="20"/>
        </w:rPr>
        <w:t>a</w:t>
      </w:r>
      <w:r w:rsidRPr="0001748B">
        <w:rPr>
          <w:rFonts w:eastAsia="Verdana" w:cs="Verdana"/>
          <w:spacing w:val="1"/>
          <w:sz w:val="20"/>
          <w:szCs w:val="20"/>
        </w:rPr>
        <w:t>t</w:t>
      </w:r>
      <w:r w:rsidRPr="0001748B">
        <w:rPr>
          <w:rFonts w:eastAsia="Verdana" w:cs="Verdana"/>
          <w:spacing w:val="-1"/>
          <w:sz w:val="20"/>
          <w:szCs w:val="20"/>
        </w:rPr>
        <w:t>er</w:t>
      </w:r>
      <w:r w:rsidRPr="0001748B">
        <w:rPr>
          <w:rFonts w:eastAsia="Verdana" w:cs="Verdana"/>
          <w:spacing w:val="3"/>
          <w:sz w:val="20"/>
          <w:szCs w:val="20"/>
        </w:rPr>
        <w:t>i</w:t>
      </w:r>
      <w:r w:rsidRPr="0001748B">
        <w:rPr>
          <w:rFonts w:eastAsia="Verdana" w:cs="Verdana"/>
          <w:sz w:val="20"/>
          <w:szCs w:val="20"/>
        </w:rPr>
        <w:t>a</w:t>
      </w:r>
      <w:r w:rsidRPr="0001748B">
        <w:rPr>
          <w:rFonts w:eastAsia="Verdana" w:cs="Verdana"/>
          <w:spacing w:val="3"/>
          <w:sz w:val="20"/>
          <w:szCs w:val="20"/>
        </w:rPr>
        <w:t>l</w:t>
      </w:r>
      <w:r w:rsidRPr="0001748B">
        <w:rPr>
          <w:rFonts w:eastAsia="Verdana" w:cs="Verdana"/>
          <w:spacing w:val="-1"/>
          <w:sz w:val="20"/>
          <w:szCs w:val="20"/>
        </w:rPr>
        <w:t>e</w:t>
      </w:r>
      <w:r w:rsidRPr="0001748B">
        <w:rPr>
          <w:rFonts w:eastAsia="Verdana" w:cs="Verdana"/>
          <w:sz w:val="20"/>
          <w:szCs w:val="20"/>
        </w:rPr>
        <w:t xml:space="preserve">s </w:t>
      </w:r>
      <w:r w:rsidRPr="0001748B">
        <w:rPr>
          <w:rFonts w:eastAsia="Verdana" w:cs="Verdana"/>
          <w:spacing w:val="1"/>
          <w:sz w:val="20"/>
          <w:szCs w:val="20"/>
        </w:rPr>
        <w:t>n</w:t>
      </w:r>
      <w:r w:rsidRPr="0001748B">
        <w:rPr>
          <w:rFonts w:eastAsia="Verdana" w:cs="Verdana"/>
          <w:spacing w:val="-1"/>
          <w:sz w:val="20"/>
          <w:szCs w:val="20"/>
        </w:rPr>
        <w:t>ec</w:t>
      </w:r>
      <w:r w:rsidRPr="0001748B">
        <w:rPr>
          <w:rFonts w:eastAsia="Verdana" w:cs="Verdana"/>
          <w:spacing w:val="1"/>
          <w:sz w:val="20"/>
          <w:szCs w:val="20"/>
        </w:rPr>
        <w:t>e</w:t>
      </w:r>
      <w:r w:rsidRPr="0001748B">
        <w:rPr>
          <w:rFonts w:eastAsia="Verdana" w:cs="Verdana"/>
          <w:spacing w:val="-1"/>
          <w:sz w:val="20"/>
          <w:szCs w:val="20"/>
        </w:rPr>
        <w:t>s</w:t>
      </w:r>
      <w:r w:rsidRPr="0001748B">
        <w:rPr>
          <w:rFonts w:eastAsia="Verdana" w:cs="Verdana"/>
          <w:sz w:val="20"/>
          <w:szCs w:val="20"/>
        </w:rPr>
        <w:t>a</w:t>
      </w:r>
      <w:r w:rsidRPr="0001748B">
        <w:rPr>
          <w:rFonts w:eastAsia="Verdana" w:cs="Verdana"/>
          <w:spacing w:val="-1"/>
          <w:sz w:val="20"/>
          <w:szCs w:val="20"/>
        </w:rPr>
        <w:t>r</w:t>
      </w:r>
      <w:r w:rsidRPr="0001748B">
        <w:rPr>
          <w:rFonts w:eastAsia="Verdana" w:cs="Verdana"/>
          <w:spacing w:val="3"/>
          <w:sz w:val="20"/>
          <w:szCs w:val="20"/>
        </w:rPr>
        <w:t>i</w:t>
      </w:r>
      <w:r w:rsidRPr="0001748B">
        <w:rPr>
          <w:rFonts w:eastAsia="Verdana" w:cs="Verdana"/>
          <w:spacing w:val="-1"/>
          <w:sz w:val="20"/>
          <w:szCs w:val="20"/>
        </w:rPr>
        <w:t>o</w:t>
      </w:r>
      <w:r w:rsidRPr="0001748B">
        <w:rPr>
          <w:rFonts w:eastAsia="Verdana" w:cs="Verdana"/>
          <w:sz w:val="20"/>
          <w:szCs w:val="20"/>
        </w:rPr>
        <w:t>s</w:t>
      </w:r>
      <w:r w:rsidRPr="0001748B">
        <w:rPr>
          <w:rFonts w:eastAsia="Verdana" w:cs="Verdana"/>
          <w:spacing w:val="2"/>
          <w:sz w:val="20"/>
          <w:szCs w:val="20"/>
        </w:rPr>
        <w:t xml:space="preserve"> </w:t>
      </w:r>
      <w:r w:rsidRPr="0001748B">
        <w:rPr>
          <w:rFonts w:eastAsia="Verdana" w:cs="Verdana"/>
          <w:spacing w:val="1"/>
          <w:sz w:val="20"/>
          <w:szCs w:val="20"/>
        </w:rPr>
        <w:t>p</w:t>
      </w:r>
      <w:r w:rsidRPr="0001748B">
        <w:rPr>
          <w:rFonts w:eastAsia="Verdana" w:cs="Verdana"/>
          <w:sz w:val="20"/>
          <w:szCs w:val="20"/>
        </w:rPr>
        <w:t>a</w:t>
      </w:r>
      <w:r w:rsidRPr="0001748B">
        <w:rPr>
          <w:rFonts w:eastAsia="Verdana" w:cs="Verdana"/>
          <w:spacing w:val="1"/>
          <w:sz w:val="20"/>
          <w:szCs w:val="20"/>
        </w:rPr>
        <w:t>r</w:t>
      </w:r>
      <w:r w:rsidRPr="0001748B">
        <w:rPr>
          <w:rFonts w:eastAsia="Verdana" w:cs="Verdana"/>
          <w:sz w:val="20"/>
          <w:szCs w:val="20"/>
        </w:rPr>
        <w:t>a</w:t>
      </w:r>
      <w:r w:rsidRPr="0001748B">
        <w:rPr>
          <w:rFonts w:eastAsia="Verdana" w:cs="Verdana"/>
          <w:spacing w:val="9"/>
          <w:sz w:val="20"/>
          <w:szCs w:val="20"/>
        </w:rPr>
        <w:t xml:space="preserve"> desempeñar sus tareas de manera adecuada, independiente e imparcial, así como que el Estado asegure </w:t>
      </w:r>
      <w:r w:rsidRPr="0001748B">
        <w:rPr>
          <w:rFonts w:eastAsia="Verdana" w:cs="Verdana"/>
          <w:spacing w:val="1"/>
          <w:sz w:val="20"/>
          <w:szCs w:val="20"/>
        </w:rPr>
        <w:t>qu</w:t>
      </w:r>
      <w:r w:rsidRPr="0001748B">
        <w:rPr>
          <w:rFonts w:eastAsia="Verdana" w:cs="Verdana"/>
          <w:sz w:val="20"/>
          <w:szCs w:val="20"/>
        </w:rPr>
        <w:t>e</w:t>
      </w:r>
      <w:r w:rsidRPr="0001748B">
        <w:rPr>
          <w:rFonts w:eastAsia="Verdana" w:cs="Verdana"/>
          <w:spacing w:val="6"/>
          <w:sz w:val="20"/>
          <w:szCs w:val="20"/>
        </w:rPr>
        <w:t xml:space="preserve"> </w:t>
      </w:r>
      <w:r w:rsidRPr="0001748B">
        <w:rPr>
          <w:rFonts w:eastAsia="Verdana" w:cs="Verdana"/>
          <w:spacing w:val="3"/>
          <w:sz w:val="20"/>
          <w:szCs w:val="20"/>
        </w:rPr>
        <w:t>l</w:t>
      </w:r>
      <w:r w:rsidRPr="0001748B">
        <w:rPr>
          <w:rFonts w:eastAsia="Verdana" w:cs="Verdana"/>
          <w:sz w:val="20"/>
          <w:szCs w:val="20"/>
        </w:rPr>
        <w:t>as</w:t>
      </w:r>
      <w:r w:rsidRPr="0001748B">
        <w:rPr>
          <w:rFonts w:eastAsia="Verdana" w:cs="Verdana"/>
          <w:spacing w:val="10"/>
          <w:sz w:val="20"/>
          <w:szCs w:val="20"/>
        </w:rPr>
        <w:t xml:space="preserve"> </w:t>
      </w:r>
      <w:r w:rsidRPr="0001748B">
        <w:rPr>
          <w:rFonts w:eastAsia="Verdana" w:cs="Verdana"/>
          <w:spacing w:val="1"/>
          <w:sz w:val="20"/>
          <w:szCs w:val="20"/>
        </w:rPr>
        <w:t>p</w:t>
      </w:r>
      <w:r w:rsidRPr="0001748B">
        <w:rPr>
          <w:rFonts w:eastAsia="Verdana" w:cs="Verdana"/>
          <w:spacing w:val="-1"/>
          <w:sz w:val="20"/>
          <w:szCs w:val="20"/>
        </w:rPr>
        <w:t>erso</w:t>
      </w:r>
      <w:r w:rsidRPr="0001748B">
        <w:rPr>
          <w:rFonts w:eastAsia="Verdana" w:cs="Verdana"/>
          <w:spacing w:val="1"/>
          <w:sz w:val="20"/>
          <w:szCs w:val="20"/>
        </w:rPr>
        <w:t>n</w:t>
      </w:r>
      <w:r w:rsidRPr="0001748B">
        <w:rPr>
          <w:rFonts w:eastAsia="Verdana" w:cs="Verdana"/>
          <w:spacing w:val="3"/>
          <w:sz w:val="20"/>
          <w:szCs w:val="20"/>
        </w:rPr>
        <w:t>a</w:t>
      </w:r>
      <w:r w:rsidRPr="0001748B">
        <w:rPr>
          <w:rFonts w:eastAsia="Verdana" w:cs="Verdana"/>
          <w:sz w:val="20"/>
          <w:szCs w:val="20"/>
        </w:rPr>
        <w:t>s</w:t>
      </w:r>
      <w:r w:rsidRPr="0001748B">
        <w:rPr>
          <w:rFonts w:eastAsia="Verdana" w:cs="Verdana"/>
          <w:spacing w:val="6"/>
          <w:sz w:val="20"/>
          <w:szCs w:val="20"/>
        </w:rPr>
        <w:t xml:space="preserve"> </w:t>
      </w:r>
      <w:r w:rsidRPr="0001748B">
        <w:rPr>
          <w:rFonts w:eastAsia="Verdana" w:cs="Verdana"/>
          <w:spacing w:val="1"/>
          <w:sz w:val="20"/>
          <w:szCs w:val="20"/>
        </w:rPr>
        <w:t>qu</w:t>
      </w:r>
      <w:r w:rsidRPr="0001748B">
        <w:rPr>
          <w:rFonts w:eastAsia="Verdana" w:cs="Verdana"/>
          <w:sz w:val="20"/>
          <w:szCs w:val="20"/>
        </w:rPr>
        <w:t>e</w:t>
      </w:r>
      <w:r w:rsidRPr="0001748B">
        <w:rPr>
          <w:rFonts w:eastAsia="Verdana" w:cs="Verdana"/>
          <w:spacing w:val="9"/>
          <w:sz w:val="20"/>
          <w:szCs w:val="20"/>
        </w:rPr>
        <w:t xml:space="preserve"> </w:t>
      </w:r>
      <w:r w:rsidRPr="0001748B">
        <w:rPr>
          <w:rFonts w:eastAsia="Verdana" w:cs="Verdana"/>
          <w:spacing w:val="1"/>
          <w:sz w:val="20"/>
          <w:szCs w:val="20"/>
        </w:rPr>
        <w:t>p</w:t>
      </w:r>
      <w:r w:rsidRPr="0001748B">
        <w:rPr>
          <w:rFonts w:eastAsia="Verdana" w:cs="Verdana"/>
          <w:sz w:val="20"/>
          <w:szCs w:val="20"/>
        </w:rPr>
        <w:t>a</w:t>
      </w:r>
      <w:r w:rsidRPr="0001748B">
        <w:rPr>
          <w:rFonts w:eastAsia="Verdana" w:cs="Verdana"/>
          <w:spacing w:val="-1"/>
          <w:sz w:val="20"/>
          <w:szCs w:val="20"/>
        </w:rPr>
        <w:t>r</w:t>
      </w:r>
      <w:r w:rsidRPr="0001748B">
        <w:rPr>
          <w:rFonts w:eastAsia="Verdana" w:cs="Verdana"/>
          <w:spacing w:val="1"/>
          <w:sz w:val="20"/>
          <w:szCs w:val="20"/>
        </w:rPr>
        <w:t>t</w:t>
      </w:r>
      <w:r w:rsidRPr="0001748B">
        <w:rPr>
          <w:rFonts w:eastAsia="Verdana" w:cs="Verdana"/>
          <w:spacing w:val="3"/>
          <w:sz w:val="20"/>
          <w:szCs w:val="20"/>
        </w:rPr>
        <w:t>i</w:t>
      </w:r>
      <w:r w:rsidRPr="0001748B">
        <w:rPr>
          <w:rFonts w:eastAsia="Verdana" w:cs="Verdana"/>
          <w:spacing w:val="-3"/>
          <w:sz w:val="20"/>
          <w:szCs w:val="20"/>
        </w:rPr>
        <w:t>c</w:t>
      </w:r>
      <w:r w:rsidRPr="0001748B">
        <w:rPr>
          <w:rFonts w:eastAsia="Verdana" w:cs="Verdana"/>
          <w:spacing w:val="3"/>
          <w:sz w:val="20"/>
          <w:szCs w:val="20"/>
        </w:rPr>
        <w:t>i</w:t>
      </w:r>
      <w:r w:rsidRPr="0001748B">
        <w:rPr>
          <w:rFonts w:eastAsia="Verdana" w:cs="Verdana"/>
          <w:spacing w:val="1"/>
          <w:sz w:val="20"/>
          <w:szCs w:val="20"/>
        </w:rPr>
        <w:t>p</w:t>
      </w:r>
      <w:r w:rsidRPr="0001748B">
        <w:rPr>
          <w:rFonts w:eastAsia="Verdana" w:cs="Verdana"/>
          <w:spacing w:val="-1"/>
          <w:sz w:val="20"/>
          <w:szCs w:val="20"/>
        </w:rPr>
        <w:t>e</w:t>
      </w:r>
      <w:r w:rsidRPr="0001748B">
        <w:rPr>
          <w:rFonts w:eastAsia="Verdana" w:cs="Verdana"/>
          <w:sz w:val="20"/>
          <w:szCs w:val="20"/>
        </w:rPr>
        <w:t>n</w:t>
      </w:r>
      <w:r w:rsidRPr="0001748B">
        <w:rPr>
          <w:rFonts w:eastAsia="Verdana" w:cs="Verdana"/>
          <w:spacing w:val="5"/>
          <w:sz w:val="20"/>
          <w:szCs w:val="20"/>
        </w:rPr>
        <w:t xml:space="preserve"> </w:t>
      </w:r>
      <w:r w:rsidRPr="0001748B">
        <w:rPr>
          <w:rFonts w:eastAsia="Verdana" w:cs="Verdana"/>
          <w:spacing w:val="-1"/>
          <w:sz w:val="20"/>
          <w:szCs w:val="20"/>
        </w:rPr>
        <w:t>e</w:t>
      </w:r>
      <w:r w:rsidRPr="0001748B">
        <w:rPr>
          <w:rFonts w:eastAsia="Verdana" w:cs="Verdana"/>
          <w:sz w:val="20"/>
          <w:szCs w:val="20"/>
        </w:rPr>
        <w:t>n</w:t>
      </w:r>
      <w:r w:rsidRPr="0001748B">
        <w:rPr>
          <w:rFonts w:eastAsia="Verdana" w:cs="Verdana"/>
          <w:spacing w:val="12"/>
          <w:sz w:val="20"/>
          <w:szCs w:val="20"/>
        </w:rPr>
        <w:t xml:space="preserve"> </w:t>
      </w:r>
      <w:r w:rsidRPr="0001748B">
        <w:rPr>
          <w:rFonts w:eastAsia="Verdana" w:cs="Verdana"/>
          <w:spacing w:val="-4"/>
          <w:sz w:val="20"/>
          <w:szCs w:val="20"/>
        </w:rPr>
        <w:t>e</w:t>
      </w:r>
      <w:r w:rsidRPr="0001748B">
        <w:rPr>
          <w:rFonts w:eastAsia="Verdana" w:cs="Verdana"/>
          <w:sz w:val="20"/>
          <w:szCs w:val="20"/>
        </w:rPr>
        <w:t xml:space="preserve">l </w:t>
      </w:r>
      <w:r w:rsidRPr="0001748B">
        <w:rPr>
          <w:rFonts w:eastAsia="Verdana" w:cs="Verdana"/>
          <w:spacing w:val="1"/>
          <w:sz w:val="20"/>
          <w:szCs w:val="20"/>
        </w:rPr>
        <w:t>p</w:t>
      </w:r>
      <w:r w:rsidRPr="0001748B">
        <w:rPr>
          <w:rFonts w:eastAsia="Verdana" w:cs="Verdana"/>
          <w:spacing w:val="-1"/>
          <w:sz w:val="20"/>
          <w:szCs w:val="20"/>
        </w:rPr>
        <w:t>ro</w:t>
      </w:r>
      <w:r w:rsidRPr="0001748B">
        <w:rPr>
          <w:rFonts w:eastAsia="Verdana" w:cs="Verdana"/>
          <w:spacing w:val="2"/>
          <w:sz w:val="20"/>
          <w:szCs w:val="20"/>
        </w:rPr>
        <w:t>c</w:t>
      </w:r>
      <w:r w:rsidRPr="0001748B">
        <w:rPr>
          <w:rFonts w:eastAsia="Verdana" w:cs="Verdana"/>
          <w:spacing w:val="1"/>
          <w:sz w:val="20"/>
          <w:szCs w:val="20"/>
        </w:rPr>
        <w:t>e</w:t>
      </w:r>
      <w:r w:rsidRPr="0001748B">
        <w:rPr>
          <w:rFonts w:eastAsia="Verdana" w:cs="Verdana"/>
          <w:spacing w:val="-1"/>
          <w:sz w:val="20"/>
          <w:szCs w:val="20"/>
        </w:rPr>
        <w:t>s</w:t>
      </w:r>
      <w:r w:rsidRPr="0001748B">
        <w:rPr>
          <w:rFonts w:eastAsia="Verdana" w:cs="Verdana"/>
          <w:sz w:val="20"/>
          <w:szCs w:val="20"/>
        </w:rPr>
        <w:t>o</w:t>
      </w:r>
      <w:r w:rsidRPr="0001748B">
        <w:rPr>
          <w:rFonts w:eastAsia="Verdana" w:cs="Verdana"/>
          <w:spacing w:val="-8"/>
          <w:sz w:val="20"/>
          <w:szCs w:val="20"/>
        </w:rPr>
        <w:t xml:space="preserve"> </w:t>
      </w:r>
      <w:r w:rsidRPr="0001748B">
        <w:rPr>
          <w:rFonts w:eastAsia="Verdana" w:cs="Verdana"/>
          <w:spacing w:val="-1"/>
          <w:sz w:val="20"/>
          <w:szCs w:val="20"/>
        </w:rPr>
        <w:t>c</w:t>
      </w:r>
      <w:r w:rsidRPr="0001748B">
        <w:rPr>
          <w:rFonts w:eastAsia="Verdana" w:cs="Verdana"/>
          <w:spacing w:val="1"/>
          <w:sz w:val="20"/>
          <w:szCs w:val="20"/>
        </w:rPr>
        <w:t>u</w:t>
      </w:r>
      <w:r w:rsidRPr="0001748B">
        <w:rPr>
          <w:rFonts w:eastAsia="Verdana" w:cs="Verdana"/>
          <w:spacing w:val="-1"/>
          <w:sz w:val="20"/>
          <w:szCs w:val="20"/>
        </w:rPr>
        <w:t>e</w:t>
      </w:r>
      <w:r w:rsidRPr="0001748B">
        <w:rPr>
          <w:rFonts w:eastAsia="Verdana" w:cs="Verdana"/>
          <w:spacing w:val="1"/>
          <w:sz w:val="20"/>
          <w:szCs w:val="20"/>
        </w:rPr>
        <w:t>nt</w:t>
      </w:r>
      <w:r w:rsidRPr="0001748B">
        <w:rPr>
          <w:rFonts w:eastAsia="Verdana" w:cs="Verdana"/>
          <w:spacing w:val="-1"/>
          <w:sz w:val="20"/>
          <w:szCs w:val="20"/>
        </w:rPr>
        <w:t>e</w:t>
      </w:r>
      <w:r w:rsidRPr="0001748B">
        <w:rPr>
          <w:rFonts w:eastAsia="Verdana" w:cs="Verdana"/>
          <w:sz w:val="20"/>
          <w:szCs w:val="20"/>
        </w:rPr>
        <w:t>n</w:t>
      </w:r>
      <w:r w:rsidRPr="0001748B">
        <w:rPr>
          <w:rFonts w:eastAsia="Verdana" w:cs="Verdana"/>
          <w:spacing w:val="-5"/>
          <w:sz w:val="20"/>
          <w:szCs w:val="20"/>
        </w:rPr>
        <w:t xml:space="preserve"> </w:t>
      </w:r>
      <w:r w:rsidRPr="0001748B">
        <w:rPr>
          <w:rFonts w:eastAsia="Verdana" w:cs="Verdana"/>
          <w:spacing w:val="2"/>
          <w:sz w:val="20"/>
          <w:szCs w:val="20"/>
        </w:rPr>
        <w:t>c</w:t>
      </w:r>
      <w:r w:rsidRPr="0001748B">
        <w:rPr>
          <w:rFonts w:eastAsia="Verdana" w:cs="Verdana"/>
          <w:spacing w:val="-1"/>
          <w:sz w:val="20"/>
          <w:szCs w:val="20"/>
        </w:rPr>
        <w:t>o</w:t>
      </w:r>
      <w:r w:rsidRPr="0001748B">
        <w:rPr>
          <w:rFonts w:eastAsia="Verdana" w:cs="Verdana"/>
          <w:sz w:val="20"/>
          <w:szCs w:val="20"/>
        </w:rPr>
        <w:t>n</w:t>
      </w:r>
      <w:r w:rsidRPr="0001748B">
        <w:rPr>
          <w:rFonts w:eastAsia="Verdana" w:cs="Verdana"/>
          <w:spacing w:val="-4"/>
          <w:sz w:val="20"/>
          <w:szCs w:val="20"/>
        </w:rPr>
        <w:t xml:space="preserve"> </w:t>
      </w:r>
      <w:r w:rsidRPr="0001748B">
        <w:rPr>
          <w:rFonts w:eastAsia="Verdana" w:cs="Verdana"/>
          <w:spacing w:val="3"/>
          <w:sz w:val="20"/>
          <w:szCs w:val="20"/>
        </w:rPr>
        <w:t>l</w:t>
      </w:r>
      <w:r w:rsidRPr="0001748B">
        <w:rPr>
          <w:rFonts w:eastAsia="Verdana" w:cs="Verdana"/>
          <w:sz w:val="20"/>
          <w:szCs w:val="20"/>
        </w:rPr>
        <w:t>as</w:t>
      </w:r>
      <w:r w:rsidRPr="0001748B">
        <w:rPr>
          <w:rFonts w:eastAsia="Verdana" w:cs="Verdana"/>
          <w:spacing w:val="-4"/>
          <w:sz w:val="20"/>
          <w:szCs w:val="20"/>
        </w:rPr>
        <w:t xml:space="preserve"> </w:t>
      </w:r>
      <w:r w:rsidRPr="0001748B">
        <w:rPr>
          <w:rFonts w:eastAsia="Verdana" w:cs="Verdana"/>
          <w:spacing w:val="1"/>
          <w:sz w:val="20"/>
          <w:szCs w:val="20"/>
        </w:rPr>
        <w:t>d</w:t>
      </w:r>
      <w:r w:rsidRPr="0001748B">
        <w:rPr>
          <w:rFonts w:eastAsia="Verdana" w:cs="Verdana"/>
          <w:spacing w:val="-1"/>
          <w:sz w:val="20"/>
          <w:szCs w:val="20"/>
        </w:rPr>
        <w:t>e</w:t>
      </w:r>
      <w:r w:rsidRPr="0001748B">
        <w:rPr>
          <w:rFonts w:eastAsia="Verdana" w:cs="Verdana"/>
          <w:spacing w:val="1"/>
          <w:sz w:val="20"/>
          <w:szCs w:val="20"/>
        </w:rPr>
        <w:t>b</w:t>
      </w:r>
      <w:r w:rsidRPr="0001748B">
        <w:rPr>
          <w:rFonts w:eastAsia="Verdana" w:cs="Verdana"/>
          <w:spacing w:val="3"/>
          <w:sz w:val="20"/>
          <w:szCs w:val="20"/>
        </w:rPr>
        <w:t>i</w:t>
      </w:r>
      <w:r w:rsidRPr="0001748B">
        <w:rPr>
          <w:rFonts w:eastAsia="Verdana" w:cs="Verdana"/>
          <w:spacing w:val="1"/>
          <w:sz w:val="20"/>
          <w:szCs w:val="20"/>
        </w:rPr>
        <w:t>d</w:t>
      </w:r>
      <w:r w:rsidRPr="0001748B">
        <w:rPr>
          <w:rFonts w:eastAsia="Verdana" w:cs="Verdana"/>
          <w:sz w:val="20"/>
          <w:szCs w:val="20"/>
        </w:rPr>
        <w:t>as</w:t>
      </w:r>
      <w:r w:rsidRPr="0001748B">
        <w:rPr>
          <w:rFonts w:eastAsia="Verdana" w:cs="Verdana"/>
          <w:spacing w:val="-9"/>
          <w:sz w:val="20"/>
          <w:szCs w:val="20"/>
        </w:rPr>
        <w:t xml:space="preserve"> </w:t>
      </w:r>
      <w:r w:rsidRPr="0001748B">
        <w:rPr>
          <w:rFonts w:eastAsia="Verdana" w:cs="Verdana"/>
          <w:spacing w:val="1"/>
          <w:sz w:val="20"/>
          <w:szCs w:val="20"/>
        </w:rPr>
        <w:t>g</w:t>
      </w:r>
      <w:r w:rsidRPr="0001748B">
        <w:rPr>
          <w:rFonts w:eastAsia="Verdana" w:cs="Verdana"/>
          <w:sz w:val="20"/>
          <w:szCs w:val="20"/>
        </w:rPr>
        <w:t>a</w:t>
      </w:r>
      <w:r w:rsidRPr="0001748B">
        <w:rPr>
          <w:rFonts w:eastAsia="Verdana" w:cs="Verdana"/>
          <w:spacing w:val="-1"/>
          <w:sz w:val="20"/>
          <w:szCs w:val="20"/>
        </w:rPr>
        <w:t>r</w:t>
      </w:r>
      <w:r w:rsidRPr="0001748B">
        <w:rPr>
          <w:rFonts w:eastAsia="Verdana" w:cs="Verdana"/>
          <w:sz w:val="20"/>
          <w:szCs w:val="20"/>
        </w:rPr>
        <w:t>a</w:t>
      </w:r>
      <w:r w:rsidRPr="0001748B">
        <w:rPr>
          <w:rFonts w:eastAsia="Verdana" w:cs="Verdana"/>
          <w:spacing w:val="1"/>
          <w:sz w:val="20"/>
          <w:szCs w:val="20"/>
        </w:rPr>
        <w:t>nt</w:t>
      </w:r>
      <w:r w:rsidRPr="0001748B">
        <w:rPr>
          <w:rFonts w:eastAsia="Verdana" w:cs="Verdana"/>
          <w:spacing w:val="3"/>
          <w:sz w:val="20"/>
          <w:szCs w:val="20"/>
        </w:rPr>
        <w:t>í</w:t>
      </w:r>
      <w:r w:rsidRPr="0001748B">
        <w:rPr>
          <w:rFonts w:eastAsia="Verdana" w:cs="Verdana"/>
          <w:sz w:val="20"/>
          <w:szCs w:val="20"/>
        </w:rPr>
        <w:t>as</w:t>
      </w:r>
      <w:r w:rsidRPr="0001748B">
        <w:rPr>
          <w:rFonts w:eastAsia="Verdana" w:cs="Verdana"/>
          <w:spacing w:val="-10"/>
          <w:sz w:val="20"/>
          <w:szCs w:val="20"/>
        </w:rPr>
        <w:t xml:space="preserve"> </w:t>
      </w:r>
      <w:r w:rsidRPr="0001748B">
        <w:rPr>
          <w:rFonts w:eastAsia="Verdana" w:cs="Verdana"/>
          <w:spacing w:val="1"/>
          <w:sz w:val="20"/>
          <w:szCs w:val="20"/>
        </w:rPr>
        <w:t>d</w:t>
      </w:r>
      <w:r w:rsidRPr="0001748B">
        <w:rPr>
          <w:rFonts w:eastAsia="Verdana" w:cs="Verdana"/>
          <w:sz w:val="20"/>
          <w:szCs w:val="20"/>
        </w:rPr>
        <w:t>e</w:t>
      </w:r>
      <w:r w:rsidRPr="0001748B">
        <w:rPr>
          <w:rFonts w:eastAsia="Verdana" w:cs="Verdana"/>
          <w:spacing w:val="-4"/>
          <w:sz w:val="20"/>
          <w:szCs w:val="20"/>
        </w:rPr>
        <w:t xml:space="preserve"> </w:t>
      </w:r>
      <w:r w:rsidRPr="0001748B">
        <w:rPr>
          <w:rFonts w:eastAsia="Verdana" w:cs="Verdana"/>
          <w:spacing w:val="2"/>
          <w:sz w:val="20"/>
          <w:szCs w:val="20"/>
        </w:rPr>
        <w:t>s</w:t>
      </w:r>
      <w:r w:rsidRPr="0001748B">
        <w:rPr>
          <w:rFonts w:eastAsia="Verdana" w:cs="Verdana"/>
          <w:spacing w:val="1"/>
          <w:sz w:val="20"/>
          <w:szCs w:val="20"/>
        </w:rPr>
        <w:t>egu</w:t>
      </w:r>
      <w:r w:rsidRPr="0001748B">
        <w:rPr>
          <w:rFonts w:eastAsia="Verdana" w:cs="Verdana"/>
          <w:spacing w:val="-1"/>
          <w:sz w:val="20"/>
          <w:szCs w:val="20"/>
        </w:rPr>
        <w:t>r</w:t>
      </w:r>
      <w:r w:rsidRPr="0001748B">
        <w:rPr>
          <w:rFonts w:eastAsia="Verdana" w:cs="Verdana"/>
          <w:spacing w:val="3"/>
          <w:sz w:val="20"/>
          <w:szCs w:val="20"/>
        </w:rPr>
        <w:t>i</w:t>
      </w:r>
      <w:r w:rsidRPr="0001748B">
        <w:rPr>
          <w:rFonts w:eastAsia="Verdana" w:cs="Verdana"/>
          <w:spacing w:val="1"/>
          <w:sz w:val="20"/>
          <w:szCs w:val="20"/>
        </w:rPr>
        <w:t>d</w:t>
      </w:r>
      <w:r w:rsidRPr="0001748B">
        <w:rPr>
          <w:rFonts w:eastAsia="Verdana" w:cs="Verdana"/>
          <w:sz w:val="20"/>
          <w:szCs w:val="20"/>
        </w:rPr>
        <w:t>a</w:t>
      </w:r>
      <w:r w:rsidRPr="0001748B">
        <w:rPr>
          <w:rFonts w:eastAsia="Verdana" w:cs="Verdana"/>
          <w:spacing w:val="1"/>
          <w:sz w:val="20"/>
          <w:szCs w:val="20"/>
        </w:rPr>
        <w:t>d</w:t>
      </w:r>
      <w:r w:rsidRPr="0001748B">
        <w:rPr>
          <w:rFonts w:eastAsia="Verdana" w:cs="Verdana"/>
          <w:sz w:val="20"/>
          <w:szCs w:val="20"/>
        </w:rPr>
        <w:t xml:space="preserve">. </w:t>
      </w:r>
      <w:r w:rsidRPr="0001748B">
        <w:rPr>
          <w:rFonts w:eastAsia="Verdana" w:cs="Verdana"/>
          <w:bCs/>
          <w:sz w:val="20"/>
          <w:szCs w:val="20"/>
        </w:rPr>
        <w:t xml:space="preserve">Asimismo, las representantes </w:t>
      </w:r>
      <w:r w:rsidR="00FC629F" w:rsidRPr="0001748B">
        <w:rPr>
          <w:rFonts w:eastAsia="Verdana" w:cs="Verdana"/>
          <w:bCs/>
          <w:sz w:val="20"/>
          <w:szCs w:val="20"/>
        </w:rPr>
        <w:t>solicitaron</w:t>
      </w:r>
      <w:r w:rsidRPr="0001748B">
        <w:rPr>
          <w:rFonts w:eastAsia="Verdana" w:cs="Verdana"/>
          <w:bCs/>
          <w:sz w:val="20"/>
          <w:szCs w:val="20"/>
        </w:rPr>
        <w:t xml:space="preserve"> que el Estado asegurara el pleno acceso y capacidad de actuar de los familiares en todas las etapas de investigación. Las representantes resaltaron el compromiso del Estado, declarado en la audiencia del caso, de no cesar hasta que los responsables sean juzgados y sancionados, lo cual señalan fue ratificado en la reunión realizada con posterioridad a la audiencia, entre los progenitores de </w:t>
      </w:r>
      <w:r w:rsidR="00DF510B">
        <w:rPr>
          <w:rFonts w:eastAsia="Verdana" w:cs="Verdana"/>
          <w:bCs/>
          <w:sz w:val="20"/>
          <w:szCs w:val="20"/>
        </w:rPr>
        <w:t>Johan Alexis Ortiz Hernández</w:t>
      </w:r>
      <w:r w:rsidRPr="0001748B">
        <w:rPr>
          <w:rFonts w:eastAsia="Verdana" w:cs="Verdana"/>
          <w:bCs/>
          <w:sz w:val="20"/>
          <w:szCs w:val="20"/>
        </w:rPr>
        <w:t xml:space="preserve"> y el Sub-Director con competencia en materia de Protección de Derechos Humanos Fundamentales, en representación del Estado. En dicha reunión el Estado se</w:t>
      </w:r>
      <w:r w:rsidR="00C563E0">
        <w:rPr>
          <w:rFonts w:eastAsia="Verdana" w:cs="Verdana"/>
          <w:bCs/>
          <w:sz w:val="20"/>
          <w:szCs w:val="20"/>
        </w:rPr>
        <w:t xml:space="preserve"> habría</w:t>
      </w:r>
      <w:r w:rsidRPr="0001748B">
        <w:rPr>
          <w:rFonts w:eastAsia="Verdana" w:cs="Verdana"/>
          <w:bCs/>
          <w:sz w:val="20"/>
          <w:szCs w:val="20"/>
        </w:rPr>
        <w:t xml:space="preserve"> comprometi</w:t>
      </w:r>
      <w:r w:rsidR="00C563E0">
        <w:rPr>
          <w:rFonts w:eastAsia="Verdana" w:cs="Verdana"/>
          <w:bCs/>
          <w:sz w:val="20"/>
          <w:szCs w:val="20"/>
        </w:rPr>
        <w:t>do</w:t>
      </w:r>
      <w:r w:rsidRPr="0001748B">
        <w:rPr>
          <w:rFonts w:eastAsia="Verdana" w:cs="Verdana"/>
          <w:bCs/>
          <w:sz w:val="20"/>
          <w:szCs w:val="20"/>
        </w:rPr>
        <w:t xml:space="preserve"> a “[revisar] el expediente con el propósito de verificar los elementos que pudieran existir con respecto a otras personas que t[uvieran] responsabilidad en el hecho”. Las representantes solicitaron que el Estado realice las investigaciones necesarias para capturar al imputado, así como las demás personas que podrían estar involucrados en la muerte de </w:t>
      </w:r>
      <w:r w:rsidR="00DF510B">
        <w:rPr>
          <w:rFonts w:eastAsia="Verdana" w:cs="Verdana"/>
          <w:bCs/>
          <w:sz w:val="20"/>
          <w:szCs w:val="20"/>
        </w:rPr>
        <w:t>Ortiz Hernández</w:t>
      </w:r>
      <w:r w:rsidRPr="0001748B">
        <w:rPr>
          <w:rFonts w:eastAsia="Verdana" w:cs="Verdana"/>
          <w:bCs/>
          <w:sz w:val="20"/>
          <w:szCs w:val="20"/>
        </w:rPr>
        <w:t>.</w:t>
      </w:r>
    </w:p>
    <w:p w:rsidR="001B626E" w:rsidRPr="0001748B" w:rsidRDefault="001B626E" w:rsidP="001B626E">
      <w:pPr>
        <w:tabs>
          <w:tab w:val="left" w:pos="0"/>
          <w:tab w:val="num" w:pos="11028"/>
        </w:tabs>
        <w:spacing w:line="240" w:lineRule="auto"/>
        <w:ind w:right="-90"/>
        <w:rPr>
          <w:rFonts w:eastAsia="Verdana" w:cs="Verdana"/>
          <w:b/>
          <w:bCs/>
          <w:sz w:val="16"/>
          <w:szCs w:val="16"/>
        </w:rPr>
      </w:pPr>
    </w:p>
    <w:p w:rsidR="001B626E" w:rsidRPr="0001748B" w:rsidRDefault="001B626E" w:rsidP="001B626E">
      <w:pPr>
        <w:numPr>
          <w:ilvl w:val="0"/>
          <w:numId w:val="1"/>
        </w:numPr>
        <w:tabs>
          <w:tab w:val="left" w:pos="567"/>
          <w:tab w:val="num" w:pos="5057"/>
        </w:tabs>
        <w:spacing w:line="240" w:lineRule="auto"/>
        <w:ind w:left="0" w:firstLine="0"/>
        <w:rPr>
          <w:b/>
          <w:sz w:val="20"/>
          <w:szCs w:val="20"/>
        </w:rPr>
      </w:pPr>
      <w:r w:rsidRPr="0001748B">
        <w:rPr>
          <w:rFonts w:eastAsia="MS Mincho"/>
          <w:sz w:val="20"/>
          <w:szCs w:val="20"/>
          <w:lang w:bidi="en-US"/>
        </w:rPr>
        <w:t>El</w:t>
      </w:r>
      <w:r w:rsidRPr="0001748B">
        <w:rPr>
          <w:sz w:val="20"/>
          <w:szCs w:val="20"/>
          <w:lang w:bidi="en-US"/>
        </w:rPr>
        <w:t xml:space="preserve"> </w:t>
      </w:r>
      <w:r w:rsidRPr="0001748B">
        <w:rPr>
          <w:b/>
          <w:i/>
          <w:sz w:val="20"/>
          <w:szCs w:val="20"/>
          <w:lang w:bidi="en-US"/>
        </w:rPr>
        <w:t>Estado</w:t>
      </w:r>
      <w:r w:rsidRPr="0001748B">
        <w:rPr>
          <w:sz w:val="20"/>
          <w:szCs w:val="20"/>
          <w:lang w:bidi="en-US"/>
        </w:rPr>
        <w:t xml:space="preserve"> manifestó que, </w:t>
      </w:r>
      <w:r w:rsidRPr="0001748B">
        <w:rPr>
          <w:rFonts w:eastAsia="MS Mincho"/>
          <w:sz w:val="20"/>
          <w:szCs w:val="20"/>
          <w:lang w:bidi="en-US"/>
        </w:rPr>
        <w:t>a la fecha, existía un proceso penal abierto en la jurisdicción ordinaria, el cual se encuentra en etapa intermedia y</w:t>
      </w:r>
      <w:r w:rsidR="007F0F47">
        <w:rPr>
          <w:rFonts w:eastAsia="MS Mincho"/>
          <w:sz w:val="20"/>
          <w:szCs w:val="20"/>
          <w:lang w:bidi="en-US"/>
        </w:rPr>
        <w:t xml:space="preserve"> a</w:t>
      </w:r>
      <w:r w:rsidRPr="0001748B">
        <w:rPr>
          <w:rFonts w:eastAsia="MS Mincho"/>
          <w:sz w:val="20"/>
          <w:szCs w:val="20"/>
          <w:lang w:bidi="en-US"/>
        </w:rPr>
        <w:t xml:space="preserve"> la espera de la realización de una audiencia preliminar, la que no ha podido realizarse en virtud de la reticencia y contumacia del acusado. El Estado indicó que se libró una orden de aprehensión del acusado y se difundió una alerta roja ante la Dirección de la Policía Internacional (I</w:t>
      </w:r>
      <w:r w:rsidR="00814D43">
        <w:rPr>
          <w:rFonts w:eastAsia="MS Mincho"/>
          <w:sz w:val="20"/>
          <w:szCs w:val="20"/>
          <w:lang w:bidi="en-US"/>
        </w:rPr>
        <w:t>NTERPOL</w:t>
      </w:r>
      <w:r w:rsidRPr="0001748B">
        <w:rPr>
          <w:rFonts w:eastAsia="MS Mincho"/>
          <w:sz w:val="20"/>
          <w:szCs w:val="20"/>
          <w:lang w:bidi="en-US"/>
        </w:rPr>
        <w:t>) para su arresto, el cual no ha podido ejecutarse hasta la fecha</w:t>
      </w:r>
      <w:r w:rsidR="00A6213A">
        <w:rPr>
          <w:rFonts w:eastAsia="MS Mincho"/>
          <w:sz w:val="20"/>
          <w:szCs w:val="20"/>
          <w:lang w:bidi="en-US"/>
        </w:rPr>
        <w:t>.</w:t>
      </w:r>
      <w:r w:rsidRPr="0001748B">
        <w:rPr>
          <w:rFonts w:eastAsia="MS Mincho"/>
          <w:sz w:val="20"/>
          <w:szCs w:val="20"/>
          <w:lang w:bidi="en-US"/>
        </w:rPr>
        <w:t xml:space="preserve"> Asimismo, el Estado señaló expresamente que “no cesará hasta que los responsables de la muerte de Johan Alexis Ortiz sean debidamente sancionados, de conformidad con el marco jurídico vigente en nuestro país”.</w:t>
      </w:r>
    </w:p>
    <w:p w:rsidR="001B626E" w:rsidRPr="0001748B" w:rsidRDefault="001B626E" w:rsidP="001B626E">
      <w:pPr>
        <w:tabs>
          <w:tab w:val="left" w:pos="0"/>
          <w:tab w:val="num" w:pos="11028"/>
        </w:tabs>
        <w:spacing w:line="240" w:lineRule="auto"/>
        <w:ind w:right="-90"/>
        <w:rPr>
          <w:b/>
          <w:sz w:val="20"/>
          <w:szCs w:val="20"/>
        </w:rPr>
      </w:pPr>
    </w:p>
    <w:p w:rsidR="001B626E" w:rsidRPr="0001748B" w:rsidRDefault="001B626E" w:rsidP="001B626E">
      <w:pPr>
        <w:numPr>
          <w:ilvl w:val="0"/>
          <w:numId w:val="1"/>
        </w:numPr>
        <w:tabs>
          <w:tab w:val="left" w:pos="567"/>
          <w:tab w:val="num" w:pos="5057"/>
        </w:tabs>
        <w:spacing w:line="240" w:lineRule="auto"/>
        <w:ind w:left="0" w:firstLine="0"/>
        <w:rPr>
          <w:rFonts w:cs="Verdana"/>
          <w:sz w:val="20"/>
          <w:szCs w:val="20"/>
        </w:rPr>
      </w:pPr>
      <w:r w:rsidRPr="0001748B">
        <w:rPr>
          <w:rFonts w:eastAsia="MS Mincho"/>
          <w:sz w:val="20"/>
          <w:szCs w:val="20"/>
          <w:lang w:bidi="en-US"/>
        </w:rPr>
        <w:t>Esta Corte destacó el reconocimiento de responsabilidad del Estado por la vulneración del plazo razonable debido a que</w:t>
      </w:r>
      <w:r w:rsidR="00CA22F9" w:rsidRPr="0001748B">
        <w:rPr>
          <w:rFonts w:eastAsia="MS Mincho"/>
          <w:sz w:val="20"/>
          <w:szCs w:val="20"/>
          <w:lang w:bidi="en-US"/>
        </w:rPr>
        <w:t>,</w:t>
      </w:r>
      <w:r w:rsidRPr="0001748B">
        <w:rPr>
          <w:rFonts w:eastAsia="MS Mincho"/>
          <w:sz w:val="20"/>
          <w:szCs w:val="20"/>
          <w:lang w:bidi="en-US"/>
        </w:rPr>
        <w:t xml:space="preserve"> luego de transcurridos 19 años de ocurridos los hechos</w:t>
      </w:r>
      <w:r w:rsidR="00CA22F9" w:rsidRPr="0001748B">
        <w:rPr>
          <w:rFonts w:eastAsia="MS Mincho"/>
          <w:sz w:val="20"/>
          <w:szCs w:val="20"/>
          <w:lang w:bidi="en-US"/>
        </w:rPr>
        <w:t>,</w:t>
      </w:r>
      <w:r w:rsidRPr="0001748B">
        <w:rPr>
          <w:rFonts w:eastAsia="MS Mincho"/>
          <w:sz w:val="20"/>
          <w:szCs w:val="20"/>
          <w:lang w:bidi="en-US"/>
        </w:rPr>
        <w:t xml:space="preserve"> no existe un pronunciamiento final sobre lo acontecido en relación con la muerte de Johan Alexis Ortiz Hernández y no </w:t>
      </w:r>
      <w:r w:rsidR="009104FE">
        <w:rPr>
          <w:rFonts w:eastAsia="MS Mincho"/>
          <w:sz w:val="20"/>
          <w:szCs w:val="20"/>
          <w:lang w:bidi="en-US"/>
        </w:rPr>
        <w:t>se ha brindado</w:t>
      </w:r>
      <w:r w:rsidR="009104FE" w:rsidRPr="0001748B">
        <w:rPr>
          <w:rFonts w:eastAsia="MS Mincho"/>
          <w:sz w:val="20"/>
          <w:szCs w:val="20"/>
          <w:lang w:bidi="en-US"/>
        </w:rPr>
        <w:t xml:space="preserve"> </w:t>
      </w:r>
      <w:r w:rsidRPr="0001748B">
        <w:rPr>
          <w:rFonts w:eastAsia="MS Mincho"/>
          <w:sz w:val="20"/>
          <w:szCs w:val="20"/>
          <w:lang w:bidi="en-US"/>
        </w:rPr>
        <w:t xml:space="preserve">una explicación satisfactoria </w:t>
      </w:r>
      <w:r w:rsidR="0055345D">
        <w:rPr>
          <w:rFonts w:eastAsia="MS Mincho"/>
          <w:sz w:val="20"/>
          <w:szCs w:val="20"/>
          <w:lang w:bidi="en-US"/>
        </w:rPr>
        <w:t xml:space="preserve">y convincente </w:t>
      </w:r>
      <w:r w:rsidRPr="0001748B">
        <w:rPr>
          <w:rFonts w:eastAsia="MS Mincho"/>
          <w:sz w:val="20"/>
          <w:szCs w:val="20"/>
          <w:lang w:bidi="en-US"/>
        </w:rPr>
        <w:t xml:space="preserve">de lo ocurrido, a pesar de que la muerte del joven sucedió mientras se encontraba </w:t>
      </w:r>
      <w:r w:rsidR="006E47F3" w:rsidRPr="0001748B">
        <w:rPr>
          <w:rFonts w:eastAsia="MS Mincho"/>
          <w:sz w:val="20"/>
          <w:szCs w:val="20"/>
          <w:lang w:bidi="en-US"/>
        </w:rPr>
        <w:t xml:space="preserve">en dependencias del Estado </w:t>
      </w:r>
      <w:r w:rsidRPr="0001748B">
        <w:rPr>
          <w:rFonts w:eastAsia="MS Mincho"/>
          <w:sz w:val="20"/>
          <w:szCs w:val="20"/>
          <w:lang w:bidi="en-US"/>
        </w:rPr>
        <w:t xml:space="preserve">bajo </w:t>
      </w:r>
      <w:r w:rsidR="006E47F3" w:rsidRPr="0001748B">
        <w:rPr>
          <w:rFonts w:eastAsia="MS Mincho"/>
          <w:sz w:val="20"/>
          <w:szCs w:val="20"/>
          <w:lang w:bidi="en-US"/>
        </w:rPr>
        <w:t>una especial situación de sujeción</w:t>
      </w:r>
      <w:r w:rsidRPr="0001748B">
        <w:rPr>
          <w:rFonts w:eastAsia="MS Mincho"/>
          <w:sz w:val="20"/>
          <w:szCs w:val="20"/>
          <w:lang w:bidi="en-US"/>
        </w:rPr>
        <w:t xml:space="preserve">. Asimismo, la Corte declaró en la presente Sentencia que </w:t>
      </w:r>
      <w:r w:rsidRPr="0001748B">
        <w:rPr>
          <w:rFonts w:eastAsia="Batang"/>
          <w:sz w:val="20"/>
          <w:szCs w:val="20"/>
          <w:lang w:bidi="en-US"/>
        </w:rPr>
        <w:t xml:space="preserve">las investigaciones llevadas a cabo ante el fuero militar y ordinario no fueron diligentes ni efectivas para establecer la verdad de los hechos, identificar y sancionar a todos los responsables, y que existieron una serie de deficiencias y omisiones en el recabo de la prueba </w:t>
      </w:r>
      <w:r w:rsidRPr="0001748B">
        <w:rPr>
          <w:rFonts w:eastAsia="MS Mincho" w:cs="Verdana"/>
          <w:sz w:val="20"/>
          <w:szCs w:val="20"/>
          <w:lang w:bidi="en-US"/>
        </w:rPr>
        <w:t>(</w:t>
      </w:r>
      <w:r w:rsidRPr="0001748B">
        <w:rPr>
          <w:rFonts w:eastAsia="MS Mincho" w:cs="Verdana"/>
          <w:i/>
          <w:sz w:val="20"/>
          <w:szCs w:val="20"/>
          <w:lang w:bidi="en-US"/>
        </w:rPr>
        <w:t>supra</w:t>
      </w:r>
      <w:r w:rsidRPr="0001748B">
        <w:rPr>
          <w:rFonts w:eastAsia="MS Mincho" w:cs="Verdana"/>
          <w:sz w:val="20"/>
          <w:szCs w:val="20"/>
          <w:lang w:bidi="en-US"/>
        </w:rPr>
        <w:t xml:space="preserve"> </w:t>
      </w:r>
      <w:r w:rsidR="00B750FA">
        <w:rPr>
          <w:rFonts w:eastAsia="MS Mincho" w:cs="Verdana"/>
          <w:sz w:val="20"/>
          <w:szCs w:val="20"/>
          <w:lang w:bidi="en-US"/>
        </w:rPr>
        <w:t>Capítulo VII-2</w:t>
      </w:r>
      <w:r w:rsidRPr="0001748B">
        <w:rPr>
          <w:rFonts w:eastAsia="MS Mincho" w:cs="Verdana"/>
          <w:sz w:val="20"/>
          <w:szCs w:val="20"/>
          <w:lang w:bidi="en-US"/>
        </w:rPr>
        <w:t>)</w:t>
      </w:r>
      <w:r w:rsidRPr="0001748B">
        <w:rPr>
          <w:rFonts w:eastAsia="MS Mincho"/>
          <w:sz w:val="20"/>
          <w:szCs w:val="20"/>
          <w:lang w:bidi="en-US"/>
        </w:rPr>
        <w:t xml:space="preserve">. Además, sostuvo que a pesar de que se introdujeron diversas hipótesis sobre la muerte de </w:t>
      </w:r>
      <w:r w:rsidR="00DF510B">
        <w:rPr>
          <w:rFonts w:eastAsia="MS Mincho"/>
          <w:sz w:val="20"/>
          <w:szCs w:val="20"/>
          <w:lang w:bidi="en-US"/>
        </w:rPr>
        <w:t>Johan Alexis Ortiz Hernández</w:t>
      </w:r>
      <w:r w:rsidRPr="0001748B">
        <w:rPr>
          <w:rFonts w:eastAsia="MS Mincho"/>
          <w:sz w:val="20"/>
          <w:szCs w:val="20"/>
          <w:lang w:bidi="en-US"/>
        </w:rPr>
        <w:t xml:space="preserve"> y de lo que podría haber ocurrido, </w:t>
      </w:r>
      <w:r w:rsidRPr="0001748B">
        <w:rPr>
          <w:rFonts w:eastAsia="MS Mincho" w:cs="Verdana"/>
          <w:sz w:val="20"/>
          <w:szCs w:val="20"/>
          <w:lang w:bidi="en-US"/>
        </w:rPr>
        <w:t xml:space="preserve">los órganos de justicia sólo orientaron sus investigaciones bajo la tesis de </w:t>
      </w:r>
      <w:r w:rsidR="00E65FAB">
        <w:rPr>
          <w:rFonts w:eastAsia="MS Mincho" w:cs="Verdana"/>
          <w:sz w:val="20"/>
          <w:szCs w:val="20"/>
          <w:lang w:bidi="en-US"/>
        </w:rPr>
        <w:t xml:space="preserve">que </w:t>
      </w:r>
      <w:r w:rsidRPr="0001748B">
        <w:rPr>
          <w:rFonts w:eastAsia="MS Mincho" w:cs="Verdana"/>
          <w:sz w:val="20"/>
          <w:szCs w:val="20"/>
          <w:lang w:bidi="en-US"/>
        </w:rPr>
        <w:t xml:space="preserve">la muerte </w:t>
      </w:r>
      <w:r w:rsidR="00E65FAB">
        <w:rPr>
          <w:rFonts w:eastAsia="MS Mincho" w:cs="Verdana"/>
          <w:sz w:val="20"/>
          <w:szCs w:val="20"/>
          <w:lang w:bidi="en-US"/>
        </w:rPr>
        <w:t>fue producto de esquirlas o fragmentos de proyectil de la ametralladora AFAG</w:t>
      </w:r>
      <w:r w:rsidR="00CA22F9" w:rsidRPr="0001748B">
        <w:rPr>
          <w:rFonts w:eastAsia="MS Mincho" w:cs="Verdana"/>
          <w:sz w:val="20"/>
          <w:szCs w:val="20"/>
          <w:lang w:bidi="en-US"/>
        </w:rPr>
        <w:t>.</w:t>
      </w:r>
      <w:r w:rsidRPr="0001748B">
        <w:rPr>
          <w:rFonts w:eastAsia="MS Mincho" w:cs="Verdana"/>
          <w:sz w:val="20"/>
          <w:szCs w:val="20"/>
          <w:lang w:bidi="en-US"/>
        </w:rPr>
        <w:t xml:space="preserve"> Ello conllevó a que las investigaciones realizadas se centraran sobre</w:t>
      </w:r>
      <w:r w:rsidR="00864C0F">
        <w:rPr>
          <w:rFonts w:eastAsia="MS Mincho" w:cs="Verdana"/>
          <w:sz w:val="20"/>
          <w:szCs w:val="20"/>
          <w:lang w:bidi="en-US"/>
        </w:rPr>
        <w:t xml:space="preserve"> </w:t>
      </w:r>
      <w:r w:rsidRPr="0001748B">
        <w:rPr>
          <w:rFonts w:eastAsia="MS Mincho" w:cs="Verdana"/>
          <w:sz w:val="20"/>
          <w:szCs w:val="20"/>
          <w:lang w:bidi="en-US"/>
        </w:rPr>
        <w:t xml:space="preserve">todo en la responsabilidad de un </w:t>
      </w:r>
      <w:r w:rsidR="00864C0F">
        <w:rPr>
          <w:rFonts w:eastAsia="MS Mincho" w:cs="Verdana"/>
          <w:sz w:val="20"/>
          <w:szCs w:val="20"/>
          <w:lang w:bidi="en-US"/>
        </w:rPr>
        <w:t>individuo</w:t>
      </w:r>
      <w:r w:rsidRPr="0001748B">
        <w:rPr>
          <w:rFonts w:eastAsia="MS Mincho" w:cs="Verdana"/>
          <w:sz w:val="20"/>
          <w:szCs w:val="20"/>
          <w:lang w:bidi="en-US"/>
        </w:rPr>
        <w:t xml:space="preserve">, sin </w:t>
      </w:r>
      <w:r w:rsidR="009104FE">
        <w:rPr>
          <w:rFonts w:eastAsia="MS Mincho" w:cs="Verdana"/>
          <w:sz w:val="20"/>
          <w:szCs w:val="20"/>
          <w:lang w:bidi="en-US"/>
        </w:rPr>
        <w:t>indagar</w:t>
      </w:r>
      <w:r w:rsidRPr="0001748B">
        <w:rPr>
          <w:rFonts w:eastAsia="MS Mincho" w:cs="Verdana"/>
          <w:sz w:val="20"/>
          <w:szCs w:val="20"/>
          <w:lang w:bidi="en-US"/>
        </w:rPr>
        <w:t xml:space="preserve"> sobre la posible participación de otras personas en los hechos</w:t>
      </w:r>
      <w:r w:rsidR="000E5010">
        <w:rPr>
          <w:rFonts w:eastAsia="MS Mincho" w:cs="Verdana"/>
          <w:sz w:val="20"/>
          <w:szCs w:val="20"/>
          <w:lang w:bidi="en-US"/>
        </w:rPr>
        <w:t>, teniendo en cuenta la cadena de mando y los distintos niveles de responsabilidad en el diseño y la ejecución de la práctica</w:t>
      </w:r>
      <w:r w:rsidRPr="0001748B">
        <w:rPr>
          <w:rFonts w:eastAsia="MS Mincho" w:cs="Verdana"/>
          <w:sz w:val="20"/>
          <w:szCs w:val="20"/>
          <w:lang w:bidi="en-US"/>
        </w:rPr>
        <w:t>. Asimismo, la Corte concluyó que el Estado no tomó acciones suficientes para dar con el paradero del imputado contumaz y lograr su aprehensión.</w:t>
      </w:r>
    </w:p>
    <w:p w:rsidR="001B626E" w:rsidRPr="0001748B" w:rsidRDefault="001B626E" w:rsidP="001B626E">
      <w:pPr>
        <w:tabs>
          <w:tab w:val="left" w:pos="0"/>
          <w:tab w:val="num" w:pos="1427"/>
          <w:tab w:val="num" w:pos="11028"/>
        </w:tabs>
        <w:spacing w:line="240" w:lineRule="auto"/>
        <w:ind w:right="-90"/>
        <w:contextualSpacing/>
        <w:rPr>
          <w:rFonts w:cs="Verdana"/>
          <w:sz w:val="20"/>
          <w:szCs w:val="20"/>
        </w:rPr>
      </w:pPr>
    </w:p>
    <w:p w:rsidR="001B626E" w:rsidRPr="0001748B" w:rsidRDefault="001B626E" w:rsidP="001B626E">
      <w:pPr>
        <w:numPr>
          <w:ilvl w:val="0"/>
          <w:numId w:val="1"/>
        </w:numPr>
        <w:tabs>
          <w:tab w:val="left" w:pos="567"/>
          <w:tab w:val="num" w:pos="5057"/>
        </w:tabs>
        <w:spacing w:line="240" w:lineRule="auto"/>
        <w:ind w:left="0" w:right="-90" w:firstLine="0"/>
        <w:rPr>
          <w:rFonts w:eastAsia="MS Mincho"/>
          <w:sz w:val="20"/>
          <w:szCs w:val="20"/>
        </w:rPr>
      </w:pPr>
      <w:r w:rsidRPr="0001748B">
        <w:rPr>
          <w:rFonts w:eastAsia="MS Mincho"/>
          <w:sz w:val="20"/>
          <w:szCs w:val="20"/>
          <w:lang w:bidi="en-US"/>
        </w:rPr>
        <w:t>Teniendo</w:t>
      </w:r>
      <w:r w:rsidRPr="0001748B">
        <w:rPr>
          <w:rFonts w:eastAsia="MS Mincho" w:cs="Verdana"/>
          <w:sz w:val="20"/>
          <w:szCs w:val="20"/>
          <w:lang w:bidi="en-US"/>
        </w:rPr>
        <w:t xml:space="preserve"> en cuenta que actualmente se encuentra abierto un proceso penal por la muerte de Johan Alexis Ortiz Hernández y</w:t>
      </w:r>
      <w:r w:rsidR="00A73E83">
        <w:rPr>
          <w:rFonts w:eastAsia="MS Mincho" w:cs="Verdana"/>
          <w:sz w:val="20"/>
          <w:szCs w:val="20"/>
          <w:lang w:bidi="en-US"/>
        </w:rPr>
        <w:t>,</w:t>
      </w:r>
      <w:r w:rsidRPr="0001748B">
        <w:rPr>
          <w:rFonts w:eastAsia="MS Mincho" w:cs="Verdana"/>
          <w:sz w:val="20"/>
          <w:szCs w:val="20"/>
          <w:lang w:bidi="en-US"/>
        </w:rPr>
        <w:t xml:space="preserve"> con base en la jurisprudencia de este Tribunal</w:t>
      </w:r>
      <w:r w:rsidRPr="0001748B">
        <w:rPr>
          <w:rFonts w:eastAsia="MS Mincho" w:cs="Verdana"/>
          <w:sz w:val="20"/>
          <w:szCs w:val="20"/>
          <w:vertAlign w:val="superscript"/>
          <w:lang w:bidi="en-US"/>
        </w:rPr>
        <w:footnoteReference w:id="226"/>
      </w:r>
      <w:r w:rsidRPr="0001748B">
        <w:rPr>
          <w:rFonts w:eastAsia="MS Mincho" w:cs="Verdana"/>
          <w:sz w:val="20"/>
          <w:szCs w:val="20"/>
          <w:lang w:bidi="en-US"/>
        </w:rPr>
        <w:t xml:space="preserve">, la Corte dispone que el Estado debe </w:t>
      </w:r>
      <w:r w:rsidRPr="0001748B">
        <w:rPr>
          <w:rFonts w:eastAsia="MS Mincho"/>
          <w:sz w:val="20"/>
          <w:szCs w:val="20"/>
          <w:lang w:bidi="en-US"/>
        </w:rPr>
        <w:t xml:space="preserve">continuar eficazmente y con la mayor diligencia las investigaciones y el proceso penal en curso, así como abrir las </w:t>
      </w:r>
      <w:r w:rsidR="00E9521F" w:rsidRPr="0001748B">
        <w:rPr>
          <w:rFonts w:eastAsia="MS Mincho"/>
          <w:sz w:val="20"/>
          <w:szCs w:val="20"/>
          <w:lang w:bidi="en-US"/>
        </w:rPr>
        <w:t xml:space="preserve">investigaciones </w:t>
      </w:r>
      <w:r w:rsidRPr="0001748B">
        <w:rPr>
          <w:rFonts w:eastAsia="MS Mincho"/>
          <w:sz w:val="20"/>
          <w:szCs w:val="20"/>
          <w:lang w:bidi="en-US"/>
        </w:rPr>
        <w:t xml:space="preserve">que sean necesarias con el fin de </w:t>
      </w:r>
      <w:r w:rsidRPr="0001748B">
        <w:rPr>
          <w:rFonts w:eastAsia="MS Mincho" w:cs="Verdana"/>
          <w:sz w:val="20"/>
          <w:szCs w:val="20"/>
          <w:lang w:bidi="en-US"/>
        </w:rPr>
        <w:t xml:space="preserve">identificar, juzgar y, en su caso, sancionar a todos los responsables de la muerte de Johan Alexis Ortiz Hernández en un plazo razonable, </w:t>
      </w:r>
      <w:r w:rsidR="00B30879">
        <w:rPr>
          <w:rFonts w:eastAsia="MS Mincho" w:cs="Verdana"/>
          <w:sz w:val="20"/>
          <w:szCs w:val="20"/>
          <w:lang w:bidi="en-US"/>
        </w:rPr>
        <w:t xml:space="preserve">a los efectos </w:t>
      </w:r>
      <w:r w:rsidRPr="0001748B">
        <w:rPr>
          <w:rFonts w:eastAsia="MS Mincho" w:cs="Verdana"/>
          <w:sz w:val="20"/>
          <w:szCs w:val="20"/>
          <w:lang w:bidi="en-US"/>
        </w:rPr>
        <w:t xml:space="preserve">de establecer toda la verdad de los hechos </w:t>
      </w:r>
      <w:r w:rsidRPr="0001748B">
        <w:rPr>
          <w:rFonts w:eastAsia="MS Mincho"/>
          <w:sz w:val="20"/>
          <w:szCs w:val="20"/>
          <w:lang w:bidi="en-US"/>
        </w:rPr>
        <w:t xml:space="preserve">y </w:t>
      </w:r>
      <w:r w:rsidRPr="0001748B">
        <w:rPr>
          <w:rFonts w:eastAsia="MS Mincho"/>
          <w:sz w:val="20"/>
          <w:szCs w:val="20"/>
          <w:lang w:bidi="en-US"/>
        </w:rPr>
        <w:lastRenderedPageBreak/>
        <w:t>removiendo todos los obstáculos que mantienen la impunidad</w:t>
      </w:r>
      <w:r w:rsidRPr="0001748B">
        <w:rPr>
          <w:rFonts w:eastAsia="MS Mincho"/>
          <w:sz w:val="20"/>
          <w:szCs w:val="20"/>
          <w:vertAlign w:val="superscript"/>
          <w:lang w:bidi="en-US"/>
        </w:rPr>
        <w:footnoteReference w:id="227"/>
      </w:r>
      <w:r w:rsidR="00B72DA5">
        <w:rPr>
          <w:rFonts w:eastAsia="MS Mincho"/>
          <w:sz w:val="20"/>
          <w:szCs w:val="20"/>
          <w:lang w:bidi="en-US"/>
        </w:rPr>
        <w:t xml:space="preserve"> en este caso.</w:t>
      </w:r>
    </w:p>
    <w:p w:rsidR="001B626E" w:rsidRPr="0001748B" w:rsidRDefault="001B626E" w:rsidP="001B626E">
      <w:pPr>
        <w:tabs>
          <w:tab w:val="left" w:pos="720"/>
        </w:tabs>
        <w:spacing w:line="240" w:lineRule="auto"/>
        <w:ind w:right="-90"/>
        <w:rPr>
          <w:strike/>
          <w:sz w:val="20"/>
          <w:szCs w:val="20"/>
        </w:rPr>
      </w:pPr>
    </w:p>
    <w:p w:rsidR="001B626E" w:rsidRPr="0001748B" w:rsidRDefault="001B626E" w:rsidP="001B626E">
      <w:pPr>
        <w:numPr>
          <w:ilvl w:val="0"/>
          <w:numId w:val="1"/>
        </w:numPr>
        <w:tabs>
          <w:tab w:val="left" w:pos="567"/>
          <w:tab w:val="num" w:pos="5057"/>
        </w:tabs>
        <w:spacing w:line="240" w:lineRule="auto"/>
        <w:ind w:left="0" w:firstLine="0"/>
        <w:rPr>
          <w:rFonts w:eastAsia="MS Mincho" w:cs="Verdana"/>
          <w:sz w:val="20"/>
          <w:szCs w:val="20"/>
          <w:lang w:bidi="en-US"/>
        </w:rPr>
      </w:pPr>
      <w:r w:rsidRPr="0001748B">
        <w:rPr>
          <w:rFonts w:eastAsia="MS Mincho"/>
          <w:sz w:val="20"/>
          <w:szCs w:val="20"/>
          <w:lang w:bidi="en-US"/>
        </w:rPr>
        <w:t xml:space="preserve">Adicionalmente, la Corte ordena </w:t>
      </w:r>
      <w:r w:rsidR="00A86EBF" w:rsidRPr="0001748B">
        <w:rPr>
          <w:rFonts w:eastAsia="MS Mincho"/>
          <w:sz w:val="20"/>
          <w:szCs w:val="20"/>
          <w:lang w:bidi="en-US"/>
        </w:rPr>
        <w:t>a</w:t>
      </w:r>
      <w:r w:rsidRPr="0001748B">
        <w:rPr>
          <w:rFonts w:eastAsia="MS Mincho"/>
          <w:sz w:val="20"/>
          <w:szCs w:val="20"/>
          <w:lang w:bidi="en-US"/>
        </w:rPr>
        <w:t xml:space="preserve">l Estado </w:t>
      </w:r>
      <w:r w:rsidR="00A86EBF" w:rsidRPr="0001748B">
        <w:rPr>
          <w:rFonts w:eastAsia="MS Mincho"/>
          <w:sz w:val="20"/>
          <w:szCs w:val="20"/>
          <w:lang w:bidi="en-US"/>
        </w:rPr>
        <w:t xml:space="preserve">que </w:t>
      </w:r>
      <w:r w:rsidRPr="0001748B">
        <w:rPr>
          <w:rFonts w:eastAsia="MS Mincho"/>
          <w:sz w:val="20"/>
          <w:szCs w:val="20"/>
          <w:lang w:bidi="en-US"/>
        </w:rPr>
        <w:t xml:space="preserve">adopte todas las medidas necesarias y maximice sus esfuerzos para lograr ubicar al imputado en el proceso penal abierto, con el </w:t>
      </w:r>
      <w:r w:rsidR="00A05A97">
        <w:rPr>
          <w:rFonts w:eastAsia="MS Mincho"/>
          <w:sz w:val="20"/>
          <w:szCs w:val="20"/>
          <w:lang w:bidi="en-US"/>
        </w:rPr>
        <w:t>objeto</w:t>
      </w:r>
      <w:r w:rsidR="00A05A97" w:rsidRPr="0001748B">
        <w:rPr>
          <w:rFonts w:eastAsia="MS Mincho"/>
          <w:sz w:val="20"/>
          <w:szCs w:val="20"/>
          <w:lang w:bidi="en-US"/>
        </w:rPr>
        <w:t xml:space="preserve"> </w:t>
      </w:r>
      <w:r w:rsidRPr="0001748B">
        <w:rPr>
          <w:rFonts w:eastAsia="MS Mincho"/>
          <w:sz w:val="20"/>
          <w:szCs w:val="20"/>
          <w:lang w:bidi="en-US"/>
        </w:rPr>
        <w:t>de que se logre su aprehensión y puesta a disposición de la justicia. De igual manera, conforme a su jurisprudencia constante, la Corte reitera que el Estado debe asegurar el pleno acceso y capacidad de actuar de las víctimas o sus familiares en todas las etapas de la investigación y el juzgamiento de los responsables, lo cual incluye el acceso a la información del expediente del caso. Dicha participación deberá tener como finalidad el acceso a la justicia y el conocimiento de la verdad de lo ocurrido</w:t>
      </w:r>
      <w:r w:rsidRPr="0001748B">
        <w:rPr>
          <w:rFonts w:eastAsia="MS Mincho"/>
          <w:sz w:val="20"/>
          <w:szCs w:val="20"/>
          <w:vertAlign w:val="superscript"/>
          <w:lang w:bidi="en-US"/>
        </w:rPr>
        <w:footnoteReference w:id="228"/>
      </w:r>
      <w:r w:rsidRPr="0001748B">
        <w:rPr>
          <w:rFonts w:eastAsia="MS Mincho"/>
          <w:sz w:val="20"/>
          <w:szCs w:val="20"/>
          <w:lang w:bidi="en-US"/>
        </w:rPr>
        <w:t>.</w:t>
      </w:r>
    </w:p>
    <w:p w:rsidR="001B626E" w:rsidRDefault="001B626E" w:rsidP="001B626E">
      <w:pPr>
        <w:tabs>
          <w:tab w:val="left" w:pos="567"/>
        </w:tabs>
        <w:spacing w:line="240" w:lineRule="auto"/>
        <w:rPr>
          <w:rFonts w:eastAsia="MS Mincho" w:cs="Verdana"/>
          <w:sz w:val="20"/>
          <w:szCs w:val="20"/>
          <w:lang w:bidi="en-US"/>
        </w:rPr>
      </w:pPr>
    </w:p>
    <w:p w:rsidR="00983CFD" w:rsidRDefault="00983CFD" w:rsidP="00983CFD">
      <w:pPr>
        <w:numPr>
          <w:ilvl w:val="0"/>
          <w:numId w:val="1"/>
        </w:numPr>
        <w:tabs>
          <w:tab w:val="left" w:pos="567"/>
          <w:tab w:val="num" w:pos="5057"/>
        </w:tabs>
        <w:spacing w:line="240" w:lineRule="auto"/>
        <w:ind w:left="0" w:firstLine="0"/>
        <w:rPr>
          <w:rFonts w:eastAsia="MS Mincho" w:cs="Verdana"/>
          <w:sz w:val="20"/>
          <w:szCs w:val="20"/>
          <w:lang w:bidi="en-US"/>
        </w:rPr>
      </w:pPr>
      <w:r>
        <w:rPr>
          <w:rFonts w:eastAsia="MS Mincho" w:cs="Verdana"/>
          <w:sz w:val="20"/>
          <w:szCs w:val="20"/>
          <w:lang w:bidi="en-US"/>
        </w:rPr>
        <w:t>Asimismo, e</w:t>
      </w:r>
      <w:r w:rsidRPr="00983CFD">
        <w:rPr>
          <w:rFonts w:eastAsia="MS Mincho" w:cs="Verdana"/>
          <w:sz w:val="20"/>
          <w:szCs w:val="20"/>
          <w:lang w:bidi="en-US"/>
        </w:rPr>
        <w:t>sta Corte considera que el Estado debe, dentro de un plazo razonable, determinar, por intermedio de las instituciones públicas competentes, las eventuales responsabilidades de los funcionarios que contribuyeron con su actuación a la demora del proceso y a la denegación de justicia y, en la medida que corresponda, aplicar las consecuencias que la ley prevea.</w:t>
      </w:r>
    </w:p>
    <w:p w:rsidR="00983CFD" w:rsidRPr="0001748B" w:rsidRDefault="00983CFD" w:rsidP="001B626E">
      <w:pPr>
        <w:tabs>
          <w:tab w:val="left" w:pos="567"/>
        </w:tabs>
        <w:spacing w:line="240" w:lineRule="auto"/>
        <w:rPr>
          <w:rFonts w:eastAsia="MS Mincho" w:cs="Verdana"/>
          <w:sz w:val="20"/>
          <w:szCs w:val="20"/>
          <w:lang w:bidi="en-US"/>
        </w:rPr>
      </w:pPr>
    </w:p>
    <w:p w:rsidR="001B626E" w:rsidRPr="0001748B" w:rsidRDefault="001B626E" w:rsidP="001B626E">
      <w:pPr>
        <w:numPr>
          <w:ilvl w:val="0"/>
          <w:numId w:val="1"/>
        </w:numPr>
        <w:tabs>
          <w:tab w:val="left" w:pos="567"/>
          <w:tab w:val="num" w:pos="5057"/>
        </w:tabs>
        <w:spacing w:line="240" w:lineRule="auto"/>
        <w:ind w:left="0" w:firstLine="0"/>
        <w:rPr>
          <w:rFonts w:eastAsia="MS Mincho" w:cs="Verdana"/>
          <w:sz w:val="20"/>
          <w:szCs w:val="20"/>
          <w:lang w:bidi="en-US"/>
        </w:rPr>
      </w:pPr>
      <w:r w:rsidRPr="0001748B">
        <w:rPr>
          <w:rFonts w:eastAsia="MS Mincho" w:cs="Verdana"/>
          <w:sz w:val="20"/>
          <w:szCs w:val="20"/>
          <w:lang w:bidi="en-US"/>
        </w:rPr>
        <w:t xml:space="preserve">Finalmente, </w:t>
      </w:r>
      <w:r w:rsidR="00E63542" w:rsidRPr="0001748B">
        <w:rPr>
          <w:rFonts w:eastAsia="MS Mincho" w:cs="Verdana"/>
          <w:sz w:val="20"/>
          <w:szCs w:val="20"/>
          <w:lang w:bidi="en-US"/>
        </w:rPr>
        <w:t xml:space="preserve">toda vez que </w:t>
      </w:r>
      <w:r w:rsidRPr="0001748B">
        <w:rPr>
          <w:rFonts w:eastAsia="MS Mincho" w:cs="Verdana"/>
          <w:sz w:val="20"/>
          <w:szCs w:val="20"/>
          <w:lang w:bidi="en-US"/>
        </w:rPr>
        <w:t xml:space="preserve">un componente de la violación a la integridad de los familiares de </w:t>
      </w:r>
      <w:r w:rsidR="00DF510B">
        <w:rPr>
          <w:rFonts w:eastAsia="MS Mincho" w:cs="Verdana"/>
          <w:sz w:val="20"/>
          <w:szCs w:val="20"/>
          <w:lang w:bidi="en-US"/>
        </w:rPr>
        <w:t>Johan Alexis Ortiz Hernández</w:t>
      </w:r>
      <w:r w:rsidRPr="0001748B">
        <w:rPr>
          <w:rFonts w:eastAsia="MS Mincho" w:cs="Verdana"/>
          <w:sz w:val="20"/>
          <w:szCs w:val="20"/>
          <w:lang w:bidi="en-US"/>
        </w:rPr>
        <w:t xml:space="preserve"> se debió al sentimiento de constante riesgo, hostigamientos, ataques y amenazas de las que fueron víctimas como consecuencia de la muerte del joven y de la lucha incansable por alcanzar justicia</w:t>
      </w:r>
      <w:r w:rsidR="00B55655" w:rsidRPr="0001748B">
        <w:rPr>
          <w:rFonts w:eastAsia="MS Mincho" w:cs="Verdana"/>
          <w:sz w:val="20"/>
          <w:szCs w:val="20"/>
          <w:lang w:bidi="en-US"/>
        </w:rPr>
        <w:t xml:space="preserve"> (</w:t>
      </w:r>
      <w:r w:rsidR="00B55655" w:rsidRPr="0001748B">
        <w:rPr>
          <w:rFonts w:eastAsia="MS Mincho" w:cs="Verdana"/>
          <w:i/>
          <w:sz w:val="20"/>
          <w:szCs w:val="20"/>
          <w:lang w:bidi="en-US"/>
        </w:rPr>
        <w:t xml:space="preserve">supra </w:t>
      </w:r>
      <w:r w:rsidR="00B55655" w:rsidRPr="0001748B">
        <w:rPr>
          <w:rFonts w:eastAsia="MS Mincho" w:cs="Verdana"/>
          <w:sz w:val="20"/>
          <w:szCs w:val="20"/>
          <w:lang w:bidi="en-US"/>
        </w:rPr>
        <w:t>párr</w:t>
      </w:r>
      <w:r w:rsidR="00B750FA">
        <w:rPr>
          <w:rFonts w:eastAsia="MS Mincho" w:cs="Verdana"/>
          <w:sz w:val="20"/>
          <w:szCs w:val="20"/>
          <w:lang w:bidi="en-US"/>
        </w:rPr>
        <w:t>s</w:t>
      </w:r>
      <w:r w:rsidR="00B55655" w:rsidRPr="0001748B">
        <w:rPr>
          <w:rFonts w:eastAsia="MS Mincho" w:cs="Verdana"/>
          <w:sz w:val="20"/>
          <w:szCs w:val="20"/>
          <w:lang w:bidi="en-US"/>
        </w:rPr>
        <w:t xml:space="preserve">. </w:t>
      </w:r>
      <w:r w:rsidR="00B750FA">
        <w:rPr>
          <w:rFonts w:eastAsia="MS Mincho" w:cs="Verdana"/>
          <w:sz w:val="20"/>
          <w:szCs w:val="20"/>
          <w:lang w:bidi="en-US"/>
        </w:rPr>
        <w:t>180 y 181</w:t>
      </w:r>
      <w:r w:rsidR="00B55655" w:rsidRPr="0001748B">
        <w:rPr>
          <w:rFonts w:eastAsia="MS Mincho" w:cs="Verdana"/>
          <w:sz w:val="20"/>
          <w:szCs w:val="20"/>
          <w:lang w:bidi="en-US"/>
        </w:rPr>
        <w:t>)</w:t>
      </w:r>
      <w:r w:rsidRPr="0001748B">
        <w:rPr>
          <w:rFonts w:eastAsia="MS Mincho" w:cs="Verdana"/>
          <w:sz w:val="20"/>
          <w:szCs w:val="20"/>
          <w:lang w:bidi="en-US"/>
        </w:rPr>
        <w:t xml:space="preserve">, la Corte dispone que el Estado </w:t>
      </w:r>
      <w:r w:rsidR="00A86EBF" w:rsidRPr="0001748B">
        <w:rPr>
          <w:rFonts w:eastAsia="MS Mincho" w:cs="Verdana"/>
          <w:sz w:val="20"/>
          <w:szCs w:val="20"/>
          <w:lang w:bidi="en-US"/>
        </w:rPr>
        <w:t>adopte</w:t>
      </w:r>
      <w:r w:rsidRPr="0001748B">
        <w:rPr>
          <w:rFonts w:eastAsia="MS Mincho" w:cs="Verdana"/>
          <w:sz w:val="20"/>
          <w:szCs w:val="20"/>
          <w:lang w:bidi="en-US"/>
        </w:rPr>
        <w:t xml:space="preserve"> todas las medidas necesarias para </w:t>
      </w:r>
      <w:r w:rsidRPr="0001748B">
        <w:rPr>
          <w:rFonts w:cs="TimesNewRomanPSMT"/>
          <w:sz w:val="20"/>
          <w:szCs w:val="20"/>
          <w:lang w:eastAsia="en-US" w:bidi="en-US"/>
        </w:rPr>
        <w:t xml:space="preserve">que las víctimas o sus representantes, en particular el señor Edgar Humberto Ortiz Ruiz y </w:t>
      </w:r>
      <w:r w:rsidR="007635CC" w:rsidRPr="0001748B">
        <w:rPr>
          <w:rFonts w:cs="TimesNewRomanPSMT"/>
          <w:sz w:val="20"/>
          <w:szCs w:val="20"/>
          <w:lang w:eastAsia="en-US" w:bidi="en-US"/>
        </w:rPr>
        <w:t xml:space="preserve">la señora </w:t>
      </w:r>
      <w:r w:rsidRPr="0001748B">
        <w:rPr>
          <w:rFonts w:cs="TimesNewRomanPSMT"/>
          <w:sz w:val="20"/>
          <w:szCs w:val="20"/>
          <w:lang w:eastAsia="en-US" w:bidi="en-US"/>
        </w:rPr>
        <w:t>Zaida Hernández de Arellano, cuenten con las debidas garantías de seguridad</w:t>
      </w:r>
      <w:r w:rsidR="00B55655" w:rsidRPr="0001748B">
        <w:rPr>
          <w:rFonts w:cs="TimesNewRomanPSMT"/>
          <w:sz w:val="20"/>
          <w:szCs w:val="20"/>
          <w:lang w:eastAsia="en-US" w:bidi="en-US"/>
        </w:rPr>
        <w:t xml:space="preserve"> para continuar con su búsqueda de justicia</w:t>
      </w:r>
      <w:r w:rsidRPr="0001748B">
        <w:rPr>
          <w:rStyle w:val="FootnoteReference"/>
          <w:rFonts w:cs="TimesNewRomanPSMT"/>
          <w:sz w:val="20"/>
          <w:szCs w:val="20"/>
          <w:lang w:eastAsia="en-US" w:bidi="en-US"/>
        </w:rPr>
        <w:footnoteReference w:id="229"/>
      </w:r>
      <w:r w:rsidRPr="0001748B">
        <w:rPr>
          <w:rFonts w:cs="TimesNewRomanPSMT"/>
          <w:sz w:val="20"/>
          <w:szCs w:val="20"/>
          <w:lang w:eastAsia="en-US" w:bidi="en-US"/>
        </w:rPr>
        <w:t xml:space="preserve">, en acuerdo y coordinación con las mismas. </w:t>
      </w:r>
    </w:p>
    <w:p w:rsidR="001B626E" w:rsidRPr="0001748B" w:rsidRDefault="001B626E" w:rsidP="001B626E">
      <w:pPr>
        <w:tabs>
          <w:tab w:val="num" w:pos="720"/>
          <w:tab w:val="left" w:pos="851"/>
          <w:tab w:val="num" w:pos="1427"/>
        </w:tabs>
        <w:spacing w:line="240" w:lineRule="auto"/>
        <w:rPr>
          <w:b/>
          <w:sz w:val="20"/>
          <w:szCs w:val="20"/>
        </w:rPr>
      </w:pPr>
    </w:p>
    <w:p w:rsidR="001B626E" w:rsidRPr="0001748B" w:rsidRDefault="001B626E" w:rsidP="008031E5">
      <w:pPr>
        <w:keepNext/>
        <w:keepLines/>
        <w:numPr>
          <w:ilvl w:val="0"/>
          <w:numId w:val="13"/>
        </w:numPr>
        <w:tabs>
          <w:tab w:val="left" w:pos="567"/>
          <w:tab w:val="left" w:pos="1134"/>
        </w:tabs>
        <w:spacing w:line="240" w:lineRule="auto"/>
        <w:ind w:left="567" w:firstLine="0"/>
        <w:outlineLvl w:val="1"/>
        <w:rPr>
          <w:rFonts w:eastAsia="MS Mincho"/>
          <w:b/>
          <w:bCs/>
          <w:i/>
          <w:sz w:val="20"/>
          <w:szCs w:val="20"/>
        </w:rPr>
      </w:pPr>
      <w:bookmarkStart w:id="122" w:name="_Toc476390740"/>
      <w:bookmarkStart w:id="123" w:name="_Toc495658696"/>
      <w:r w:rsidRPr="0001748B">
        <w:rPr>
          <w:rFonts w:eastAsia="MS Mincho"/>
          <w:b/>
          <w:bCs/>
          <w:i/>
          <w:sz w:val="20"/>
          <w:szCs w:val="20"/>
        </w:rPr>
        <w:t>Medidas de rehabilitación</w:t>
      </w:r>
      <w:r w:rsidR="00FF0E47">
        <w:rPr>
          <w:rFonts w:eastAsia="MS Mincho"/>
          <w:b/>
          <w:bCs/>
          <w:i/>
          <w:sz w:val="20"/>
          <w:szCs w:val="20"/>
        </w:rPr>
        <w:t>,</w:t>
      </w:r>
      <w:r w:rsidRPr="0001748B">
        <w:rPr>
          <w:rFonts w:eastAsia="MS Mincho"/>
          <w:b/>
          <w:bCs/>
          <w:i/>
          <w:sz w:val="20"/>
          <w:szCs w:val="20"/>
        </w:rPr>
        <w:t xml:space="preserve"> satisfacción</w:t>
      </w:r>
      <w:bookmarkEnd w:id="122"/>
      <w:r w:rsidR="00FF0E47">
        <w:rPr>
          <w:rFonts w:eastAsia="MS Mincho"/>
          <w:b/>
          <w:bCs/>
          <w:i/>
          <w:sz w:val="20"/>
          <w:szCs w:val="20"/>
        </w:rPr>
        <w:t xml:space="preserve"> y garantías de no repetición</w:t>
      </w:r>
      <w:bookmarkEnd w:id="123"/>
    </w:p>
    <w:p w:rsidR="001B626E" w:rsidRPr="0001748B" w:rsidRDefault="001B626E" w:rsidP="001B626E">
      <w:pPr>
        <w:spacing w:line="240" w:lineRule="auto"/>
        <w:rPr>
          <w:b/>
          <w:sz w:val="20"/>
          <w:szCs w:val="20"/>
        </w:rPr>
      </w:pPr>
    </w:p>
    <w:p w:rsidR="001B626E" w:rsidRPr="00B14590" w:rsidRDefault="001B626E" w:rsidP="00B14590">
      <w:pPr>
        <w:pStyle w:val="Heading2"/>
        <w:tabs>
          <w:tab w:val="left" w:pos="1843"/>
        </w:tabs>
        <w:spacing w:before="0" w:line="240" w:lineRule="auto"/>
        <w:ind w:left="1134"/>
        <w:rPr>
          <w:rFonts w:ascii="Verdana" w:hAnsi="Verdana"/>
          <w:b w:val="0"/>
          <w:i/>
          <w:color w:val="auto"/>
          <w:sz w:val="20"/>
          <w:szCs w:val="20"/>
        </w:rPr>
      </w:pPr>
      <w:bookmarkStart w:id="124" w:name="_Toc495658697"/>
      <w:r w:rsidRPr="00B14590">
        <w:rPr>
          <w:rFonts w:ascii="Verdana" w:hAnsi="Verdana"/>
          <w:b w:val="0"/>
          <w:i/>
          <w:color w:val="auto"/>
          <w:sz w:val="20"/>
          <w:szCs w:val="20"/>
        </w:rPr>
        <w:t xml:space="preserve">C.1 </w:t>
      </w:r>
      <w:r w:rsidRPr="00B14590">
        <w:rPr>
          <w:rFonts w:ascii="Verdana" w:hAnsi="Verdana"/>
          <w:b w:val="0"/>
          <w:i/>
          <w:color w:val="auto"/>
          <w:sz w:val="20"/>
          <w:szCs w:val="20"/>
        </w:rPr>
        <w:tab/>
        <w:t>Rehabilitación</w:t>
      </w:r>
      <w:bookmarkEnd w:id="124"/>
    </w:p>
    <w:p w:rsidR="001B626E" w:rsidRPr="0001748B" w:rsidRDefault="001B626E" w:rsidP="001B626E">
      <w:pPr>
        <w:tabs>
          <w:tab w:val="left" w:pos="709"/>
          <w:tab w:val="left" w:pos="1134"/>
        </w:tabs>
        <w:spacing w:line="240" w:lineRule="auto"/>
        <w:rPr>
          <w:sz w:val="20"/>
          <w:szCs w:val="20"/>
          <w:lang w:eastAsia="x-none"/>
        </w:rPr>
      </w:pPr>
    </w:p>
    <w:p w:rsidR="001B626E" w:rsidRPr="0001748B" w:rsidRDefault="001B626E" w:rsidP="001B626E">
      <w:pPr>
        <w:numPr>
          <w:ilvl w:val="0"/>
          <w:numId w:val="1"/>
        </w:numPr>
        <w:tabs>
          <w:tab w:val="left" w:pos="567"/>
          <w:tab w:val="num" w:pos="5057"/>
        </w:tabs>
        <w:spacing w:line="240" w:lineRule="auto"/>
        <w:ind w:left="0" w:firstLine="0"/>
        <w:rPr>
          <w:rFonts w:eastAsia="MS Mincho"/>
          <w:b/>
          <w:sz w:val="16"/>
          <w:szCs w:val="16"/>
          <w:lang w:bidi="en-US"/>
        </w:rPr>
      </w:pPr>
      <w:r w:rsidRPr="0001748B">
        <w:rPr>
          <w:rFonts w:eastAsia="MS Mincho"/>
          <w:sz w:val="20"/>
          <w:szCs w:val="20"/>
          <w:lang w:bidi="en-US"/>
        </w:rPr>
        <w:t xml:space="preserve">Las </w:t>
      </w:r>
      <w:r w:rsidRPr="0001748B">
        <w:rPr>
          <w:rFonts w:eastAsia="MS Mincho"/>
          <w:b/>
          <w:i/>
          <w:sz w:val="20"/>
          <w:szCs w:val="20"/>
          <w:lang w:bidi="en-US"/>
        </w:rPr>
        <w:t>representantes</w:t>
      </w:r>
      <w:r w:rsidRPr="0001748B">
        <w:rPr>
          <w:rFonts w:eastAsia="MS Mincho"/>
          <w:sz w:val="20"/>
          <w:szCs w:val="20"/>
          <w:lang w:bidi="en-US"/>
        </w:rPr>
        <w:t xml:space="preserve"> solicitaron a la Corte que ordenara al Estado otorgar a las víctimas, con su consentimiento, un tratamiento médico y psicológico en centros especializados, sin costo adicional y de manera gratuita.</w:t>
      </w:r>
    </w:p>
    <w:p w:rsidR="001B626E" w:rsidRPr="0001748B" w:rsidRDefault="001B626E" w:rsidP="001B626E">
      <w:pPr>
        <w:tabs>
          <w:tab w:val="left" w:pos="0"/>
          <w:tab w:val="num" w:pos="12305"/>
        </w:tabs>
        <w:spacing w:line="240" w:lineRule="auto"/>
        <w:ind w:right="-90"/>
        <w:rPr>
          <w:rFonts w:eastAsia="MS Mincho"/>
          <w:b/>
          <w:sz w:val="16"/>
          <w:szCs w:val="16"/>
          <w:lang w:bidi="en-US"/>
        </w:rPr>
      </w:pPr>
    </w:p>
    <w:p w:rsidR="001B626E" w:rsidRPr="0001748B" w:rsidRDefault="001B626E" w:rsidP="001B626E">
      <w:pPr>
        <w:numPr>
          <w:ilvl w:val="0"/>
          <w:numId w:val="1"/>
        </w:numPr>
        <w:tabs>
          <w:tab w:val="left" w:pos="567"/>
          <w:tab w:val="num" w:pos="5057"/>
        </w:tabs>
        <w:spacing w:line="240" w:lineRule="auto"/>
        <w:ind w:left="0" w:firstLine="0"/>
        <w:rPr>
          <w:rFonts w:eastAsia="MS Mincho"/>
          <w:sz w:val="20"/>
          <w:szCs w:val="20"/>
          <w:lang w:bidi="en-US"/>
        </w:rPr>
      </w:pPr>
      <w:r w:rsidRPr="0001748B">
        <w:rPr>
          <w:rFonts w:eastAsia="MS Mincho"/>
          <w:sz w:val="20"/>
          <w:szCs w:val="20"/>
          <w:lang w:bidi="en-US"/>
        </w:rPr>
        <w:t xml:space="preserve">La </w:t>
      </w:r>
      <w:r w:rsidRPr="0001748B">
        <w:rPr>
          <w:rFonts w:eastAsia="MS Mincho"/>
          <w:b/>
          <w:i/>
          <w:sz w:val="20"/>
          <w:szCs w:val="20"/>
          <w:lang w:bidi="en-US"/>
        </w:rPr>
        <w:t>Comisión</w:t>
      </w:r>
      <w:r w:rsidRPr="0001748B">
        <w:rPr>
          <w:rFonts w:eastAsia="MS Mincho"/>
          <w:sz w:val="20"/>
          <w:szCs w:val="20"/>
          <w:lang w:bidi="en-US"/>
        </w:rPr>
        <w:t xml:space="preserve"> no se pronunció de forma específica sobre esta medida de reparación.</w:t>
      </w:r>
    </w:p>
    <w:p w:rsidR="001B626E" w:rsidRPr="0001748B" w:rsidRDefault="001B626E" w:rsidP="001B626E">
      <w:pPr>
        <w:tabs>
          <w:tab w:val="left" w:pos="709"/>
          <w:tab w:val="left" w:pos="1134"/>
        </w:tabs>
        <w:spacing w:line="240" w:lineRule="auto"/>
        <w:rPr>
          <w:b/>
          <w:sz w:val="20"/>
          <w:szCs w:val="20"/>
          <w:lang w:eastAsia="x-none"/>
        </w:rPr>
      </w:pPr>
    </w:p>
    <w:p w:rsidR="001B626E" w:rsidRPr="0001748B" w:rsidRDefault="001B626E" w:rsidP="001B626E">
      <w:pPr>
        <w:numPr>
          <w:ilvl w:val="0"/>
          <w:numId w:val="1"/>
        </w:numPr>
        <w:tabs>
          <w:tab w:val="left" w:pos="567"/>
          <w:tab w:val="num" w:pos="5057"/>
        </w:tabs>
        <w:spacing w:line="240" w:lineRule="auto"/>
        <w:ind w:left="0" w:firstLine="0"/>
        <w:rPr>
          <w:rFonts w:eastAsia="MS Mincho"/>
          <w:b/>
          <w:sz w:val="20"/>
          <w:szCs w:val="20"/>
          <w:lang w:bidi="en-US"/>
        </w:rPr>
      </w:pPr>
      <w:r w:rsidRPr="0001748B">
        <w:rPr>
          <w:rFonts w:eastAsia="MS Mincho"/>
          <w:sz w:val="20"/>
          <w:szCs w:val="20"/>
          <w:lang w:bidi="en-US"/>
        </w:rPr>
        <w:t xml:space="preserve">El </w:t>
      </w:r>
      <w:r w:rsidRPr="0001748B">
        <w:rPr>
          <w:rFonts w:eastAsia="MS Mincho"/>
          <w:b/>
          <w:i/>
          <w:sz w:val="20"/>
          <w:szCs w:val="20"/>
          <w:lang w:bidi="en-US"/>
        </w:rPr>
        <w:t>Estado</w:t>
      </w:r>
      <w:r w:rsidRPr="0001748B">
        <w:rPr>
          <w:rFonts w:eastAsia="MS Mincho"/>
          <w:sz w:val="20"/>
          <w:szCs w:val="20"/>
          <w:lang w:bidi="en-US"/>
        </w:rPr>
        <w:t xml:space="preserve"> señaló que</w:t>
      </w:r>
      <w:r w:rsidR="00F835FC" w:rsidRPr="0001748B">
        <w:rPr>
          <w:rFonts w:eastAsia="MS Mincho"/>
          <w:sz w:val="20"/>
          <w:szCs w:val="20"/>
          <w:lang w:bidi="en-US"/>
        </w:rPr>
        <w:t>,</w:t>
      </w:r>
      <w:r w:rsidRPr="0001748B">
        <w:rPr>
          <w:rFonts w:eastAsia="MS Mincho"/>
          <w:sz w:val="20"/>
          <w:szCs w:val="20"/>
          <w:lang w:bidi="en-US"/>
        </w:rPr>
        <w:t xml:space="preserve"> de conformidad con su práctica reciente, procederá a brindar medidas de atención integral a las víctimas del presente caso, con el objeto de dar respuesta a distintas necesidades, entre ellas, la atención en salud, para lo cual hará uso del sistema de protección </w:t>
      </w:r>
      <w:r w:rsidRPr="0001748B">
        <w:rPr>
          <w:rFonts w:eastAsia="MS Mincho"/>
          <w:sz w:val="20"/>
          <w:szCs w:val="20"/>
          <w:lang w:bidi="en-US"/>
        </w:rPr>
        <w:lastRenderedPageBreak/>
        <w:t>social construido por el Gobierno venezolano.</w:t>
      </w:r>
    </w:p>
    <w:p w:rsidR="001B626E" w:rsidRPr="00B72DA5" w:rsidRDefault="001B626E" w:rsidP="00B72DA5">
      <w:pPr>
        <w:spacing w:line="240" w:lineRule="auto"/>
        <w:rPr>
          <w:rFonts w:eastAsia="MS Mincho"/>
          <w:sz w:val="20"/>
          <w:szCs w:val="20"/>
          <w:lang w:bidi="en-US"/>
        </w:rPr>
      </w:pPr>
    </w:p>
    <w:p w:rsidR="001B626E" w:rsidRPr="0001748B" w:rsidRDefault="001B626E" w:rsidP="001B626E">
      <w:pPr>
        <w:numPr>
          <w:ilvl w:val="0"/>
          <w:numId w:val="1"/>
        </w:numPr>
        <w:tabs>
          <w:tab w:val="left" w:pos="567"/>
          <w:tab w:val="num" w:pos="5057"/>
        </w:tabs>
        <w:spacing w:line="240" w:lineRule="auto"/>
        <w:ind w:left="0" w:firstLine="0"/>
        <w:rPr>
          <w:rFonts w:eastAsia="MS Mincho"/>
          <w:b/>
          <w:sz w:val="20"/>
          <w:szCs w:val="20"/>
          <w:lang w:bidi="en-US"/>
        </w:rPr>
      </w:pPr>
      <w:r w:rsidRPr="0001748B">
        <w:rPr>
          <w:rFonts w:eastAsia="MS Mincho"/>
          <w:sz w:val="20"/>
          <w:szCs w:val="20"/>
          <w:lang w:bidi="en-US"/>
        </w:rPr>
        <w:t>Habiendo</w:t>
      </w:r>
      <w:r w:rsidRPr="0001748B">
        <w:rPr>
          <w:rFonts w:eastAsia="MS Mincho" w:cs="Verdana"/>
          <w:sz w:val="20"/>
          <w:szCs w:val="20"/>
          <w:lang w:bidi="en-US"/>
        </w:rPr>
        <w:t xml:space="preserve"> constatado los daños sufridos por los familiares de Johan Alexis Ortiz Hernández (</w:t>
      </w:r>
      <w:r w:rsidRPr="0001748B">
        <w:rPr>
          <w:rFonts w:eastAsia="MS Mincho" w:cs="Verdana"/>
          <w:i/>
          <w:sz w:val="20"/>
          <w:szCs w:val="20"/>
          <w:lang w:bidi="en-US"/>
        </w:rPr>
        <w:t xml:space="preserve">supra </w:t>
      </w:r>
      <w:r w:rsidRPr="0001748B">
        <w:rPr>
          <w:rFonts w:eastAsia="MS Mincho" w:cs="Verdana"/>
          <w:sz w:val="20"/>
          <w:szCs w:val="20"/>
          <w:lang w:bidi="en-US"/>
        </w:rPr>
        <w:t xml:space="preserve">Capítulo </w:t>
      </w:r>
      <w:r w:rsidR="00A05A97">
        <w:rPr>
          <w:rFonts w:eastAsia="MS Mincho" w:cs="Verdana"/>
          <w:sz w:val="20"/>
          <w:szCs w:val="20"/>
          <w:lang w:bidi="en-US"/>
        </w:rPr>
        <w:t>VII</w:t>
      </w:r>
      <w:r w:rsidR="006F1295">
        <w:rPr>
          <w:rFonts w:eastAsia="MS Mincho" w:cs="Verdana"/>
          <w:sz w:val="20"/>
          <w:szCs w:val="20"/>
          <w:lang w:bidi="en-US"/>
        </w:rPr>
        <w:t>-3</w:t>
      </w:r>
      <w:r w:rsidR="00A05A97" w:rsidRPr="0001748B">
        <w:rPr>
          <w:rFonts w:eastAsia="MS Mincho" w:cs="Verdana"/>
          <w:sz w:val="20"/>
          <w:szCs w:val="20"/>
          <w:lang w:bidi="en-US"/>
        </w:rPr>
        <w:t xml:space="preserve">), </w:t>
      </w:r>
      <w:r w:rsidRPr="0001748B">
        <w:rPr>
          <w:rFonts w:eastAsia="MS Mincho" w:cs="Verdana"/>
          <w:sz w:val="20"/>
          <w:szCs w:val="20"/>
          <w:lang w:bidi="en-US"/>
        </w:rPr>
        <w:t>l</w:t>
      </w:r>
      <w:r w:rsidRPr="0001748B">
        <w:rPr>
          <w:rFonts w:eastAsia="MS Mincho"/>
          <w:sz w:val="20"/>
          <w:szCs w:val="20"/>
          <w:lang w:bidi="en-US"/>
        </w:rPr>
        <w:t>a Corte estima, como lo ha hecho en otros casos</w:t>
      </w:r>
      <w:r w:rsidRPr="0001748B">
        <w:rPr>
          <w:rFonts w:eastAsia="MS Mincho"/>
          <w:sz w:val="20"/>
          <w:szCs w:val="20"/>
          <w:vertAlign w:val="superscript"/>
          <w:lang w:bidi="en-US"/>
        </w:rPr>
        <w:footnoteReference w:id="230"/>
      </w:r>
      <w:r w:rsidRPr="0001748B">
        <w:rPr>
          <w:rFonts w:eastAsia="MS Mincho"/>
          <w:sz w:val="20"/>
          <w:szCs w:val="20"/>
          <w:lang w:bidi="en-US"/>
        </w:rPr>
        <w:t xml:space="preserve">, que es preciso disponer una medida de reparación que brinde una atención adecuada a los padecimientos </w:t>
      </w:r>
      <w:r w:rsidR="008B0180" w:rsidRPr="0001748B">
        <w:rPr>
          <w:rFonts w:eastAsia="MS Mincho"/>
          <w:sz w:val="20"/>
          <w:szCs w:val="20"/>
          <w:lang w:bidi="en-US"/>
        </w:rPr>
        <w:t>psíquicos</w:t>
      </w:r>
      <w:r w:rsidRPr="0001748B">
        <w:rPr>
          <w:rFonts w:eastAsia="MS Mincho"/>
          <w:sz w:val="20"/>
          <w:szCs w:val="20"/>
          <w:lang w:bidi="en-US"/>
        </w:rPr>
        <w:t xml:space="preserve"> sufridos por las víctimas derivados de las violaciones establecidas en la presente Sentencia. Con el fin de contribuir a la reparación de estos daños, el Tribunal dispone la obligación a cargo del Estado de brindar gratuitamente, a través de sus instituciones de salud especializadas, y de forma inmediata, adecuada y efectiva, el tratamiento psicológico </w:t>
      </w:r>
      <w:r w:rsidR="00E9521F" w:rsidRPr="0001748B">
        <w:rPr>
          <w:rFonts w:eastAsia="MS Mincho"/>
          <w:sz w:val="20"/>
          <w:szCs w:val="20"/>
          <w:lang w:bidi="en-US"/>
        </w:rPr>
        <w:t>y/</w:t>
      </w:r>
      <w:r w:rsidRPr="0001748B">
        <w:rPr>
          <w:rFonts w:eastAsia="MS Mincho"/>
          <w:sz w:val="20"/>
          <w:szCs w:val="20"/>
          <w:lang w:bidi="en-US"/>
        </w:rPr>
        <w:t xml:space="preserve">o psiquiátrico, a las víctimas que así lo soliciten, incluyendo el suministro gratuito de los medicamentos que eventualmente se requieran, tomando en consideración los padecimientos de cada uno de ellos. Lo anterior implica que las víctimas deberán recibir un tratamiento diferenciado en relación con el trámite y procedimiento que debieran realizar para ser atendidos en los </w:t>
      </w:r>
      <w:r w:rsidR="00925E5D" w:rsidRPr="0001748B">
        <w:rPr>
          <w:rFonts w:eastAsia="MS Mincho"/>
          <w:sz w:val="20"/>
          <w:szCs w:val="20"/>
          <w:lang w:bidi="en-US"/>
        </w:rPr>
        <w:t>centros de salud</w:t>
      </w:r>
      <w:r w:rsidRPr="0001748B">
        <w:rPr>
          <w:rFonts w:eastAsia="MS Mincho"/>
          <w:sz w:val="20"/>
          <w:szCs w:val="20"/>
          <w:lang w:bidi="en-US"/>
        </w:rPr>
        <w:t xml:space="preserve"> públicos</w:t>
      </w:r>
      <w:r w:rsidRPr="0001748B">
        <w:rPr>
          <w:rFonts w:eastAsia="MS Mincho"/>
          <w:sz w:val="20"/>
          <w:szCs w:val="20"/>
          <w:vertAlign w:val="superscript"/>
          <w:lang w:bidi="en-US"/>
        </w:rPr>
        <w:footnoteReference w:id="231"/>
      </w:r>
      <w:r w:rsidRPr="0001748B">
        <w:rPr>
          <w:rFonts w:eastAsia="MS Mincho"/>
          <w:sz w:val="20"/>
          <w:szCs w:val="20"/>
          <w:lang w:bidi="en-US"/>
        </w:rPr>
        <w:t>. Asimismo, los tratamientos respectivos deberán prestarse, en la medida de lo posible, en los centros más cercanos a sus lugares de residencia</w:t>
      </w:r>
      <w:r w:rsidRPr="0001748B">
        <w:rPr>
          <w:rFonts w:eastAsia="MS Mincho"/>
          <w:sz w:val="20"/>
          <w:szCs w:val="20"/>
          <w:vertAlign w:val="superscript"/>
          <w:lang w:bidi="en-US"/>
        </w:rPr>
        <w:footnoteReference w:id="232"/>
      </w:r>
      <w:r w:rsidRPr="0001748B">
        <w:rPr>
          <w:rFonts w:eastAsia="MS Mincho"/>
          <w:sz w:val="20"/>
          <w:szCs w:val="20"/>
          <w:lang w:bidi="en-US"/>
        </w:rPr>
        <w:t xml:space="preserve"> en Venezuela por el tiempo que sea necesario. Al proveer el tratamiento psicológico </w:t>
      </w:r>
      <w:r w:rsidR="00925E5D" w:rsidRPr="0001748B">
        <w:rPr>
          <w:rFonts w:eastAsia="MS Mincho"/>
          <w:sz w:val="20"/>
          <w:szCs w:val="20"/>
          <w:lang w:bidi="en-US"/>
        </w:rPr>
        <w:t>y/</w:t>
      </w:r>
      <w:r w:rsidRPr="0001748B">
        <w:rPr>
          <w:rFonts w:eastAsia="MS Mincho"/>
          <w:sz w:val="20"/>
          <w:szCs w:val="20"/>
          <w:lang w:bidi="en-US"/>
        </w:rPr>
        <w:t>o psiquiátrico se debe considerar, además, las circunstancias y necesidades particulares de cada víctima, según lo que se acuerde con cada una de ellas y después de una evaluación individual</w:t>
      </w:r>
      <w:r w:rsidRPr="0001748B">
        <w:rPr>
          <w:rFonts w:eastAsia="MS Mincho"/>
          <w:sz w:val="20"/>
          <w:szCs w:val="20"/>
          <w:vertAlign w:val="superscript"/>
          <w:lang w:bidi="en-US"/>
        </w:rPr>
        <w:footnoteReference w:id="233"/>
      </w:r>
      <w:r w:rsidRPr="0001748B">
        <w:rPr>
          <w:rFonts w:eastAsia="MS Mincho"/>
          <w:sz w:val="20"/>
          <w:szCs w:val="20"/>
          <w:lang w:bidi="en-US"/>
        </w:rPr>
        <w:t xml:space="preserve">. Las víctimas que soliciten esta medida de reparación, o sus representantes legales, disponen de un plazo de seis meses, contado a partir de la notificación de la presente Sentencia, para dar a conocer al Estado su intención de recibir atención psicológica </w:t>
      </w:r>
      <w:r w:rsidR="00C34B4E" w:rsidRPr="0001748B">
        <w:rPr>
          <w:rFonts w:eastAsia="MS Mincho"/>
          <w:sz w:val="20"/>
          <w:szCs w:val="20"/>
          <w:lang w:bidi="en-US"/>
        </w:rPr>
        <w:t>y/</w:t>
      </w:r>
      <w:r w:rsidRPr="0001748B">
        <w:rPr>
          <w:rFonts w:eastAsia="MS Mincho"/>
          <w:sz w:val="20"/>
          <w:szCs w:val="20"/>
          <w:lang w:bidi="en-US"/>
        </w:rPr>
        <w:t>o psiquiátrica</w:t>
      </w:r>
      <w:r w:rsidRPr="0001748B">
        <w:rPr>
          <w:rFonts w:eastAsia="MS Mincho"/>
          <w:sz w:val="20"/>
          <w:szCs w:val="20"/>
          <w:vertAlign w:val="superscript"/>
          <w:lang w:bidi="en-US"/>
        </w:rPr>
        <w:footnoteReference w:id="234"/>
      </w:r>
      <w:r w:rsidRPr="0001748B">
        <w:rPr>
          <w:rFonts w:eastAsia="MS Mincho"/>
          <w:sz w:val="20"/>
          <w:szCs w:val="20"/>
          <w:lang w:bidi="en-US"/>
        </w:rPr>
        <w:t xml:space="preserve">. A su vez, el Estado dispondrá del plazo de dos meses, contado a partir de la recepción de dicha solicitud, para </w:t>
      </w:r>
      <w:r w:rsidR="00925E5D" w:rsidRPr="0001748B">
        <w:rPr>
          <w:rFonts w:eastAsia="MS Mincho"/>
          <w:sz w:val="20"/>
          <w:szCs w:val="20"/>
          <w:lang w:bidi="en-US"/>
        </w:rPr>
        <w:t xml:space="preserve">comenzar a </w:t>
      </w:r>
      <w:r w:rsidRPr="0001748B">
        <w:rPr>
          <w:rFonts w:eastAsia="MS Mincho"/>
          <w:sz w:val="20"/>
          <w:szCs w:val="20"/>
          <w:lang w:bidi="en-US"/>
        </w:rPr>
        <w:t xml:space="preserve">brindar de manera efectiva la atención psicológica </w:t>
      </w:r>
      <w:r w:rsidR="00C34B4E" w:rsidRPr="0001748B">
        <w:rPr>
          <w:rFonts w:eastAsia="MS Mincho"/>
          <w:sz w:val="20"/>
          <w:szCs w:val="20"/>
          <w:lang w:bidi="en-US"/>
        </w:rPr>
        <w:t>y/</w:t>
      </w:r>
      <w:r w:rsidRPr="0001748B">
        <w:rPr>
          <w:rFonts w:eastAsia="MS Mincho"/>
          <w:sz w:val="20"/>
          <w:szCs w:val="20"/>
          <w:lang w:bidi="en-US"/>
        </w:rPr>
        <w:t>o psiquiátrica solicitada.</w:t>
      </w:r>
    </w:p>
    <w:p w:rsidR="001B626E" w:rsidRPr="0001748B" w:rsidRDefault="001B626E" w:rsidP="001B626E">
      <w:pPr>
        <w:tabs>
          <w:tab w:val="left" w:pos="720"/>
          <w:tab w:val="num" w:pos="1427"/>
        </w:tabs>
        <w:spacing w:line="240" w:lineRule="auto"/>
        <w:ind w:right="-90"/>
        <w:rPr>
          <w:rFonts w:cs="Verdana"/>
          <w:sz w:val="19"/>
          <w:szCs w:val="19"/>
        </w:rPr>
      </w:pPr>
    </w:p>
    <w:p w:rsidR="001B626E" w:rsidRPr="00B14590" w:rsidRDefault="001B626E" w:rsidP="00B14590">
      <w:pPr>
        <w:pStyle w:val="Heading2"/>
        <w:tabs>
          <w:tab w:val="left" w:pos="1843"/>
        </w:tabs>
        <w:spacing w:before="0" w:line="240" w:lineRule="auto"/>
        <w:ind w:left="1134"/>
        <w:rPr>
          <w:rFonts w:ascii="Verdana" w:hAnsi="Verdana"/>
          <w:b w:val="0"/>
          <w:i/>
          <w:color w:val="auto"/>
          <w:sz w:val="20"/>
          <w:szCs w:val="20"/>
        </w:rPr>
      </w:pPr>
      <w:bookmarkStart w:id="125" w:name="_Toc495658698"/>
      <w:r w:rsidRPr="00B14590">
        <w:rPr>
          <w:rFonts w:ascii="Verdana" w:hAnsi="Verdana"/>
          <w:b w:val="0"/>
          <w:i/>
          <w:color w:val="auto"/>
          <w:sz w:val="20"/>
          <w:szCs w:val="20"/>
        </w:rPr>
        <w:t xml:space="preserve">C.2 </w:t>
      </w:r>
      <w:r w:rsidRPr="00B14590">
        <w:rPr>
          <w:rFonts w:ascii="Verdana" w:hAnsi="Verdana"/>
          <w:b w:val="0"/>
          <w:i/>
          <w:color w:val="auto"/>
          <w:sz w:val="20"/>
          <w:szCs w:val="20"/>
        </w:rPr>
        <w:tab/>
        <w:t>Satisfacción</w:t>
      </w:r>
      <w:bookmarkEnd w:id="125"/>
    </w:p>
    <w:p w:rsidR="001B626E" w:rsidRPr="0001748B" w:rsidRDefault="001B626E" w:rsidP="001B626E">
      <w:pPr>
        <w:autoSpaceDE w:val="0"/>
        <w:autoSpaceDN w:val="0"/>
        <w:spacing w:line="240" w:lineRule="auto"/>
        <w:rPr>
          <w:rFonts w:cs="Verdana"/>
          <w:color w:val="000000"/>
          <w:sz w:val="20"/>
          <w:szCs w:val="20"/>
        </w:rPr>
      </w:pPr>
    </w:p>
    <w:p w:rsidR="001B626E" w:rsidRPr="0001748B" w:rsidRDefault="001B626E" w:rsidP="008031E5">
      <w:pPr>
        <w:spacing w:line="240" w:lineRule="auto"/>
        <w:ind w:left="1985"/>
        <w:rPr>
          <w:i/>
          <w:iCs/>
          <w:sz w:val="20"/>
          <w:szCs w:val="20"/>
        </w:rPr>
      </w:pPr>
      <w:r w:rsidRPr="0001748B">
        <w:rPr>
          <w:i/>
          <w:iCs/>
          <w:sz w:val="20"/>
          <w:szCs w:val="20"/>
        </w:rPr>
        <w:t xml:space="preserve">a) </w:t>
      </w:r>
      <w:r w:rsidRPr="0001748B">
        <w:rPr>
          <w:i/>
          <w:iCs/>
          <w:sz w:val="20"/>
          <w:szCs w:val="20"/>
        </w:rPr>
        <w:tab/>
        <w:t xml:space="preserve">Publicación y </w:t>
      </w:r>
      <w:r w:rsidR="003C7EEF">
        <w:rPr>
          <w:i/>
          <w:iCs/>
          <w:sz w:val="20"/>
          <w:szCs w:val="20"/>
        </w:rPr>
        <w:t>ra</w:t>
      </w:r>
      <w:r w:rsidRPr="0001748B">
        <w:rPr>
          <w:i/>
          <w:iCs/>
          <w:sz w:val="20"/>
          <w:szCs w:val="20"/>
        </w:rPr>
        <w:t>di</w:t>
      </w:r>
      <w:r w:rsidR="003C7EEF">
        <w:rPr>
          <w:i/>
          <w:iCs/>
          <w:sz w:val="20"/>
          <w:szCs w:val="20"/>
        </w:rPr>
        <w:t>odi</w:t>
      </w:r>
      <w:r w:rsidRPr="0001748B">
        <w:rPr>
          <w:i/>
          <w:iCs/>
          <w:sz w:val="20"/>
          <w:szCs w:val="20"/>
        </w:rPr>
        <w:t>fusión de la Sentencia</w:t>
      </w:r>
    </w:p>
    <w:p w:rsidR="001B626E" w:rsidRPr="0001748B" w:rsidRDefault="001B626E" w:rsidP="001B626E">
      <w:pPr>
        <w:tabs>
          <w:tab w:val="left" w:pos="720"/>
        </w:tabs>
        <w:spacing w:line="240" w:lineRule="auto"/>
        <w:ind w:right="-90"/>
        <w:rPr>
          <w:sz w:val="20"/>
          <w:szCs w:val="20"/>
        </w:rPr>
      </w:pPr>
    </w:p>
    <w:p w:rsidR="001B626E" w:rsidRPr="0001748B" w:rsidRDefault="001B626E" w:rsidP="001B626E">
      <w:pPr>
        <w:numPr>
          <w:ilvl w:val="0"/>
          <w:numId w:val="1"/>
        </w:numPr>
        <w:tabs>
          <w:tab w:val="left" w:pos="567"/>
          <w:tab w:val="num" w:pos="5057"/>
        </w:tabs>
        <w:spacing w:line="240" w:lineRule="auto"/>
        <w:ind w:left="0" w:firstLine="0"/>
        <w:rPr>
          <w:sz w:val="20"/>
          <w:szCs w:val="20"/>
          <w:lang w:eastAsia="x-none"/>
        </w:rPr>
      </w:pPr>
      <w:r w:rsidRPr="0001748B">
        <w:rPr>
          <w:rFonts w:eastAsia="MS Mincho"/>
          <w:sz w:val="20"/>
          <w:szCs w:val="20"/>
          <w:lang w:bidi="en-US"/>
        </w:rPr>
        <w:t>Las</w:t>
      </w:r>
      <w:r w:rsidRPr="0001748B">
        <w:rPr>
          <w:rFonts w:eastAsia="MS Mincho"/>
          <w:sz w:val="20"/>
          <w:szCs w:val="20"/>
          <w:lang w:eastAsia="x-none" w:bidi="en-US"/>
        </w:rPr>
        <w:t xml:space="preserve"> </w:t>
      </w:r>
      <w:r w:rsidRPr="0001748B">
        <w:rPr>
          <w:rFonts w:eastAsia="MS Mincho"/>
          <w:b/>
          <w:i/>
          <w:sz w:val="20"/>
          <w:szCs w:val="20"/>
          <w:lang w:eastAsia="x-none" w:bidi="en-US"/>
        </w:rPr>
        <w:t>representantes</w:t>
      </w:r>
      <w:r w:rsidRPr="0001748B">
        <w:rPr>
          <w:rFonts w:eastAsia="MS Mincho"/>
          <w:b/>
          <w:sz w:val="20"/>
          <w:szCs w:val="20"/>
          <w:lang w:eastAsia="x-none" w:bidi="en-US"/>
        </w:rPr>
        <w:t xml:space="preserve"> </w:t>
      </w:r>
      <w:r w:rsidRPr="0001748B">
        <w:rPr>
          <w:rFonts w:eastAsia="MS Mincho"/>
          <w:sz w:val="20"/>
          <w:szCs w:val="20"/>
          <w:lang w:eastAsia="x-none" w:bidi="en-US"/>
        </w:rPr>
        <w:t xml:space="preserve">solicitaron a la Corte que ordenara al Estado la publicación y </w:t>
      </w:r>
      <w:r w:rsidRPr="0001748B">
        <w:rPr>
          <w:sz w:val="20"/>
          <w:szCs w:val="20"/>
          <w:lang w:eastAsia="x-none"/>
        </w:rPr>
        <w:t>difusión radiofónica</w:t>
      </w:r>
      <w:r w:rsidRPr="0001748B">
        <w:rPr>
          <w:rFonts w:eastAsia="MS Mincho"/>
          <w:sz w:val="20"/>
          <w:szCs w:val="20"/>
          <w:lang w:eastAsia="x-none" w:bidi="en-US"/>
        </w:rPr>
        <w:t xml:space="preserve"> </w:t>
      </w:r>
      <w:r w:rsidRPr="0001748B">
        <w:rPr>
          <w:sz w:val="20"/>
          <w:szCs w:val="20"/>
          <w:lang w:eastAsia="x-none"/>
        </w:rPr>
        <w:t>del resumen oficial y parte resolutiva de la Sentencia en una emisora radial de amplia cobertura, así como en un periódico de circulación nacional en idioma español por única vez.</w:t>
      </w:r>
    </w:p>
    <w:p w:rsidR="001B626E" w:rsidRPr="0001748B" w:rsidRDefault="001B626E" w:rsidP="001B626E">
      <w:pPr>
        <w:tabs>
          <w:tab w:val="left" w:pos="3675"/>
        </w:tabs>
        <w:spacing w:line="240" w:lineRule="auto"/>
        <w:rPr>
          <w:sz w:val="20"/>
          <w:szCs w:val="20"/>
          <w:lang w:eastAsia="x-none"/>
        </w:rPr>
      </w:pPr>
    </w:p>
    <w:p w:rsidR="001B626E" w:rsidRPr="0001748B" w:rsidRDefault="001B626E" w:rsidP="001B626E">
      <w:pPr>
        <w:numPr>
          <w:ilvl w:val="0"/>
          <w:numId w:val="1"/>
        </w:numPr>
        <w:tabs>
          <w:tab w:val="left" w:pos="567"/>
          <w:tab w:val="num" w:pos="5057"/>
        </w:tabs>
        <w:spacing w:line="240" w:lineRule="auto"/>
        <w:ind w:left="0" w:firstLine="0"/>
        <w:rPr>
          <w:rFonts w:eastAsia="MS Mincho"/>
          <w:sz w:val="20"/>
          <w:szCs w:val="20"/>
          <w:lang w:bidi="en-US"/>
        </w:rPr>
      </w:pPr>
      <w:r w:rsidRPr="0001748B">
        <w:rPr>
          <w:rFonts w:eastAsia="MS Mincho"/>
          <w:sz w:val="20"/>
          <w:szCs w:val="20"/>
          <w:lang w:bidi="en-US"/>
        </w:rPr>
        <w:t xml:space="preserve">La </w:t>
      </w:r>
      <w:r w:rsidRPr="0001748B">
        <w:rPr>
          <w:rFonts w:eastAsia="MS Mincho"/>
          <w:b/>
          <w:i/>
          <w:sz w:val="20"/>
          <w:szCs w:val="20"/>
          <w:lang w:bidi="en-US"/>
        </w:rPr>
        <w:t>Comisión</w:t>
      </w:r>
      <w:r w:rsidRPr="0001748B">
        <w:rPr>
          <w:rFonts w:eastAsia="MS Mincho"/>
          <w:sz w:val="20"/>
          <w:szCs w:val="20"/>
          <w:lang w:bidi="en-US"/>
        </w:rPr>
        <w:t xml:space="preserve"> no se pronunció de forma específica sobre esta medida de reparación.</w:t>
      </w:r>
    </w:p>
    <w:p w:rsidR="001B626E" w:rsidRPr="008031E5" w:rsidRDefault="001B626E" w:rsidP="001B626E">
      <w:pPr>
        <w:tabs>
          <w:tab w:val="left" w:pos="709"/>
          <w:tab w:val="left" w:pos="1134"/>
        </w:tabs>
        <w:spacing w:line="240" w:lineRule="auto"/>
        <w:rPr>
          <w:sz w:val="20"/>
          <w:szCs w:val="20"/>
          <w:lang w:eastAsia="x-none"/>
        </w:rPr>
      </w:pPr>
    </w:p>
    <w:p w:rsidR="001B626E" w:rsidRPr="0001748B" w:rsidRDefault="001B626E" w:rsidP="001B626E">
      <w:pPr>
        <w:numPr>
          <w:ilvl w:val="0"/>
          <w:numId w:val="1"/>
        </w:numPr>
        <w:tabs>
          <w:tab w:val="left" w:pos="567"/>
          <w:tab w:val="num" w:pos="5057"/>
        </w:tabs>
        <w:spacing w:line="240" w:lineRule="auto"/>
        <w:ind w:left="0" w:firstLine="0"/>
        <w:rPr>
          <w:rFonts w:eastAsia="MS Mincho"/>
          <w:b/>
          <w:sz w:val="20"/>
          <w:szCs w:val="20"/>
          <w:lang w:bidi="en-US"/>
        </w:rPr>
      </w:pPr>
      <w:r w:rsidRPr="0001748B">
        <w:rPr>
          <w:rFonts w:eastAsia="MS Mincho"/>
          <w:sz w:val="20"/>
          <w:szCs w:val="20"/>
          <w:lang w:bidi="en-US"/>
        </w:rPr>
        <w:t xml:space="preserve">El </w:t>
      </w:r>
      <w:r w:rsidRPr="0001748B">
        <w:rPr>
          <w:rFonts w:eastAsia="MS Mincho"/>
          <w:b/>
          <w:i/>
          <w:sz w:val="20"/>
          <w:szCs w:val="20"/>
          <w:lang w:bidi="en-US"/>
        </w:rPr>
        <w:t>Estado</w:t>
      </w:r>
      <w:r w:rsidRPr="0001748B">
        <w:rPr>
          <w:rFonts w:eastAsia="MS Mincho"/>
          <w:sz w:val="20"/>
          <w:szCs w:val="20"/>
          <w:lang w:bidi="en-US"/>
        </w:rPr>
        <w:t xml:space="preserve"> no presentó alegatos específicos sobre este punto.</w:t>
      </w:r>
    </w:p>
    <w:p w:rsidR="001B626E" w:rsidRPr="008031E5" w:rsidRDefault="001B626E" w:rsidP="008031E5">
      <w:pPr>
        <w:spacing w:line="240" w:lineRule="auto"/>
        <w:rPr>
          <w:rFonts w:eastAsia="MS Mincho"/>
          <w:sz w:val="20"/>
          <w:szCs w:val="20"/>
          <w:lang w:bidi="en-US"/>
        </w:rPr>
      </w:pPr>
    </w:p>
    <w:p w:rsidR="001B626E" w:rsidRPr="0001748B" w:rsidRDefault="001B626E" w:rsidP="001B626E">
      <w:pPr>
        <w:numPr>
          <w:ilvl w:val="0"/>
          <w:numId w:val="1"/>
        </w:numPr>
        <w:tabs>
          <w:tab w:val="left" w:pos="567"/>
          <w:tab w:val="num" w:pos="5057"/>
        </w:tabs>
        <w:spacing w:line="240" w:lineRule="auto"/>
        <w:ind w:left="0" w:firstLine="0"/>
        <w:rPr>
          <w:rFonts w:eastAsia="MS Mincho"/>
          <w:b/>
          <w:sz w:val="20"/>
          <w:szCs w:val="20"/>
          <w:lang w:bidi="en-US"/>
        </w:rPr>
      </w:pPr>
      <w:r w:rsidRPr="0001748B">
        <w:rPr>
          <w:rFonts w:eastAsia="MS Mincho"/>
          <w:sz w:val="20"/>
          <w:szCs w:val="20"/>
          <w:lang w:bidi="en-US"/>
        </w:rPr>
        <w:t>La</w:t>
      </w:r>
      <w:r w:rsidRPr="0001748B">
        <w:rPr>
          <w:rFonts w:eastAsia="MS Mincho" w:cs="Verdana"/>
          <w:sz w:val="20"/>
          <w:szCs w:val="20"/>
          <w:lang w:bidi="en-US"/>
        </w:rPr>
        <w:t xml:space="preserve"> </w:t>
      </w:r>
      <w:r w:rsidRPr="0001748B">
        <w:rPr>
          <w:rFonts w:eastAsia="MS Mincho"/>
          <w:sz w:val="20"/>
          <w:szCs w:val="20"/>
          <w:lang w:bidi="en-US"/>
        </w:rPr>
        <w:t>Corte</w:t>
      </w:r>
      <w:r w:rsidRPr="0001748B">
        <w:rPr>
          <w:rFonts w:eastAsia="MS Mincho" w:cs="Verdana"/>
          <w:sz w:val="20"/>
          <w:szCs w:val="20"/>
          <w:lang w:bidi="en-US"/>
        </w:rPr>
        <w:t xml:space="preserve"> estima, como lo ha dispuesto en otros casos</w:t>
      </w:r>
      <w:r w:rsidRPr="0001748B">
        <w:rPr>
          <w:rFonts w:eastAsia="MS Mincho"/>
          <w:sz w:val="20"/>
          <w:szCs w:val="20"/>
          <w:vertAlign w:val="superscript"/>
          <w:lang w:bidi="en-US"/>
        </w:rPr>
        <w:footnoteReference w:id="235"/>
      </w:r>
      <w:r w:rsidRPr="0001748B">
        <w:rPr>
          <w:rFonts w:eastAsia="MS Mincho" w:cs="Verdana"/>
          <w:sz w:val="20"/>
          <w:szCs w:val="20"/>
          <w:lang w:bidi="en-US"/>
        </w:rPr>
        <w:t>, que el Estado debe publicar, en el plazo de seis meses, contado a partir de la notificación de la presente Sentencia: a) el resumen oficial de la presente Sentencia elaborado por la Corte, por una sola vez, en el Diario Oficial</w:t>
      </w:r>
      <w:r w:rsidRPr="0001748B">
        <w:rPr>
          <w:sz w:val="20"/>
          <w:szCs w:val="20"/>
        </w:rPr>
        <w:t xml:space="preserve"> en un tamaño de letra legible y adecuado</w:t>
      </w:r>
      <w:r w:rsidRPr="0001748B">
        <w:rPr>
          <w:rFonts w:eastAsia="MS Mincho" w:cs="Verdana"/>
          <w:sz w:val="20"/>
          <w:szCs w:val="20"/>
          <w:lang w:bidi="en-US"/>
        </w:rPr>
        <w:t xml:space="preserve">; b) el resumen oficial de la presente Sentencia elaborado por la </w:t>
      </w:r>
      <w:r w:rsidRPr="0001748B">
        <w:rPr>
          <w:rFonts w:eastAsia="MS Mincho" w:cs="Verdana"/>
          <w:sz w:val="20"/>
          <w:szCs w:val="20"/>
          <w:lang w:bidi="en-US"/>
        </w:rPr>
        <w:lastRenderedPageBreak/>
        <w:t>Corte, por una sola vez, en un diario de amplia circulación nacional</w:t>
      </w:r>
      <w:r w:rsidRPr="0001748B">
        <w:rPr>
          <w:sz w:val="20"/>
          <w:szCs w:val="20"/>
        </w:rPr>
        <w:t xml:space="preserve"> en un tamaño de letra legible y adecuado</w:t>
      </w:r>
      <w:r w:rsidRPr="0001748B">
        <w:rPr>
          <w:rFonts w:eastAsia="MS Mincho" w:cs="Verdana"/>
          <w:sz w:val="20"/>
          <w:szCs w:val="20"/>
          <w:lang w:bidi="en-US"/>
        </w:rPr>
        <w:t xml:space="preserve">, y c) la presente Sentencia en su integridad, disponible por un período de un año, en un sitio </w:t>
      </w:r>
      <w:r w:rsidRPr="0001748B">
        <w:rPr>
          <w:rFonts w:eastAsia="MS Mincho" w:cs="Verdana"/>
          <w:i/>
          <w:sz w:val="20"/>
          <w:szCs w:val="20"/>
          <w:lang w:bidi="en-US"/>
        </w:rPr>
        <w:t>web</w:t>
      </w:r>
      <w:r w:rsidRPr="0001748B">
        <w:rPr>
          <w:rFonts w:eastAsia="MS Mincho" w:cs="Verdana"/>
          <w:sz w:val="20"/>
          <w:szCs w:val="20"/>
          <w:lang w:bidi="en-US"/>
        </w:rPr>
        <w:t xml:space="preserve"> oficial </w:t>
      </w:r>
      <w:r w:rsidRPr="0001748B">
        <w:rPr>
          <w:sz w:val="20"/>
          <w:szCs w:val="20"/>
        </w:rPr>
        <w:t>del Estado, de manera accesible al público</w:t>
      </w:r>
      <w:r w:rsidR="00270650" w:rsidRPr="0001748B">
        <w:rPr>
          <w:sz w:val="20"/>
          <w:szCs w:val="20"/>
        </w:rPr>
        <w:t xml:space="preserve"> desde </w:t>
      </w:r>
      <w:r w:rsidR="00D54A1E">
        <w:rPr>
          <w:sz w:val="20"/>
          <w:szCs w:val="20"/>
        </w:rPr>
        <w:t>su</w:t>
      </w:r>
      <w:r w:rsidR="00D54A1E" w:rsidRPr="0001748B">
        <w:rPr>
          <w:sz w:val="20"/>
          <w:szCs w:val="20"/>
        </w:rPr>
        <w:t xml:space="preserve"> </w:t>
      </w:r>
      <w:r w:rsidR="00270650" w:rsidRPr="0001748B">
        <w:rPr>
          <w:sz w:val="20"/>
          <w:szCs w:val="20"/>
        </w:rPr>
        <w:t>página de inicio</w:t>
      </w:r>
      <w:r w:rsidRPr="0001748B">
        <w:rPr>
          <w:sz w:val="20"/>
          <w:szCs w:val="20"/>
        </w:rPr>
        <w:t>.</w:t>
      </w:r>
    </w:p>
    <w:p w:rsidR="001B626E" w:rsidRPr="007519C1" w:rsidRDefault="001B626E" w:rsidP="007519C1">
      <w:pPr>
        <w:spacing w:line="240" w:lineRule="auto"/>
        <w:rPr>
          <w:rFonts w:eastAsia="MS Mincho"/>
          <w:b/>
          <w:sz w:val="20"/>
          <w:szCs w:val="20"/>
          <w:lang w:bidi="en-US"/>
        </w:rPr>
      </w:pPr>
    </w:p>
    <w:p w:rsidR="001B626E" w:rsidRPr="0001748B" w:rsidRDefault="001B626E" w:rsidP="001B626E">
      <w:pPr>
        <w:numPr>
          <w:ilvl w:val="0"/>
          <w:numId w:val="1"/>
        </w:numPr>
        <w:tabs>
          <w:tab w:val="left" w:pos="567"/>
          <w:tab w:val="num" w:pos="5057"/>
        </w:tabs>
        <w:spacing w:line="240" w:lineRule="auto"/>
        <w:ind w:left="0" w:firstLine="0"/>
        <w:rPr>
          <w:rFonts w:eastAsia="MS Mincho"/>
          <w:sz w:val="20"/>
          <w:szCs w:val="20"/>
          <w:lang w:bidi="en-US"/>
        </w:rPr>
      </w:pPr>
      <w:r w:rsidRPr="0001748B">
        <w:rPr>
          <w:sz w:val="20"/>
          <w:szCs w:val="20"/>
        </w:rPr>
        <w:t>Asimismo, la Corte considera apropiado, tal como lo ha dispuesto en otros casos</w:t>
      </w:r>
      <w:r w:rsidRPr="0001748B">
        <w:rPr>
          <w:rStyle w:val="FootnoteReference"/>
          <w:sz w:val="20"/>
          <w:szCs w:val="20"/>
        </w:rPr>
        <w:footnoteReference w:id="236"/>
      </w:r>
      <w:r w:rsidRPr="0001748B">
        <w:rPr>
          <w:sz w:val="20"/>
          <w:szCs w:val="20"/>
        </w:rPr>
        <w:t>, que el Estado dé publicidad al resumen oficial de la Sentencia, a través de</w:t>
      </w:r>
      <w:r w:rsidR="00C76CF4">
        <w:rPr>
          <w:sz w:val="20"/>
          <w:szCs w:val="20"/>
        </w:rPr>
        <w:t xml:space="preserve"> </w:t>
      </w:r>
      <w:r w:rsidR="00C76CF4" w:rsidRPr="008031E5">
        <w:rPr>
          <w:sz w:val="20"/>
          <w:szCs w:val="20"/>
        </w:rPr>
        <w:t>la radiodifusión en</w:t>
      </w:r>
      <w:r w:rsidRPr="0001748B">
        <w:rPr>
          <w:sz w:val="20"/>
          <w:szCs w:val="20"/>
        </w:rPr>
        <w:t xml:space="preserve"> una emisora radial de amplia cobertura nacional, </w:t>
      </w:r>
      <w:r w:rsidRPr="0001748B">
        <w:rPr>
          <w:rFonts w:cs="Verdana-Italic"/>
          <w:iCs/>
          <w:spacing w:val="-2"/>
          <w:sz w:val="20"/>
          <w:szCs w:val="20"/>
          <w:lang w:bidi="en-US"/>
        </w:rPr>
        <w:t xml:space="preserve">en horario de alta audiencia, por una única vez. </w:t>
      </w:r>
      <w:r w:rsidRPr="0001748B">
        <w:rPr>
          <w:sz w:val="20"/>
          <w:szCs w:val="20"/>
        </w:rPr>
        <w:t xml:space="preserve">El Estado deberá comunicar previamente a las representantes y a las víctimas, al menos con dos semanas de anticipación, la fecha, horario y emisora en que efectuará tal </w:t>
      </w:r>
      <w:r w:rsidR="00C76CF4">
        <w:rPr>
          <w:sz w:val="20"/>
          <w:szCs w:val="20"/>
        </w:rPr>
        <w:t>radio</w:t>
      </w:r>
      <w:r w:rsidRPr="0001748B">
        <w:rPr>
          <w:sz w:val="20"/>
          <w:szCs w:val="20"/>
        </w:rPr>
        <w:t xml:space="preserve">difusión. El Estado </w:t>
      </w:r>
      <w:r w:rsidR="00321F10">
        <w:rPr>
          <w:sz w:val="20"/>
          <w:szCs w:val="20"/>
        </w:rPr>
        <w:t>c</w:t>
      </w:r>
      <w:r w:rsidR="00FA0CCD">
        <w:rPr>
          <w:sz w:val="20"/>
          <w:szCs w:val="20"/>
        </w:rPr>
        <w:t>uenta</w:t>
      </w:r>
      <w:r w:rsidR="00321F10">
        <w:rPr>
          <w:sz w:val="20"/>
          <w:szCs w:val="20"/>
        </w:rPr>
        <w:t xml:space="preserve"> con </w:t>
      </w:r>
      <w:r w:rsidRPr="0001748B">
        <w:rPr>
          <w:sz w:val="20"/>
          <w:szCs w:val="20"/>
        </w:rPr>
        <w:t>el plazo de seis meses</w:t>
      </w:r>
      <w:r w:rsidR="00321F10">
        <w:rPr>
          <w:sz w:val="20"/>
          <w:szCs w:val="20"/>
        </w:rPr>
        <w:t>,</w:t>
      </w:r>
      <w:r w:rsidRPr="0001748B">
        <w:rPr>
          <w:sz w:val="20"/>
          <w:szCs w:val="20"/>
        </w:rPr>
        <w:t xml:space="preserve"> a partir de la notificación de la presente Sentencia</w:t>
      </w:r>
      <w:r w:rsidR="00321F10">
        <w:rPr>
          <w:sz w:val="20"/>
          <w:szCs w:val="20"/>
        </w:rPr>
        <w:t>, para</w:t>
      </w:r>
      <w:r w:rsidR="00321F10" w:rsidRPr="00321F10">
        <w:rPr>
          <w:sz w:val="20"/>
          <w:szCs w:val="20"/>
        </w:rPr>
        <w:t xml:space="preserve"> </w:t>
      </w:r>
      <w:r w:rsidR="00321F10" w:rsidRPr="0001748B">
        <w:rPr>
          <w:sz w:val="20"/>
          <w:szCs w:val="20"/>
        </w:rPr>
        <w:t>cumplir con esta medida</w:t>
      </w:r>
      <w:r w:rsidRPr="0001748B">
        <w:rPr>
          <w:sz w:val="20"/>
          <w:szCs w:val="20"/>
        </w:rPr>
        <w:t>.</w:t>
      </w:r>
    </w:p>
    <w:p w:rsidR="001B626E" w:rsidRDefault="001B626E" w:rsidP="001B626E">
      <w:pPr>
        <w:spacing w:line="240" w:lineRule="auto"/>
        <w:rPr>
          <w:b/>
          <w:sz w:val="20"/>
          <w:szCs w:val="20"/>
          <w:u w:val="single"/>
        </w:rPr>
      </w:pPr>
    </w:p>
    <w:p w:rsidR="007519C1" w:rsidRPr="0001748B" w:rsidRDefault="007519C1" w:rsidP="007519C1">
      <w:pPr>
        <w:numPr>
          <w:ilvl w:val="0"/>
          <w:numId w:val="1"/>
        </w:numPr>
        <w:tabs>
          <w:tab w:val="left" w:pos="567"/>
          <w:tab w:val="num" w:pos="5057"/>
        </w:tabs>
        <w:spacing w:line="240" w:lineRule="auto"/>
        <w:ind w:left="0" w:firstLine="0"/>
        <w:rPr>
          <w:rFonts w:eastAsia="MS Mincho"/>
          <w:b/>
          <w:sz w:val="20"/>
          <w:szCs w:val="20"/>
          <w:lang w:bidi="en-US"/>
        </w:rPr>
      </w:pPr>
      <w:r w:rsidRPr="0001748B">
        <w:rPr>
          <w:sz w:val="20"/>
          <w:szCs w:val="20"/>
        </w:rPr>
        <w:t xml:space="preserve">El Estado deberá informar de forma inmediata a este Tribunal una vez que proceda a realizar cada una de las publicaciones dispuestas, independientemente del plazo de un año para presentar su primer informe dispuesto en el punto resolutivo </w:t>
      </w:r>
      <w:r w:rsidR="003C7EEF">
        <w:rPr>
          <w:sz w:val="20"/>
          <w:szCs w:val="20"/>
        </w:rPr>
        <w:t>17</w:t>
      </w:r>
      <w:r w:rsidR="003C7EEF" w:rsidRPr="0001748B">
        <w:rPr>
          <w:sz w:val="20"/>
          <w:szCs w:val="20"/>
        </w:rPr>
        <w:t xml:space="preserve"> </w:t>
      </w:r>
      <w:r w:rsidRPr="0001748B">
        <w:rPr>
          <w:sz w:val="20"/>
          <w:szCs w:val="20"/>
        </w:rPr>
        <w:t>de la Sentencia.</w:t>
      </w:r>
    </w:p>
    <w:p w:rsidR="007519C1" w:rsidRPr="0001748B" w:rsidRDefault="007519C1" w:rsidP="001B626E">
      <w:pPr>
        <w:spacing w:line="240" w:lineRule="auto"/>
        <w:rPr>
          <w:b/>
          <w:sz w:val="20"/>
          <w:szCs w:val="20"/>
          <w:u w:val="single"/>
        </w:rPr>
      </w:pPr>
    </w:p>
    <w:p w:rsidR="001B626E" w:rsidRPr="00166CF4" w:rsidRDefault="001B626E" w:rsidP="008031E5">
      <w:pPr>
        <w:spacing w:line="240" w:lineRule="auto"/>
        <w:ind w:left="1985"/>
        <w:rPr>
          <w:i/>
          <w:iCs/>
          <w:sz w:val="20"/>
          <w:szCs w:val="20"/>
        </w:rPr>
      </w:pPr>
      <w:r w:rsidRPr="00166CF4">
        <w:rPr>
          <w:i/>
          <w:iCs/>
          <w:sz w:val="20"/>
          <w:szCs w:val="20"/>
        </w:rPr>
        <w:t xml:space="preserve">b) </w:t>
      </w:r>
      <w:r w:rsidRPr="00166CF4">
        <w:rPr>
          <w:i/>
          <w:iCs/>
          <w:sz w:val="20"/>
          <w:szCs w:val="20"/>
        </w:rPr>
        <w:tab/>
        <w:t>Acto público de reconocimiento de responsabilidad internacional</w:t>
      </w:r>
    </w:p>
    <w:p w:rsidR="001B626E" w:rsidRPr="0001748B" w:rsidRDefault="001B626E" w:rsidP="001B626E">
      <w:pPr>
        <w:tabs>
          <w:tab w:val="left" w:pos="3675"/>
        </w:tabs>
        <w:spacing w:line="240" w:lineRule="auto"/>
        <w:rPr>
          <w:b/>
          <w:sz w:val="20"/>
          <w:szCs w:val="20"/>
          <w:lang w:eastAsia="x-none"/>
        </w:rPr>
      </w:pPr>
    </w:p>
    <w:p w:rsidR="001B626E" w:rsidRPr="0001748B" w:rsidRDefault="001B626E" w:rsidP="001B626E">
      <w:pPr>
        <w:numPr>
          <w:ilvl w:val="0"/>
          <w:numId w:val="1"/>
        </w:numPr>
        <w:tabs>
          <w:tab w:val="left" w:pos="567"/>
          <w:tab w:val="num" w:pos="5057"/>
        </w:tabs>
        <w:spacing w:line="240" w:lineRule="auto"/>
        <w:ind w:left="0" w:firstLine="0"/>
        <w:rPr>
          <w:b/>
          <w:sz w:val="20"/>
          <w:szCs w:val="20"/>
        </w:rPr>
      </w:pPr>
      <w:r w:rsidRPr="0001748B">
        <w:rPr>
          <w:rFonts w:eastAsia="MS Mincho"/>
          <w:sz w:val="20"/>
          <w:szCs w:val="20"/>
          <w:lang w:bidi="en-US"/>
        </w:rPr>
        <w:t xml:space="preserve">Las </w:t>
      </w:r>
      <w:r w:rsidRPr="0001748B">
        <w:rPr>
          <w:rFonts w:eastAsia="MS Mincho" w:cs="Verdana"/>
          <w:b/>
          <w:i/>
          <w:sz w:val="20"/>
          <w:szCs w:val="20"/>
          <w:lang w:bidi="en-US"/>
        </w:rPr>
        <w:t>representantes</w:t>
      </w:r>
      <w:r w:rsidRPr="0001748B">
        <w:rPr>
          <w:rFonts w:eastAsia="MS Mincho"/>
          <w:b/>
          <w:sz w:val="20"/>
          <w:szCs w:val="20"/>
          <w:lang w:bidi="en-US"/>
        </w:rPr>
        <w:t xml:space="preserve"> </w:t>
      </w:r>
      <w:r w:rsidRPr="0001748B">
        <w:rPr>
          <w:rFonts w:eastAsia="MS Mincho"/>
          <w:sz w:val="20"/>
          <w:szCs w:val="20"/>
          <w:lang w:bidi="en-US"/>
        </w:rPr>
        <w:t>señalaron que</w:t>
      </w:r>
      <w:r w:rsidR="00D73504">
        <w:rPr>
          <w:rFonts w:eastAsia="MS Mincho"/>
          <w:sz w:val="20"/>
          <w:szCs w:val="20"/>
          <w:lang w:bidi="en-US"/>
        </w:rPr>
        <w:t>,</w:t>
      </w:r>
      <w:r w:rsidRPr="0001748B">
        <w:rPr>
          <w:rFonts w:eastAsia="MS Mincho"/>
          <w:sz w:val="20"/>
          <w:szCs w:val="20"/>
          <w:lang w:bidi="en-US"/>
        </w:rPr>
        <w:t xml:space="preserve"> durante la audiencia pública del caso, el Estado venezolano, a través de su agente, </w:t>
      </w:r>
      <w:r w:rsidR="00BF696E" w:rsidRPr="0001748B">
        <w:rPr>
          <w:rFonts w:eastAsia="MS Mincho"/>
          <w:sz w:val="20"/>
          <w:szCs w:val="20"/>
          <w:lang w:bidi="en-US"/>
        </w:rPr>
        <w:t>solicitó</w:t>
      </w:r>
      <w:r w:rsidRPr="0001748B">
        <w:rPr>
          <w:rFonts w:eastAsia="MS Mincho"/>
          <w:sz w:val="20"/>
          <w:szCs w:val="20"/>
          <w:lang w:bidi="en-US"/>
        </w:rPr>
        <w:t xml:space="preserve"> “un minuto de silencio” en honor a Johan Alexis Ortiz Hernández</w:t>
      </w:r>
      <w:r w:rsidR="00A6213A">
        <w:rPr>
          <w:rFonts w:eastAsia="MS Mincho"/>
          <w:sz w:val="20"/>
          <w:szCs w:val="20"/>
          <w:lang w:bidi="en-US"/>
        </w:rPr>
        <w:t>.</w:t>
      </w:r>
      <w:r w:rsidR="00A6213A">
        <w:rPr>
          <w:rFonts w:eastAsia="MS Mincho"/>
          <w:b/>
          <w:sz w:val="16"/>
          <w:szCs w:val="16"/>
          <w:lang w:bidi="en-US"/>
        </w:rPr>
        <w:t xml:space="preserve"> </w:t>
      </w:r>
      <w:r w:rsidRPr="0001748B">
        <w:rPr>
          <w:rFonts w:eastAsia="MS Mincho"/>
          <w:sz w:val="20"/>
          <w:szCs w:val="20"/>
          <w:lang w:bidi="en-US"/>
        </w:rPr>
        <w:t>Sin embargo, reiteraron</w:t>
      </w:r>
      <w:r w:rsidRPr="00125C44">
        <w:rPr>
          <w:rFonts w:eastAsia="MS Mincho"/>
          <w:sz w:val="20"/>
          <w:szCs w:val="20"/>
          <w:lang w:bidi="en-US"/>
        </w:rPr>
        <w:t xml:space="preserve"> </w:t>
      </w:r>
      <w:r w:rsidRPr="0001748B">
        <w:rPr>
          <w:rFonts w:eastAsia="MS Mincho"/>
          <w:sz w:val="20"/>
          <w:szCs w:val="20"/>
          <w:lang w:bidi="en-US"/>
        </w:rPr>
        <w:t xml:space="preserve">su solicitud respecto a la realización de un acto público de reconocimiento de responsabilidad internacional </w:t>
      </w:r>
      <w:r w:rsidRPr="0001748B">
        <w:rPr>
          <w:rFonts w:eastAsia="Verdana" w:cs="Verdana"/>
          <w:spacing w:val="-1"/>
          <w:sz w:val="20"/>
          <w:szCs w:val="20"/>
        </w:rPr>
        <w:t>e</w:t>
      </w:r>
      <w:r w:rsidRPr="0001748B">
        <w:rPr>
          <w:rFonts w:eastAsia="Verdana" w:cs="Verdana"/>
          <w:sz w:val="20"/>
          <w:szCs w:val="20"/>
        </w:rPr>
        <w:t>n</w:t>
      </w:r>
      <w:r w:rsidRPr="0001748B">
        <w:rPr>
          <w:rFonts w:eastAsia="Verdana" w:cs="Verdana"/>
          <w:spacing w:val="16"/>
          <w:sz w:val="20"/>
          <w:szCs w:val="20"/>
        </w:rPr>
        <w:t xml:space="preserve"> </w:t>
      </w:r>
      <w:r w:rsidRPr="0001748B">
        <w:rPr>
          <w:rFonts w:eastAsia="Verdana" w:cs="Verdana"/>
          <w:spacing w:val="-1"/>
          <w:sz w:val="20"/>
          <w:szCs w:val="20"/>
        </w:rPr>
        <w:t>e</w:t>
      </w:r>
      <w:r w:rsidRPr="0001748B">
        <w:rPr>
          <w:rFonts w:eastAsia="Verdana" w:cs="Verdana"/>
          <w:sz w:val="20"/>
          <w:szCs w:val="20"/>
        </w:rPr>
        <w:t>l</w:t>
      </w:r>
      <w:r w:rsidRPr="0001748B">
        <w:rPr>
          <w:rFonts w:eastAsia="Verdana" w:cs="Verdana"/>
          <w:spacing w:val="18"/>
          <w:sz w:val="20"/>
          <w:szCs w:val="20"/>
        </w:rPr>
        <w:t xml:space="preserve"> </w:t>
      </w:r>
      <w:r w:rsidRPr="0001748B">
        <w:rPr>
          <w:rFonts w:eastAsia="Verdana" w:cs="Verdana"/>
          <w:sz w:val="20"/>
          <w:szCs w:val="20"/>
        </w:rPr>
        <w:t>D</w:t>
      </w:r>
      <w:r w:rsidRPr="0001748B">
        <w:rPr>
          <w:rFonts w:eastAsia="Verdana" w:cs="Verdana"/>
          <w:spacing w:val="-1"/>
          <w:sz w:val="20"/>
          <w:szCs w:val="20"/>
        </w:rPr>
        <w:t>es</w:t>
      </w:r>
      <w:r w:rsidRPr="0001748B">
        <w:rPr>
          <w:rFonts w:eastAsia="Verdana" w:cs="Verdana"/>
          <w:spacing w:val="1"/>
          <w:sz w:val="20"/>
          <w:szCs w:val="20"/>
        </w:rPr>
        <w:t>t</w:t>
      </w:r>
      <w:r w:rsidRPr="0001748B">
        <w:rPr>
          <w:rFonts w:eastAsia="Verdana" w:cs="Verdana"/>
          <w:spacing w:val="3"/>
          <w:sz w:val="20"/>
          <w:szCs w:val="20"/>
        </w:rPr>
        <w:t>a</w:t>
      </w:r>
      <w:r w:rsidRPr="0001748B">
        <w:rPr>
          <w:rFonts w:eastAsia="Verdana" w:cs="Verdana"/>
          <w:spacing w:val="-1"/>
          <w:sz w:val="20"/>
          <w:szCs w:val="20"/>
        </w:rPr>
        <w:t>c</w:t>
      </w:r>
      <w:r w:rsidRPr="0001748B">
        <w:rPr>
          <w:rFonts w:eastAsia="Verdana" w:cs="Verdana"/>
          <w:sz w:val="20"/>
          <w:szCs w:val="20"/>
        </w:rPr>
        <w:t>a</w:t>
      </w:r>
      <w:r w:rsidRPr="0001748B">
        <w:rPr>
          <w:rFonts w:eastAsia="Verdana" w:cs="Verdana"/>
          <w:spacing w:val="1"/>
          <w:sz w:val="20"/>
          <w:szCs w:val="20"/>
        </w:rPr>
        <w:t>m</w:t>
      </w:r>
      <w:r w:rsidRPr="0001748B">
        <w:rPr>
          <w:rFonts w:eastAsia="Verdana" w:cs="Verdana"/>
          <w:spacing w:val="-1"/>
          <w:sz w:val="20"/>
          <w:szCs w:val="20"/>
        </w:rPr>
        <w:t>e</w:t>
      </w:r>
      <w:r w:rsidRPr="0001748B">
        <w:rPr>
          <w:rFonts w:eastAsia="Verdana" w:cs="Verdana"/>
          <w:spacing w:val="1"/>
          <w:sz w:val="20"/>
          <w:szCs w:val="20"/>
        </w:rPr>
        <w:t>n</w:t>
      </w:r>
      <w:r w:rsidRPr="0001748B">
        <w:rPr>
          <w:rFonts w:eastAsia="Verdana" w:cs="Verdana"/>
          <w:spacing w:val="3"/>
          <w:sz w:val="20"/>
          <w:szCs w:val="20"/>
        </w:rPr>
        <w:t>t</w:t>
      </w:r>
      <w:r w:rsidRPr="0001748B">
        <w:rPr>
          <w:rFonts w:eastAsia="Verdana" w:cs="Verdana"/>
          <w:sz w:val="20"/>
          <w:szCs w:val="20"/>
        </w:rPr>
        <w:t>o</w:t>
      </w:r>
      <w:r w:rsidRPr="0001748B">
        <w:rPr>
          <w:rFonts w:eastAsia="Verdana" w:cs="Verdana"/>
          <w:spacing w:val="1"/>
          <w:sz w:val="20"/>
          <w:szCs w:val="20"/>
        </w:rPr>
        <w:t xml:space="preserve"> N</w:t>
      </w:r>
      <w:r w:rsidRPr="0001748B">
        <w:rPr>
          <w:rFonts w:eastAsia="Verdana" w:cs="Verdana"/>
          <w:spacing w:val="-1"/>
          <w:sz w:val="20"/>
          <w:szCs w:val="20"/>
        </w:rPr>
        <w:t>o.</w:t>
      </w:r>
      <w:r w:rsidR="00F6055E">
        <w:rPr>
          <w:rFonts w:eastAsia="Verdana" w:cs="Verdana"/>
          <w:spacing w:val="-1"/>
          <w:sz w:val="20"/>
          <w:szCs w:val="20"/>
        </w:rPr>
        <w:t xml:space="preserve"> </w:t>
      </w:r>
      <w:r w:rsidRPr="0001748B">
        <w:rPr>
          <w:rFonts w:eastAsia="Verdana" w:cs="Verdana"/>
          <w:spacing w:val="1"/>
          <w:sz w:val="20"/>
          <w:szCs w:val="20"/>
        </w:rPr>
        <w:t>1</w:t>
      </w:r>
      <w:r w:rsidRPr="0001748B">
        <w:rPr>
          <w:rFonts w:eastAsia="Verdana" w:cs="Verdana"/>
          <w:sz w:val="20"/>
          <w:szCs w:val="20"/>
        </w:rPr>
        <w:t xml:space="preserve">9 </w:t>
      </w:r>
      <w:r w:rsidRPr="0001748B">
        <w:rPr>
          <w:rFonts w:eastAsia="Verdana" w:cs="Verdana"/>
          <w:spacing w:val="1"/>
          <w:sz w:val="20"/>
          <w:szCs w:val="20"/>
        </w:rPr>
        <w:t>d</w:t>
      </w:r>
      <w:r w:rsidRPr="0001748B">
        <w:rPr>
          <w:rFonts w:eastAsia="Verdana" w:cs="Verdana"/>
          <w:sz w:val="20"/>
          <w:szCs w:val="20"/>
        </w:rPr>
        <w:t>e los</w:t>
      </w:r>
      <w:r w:rsidRPr="0001748B">
        <w:rPr>
          <w:rFonts w:eastAsia="Verdana" w:cs="Verdana"/>
          <w:spacing w:val="25"/>
          <w:sz w:val="20"/>
          <w:szCs w:val="20"/>
        </w:rPr>
        <w:t xml:space="preserve"> </w:t>
      </w:r>
      <w:r w:rsidRPr="0001748B">
        <w:rPr>
          <w:rFonts w:eastAsia="Verdana" w:cs="Verdana"/>
          <w:sz w:val="20"/>
          <w:szCs w:val="20"/>
        </w:rPr>
        <w:t>C</w:t>
      </w:r>
      <w:r w:rsidRPr="0001748B">
        <w:rPr>
          <w:rFonts w:eastAsia="Verdana" w:cs="Verdana"/>
          <w:spacing w:val="-1"/>
          <w:sz w:val="20"/>
          <w:szCs w:val="20"/>
        </w:rPr>
        <w:t>o</w:t>
      </w:r>
      <w:r w:rsidRPr="0001748B">
        <w:rPr>
          <w:rFonts w:eastAsia="Verdana" w:cs="Verdana"/>
          <w:spacing w:val="1"/>
          <w:sz w:val="20"/>
          <w:szCs w:val="20"/>
        </w:rPr>
        <w:t>m</w:t>
      </w:r>
      <w:r w:rsidRPr="0001748B">
        <w:rPr>
          <w:rFonts w:eastAsia="Verdana" w:cs="Verdana"/>
          <w:sz w:val="20"/>
          <w:szCs w:val="20"/>
        </w:rPr>
        <w:t>a</w:t>
      </w:r>
      <w:r w:rsidRPr="0001748B">
        <w:rPr>
          <w:rFonts w:eastAsia="Verdana" w:cs="Verdana"/>
          <w:spacing w:val="1"/>
          <w:sz w:val="20"/>
          <w:szCs w:val="20"/>
        </w:rPr>
        <w:t>n</w:t>
      </w:r>
      <w:r w:rsidRPr="0001748B">
        <w:rPr>
          <w:rFonts w:eastAsia="Verdana" w:cs="Verdana"/>
          <w:spacing w:val="3"/>
          <w:sz w:val="20"/>
          <w:szCs w:val="20"/>
        </w:rPr>
        <w:t>d</w:t>
      </w:r>
      <w:r w:rsidRPr="0001748B">
        <w:rPr>
          <w:rFonts w:eastAsia="Verdana" w:cs="Verdana"/>
          <w:spacing w:val="-1"/>
          <w:sz w:val="20"/>
          <w:szCs w:val="20"/>
        </w:rPr>
        <w:t>o</w:t>
      </w:r>
      <w:r w:rsidRPr="0001748B">
        <w:rPr>
          <w:rFonts w:eastAsia="Verdana" w:cs="Verdana"/>
          <w:sz w:val="20"/>
          <w:szCs w:val="20"/>
        </w:rPr>
        <w:t>s</w:t>
      </w:r>
      <w:r w:rsidRPr="0001748B">
        <w:rPr>
          <w:rFonts w:eastAsia="Verdana" w:cs="Verdana"/>
          <w:spacing w:val="16"/>
          <w:sz w:val="20"/>
          <w:szCs w:val="20"/>
        </w:rPr>
        <w:t xml:space="preserve"> </w:t>
      </w:r>
      <w:r w:rsidRPr="0001748B">
        <w:rPr>
          <w:rFonts w:eastAsia="Verdana" w:cs="Verdana"/>
          <w:sz w:val="20"/>
          <w:szCs w:val="20"/>
        </w:rPr>
        <w:t xml:space="preserve">Rurales de Caño Negro de la Guardia Nacional, en el Municipio Fernández Feo del </w:t>
      </w:r>
      <w:r w:rsidR="00D70ACD" w:rsidRPr="0001748B">
        <w:rPr>
          <w:rFonts w:eastAsia="Verdana" w:cs="Verdana"/>
          <w:sz w:val="20"/>
          <w:szCs w:val="20"/>
        </w:rPr>
        <w:t>e</w:t>
      </w:r>
      <w:r w:rsidRPr="0001748B">
        <w:rPr>
          <w:rFonts w:eastAsia="Verdana" w:cs="Verdana"/>
          <w:sz w:val="20"/>
          <w:szCs w:val="20"/>
        </w:rPr>
        <w:t xml:space="preserve">stado de Táchira, debiendo participar en el mismo los familiares del estudiante fallecido. Asimismo, requirieron que la Corte ordenara al Estado </w:t>
      </w:r>
      <w:r w:rsidR="0058410F">
        <w:rPr>
          <w:rFonts w:eastAsia="Verdana" w:cs="Verdana"/>
          <w:sz w:val="20"/>
          <w:szCs w:val="20"/>
        </w:rPr>
        <w:t xml:space="preserve">que </w:t>
      </w:r>
      <w:r w:rsidRPr="0001748B">
        <w:rPr>
          <w:rFonts w:eastAsia="Verdana" w:cs="Verdana"/>
          <w:sz w:val="20"/>
          <w:szCs w:val="20"/>
        </w:rPr>
        <w:t>emita disculpas públicas a favor de los familiares de Johan Alexis Ortiz Hernández, por las violaciones sufridas directa e indirectamente.</w:t>
      </w:r>
    </w:p>
    <w:p w:rsidR="001B626E" w:rsidRPr="0001748B" w:rsidRDefault="001B626E" w:rsidP="001B626E">
      <w:pPr>
        <w:tabs>
          <w:tab w:val="left" w:pos="709"/>
          <w:tab w:val="left" w:pos="1134"/>
        </w:tabs>
        <w:spacing w:line="240" w:lineRule="auto"/>
        <w:rPr>
          <w:b/>
          <w:sz w:val="20"/>
          <w:szCs w:val="20"/>
          <w:lang w:eastAsia="x-none"/>
        </w:rPr>
      </w:pPr>
    </w:p>
    <w:p w:rsidR="001B626E" w:rsidRPr="0001748B" w:rsidRDefault="001B626E" w:rsidP="001B626E">
      <w:pPr>
        <w:numPr>
          <w:ilvl w:val="0"/>
          <w:numId w:val="1"/>
        </w:numPr>
        <w:tabs>
          <w:tab w:val="left" w:pos="567"/>
          <w:tab w:val="num" w:pos="5057"/>
        </w:tabs>
        <w:spacing w:line="240" w:lineRule="auto"/>
        <w:ind w:left="0" w:firstLine="0"/>
        <w:rPr>
          <w:rFonts w:eastAsia="MS Mincho"/>
          <w:b/>
          <w:sz w:val="20"/>
          <w:szCs w:val="20"/>
          <w:lang w:bidi="en-US"/>
        </w:rPr>
      </w:pPr>
      <w:r w:rsidRPr="0001748B">
        <w:rPr>
          <w:rFonts w:eastAsia="MS Mincho"/>
          <w:sz w:val="20"/>
          <w:szCs w:val="20"/>
          <w:lang w:bidi="en-US"/>
        </w:rPr>
        <w:t xml:space="preserve">El </w:t>
      </w:r>
      <w:r w:rsidRPr="0001748B">
        <w:rPr>
          <w:rFonts w:eastAsia="MS Mincho"/>
          <w:b/>
          <w:i/>
          <w:sz w:val="20"/>
          <w:szCs w:val="20"/>
          <w:lang w:bidi="en-US"/>
        </w:rPr>
        <w:t>Estado</w:t>
      </w:r>
      <w:r w:rsidRPr="0001748B">
        <w:rPr>
          <w:rFonts w:eastAsia="MS Mincho"/>
          <w:sz w:val="20"/>
          <w:szCs w:val="20"/>
          <w:lang w:bidi="en-US"/>
        </w:rPr>
        <w:t xml:space="preserve"> alegó el cumplimiento de estas medidas de reparación, en virtud del acto público de reconocimiento de responsabilidad internacional por las violaciones cometidas contra las víctimas efectuado durante la audiencia pública por el Agente del Estado y </w:t>
      </w:r>
      <w:r w:rsidR="00B3404D">
        <w:rPr>
          <w:rFonts w:eastAsia="MS Mincho"/>
          <w:sz w:val="20"/>
          <w:szCs w:val="20"/>
          <w:lang w:bidi="en-US"/>
        </w:rPr>
        <w:t xml:space="preserve">el </w:t>
      </w:r>
      <w:r w:rsidRPr="0001748B">
        <w:rPr>
          <w:rFonts w:eastAsia="MS Mincho"/>
          <w:sz w:val="20"/>
          <w:szCs w:val="20"/>
          <w:lang w:bidi="en-US"/>
        </w:rPr>
        <w:t>Secretario Ejecutivo del Consejo Nacional de Derechos Humanos, órgano encargado de coordinar, apoyar e impulsar las políticas del Estado dirigidas a garantizar el libre ejercicio de los derechos Humanos. Asimismo, el Estado resaltó el cumplimiento por el hecho de haber pedido públicamente perdón, a través de su agente, en nombre propio y del Estado venezolano, a los señores Edgar Ortiz y Zaida Hernández por las violaciones a los derechos humanos reconocidos en el presente caso, y resaltó el homenaje a favor del joven Johan Alexis Ortiz Hernández mediante la realización de un minuto de silencio.</w:t>
      </w:r>
    </w:p>
    <w:p w:rsidR="001B626E" w:rsidRPr="0001748B" w:rsidRDefault="001B626E" w:rsidP="001B626E">
      <w:pPr>
        <w:tabs>
          <w:tab w:val="left" w:pos="567"/>
        </w:tabs>
        <w:spacing w:line="240" w:lineRule="auto"/>
        <w:rPr>
          <w:rFonts w:eastAsia="MS Mincho"/>
          <w:b/>
          <w:sz w:val="20"/>
          <w:szCs w:val="20"/>
          <w:lang w:bidi="en-US"/>
        </w:rPr>
      </w:pPr>
    </w:p>
    <w:p w:rsidR="001B626E" w:rsidRPr="0001748B" w:rsidRDefault="001B626E" w:rsidP="001B626E">
      <w:pPr>
        <w:numPr>
          <w:ilvl w:val="0"/>
          <w:numId w:val="1"/>
        </w:numPr>
        <w:tabs>
          <w:tab w:val="left" w:pos="567"/>
          <w:tab w:val="num" w:pos="5057"/>
        </w:tabs>
        <w:spacing w:line="240" w:lineRule="auto"/>
        <w:ind w:left="0" w:firstLine="0"/>
        <w:rPr>
          <w:rFonts w:eastAsia="MS Mincho"/>
          <w:sz w:val="20"/>
          <w:szCs w:val="20"/>
          <w:lang w:bidi="en-US"/>
        </w:rPr>
      </w:pPr>
      <w:r w:rsidRPr="0001748B">
        <w:rPr>
          <w:rFonts w:eastAsia="MS Mincho"/>
          <w:sz w:val="20"/>
          <w:szCs w:val="20"/>
          <w:lang w:bidi="en-US"/>
        </w:rPr>
        <w:t xml:space="preserve">La </w:t>
      </w:r>
      <w:r w:rsidRPr="0001748B">
        <w:rPr>
          <w:rFonts w:eastAsia="MS Mincho"/>
          <w:b/>
          <w:i/>
          <w:sz w:val="20"/>
          <w:szCs w:val="20"/>
          <w:lang w:bidi="en-US"/>
        </w:rPr>
        <w:t>Comisión</w:t>
      </w:r>
      <w:r w:rsidRPr="0001748B">
        <w:rPr>
          <w:rFonts w:eastAsia="MS Mincho"/>
          <w:sz w:val="20"/>
          <w:szCs w:val="20"/>
          <w:lang w:bidi="en-US"/>
        </w:rPr>
        <w:t xml:space="preserve"> no se pronunció de forma específica sobre esta medida de reparación.</w:t>
      </w:r>
    </w:p>
    <w:p w:rsidR="001B626E" w:rsidRPr="0001748B" w:rsidRDefault="001B626E" w:rsidP="001B626E">
      <w:pPr>
        <w:tabs>
          <w:tab w:val="left" w:pos="567"/>
        </w:tabs>
        <w:spacing w:line="240" w:lineRule="auto"/>
        <w:rPr>
          <w:rFonts w:eastAsia="MS Mincho"/>
          <w:sz w:val="20"/>
          <w:szCs w:val="20"/>
          <w:lang w:bidi="en-US"/>
        </w:rPr>
      </w:pPr>
    </w:p>
    <w:p w:rsidR="001B626E" w:rsidRPr="0001748B" w:rsidRDefault="001B626E" w:rsidP="001B626E">
      <w:pPr>
        <w:numPr>
          <w:ilvl w:val="0"/>
          <w:numId w:val="1"/>
        </w:numPr>
        <w:tabs>
          <w:tab w:val="left" w:pos="567"/>
          <w:tab w:val="num" w:pos="5057"/>
        </w:tabs>
        <w:spacing w:line="240" w:lineRule="auto"/>
        <w:ind w:left="0" w:firstLine="0"/>
        <w:rPr>
          <w:rFonts w:eastAsia="MS Mincho"/>
          <w:sz w:val="20"/>
          <w:szCs w:val="20"/>
          <w:lang w:bidi="en-US"/>
        </w:rPr>
      </w:pPr>
      <w:r w:rsidRPr="0001748B">
        <w:rPr>
          <w:rFonts w:cs="Verdana-Italic"/>
          <w:spacing w:val="-2"/>
          <w:sz w:val="20"/>
          <w:szCs w:val="20"/>
          <w:lang w:bidi="en-US"/>
        </w:rPr>
        <w:t>La Corte valora positivamente las disculpas ofrecidas por el Estado durante la audiencia pública celebrada el 9 de febrero de 2017</w:t>
      </w:r>
      <w:r w:rsidR="00236412" w:rsidRPr="0001748B">
        <w:rPr>
          <w:rFonts w:cs="Verdana-Italic"/>
          <w:spacing w:val="-2"/>
          <w:sz w:val="20"/>
          <w:szCs w:val="20"/>
          <w:lang w:bidi="en-US"/>
        </w:rPr>
        <w:t xml:space="preserve"> en la sede del Tribunal</w:t>
      </w:r>
      <w:r w:rsidRPr="0001748B">
        <w:rPr>
          <w:rFonts w:cs="Verdana-Italic"/>
          <w:spacing w:val="-2"/>
          <w:sz w:val="20"/>
          <w:szCs w:val="20"/>
          <w:lang w:bidi="en-US"/>
        </w:rPr>
        <w:t xml:space="preserve">, así como el reconocimiento parcial de responsabilidad y la conmemoración de la víctima mediante el minuto de silencio solicitado en su honor, realizados también en la misma </w:t>
      </w:r>
      <w:r w:rsidR="000924B5">
        <w:rPr>
          <w:rFonts w:cs="Verdana-Italic"/>
          <w:spacing w:val="-2"/>
          <w:sz w:val="20"/>
          <w:szCs w:val="20"/>
          <w:lang w:bidi="en-US"/>
        </w:rPr>
        <w:t>ocasión</w:t>
      </w:r>
      <w:r w:rsidRPr="0001748B">
        <w:rPr>
          <w:rFonts w:cs="Verdana-Italic"/>
          <w:spacing w:val="-2"/>
          <w:sz w:val="20"/>
          <w:szCs w:val="20"/>
          <w:lang w:bidi="en-US"/>
        </w:rPr>
        <w:t xml:space="preserve">. </w:t>
      </w:r>
      <w:r w:rsidRPr="0001748B">
        <w:rPr>
          <w:rFonts w:cs="Verdana"/>
          <w:sz w:val="20"/>
          <w:szCs w:val="20"/>
        </w:rPr>
        <w:t xml:space="preserve">En anteriores oportunidades, </w:t>
      </w:r>
      <w:r w:rsidR="00774CBE">
        <w:rPr>
          <w:rFonts w:cs="Verdana"/>
          <w:sz w:val="20"/>
          <w:szCs w:val="20"/>
        </w:rPr>
        <w:t>el Tribunal</w:t>
      </w:r>
      <w:r w:rsidRPr="0001748B">
        <w:rPr>
          <w:rFonts w:cs="Verdana"/>
          <w:sz w:val="20"/>
          <w:szCs w:val="20"/>
        </w:rPr>
        <w:t xml:space="preserve"> ha valorado favorablemente aquellos actos que tengan como efecto la recuperación de la memoria de las víctimas, el reconocimiento de su dignidad y el consuelo de sus deudos</w:t>
      </w:r>
      <w:r w:rsidRPr="0001748B">
        <w:rPr>
          <w:rStyle w:val="FootnoteReference"/>
          <w:rFonts w:cs="Verdana"/>
          <w:sz w:val="20"/>
          <w:szCs w:val="20"/>
        </w:rPr>
        <w:footnoteReference w:id="237"/>
      </w:r>
      <w:r w:rsidRPr="0001748B">
        <w:rPr>
          <w:rFonts w:cs="Verdana"/>
          <w:sz w:val="20"/>
          <w:szCs w:val="20"/>
        </w:rPr>
        <w:t xml:space="preserve">. </w:t>
      </w:r>
      <w:r w:rsidRPr="0001748B">
        <w:rPr>
          <w:rFonts w:cs="Verdana-Italic"/>
          <w:spacing w:val="-2"/>
          <w:sz w:val="20"/>
          <w:szCs w:val="20"/>
          <w:lang w:bidi="en-US"/>
        </w:rPr>
        <w:t xml:space="preserve">No obstante, </w:t>
      </w:r>
      <w:r w:rsidR="00774CBE">
        <w:rPr>
          <w:rFonts w:cs="Verdana-Italic"/>
          <w:spacing w:val="-2"/>
          <w:sz w:val="20"/>
          <w:szCs w:val="20"/>
          <w:lang w:bidi="en-US"/>
        </w:rPr>
        <w:t xml:space="preserve">la Corte </w:t>
      </w:r>
      <w:r w:rsidRPr="0001748B">
        <w:rPr>
          <w:rFonts w:cs="Verdana-Italic"/>
          <w:spacing w:val="-2"/>
          <w:sz w:val="20"/>
          <w:szCs w:val="20"/>
          <w:lang w:bidi="en-US"/>
        </w:rPr>
        <w:t xml:space="preserve">considera que dichos actos podrían representar una satisfacción parcial para las víctimas frente a las </w:t>
      </w:r>
      <w:r w:rsidRPr="0001748B">
        <w:rPr>
          <w:rFonts w:cs="Verdana-Italic"/>
          <w:spacing w:val="-2"/>
          <w:sz w:val="20"/>
          <w:szCs w:val="20"/>
          <w:lang w:bidi="en-US"/>
        </w:rPr>
        <w:lastRenderedPageBreak/>
        <w:t>violaciones declaradas en la presente Sentencia</w:t>
      </w:r>
      <w:r w:rsidRPr="0001748B">
        <w:rPr>
          <w:rStyle w:val="FootnoteReference"/>
          <w:rFonts w:cs="Verdana-Italic"/>
          <w:spacing w:val="-2"/>
          <w:sz w:val="20"/>
          <w:szCs w:val="20"/>
          <w:lang w:bidi="en-US"/>
        </w:rPr>
        <w:footnoteReference w:id="238"/>
      </w:r>
      <w:r w:rsidRPr="0001748B">
        <w:rPr>
          <w:rFonts w:cs="Verdana-Italic"/>
          <w:spacing w:val="-2"/>
          <w:sz w:val="20"/>
          <w:szCs w:val="20"/>
          <w:lang w:bidi="en-US"/>
        </w:rPr>
        <w:t xml:space="preserve">. En este sentido, como lo ha hecho en otros </w:t>
      </w:r>
      <w:r w:rsidR="00F32E67">
        <w:rPr>
          <w:rFonts w:cs="Verdana-Italic"/>
          <w:spacing w:val="-2"/>
          <w:sz w:val="20"/>
          <w:szCs w:val="20"/>
          <w:lang w:bidi="en-US"/>
        </w:rPr>
        <w:t>precedentes</w:t>
      </w:r>
      <w:r w:rsidRPr="0001748B">
        <w:rPr>
          <w:rStyle w:val="FootnoteReference"/>
          <w:rFonts w:cs="Verdana-Italic"/>
          <w:spacing w:val="-2"/>
          <w:sz w:val="20"/>
          <w:szCs w:val="20"/>
          <w:lang w:bidi="en-US"/>
        </w:rPr>
        <w:footnoteReference w:id="239"/>
      </w:r>
      <w:r w:rsidRPr="0001748B">
        <w:rPr>
          <w:rFonts w:cs="Verdana-Italic"/>
          <w:spacing w:val="-2"/>
          <w:sz w:val="20"/>
          <w:szCs w:val="20"/>
          <w:lang w:bidi="en-US"/>
        </w:rPr>
        <w:t xml:space="preserve">, la Corte estima necesario, con el fin de reparar el daño causado a las víctimas y de evitar que hechos como </w:t>
      </w:r>
      <w:r w:rsidR="00F32E67">
        <w:rPr>
          <w:rFonts w:cs="Verdana-Italic"/>
          <w:spacing w:val="-2"/>
          <w:sz w:val="20"/>
          <w:szCs w:val="20"/>
          <w:lang w:bidi="en-US"/>
        </w:rPr>
        <w:t>éstos</w:t>
      </w:r>
      <w:r w:rsidRPr="0001748B">
        <w:rPr>
          <w:rFonts w:cs="Verdana-Italic"/>
          <w:spacing w:val="-2"/>
          <w:sz w:val="20"/>
          <w:szCs w:val="20"/>
          <w:lang w:bidi="en-US"/>
        </w:rPr>
        <w:t xml:space="preserve"> se repitan, disponer que el Estado realice un acto público de reconocimiento de responsabilidad internacional en Venezuela, en relación con los hechos de este caso. En dicho acto se deberá hacer referencia a las violaciones de derechos humanos declaradas en la presente Sentencia. Asimismo, deberá llevarse a cabo mediante una ceremonia pública en presencia de altos funcionarios del Estado y las víctimas del caso. El Estado deberá acordar con las víctimas o sus representantes la modalidad de cumplimiento del acto público de reconocimiento, así como las particularidades que se requieran, tales como el lugar y la fecha para su realización. Para ello, el Estado cuenta con el plazo de un año, contado a partir de la notificación de la presente Sentencia.</w:t>
      </w:r>
    </w:p>
    <w:p w:rsidR="001B626E" w:rsidRPr="0001748B" w:rsidRDefault="001B626E" w:rsidP="001B626E">
      <w:pPr>
        <w:widowControl/>
        <w:adjustRightInd/>
        <w:spacing w:line="240" w:lineRule="auto"/>
        <w:textAlignment w:val="auto"/>
        <w:rPr>
          <w:rFonts w:cs="Verdana"/>
          <w:sz w:val="20"/>
          <w:szCs w:val="20"/>
        </w:rPr>
      </w:pPr>
    </w:p>
    <w:p w:rsidR="001B626E" w:rsidRPr="00500E7C" w:rsidRDefault="001B626E" w:rsidP="008031E5">
      <w:pPr>
        <w:spacing w:line="240" w:lineRule="auto"/>
        <w:ind w:left="1985"/>
        <w:rPr>
          <w:i/>
          <w:iCs/>
          <w:sz w:val="20"/>
          <w:szCs w:val="20"/>
        </w:rPr>
      </w:pPr>
      <w:r w:rsidRPr="00500E7C">
        <w:rPr>
          <w:i/>
          <w:iCs/>
          <w:sz w:val="20"/>
          <w:szCs w:val="20"/>
        </w:rPr>
        <w:t xml:space="preserve">c) </w:t>
      </w:r>
      <w:r w:rsidRPr="00500E7C">
        <w:rPr>
          <w:i/>
          <w:iCs/>
          <w:sz w:val="20"/>
          <w:szCs w:val="20"/>
        </w:rPr>
        <w:tab/>
      </w:r>
      <w:r w:rsidR="00166CF4" w:rsidRPr="00500E7C">
        <w:rPr>
          <w:i/>
          <w:iCs/>
          <w:sz w:val="20"/>
          <w:szCs w:val="20"/>
        </w:rPr>
        <w:t xml:space="preserve">Designación de una promoción de egresados de la Escuela de Formación de Guardias Nacionales con el nombre </w:t>
      </w:r>
      <w:r w:rsidRPr="00500E7C">
        <w:rPr>
          <w:i/>
          <w:iCs/>
          <w:sz w:val="20"/>
          <w:szCs w:val="20"/>
        </w:rPr>
        <w:t>de la víctima</w:t>
      </w:r>
    </w:p>
    <w:p w:rsidR="001B626E" w:rsidRPr="00500E7C" w:rsidRDefault="001B626E" w:rsidP="001B626E">
      <w:pPr>
        <w:spacing w:line="240" w:lineRule="auto"/>
        <w:ind w:firstLine="1276"/>
        <w:rPr>
          <w:i/>
          <w:sz w:val="20"/>
          <w:szCs w:val="20"/>
        </w:rPr>
      </w:pPr>
    </w:p>
    <w:p w:rsidR="001B626E" w:rsidRPr="0001748B" w:rsidRDefault="001B626E" w:rsidP="001B626E">
      <w:pPr>
        <w:numPr>
          <w:ilvl w:val="0"/>
          <w:numId w:val="1"/>
        </w:numPr>
        <w:tabs>
          <w:tab w:val="left" w:pos="567"/>
          <w:tab w:val="num" w:pos="5057"/>
        </w:tabs>
        <w:spacing w:line="240" w:lineRule="auto"/>
        <w:ind w:left="0" w:firstLine="0"/>
        <w:rPr>
          <w:i/>
          <w:sz w:val="20"/>
          <w:szCs w:val="20"/>
        </w:rPr>
      </w:pPr>
      <w:r w:rsidRPr="00500E7C">
        <w:rPr>
          <w:sz w:val="20"/>
          <w:szCs w:val="20"/>
        </w:rPr>
        <w:t>El</w:t>
      </w:r>
      <w:r w:rsidRPr="00500E7C">
        <w:rPr>
          <w:i/>
          <w:sz w:val="20"/>
          <w:szCs w:val="20"/>
        </w:rPr>
        <w:t xml:space="preserve"> </w:t>
      </w:r>
      <w:r w:rsidRPr="00500E7C">
        <w:rPr>
          <w:b/>
          <w:i/>
          <w:sz w:val="20"/>
          <w:szCs w:val="20"/>
        </w:rPr>
        <w:t>Estado</w:t>
      </w:r>
      <w:r w:rsidRPr="00500E7C">
        <w:rPr>
          <w:i/>
          <w:sz w:val="20"/>
          <w:szCs w:val="20"/>
        </w:rPr>
        <w:t xml:space="preserve"> </w:t>
      </w:r>
      <w:r w:rsidRPr="00500E7C">
        <w:rPr>
          <w:sz w:val="20"/>
          <w:szCs w:val="20"/>
        </w:rPr>
        <w:t>declaró durante la audiencia pública</w:t>
      </w:r>
      <w:r w:rsidR="00AA03FF" w:rsidRPr="00500E7C">
        <w:rPr>
          <w:sz w:val="20"/>
          <w:szCs w:val="20"/>
        </w:rPr>
        <w:t>,</w:t>
      </w:r>
      <w:r w:rsidRPr="00500E7C">
        <w:rPr>
          <w:sz w:val="20"/>
          <w:szCs w:val="20"/>
        </w:rPr>
        <w:t xml:space="preserve"> y reiteró en su escrito de alegatos finales</w:t>
      </w:r>
      <w:r w:rsidR="00AA03FF" w:rsidRPr="00500E7C">
        <w:rPr>
          <w:sz w:val="20"/>
          <w:szCs w:val="20"/>
        </w:rPr>
        <w:t>,</w:t>
      </w:r>
      <w:r w:rsidRPr="0001748B">
        <w:rPr>
          <w:sz w:val="20"/>
          <w:szCs w:val="20"/>
        </w:rPr>
        <w:t xml:space="preserve"> que “procederá a bautizar con el nombre de Johan Alexis Ortiz</w:t>
      </w:r>
      <w:r w:rsidR="000F217F">
        <w:rPr>
          <w:sz w:val="20"/>
          <w:szCs w:val="20"/>
        </w:rPr>
        <w:t xml:space="preserve"> [</w:t>
      </w:r>
      <w:r w:rsidR="000F217F">
        <w:rPr>
          <w:rFonts w:eastAsia="Batang"/>
          <w:sz w:val="20"/>
          <w:lang w:eastAsia="en-US"/>
        </w:rPr>
        <w:t>Hernández</w:t>
      </w:r>
      <w:r w:rsidR="000F217F">
        <w:rPr>
          <w:sz w:val="20"/>
          <w:szCs w:val="20"/>
        </w:rPr>
        <w:t>]</w:t>
      </w:r>
      <w:r w:rsidRPr="0001748B">
        <w:rPr>
          <w:sz w:val="20"/>
          <w:szCs w:val="20"/>
        </w:rPr>
        <w:t xml:space="preserve"> una promoción de egresados de la Escuela de Formación de la Guardia Nacional Bolivariana” como medida de satisfacción dirigida a honrar la memoria de la víctima y reparar los daños causados a sus familiares.</w:t>
      </w:r>
    </w:p>
    <w:p w:rsidR="001B626E" w:rsidRPr="00AE35F8" w:rsidRDefault="001B626E" w:rsidP="00764C3A">
      <w:pPr>
        <w:spacing w:line="240" w:lineRule="auto"/>
        <w:rPr>
          <w:sz w:val="20"/>
          <w:szCs w:val="20"/>
        </w:rPr>
      </w:pPr>
    </w:p>
    <w:p w:rsidR="001B626E" w:rsidRPr="0001748B" w:rsidRDefault="001B626E" w:rsidP="001B626E">
      <w:pPr>
        <w:numPr>
          <w:ilvl w:val="0"/>
          <w:numId w:val="1"/>
        </w:numPr>
        <w:tabs>
          <w:tab w:val="left" w:pos="567"/>
          <w:tab w:val="num" w:pos="5057"/>
        </w:tabs>
        <w:spacing w:line="240" w:lineRule="auto"/>
        <w:ind w:left="0" w:firstLine="0"/>
        <w:rPr>
          <w:i/>
          <w:sz w:val="20"/>
          <w:szCs w:val="20"/>
        </w:rPr>
      </w:pPr>
      <w:r w:rsidRPr="0001748B">
        <w:rPr>
          <w:sz w:val="20"/>
          <w:szCs w:val="20"/>
        </w:rPr>
        <w:t xml:space="preserve">Ni la </w:t>
      </w:r>
      <w:r w:rsidRPr="0001748B">
        <w:rPr>
          <w:b/>
          <w:i/>
          <w:sz w:val="20"/>
          <w:szCs w:val="20"/>
        </w:rPr>
        <w:t>Comisión</w:t>
      </w:r>
      <w:r w:rsidRPr="0001748B">
        <w:rPr>
          <w:sz w:val="20"/>
          <w:szCs w:val="20"/>
        </w:rPr>
        <w:t xml:space="preserve"> ni las</w:t>
      </w:r>
      <w:r w:rsidRPr="0001748B">
        <w:rPr>
          <w:b/>
          <w:i/>
          <w:sz w:val="20"/>
          <w:szCs w:val="20"/>
        </w:rPr>
        <w:t xml:space="preserve"> representantes</w:t>
      </w:r>
      <w:r w:rsidRPr="0001748B">
        <w:rPr>
          <w:sz w:val="20"/>
          <w:szCs w:val="20"/>
        </w:rPr>
        <w:t xml:space="preserve"> solicitaron dicha medida de reparación</w:t>
      </w:r>
      <w:r w:rsidR="00AA03FF">
        <w:rPr>
          <w:sz w:val="20"/>
          <w:szCs w:val="20"/>
        </w:rPr>
        <w:t>;</w:t>
      </w:r>
      <w:r w:rsidRPr="0001748B">
        <w:rPr>
          <w:sz w:val="20"/>
          <w:szCs w:val="20"/>
        </w:rPr>
        <w:t xml:space="preserve"> sin embargo</w:t>
      </w:r>
      <w:r w:rsidR="00AA03FF">
        <w:rPr>
          <w:sz w:val="20"/>
          <w:szCs w:val="20"/>
        </w:rPr>
        <w:t>,</w:t>
      </w:r>
      <w:r w:rsidRPr="0001748B">
        <w:rPr>
          <w:sz w:val="20"/>
          <w:szCs w:val="20"/>
        </w:rPr>
        <w:t xml:space="preserve"> no se opusieron ni objetaron la referida propuesta.</w:t>
      </w:r>
    </w:p>
    <w:p w:rsidR="001B626E" w:rsidRPr="0001748B" w:rsidRDefault="001B626E" w:rsidP="001B626E">
      <w:pPr>
        <w:tabs>
          <w:tab w:val="left" w:pos="567"/>
        </w:tabs>
        <w:spacing w:line="240" w:lineRule="auto"/>
        <w:rPr>
          <w:sz w:val="20"/>
          <w:szCs w:val="20"/>
        </w:rPr>
      </w:pPr>
    </w:p>
    <w:p w:rsidR="001B626E" w:rsidRPr="00300205" w:rsidRDefault="001B626E" w:rsidP="001B626E">
      <w:pPr>
        <w:numPr>
          <w:ilvl w:val="0"/>
          <w:numId w:val="1"/>
        </w:numPr>
        <w:tabs>
          <w:tab w:val="left" w:pos="567"/>
          <w:tab w:val="num" w:pos="5057"/>
        </w:tabs>
        <w:spacing w:line="240" w:lineRule="auto"/>
        <w:ind w:left="0" w:firstLine="0"/>
        <w:rPr>
          <w:i/>
          <w:sz w:val="20"/>
          <w:szCs w:val="20"/>
        </w:rPr>
      </w:pPr>
      <w:r w:rsidRPr="0001748B">
        <w:rPr>
          <w:sz w:val="20"/>
          <w:szCs w:val="20"/>
        </w:rPr>
        <w:t xml:space="preserve">La Corte valora </w:t>
      </w:r>
      <w:r w:rsidRPr="0001748B">
        <w:rPr>
          <w:rFonts w:cs="Verdana"/>
          <w:sz w:val="20"/>
          <w:szCs w:val="20"/>
        </w:rPr>
        <w:t xml:space="preserve">favorablemente la medida de satisfacción propuesta por el Estado. En este sentido, conforme a las violaciones declaradas en la presente Sentencia, en particular, la muerte </w:t>
      </w:r>
      <w:r w:rsidR="007666A1">
        <w:rPr>
          <w:rFonts w:cs="Verdana"/>
          <w:sz w:val="20"/>
          <w:szCs w:val="20"/>
        </w:rPr>
        <w:t xml:space="preserve">arbitraria </w:t>
      </w:r>
      <w:r w:rsidRPr="0001748B">
        <w:rPr>
          <w:rFonts w:cs="Verdana"/>
          <w:sz w:val="20"/>
          <w:szCs w:val="20"/>
        </w:rPr>
        <w:t>de Johan Alexis Ortiz Hernández</w:t>
      </w:r>
      <w:r w:rsidR="00E9521F" w:rsidRPr="0001748B">
        <w:rPr>
          <w:rFonts w:cs="Verdana"/>
          <w:sz w:val="20"/>
          <w:szCs w:val="20"/>
        </w:rPr>
        <w:t xml:space="preserve">, estudiante de </w:t>
      </w:r>
      <w:r w:rsidRPr="0001748B">
        <w:rPr>
          <w:rFonts w:cs="Verdana"/>
          <w:sz w:val="20"/>
          <w:szCs w:val="20"/>
        </w:rPr>
        <w:t xml:space="preserve">la Escuela de </w:t>
      </w:r>
      <w:r w:rsidR="00166CF4">
        <w:rPr>
          <w:rFonts w:cs="Verdana"/>
          <w:sz w:val="20"/>
          <w:szCs w:val="20"/>
        </w:rPr>
        <w:t xml:space="preserve">Formación de </w:t>
      </w:r>
      <w:r w:rsidRPr="0001748B">
        <w:rPr>
          <w:rFonts w:cs="Verdana"/>
          <w:sz w:val="20"/>
          <w:szCs w:val="20"/>
        </w:rPr>
        <w:t>Guardias Nacionales, así como los daños sufridos por los familiares, la Corte considera adecuada la medida ofrecida por el Estado, la cual tendrá como efecto la recuperación de la memoria de la víctima y brindará satisfac</w:t>
      </w:r>
      <w:r w:rsidRPr="00300205">
        <w:rPr>
          <w:rFonts w:cs="Verdana"/>
          <w:sz w:val="20"/>
          <w:szCs w:val="20"/>
        </w:rPr>
        <w:t>ción a sus deudos.</w:t>
      </w:r>
      <w:r w:rsidR="004328D7" w:rsidRPr="00300205">
        <w:rPr>
          <w:rFonts w:cs="Verdana"/>
          <w:sz w:val="20"/>
          <w:szCs w:val="20"/>
        </w:rPr>
        <w:t xml:space="preserve"> Por lo tanto, la Corte dispone que el Estado </w:t>
      </w:r>
      <w:r w:rsidR="004328D7" w:rsidRPr="00300205">
        <w:rPr>
          <w:sz w:val="20"/>
          <w:szCs w:val="20"/>
        </w:rPr>
        <w:t>debe, en el</w:t>
      </w:r>
      <w:r w:rsidR="004328D7" w:rsidRPr="00300205">
        <w:rPr>
          <w:rFonts w:cs="Verdana-Italic"/>
          <w:spacing w:val="-2"/>
          <w:sz w:val="20"/>
          <w:szCs w:val="20"/>
          <w:lang w:bidi="en-US"/>
        </w:rPr>
        <w:t xml:space="preserve"> plazo de dos años, </w:t>
      </w:r>
      <w:r w:rsidR="00311C1D" w:rsidRPr="00B16AEC">
        <w:rPr>
          <w:sz w:val="20"/>
          <w:szCs w:val="20"/>
        </w:rPr>
        <w:t xml:space="preserve">designar </w:t>
      </w:r>
      <w:r w:rsidR="00311C1D" w:rsidRPr="00300205">
        <w:rPr>
          <w:bCs/>
          <w:sz w:val="20"/>
          <w:szCs w:val="20"/>
        </w:rPr>
        <w:t>con el nombre de</w:t>
      </w:r>
      <w:r w:rsidR="00311C1D" w:rsidRPr="00300205">
        <w:rPr>
          <w:sz w:val="20"/>
          <w:szCs w:val="20"/>
        </w:rPr>
        <w:t xml:space="preserve"> </w:t>
      </w:r>
      <w:r w:rsidR="004328D7" w:rsidRPr="00300205">
        <w:rPr>
          <w:sz w:val="20"/>
          <w:szCs w:val="20"/>
        </w:rPr>
        <w:t>Johan Alexis Ortiz Hernández una promoción de egresados de la Escuela de Formación de Guardia</w:t>
      </w:r>
      <w:r w:rsidR="00166CF4">
        <w:rPr>
          <w:sz w:val="20"/>
          <w:szCs w:val="20"/>
        </w:rPr>
        <w:t>s</w:t>
      </w:r>
      <w:r w:rsidR="004328D7" w:rsidRPr="00300205">
        <w:rPr>
          <w:sz w:val="20"/>
          <w:szCs w:val="20"/>
        </w:rPr>
        <w:t xml:space="preserve"> Nacional</w:t>
      </w:r>
      <w:r w:rsidR="00166CF4">
        <w:rPr>
          <w:sz w:val="20"/>
          <w:szCs w:val="20"/>
        </w:rPr>
        <w:t>es</w:t>
      </w:r>
      <w:r w:rsidR="004328D7" w:rsidRPr="00300205">
        <w:rPr>
          <w:sz w:val="20"/>
          <w:szCs w:val="20"/>
        </w:rPr>
        <w:t>.</w:t>
      </w:r>
    </w:p>
    <w:p w:rsidR="001B626E" w:rsidRDefault="001B626E" w:rsidP="001B626E">
      <w:pPr>
        <w:tabs>
          <w:tab w:val="left" w:pos="720"/>
        </w:tabs>
        <w:spacing w:line="240" w:lineRule="auto"/>
        <w:ind w:right="-90"/>
        <w:rPr>
          <w:rFonts w:cs="Verdana"/>
          <w:sz w:val="20"/>
          <w:szCs w:val="20"/>
        </w:rPr>
      </w:pPr>
    </w:p>
    <w:p w:rsidR="00AF7FAA" w:rsidRPr="00B14590" w:rsidRDefault="00AF7FAA" w:rsidP="00B14590">
      <w:pPr>
        <w:pStyle w:val="Heading2"/>
        <w:tabs>
          <w:tab w:val="left" w:pos="1843"/>
        </w:tabs>
        <w:spacing w:before="0" w:line="240" w:lineRule="auto"/>
        <w:ind w:left="1134"/>
        <w:rPr>
          <w:rFonts w:ascii="Verdana" w:hAnsi="Verdana"/>
          <w:b w:val="0"/>
          <w:i/>
          <w:color w:val="auto"/>
          <w:sz w:val="20"/>
          <w:szCs w:val="20"/>
        </w:rPr>
      </w:pPr>
      <w:bookmarkStart w:id="126" w:name="_Toc495658699"/>
      <w:r w:rsidRPr="00B14590">
        <w:rPr>
          <w:rFonts w:ascii="Verdana" w:hAnsi="Verdana"/>
          <w:b w:val="0"/>
          <w:i/>
          <w:color w:val="auto"/>
          <w:sz w:val="20"/>
          <w:szCs w:val="20"/>
        </w:rPr>
        <w:t xml:space="preserve">C.3 </w:t>
      </w:r>
      <w:r w:rsidRPr="00B14590">
        <w:rPr>
          <w:rFonts w:ascii="Verdana" w:hAnsi="Verdana"/>
          <w:b w:val="0"/>
          <w:i/>
          <w:color w:val="auto"/>
          <w:sz w:val="20"/>
          <w:szCs w:val="20"/>
        </w:rPr>
        <w:tab/>
        <w:t>Garantías de no repetición</w:t>
      </w:r>
      <w:bookmarkEnd w:id="126"/>
    </w:p>
    <w:p w:rsidR="00AF7FAA" w:rsidRDefault="00AF7FAA" w:rsidP="00AF7FAA">
      <w:pPr>
        <w:spacing w:line="240" w:lineRule="auto"/>
        <w:rPr>
          <w:iCs/>
          <w:sz w:val="20"/>
          <w:szCs w:val="20"/>
          <w:lang w:val="es-ES"/>
        </w:rPr>
      </w:pPr>
    </w:p>
    <w:p w:rsidR="00AF7FAA" w:rsidRPr="008031E5" w:rsidRDefault="00AF7FAA" w:rsidP="008031E5">
      <w:pPr>
        <w:spacing w:line="240" w:lineRule="auto"/>
        <w:ind w:left="1985"/>
        <w:rPr>
          <w:i/>
          <w:iCs/>
          <w:sz w:val="20"/>
          <w:szCs w:val="20"/>
        </w:rPr>
      </w:pPr>
      <w:r w:rsidRPr="008031E5">
        <w:rPr>
          <w:i/>
          <w:iCs/>
          <w:sz w:val="20"/>
          <w:szCs w:val="20"/>
        </w:rPr>
        <w:t xml:space="preserve">a) </w:t>
      </w:r>
      <w:r w:rsidRPr="008031E5">
        <w:rPr>
          <w:i/>
          <w:iCs/>
          <w:sz w:val="20"/>
          <w:szCs w:val="20"/>
        </w:rPr>
        <w:tab/>
        <w:t>Adopción de medidas de seguridad necesarias para proteger el derecho a la vida e integridad personal de los estudiantes de la Escuela de Formación de Guardias Nacionales</w:t>
      </w:r>
    </w:p>
    <w:p w:rsidR="00AF7FAA" w:rsidRPr="001C42E6" w:rsidRDefault="00AF7FAA" w:rsidP="00AF7FAA">
      <w:pPr>
        <w:spacing w:line="240" w:lineRule="auto"/>
        <w:rPr>
          <w:iCs/>
          <w:sz w:val="20"/>
          <w:szCs w:val="20"/>
          <w:lang w:val="es-ES"/>
        </w:rPr>
      </w:pPr>
    </w:p>
    <w:p w:rsidR="00AF7FAA" w:rsidRPr="00A17AEF" w:rsidRDefault="00AF7FAA" w:rsidP="00AF7FAA">
      <w:pPr>
        <w:numPr>
          <w:ilvl w:val="0"/>
          <w:numId w:val="1"/>
        </w:numPr>
        <w:tabs>
          <w:tab w:val="left" w:pos="567"/>
          <w:tab w:val="num" w:pos="5057"/>
        </w:tabs>
        <w:spacing w:line="240" w:lineRule="auto"/>
        <w:ind w:left="0" w:firstLine="0"/>
        <w:rPr>
          <w:rFonts w:eastAsia="MS Mincho"/>
          <w:sz w:val="20"/>
          <w:szCs w:val="20"/>
          <w:lang w:val="es-ES" w:bidi="en-US"/>
        </w:rPr>
      </w:pPr>
      <w:r w:rsidRPr="001C42E6">
        <w:rPr>
          <w:rFonts w:eastAsia="MS Mincho"/>
          <w:sz w:val="20"/>
          <w:szCs w:val="20"/>
          <w:lang w:val="es-ES" w:bidi="en-US"/>
        </w:rPr>
        <w:t xml:space="preserve">La </w:t>
      </w:r>
      <w:r w:rsidRPr="001C42E6">
        <w:rPr>
          <w:rFonts w:eastAsia="MS Mincho" w:cs="Verdana"/>
          <w:b/>
          <w:i/>
          <w:sz w:val="20"/>
          <w:szCs w:val="20"/>
          <w:lang w:val="es-ES" w:bidi="en-US"/>
        </w:rPr>
        <w:t>Comisión</w:t>
      </w:r>
      <w:r w:rsidRPr="001C42E6">
        <w:rPr>
          <w:rFonts w:eastAsia="MS Mincho"/>
          <w:sz w:val="20"/>
          <w:szCs w:val="20"/>
          <w:lang w:val="es-ES" w:bidi="en-US"/>
        </w:rPr>
        <w:t xml:space="preserve"> solicitó </w:t>
      </w:r>
      <w:r w:rsidRPr="001C42E6">
        <w:rPr>
          <w:sz w:val="20"/>
          <w:szCs w:val="20"/>
          <w:lang w:val="es-ES"/>
        </w:rPr>
        <w:t>a la Corte que ordenara al Estado desarrollar las medidas necesarias para asegurar que los derechos humanos de los estudiantes de la Escuela de Formación de Guardias Nacionales sea</w:t>
      </w:r>
      <w:r>
        <w:rPr>
          <w:sz w:val="20"/>
          <w:szCs w:val="20"/>
          <w:lang w:val="es-ES"/>
        </w:rPr>
        <w:t xml:space="preserve">n protegidos debidamente en los </w:t>
      </w:r>
      <w:r w:rsidRPr="001C42E6">
        <w:rPr>
          <w:sz w:val="20"/>
          <w:szCs w:val="20"/>
          <w:lang w:val="es-ES"/>
        </w:rPr>
        <w:t>cursos de capacitación y procesos de formación.</w:t>
      </w:r>
    </w:p>
    <w:p w:rsidR="00AF7FAA" w:rsidRPr="001C42E6" w:rsidRDefault="00AF7FAA" w:rsidP="00AF7FAA">
      <w:pPr>
        <w:tabs>
          <w:tab w:val="left" w:pos="0"/>
          <w:tab w:val="num" w:pos="11028"/>
        </w:tabs>
        <w:spacing w:line="240" w:lineRule="auto"/>
        <w:ind w:right="-90"/>
        <w:rPr>
          <w:rFonts w:eastAsia="MS Mincho"/>
          <w:sz w:val="20"/>
          <w:szCs w:val="20"/>
          <w:lang w:val="es-ES" w:bidi="en-US"/>
        </w:rPr>
      </w:pPr>
    </w:p>
    <w:p w:rsidR="00AF7FAA" w:rsidRDefault="00AF7FAA" w:rsidP="00AF7FAA">
      <w:pPr>
        <w:numPr>
          <w:ilvl w:val="0"/>
          <w:numId w:val="1"/>
        </w:numPr>
        <w:tabs>
          <w:tab w:val="left" w:pos="567"/>
          <w:tab w:val="num" w:pos="5057"/>
        </w:tabs>
        <w:spacing w:line="240" w:lineRule="auto"/>
        <w:ind w:left="0" w:firstLine="0"/>
        <w:rPr>
          <w:sz w:val="20"/>
          <w:szCs w:val="20"/>
          <w:lang w:val="es-ES" w:eastAsia="x-none"/>
        </w:rPr>
      </w:pPr>
      <w:r w:rsidRPr="0026392F">
        <w:rPr>
          <w:rFonts w:eastAsia="MS Mincho"/>
          <w:iCs/>
          <w:sz w:val="20"/>
          <w:szCs w:val="20"/>
          <w:lang w:val="es-ES" w:bidi="en-US"/>
        </w:rPr>
        <w:t>Las</w:t>
      </w:r>
      <w:r w:rsidRPr="0026392F">
        <w:rPr>
          <w:rFonts w:eastAsia="MS Mincho"/>
          <w:i/>
          <w:sz w:val="20"/>
          <w:szCs w:val="20"/>
          <w:lang w:val="es-ES" w:bidi="en-US"/>
        </w:rPr>
        <w:t xml:space="preserve"> </w:t>
      </w:r>
      <w:r w:rsidRPr="0026392F">
        <w:rPr>
          <w:rFonts w:eastAsia="MS Mincho"/>
          <w:b/>
          <w:i/>
          <w:sz w:val="20"/>
          <w:szCs w:val="20"/>
          <w:lang w:val="es-ES" w:bidi="en-US"/>
        </w:rPr>
        <w:t>representantes</w:t>
      </w:r>
      <w:r w:rsidRPr="0026392F">
        <w:rPr>
          <w:rFonts w:eastAsia="MS Mincho"/>
          <w:sz w:val="20"/>
          <w:szCs w:val="20"/>
          <w:lang w:val="es-ES" w:bidi="en-US"/>
        </w:rPr>
        <w:t xml:space="preserve"> solicitaron a la Corte que ordenara al Estado de Venezuela adecuar </w:t>
      </w:r>
      <w:r w:rsidRPr="0026392F">
        <w:rPr>
          <w:sz w:val="20"/>
          <w:szCs w:val="20"/>
          <w:lang w:val="es-ES" w:eastAsia="x-none"/>
        </w:rPr>
        <w:t xml:space="preserve">la legislación interna a los estándares mínimos de la Convención Americana de Derechos Humanos, en cuanto que el Estado garantice la prohibición del uso de balas reales en los cursos </w:t>
      </w:r>
      <w:r w:rsidRPr="0026392F">
        <w:rPr>
          <w:sz w:val="20"/>
          <w:szCs w:val="20"/>
          <w:lang w:val="es-ES" w:eastAsia="x-none"/>
        </w:rPr>
        <w:lastRenderedPageBreak/>
        <w:t>antisubversivos para la formación de Guardias Nacionales, así como cumplimiento de sus instructivos a fin de que apliquen las medidas estrictas de seguridad ante la manipulación de equipos especiales, armas y/o explosivos, con la presencia de personal médico, equipos de primeros auxilios y ambulancia en coordinación con</w:t>
      </w:r>
      <w:r w:rsidR="00B47818">
        <w:rPr>
          <w:sz w:val="20"/>
          <w:szCs w:val="20"/>
          <w:lang w:val="es-ES" w:eastAsia="x-none"/>
        </w:rPr>
        <w:t xml:space="preserve"> servicios de asistencia civil.</w:t>
      </w:r>
    </w:p>
    <w:p w:rsidR="00AF7FAA" w:rsidRDefault="00AF7FAA" w:rsidP="00AF7FAA">
      <w:pPr>
        <w:pStyle w:val="ListParagraph"/>
        <w:spacing w:line="240" w:lineRule="auto"/>
        <w:rPr>
          <w:sz w:val="20"/>
          <w:szCs w:val="20"/>
          <w:lang w:val="es-ES" w:eastAsia="x-none"/>
        </w:rPr>
      </w:pPr>
    </w:p>
    <w:p w:rsidR="00AF7FAA" w:rsidRDefault="00AF7FAA" w:rsidP="00AF7FAA">
      <w:pPr>
        <w:numPr>
          <w:ilvl w:val="0"/>
          <w:numId w:val="1"/>
        </w:numPr>
        <w:tabs>
          <w:tab w:val="left" w:pos="567"/>
          <w:tab w:val="num" w:pos="5057"/>
        </w:tabs>
        <w:spacing w:line="240" w:lineRule="auto"/>
        <w:ind w:left="0" w:firstLine="0"/>
        <w:rPr>
          <w:sz w:val="20"/>
          <w:szCs w:val="20"/>
          <w:lang w:val="es-ES" w:eastAsia="x-none"/>
        </w:rPr>
      </w:pPr>
      <w:r>
        <w:rPr>
          <w:sz w:val="20"/>
          <w:szCs w:val="20"/>
          <w:lang w:val="es-ES" w:eastAsia="x-none"/>
        </w:rPr>
        <w:t xml:space="preserve">El </w:t>
      </w:r>
      <w:r w:rsidRPr="008342D4">
        <w:rPr>
          <w:b/>
          <w:i/>
          <w:sz w:val="20"/>
          <w:szCs w:val="20"/>
          <w:lang w:val="es-ES" w:eastAsia="x-none"/>
        </w:rPr>
        <w:t>Estado</w:t>
      </w:r>
      <w:r>
        <w:rPr>
          <w:sz w:val="20"/>
          <w:szCs w:val="20"/>
          <w:lang w:val="es-ES" w:eastAsia="x-none"/>
        </w:rPr>
        <w:t xml:space="preserve"> alegó que una de las garantías de no repetición implementadas en este caso, tal y como fuera informado en la audiencia pública, consiste en la inclusión de “manera expresa y categórica en el instructivo que regula la ejecución del ejercicio de orden abierto, mejor conocido como </w:t>
      </w:r>
      <w:r w:rsidR="00EE2984">
        <w:rPr>
          <w:sz w:val="20"/>
          <w:szCs w:val="20"/>
          <w:lang w:val="es-ES" w:eastAsia="x-none"/>
        </w:rPr>
        <w:t>cancha de infiltración</w:t>
      </w:r>
      <w:r>
        <w:rPr>
          <w:sz w:val="20"/>
          <w:szCs w:val="20"/>
          <w:lang w:val="es-ES" w:eastAsia="x-none"/>
        </w:rPr>
        <w:t>, la obligación de hacer uso de balas de fogueo durante la ejecución de los mencionados ejercicios de entrenamiento, tal como puede apreciarse en el ‘Instructivo que establece las normas, procedimientos y responsabilidades para la ejecución del ejercicio de orden abierto (pasaje por la cancha de infiltración) por parte del personal de alumnos del curso básico de seguridad y vigilancia rural’[,] identificado con el número CG-DE-EFGNGDVAFE-DIR-1205, aprobado el 8 de noviembre de 2016 […]”.</w:t>
      </w:r>
    </w:p>
    <w:p w:rsidR="00AF7FAA" w:rsidRDefault="00AF7FAA" w:rsidP="00AF7FAA">
      <w:pPr>
        <w:spacing w:line="240" w:lineRule="auto"/>
        <w:rPr>
          <w:sz w:val="20"/>
          <w:szCs w:val="20"/>
          <w:lang w:val="es-ES" w:eastAsia="x-none"/>
        </w:rPr>
      </w:pPr>
    </w:p>
    <w:p w:rsidR="00AF7FAA" w:rsidRPr="00106CAC" w:rsidRDefault="00AF7FAA" w:rsidP="00AF7FAA">
      <w:pPr>
        <w:numPr>
          <w:ilvl w:val="0"/>
          <w:numId w:val="1"/>
        </w:numPr>
        <w:tabs>
          <w:tab w:val="left" w:pos="567"/>
          <w:tab w:val="num" w:pos="5057"/>
        </w:tabs>
        <w:spacing w:line="240" w:lineRule="auto"/>
        <w:ind w:left="0" w:firstLine="0"/>
        <w:rPr>
          <w:sz w:val="20"/>
          <w:szCs w:val="20"/>
          <w:lang w:eastAsia="x-none"/>
        </w:rPr>
      </w:pPr>
      <w:r w:rsidRPr="0001748B">
        <w:rPr>
          <w:sz w:val="20"/>
          <w:szCs w:val="20"/>
          <w:lang w:eastAsia="x-none"/>
        </w:rPr>
        <w:t>En lo que se refiere a la solicitud de adecuación de la legislación interna y el cumplimiento de instructivos con medidas de seguridad</w:t>
      </w:r>
      <w:r>
        <w:rPr>
          <w:sz w:val="20"/>
          <w:szCs w:val="20"/>
          <w:lang w:eastAsia="x-none"/>
        </w:rPr>
        <w:t xml:space="preserve"> a fin de velar por el efectivo aseguramiento de</w:t>
      </w:r>
      <w:r w:rsidRPr="0001748B">
        <w:rPr>
          <w:sz w:val="20"/>
          <w:szCs w:val="20"/>
        </w:rPr>
        <w:t xml:space="preserve"> los derechos humanos de los estudiantes de la Escuela de Formación de Guardias Nacionales</w:t>
      </w:r>
      <w:r w:rsidRPr="0001748B">
        <w:rPr>
          <w:sz w:val="20"/>
          <w:szCs w:val="20"/>
          <w:lang w:eastAsia="x-none"/>
        </w:rPr>
        <w:t>, la Corte nota que el Instructivo No. CG-DE-EFGNGDVAFE-DIR-1205 de 8 de noviembre de 2016, denominado “Instructivo que establece las normas, procedimientos y responsabilidades para la ejecución del ejercicio de orden abierto (pasaje por la cancha de infiltración) por parte del personal de alumnos del curso básico de seguridad y vigilancia rural”</w:t>
      </w:r>
      <w:r>
        <w:rPr>
          <w:sz w:val="20"/>
          <w:szCs w:val="20"/>
          <w:lang w:eastAsia="x-none"/>
        </w:rPr>
        <w:t>,</w:t>
      </w:r>
      <w:r w:rsidRPr="0001748B">
        <w:rPr>
          <w:sz w:val="20"/>
          <w:szCs w:val="20"/>
          <w:lang w:eastAsia="x-none"/>
        </w:rPr>
        <w:t xml:space="preserve"> que fue aportado por el Estado</w:t>
      </w:r>
      <w:r>
        <w:rPr>
          <w:sz w:val="20"/>
          <w:szCs w:val="20"/>
          <w:lang w:eastAsia="x-none"/>
        </w:rPr>
        <w:t>,</w:t>
      </w:r>
      <w:r w:rsidRPr="0001748B">
        <w:rPr>
          <w:sz w:val="20"/>
          <w:szCs w:val="20"/>
          <w:lang w:eastAsia="x-none"/>
        </w:rPr>
        <w:t xml:space="preserve"> establece que se utilizará munición de fogueo y que se realizará sin armamento. Asimismo, </w:t>
      </w:r>
      <w:r w:rsidR="003A7A52">
        <w:rPr>
          <w:sz w:val="20"/>
          <w:szCs w:val="20"/>
          <w:lang w:eastAsia="x-none"/>
        </w:rPr>
        <w:t>ordena</w:t>
      </w:r>
      <w:r w:rsidR="003A7A52" w:rsidRPr="0001748B">
        <w:rPr>
          <w:sz w:val="20"/>
          <w:szCs w:val="20"/>
          <w:lang w:eastAsia="x-none"/>
        </w:rPr>
        <w:t xml:space="preserve"> </w:t>
      </w:r>
      <w:r w:rsidRPr="0001748B">
        <w:rPr>
          <w:sz w:val="20"/>
          <w:szCs w:val="20"/>
          <w:lang w:eastAsia="x-none"/>
        </w:rPr>
        <w:t xml:space="preserve">en sus disposiciones finales que, para el inicio y durante todo el desarrollo de la instrucción debe estar presente un médico y/o paramédico y una ambulancia y que, en caso de ocurrir un incidente o emergencia médica, se realizará una evacuación de manera rápida y oportuna hasta el centro asistencial más cercano o hasta el Hospital Militar de la ciudad de San Cristóbal. Estas </w:t>
      </w:r>
      <w:r w:rsidR="003A7A52">
        <w:rPr>
          <w:sz w:val="20"/>
          <w:szCs w:val="20"/>
          <w:lang w:eastAsia="x-none"/>
        </w:rPr>
        <w:t>pautas</w:t>
      </w:r>
      <w:r w:rsidR="003A7A52" w:rsidRPr="0001748B">
        <w:rPr>
          <w:sz w:val="20"/>
          <w:szCs w:val="20"/>
          <w:lang w:eastAsia="x-none"/>
        </w:rPr>
        <w:t xml:space="preserve"> </w:t>
      </w:r>
      <w:r w:rsidRPr="0001748B">
        <w:rPr>
          <w:sz w:val="20"/>
          <w:szCs w:val="20"/>
          <w:lang w:eastAsia="x-none"/>
        </w:rPr>
        <w:t xml:space="preserve">se complementan con las obligaciones del Mayor Jefe del Servicio Médico, las cuales se refieren a asistir en compañía de un enfermero, instalar dos puestos de socorro que cuente con los equipos y materiales necesarios para practicar primeros auxilios en cualquier estación de la cancha de obstáculos, prever la asistencia del médico y coordinar la ambulancia con personal paramédico, debidamente equipada. No obstante, conforme a la prueba obrante en el expediente, la Corte entiende que el ejercicio de la </w:t>
      </w:r>
      <w:r>
        <w:rPr>
          <w:sz w:val="20"/>
          <w:szCs w:val="20"/>
          <w:lang w:eastAsia="x-none"/>
        </w:rPr>
        <w:t>“</w:t>
      </w:r>
      <w:r w:rsidR="00EE2984">
        <w:rPr>
          <w:sz w:val="20"/>
          <w:szCs w:val="20"/>
          <w:lang w:eastAsia="x-none"/>
        </w:rPr>
        <w:t>c</w:t>
      </w:r>
      <w:r w:rsidRPr="00106CAC">
        <w:rPr>
          <w:sz w:val="20"/>
          <w:szCs w:val="20"/>
          <w:lang w:eastAsia="x-none"/>
        </w:rPr>
        <w:t xml:space="preserve">ancha </w:t>
      </w:r>
      <w:r w:rsidR="00C40330">
        <w:rPr>
          <w:sz w:val="20"/>
          <w:szCs w:val="20"/>
          <w:lang w:eastAsia="x-none"/>
        </w:rPr>
        <w:t>a</w:t>
      </w:r>
      <w:r w:rsidRPr="00106CAC">
        <w:rPr>
          <w:sz w:val="20"/>
          <w:szCs w:val="20"/>
          <w:lang w:eastAsia="x-none"/>
        </w:rPr>
        <w:t>nti-subversiva</w:t>
      </w:r>
      <w:r>
        <w:rPr>
          <w:sz w:val="20"/>
          <w:szCs w:val="20"/>
          <w:lang w:eastAsia="x-none"/>
        </w:rPr>
        <w:t>”</w:t>
      </w:r>
      <w:r w:rsidRPr="00106CAC">
        <w:rPr>
          <w:sz w:val="20"/>
          <w:szCs w:val="20"/>
          <w:lang w:eastAsia="x-none"/>
        </w:rPr>
        <w:t xml:space="preserve">, durante el cual Johan Alexis Ortiz Hernández fue herido, es distinto al ejercicio de pasaje por la </w:t>
      </w:r>
      <w:r w:rsidR="00EE2984">
        <w:rPr>
          <w:sz w:val="20"/>
          <w:szCs w:val="20"/>
          <w:lang w:eastAsia="x-none"/>
        </w:rPr>
        <w:t>“</w:t>
      </w:r>
      <w:r w:rsidRPr="00106CAC">
        <w:rPr>
          <w:sz w:val="20"/>
          <w:szCs w:val="20"/>
          <w:lang w:eastAsia="x-none"/>
        </w:rPr>
        <w:t>cancha de infiltración</w:t>
      </w:r>
      <w:r w:rsidR="00EE2984">
        <w:rPr>
          <w:sz w:val="20"/>
          <w:szCs w:val="20"/>
          <w:lang w:eastAsia="x-none"/>
        </w:rPr>
        <w:t>”</w:t>
      </w:r>
      <w:r w:rsidR="00C40330">
        <w:rPr>
          <w:sz w:val="20"/>
          <w:szCs w:val="20"/>
          <w:lang w:eastAsia="x-none"/>
        </w:rPr>
        <w:t xml:space="preserve"> </w:t>
      </w:r>
      <w:r w:rsidR="00C40330" w:rsidRPr="0001748B">
        <w:rPr>
          <w:sz w:val="20"/>
          <w:szCs w:val="20"/>
          <w:lang w:eastAsia="x-none"/>
        </w:rPr>
        <w:t>(</w:t>
      </w:r>
      <w:r w:rsidR="00C40330" w:rsidRPr="0001748B">
        <w:rPr>
          <w:i/>
          <w:sz w:val="20"/>
          <w:szCs w:val="20"/>
          <w:lang w:eastAsia="x-none"/>
        </w:rPr>
        <w:t>supra</w:t>
      </w:r>
      <w:r w:rsidR="00C40330" w:rsidRPr="0001748B">
        <w:rPr>
          <w:sz w:val="20"/>
          <w:szCs w:val="20"/>
          <w:lang w:eastAsia="x-none"/>
        </w:rPr>
        <w:t xml:space="preserve"> párr</w:t>
      </w:r>
      <w:r w:rsidR="00C40330">
        <w:rPr>
          <w:sz w:val="20"/>
          <w:szCs w:val="20"/>
          <w:lang w:eastAsia="x-none"/>
        </w:rPr>
        <w:t>s</w:t>
      </w:r>
      <w:r w:rsidR="00C40330" w:rsidRPr="0001748B">
        <w:rPr>
          <w:sz w:val="20"/>
          <w:szCs w:val="20"/>
          <w:lang w:eastAsia="x-none"/>
        </w:rPr>
        <w:t xml:space="preserve">. </w:t>
      </w:r>
      <w:r w:rsidR="00C40330">
        <w:rPr>
          <w:sz w:val="20"/>
          <w:szCs w:val="20"/>
          <w:lang w:eastAsia="x-none"/>
        </w:rPr>
        <w:t>58 y 63</w:t>
      </w:r>
      <w:r w:rsidR="00C40330" w:rsidRPr="0001748B">
        <w:rPr>
          <w:sz w:val="20"/>
          <w:szCs w:val="20"/>
          <w:lang w:eastAsia="x-none"/>
        </w:rPr>
        <w:t>)</w:t>
      </w:r>
      <w:r w:rsidRPr="00106CAC">
        <w:rPr>
          <w:sz w:val="20"/>
          <w:szCs w:val="20"/>
          <w:lang w:eastAsia="x-none"/>
        </w:rPr>
        <w:t>, por lo que el instructivo adoptado por el Estado no le sería aplicable.</w:t>
      </w:r>
    </w:p>
    <w:p w:rsidR="00AF7FAA" w:rsidRPr="0001748B" w:rsidRDefault="00AF7FAA" w:rsidP="00AF7FAA">
      <w:pPr>
        <w:spacing w:line="240" w:lineRule="auto"/>
        <w:rPr>
          <w:sz w:val="20"/>
          <w:szCs w:val="20"/>
          <w:lang w:eastAsia="x-none"/>
        </w:rPr>
      </w:pPr>
    </w:p>
    <w:p w:rsidR="00192E49" w:rsidRPr="006F6AE7" w:rsidRDefault="00AF7FAA" w:rsidP="008D747B">
      <w:pPr>
        <w:numPr>
          <w:ilvl w:val="0"/>
          <w:numId w:val="1"/>
        </w:numPr>
        <w:tabs>
          <w:tab w:val="left" w:pos="567"/>
          <w:tab w:val="num" w:pos="5057"/>
        </w:tabs>
        <w:spacing w:line="240" w:lineRule="auto"/>
        <w:ind w:left="0" w:firstLine="0"/>
        <w:rPr>
          <w:sz w:val="20"/>
          <w:szCs w:val="20"/>
          <w:lang w:eastAsia="x-none"/>
        </w:rPr>
      </w:pPr>
      <w:r w:rsidRPr="0001748B">
        <w:rPr>
          <w:sz w:val="20"/>
          <w:szCs w:val="20"/>
          <w:lang w:eastAsia="x-none"/>
        </w:rPr>
        <w:t>Sin perjuicio de lo anterior</w:t>
      </w:r>
      <w:r w:rsidR="00E62B1B">
        <w:rPr>
          <w:sz w:val="20"/>
          <w:szCs w:val="20"/>
          <w:lang w:eastAsia="x-none"/>
        </w:rPr>
        <w:t>,</w:t>
      </w:r>
      <w:r w:rsidRPr="0001748B">
        <w:rPr>
          <w:sz w:val="20"/>
          <w:szCs w:val="20"/>
          <w:lang w:eastAsia="x-none"/>
        </w:rPr>
        <w:t xml:space="preserve"> conforme a lo resuelto en esta Sentencia (</w:t>
      </w:r>
      <w:r w:rsidRPr="0001748B">
        <w:rPr>
          <w:i/>
          <w:sz w:val="20"/>
          <w:szCs w:val="20"/>
          <w:lang w:eastAsia="x-none"/>
        </w:rPr>
        <w:t>supra</w:t>
      </w:r>
      <w:r w:rsidRPr="0001748B">
        <w:rPr>
          <w:sz w:val="20"/>
          <w:szCs w:val="20"/>
          <w:lang w:eastAsia="x-none"/>
        </w:rPr>
        <w:t xml:space="preserve"> párr</w:t>
      </w:r>
      <w:r w:rsidR="006F1295">
        <w:rPr>
          <w:sz w:val="20"/>
          <w:szCs w:val="20"/>
          <w:lang w:eastAsia="x-none"/>
        </w:rPr>
        <w:t>s</w:t>
      </w:r>
      <w:r w:rsidRPr="0001748B">
        <w:rPr>
          <w:sz w:val="20"/>
          <w:szCs w:val="20"/>
          <w:lang w:eastAsia="x-none"/>
        </w:rPr>
        <w:t xml:space="preserve">. </w:t>
      </w:r>
      <w:r w:rsidR="006F1295">
        <w:rPr>
          <w:sz w:val="20"/>
          <w:szCs w:val="20"/>
          <w:lang w:eastAsia="x-none"/>
        </w:rPr>
        <w:t>112 a 115</w:t>
      </w:r>
      <w:r w:rsidR="006F1295" w:rsidRPr="0001748B">
        <w:rPr>
          <w:sz w:val="20"/>
          <w:szCs w:val="20"/>
          <w:lang w:eastAsia="x-none"/>
        </w:rPr>
        <w:t>)</w:t>
      </w:r>
      <w:r w:rsidR="006F1295">
        <w:rPr>
          <w:sz w:val="20"/>
          <w:szCs w:val="20"/>
          <w:lang w:eastAsia="x-none"/>
        </w:rPr>
        <w:t xml:space="preserve"> </w:t>
      </w:r>
      <w:r w:rsidR="00E62B1B" w:rsidRPr="006F6AE7">
        <w:rPr>
          <w:sz w:val="20"/>
          <w:szCs w:val="20"/>
          <w:lang w:eastAsia="x-none"/>
        </w:rPr>
        <w:t>y habida cuenta de la obligación d</w:t>
      </w:r>
      <w:r w:rsidRPr="006F6AE7">
        <w:rPr>
          <w:sz w:val="20"/>
          <w:szCs w:val="20"/>
        </w:rPr>
        <w:t>el Estado de prevenir la recurrencia de violaciones a los derechos humanos como las ocurridas en el presente caso</w:t>
      </w:r>
      <w:r w:rsidR="00E62B1B" w:rsidRPr="006F6AE7">
        <w:rPr>
          <w:sz w:val="20"/>
          <w:szCs w:val="20"/>
        </w:rPr>
        <w:t>,</w:t>
      </w:r>
      <w:r w:rsidRPr="006F6AE7">
        <w:rPr>
          <w:sz w:val="20"/>
          <w:szCs w:val="20"/>
        </w:rPr>
        <w:t xml:space="preserve"> </w:t>
      </w:r>
      <w:r w:rsidR="00192E49" w:rsidRPr="006F6AE7">
        <w:rPr>
          <w:sz w:val="20"/>
          <w:szCs w:val="20"/>
          <w:lang w:val="es-ES" w:eastAsia="x-none"/>
        </w:rPr>
        <w:t>el Estado deberá, de acuerdo a la naturaleza y finalidad de cada ejercicio</w:t>
      </w:r>
      <w:r w:rsidR="008D747B" w:rsidRPr="006F6AE7">
        <w:rPr>
          <w:sz w:val="20"/>
          <w:szCs w:val="20"/>
          <w:lang w:val="es-ES" w:eastAsia="x-none"/>
        </w:rPr>
        <w:t xml:space="preserve"> en el ámbito de la instrucción militar de los estudiantes de la Escuela de Formación de Guardias Nacionales</w:t>
      </w:r>
      <w:r w:rsidR="00192E49" w:rsidRPr="006F6AE7">
        <w:rPr>
          <w:sz w:val="20"/>
          <w:szCs w:val="20"/>
          <w:lang w:val="es-ES" w:eastAsia="x-none"/>
        </w:rPr>
        <w:t xml:space="preserve">, establecer de forma expresa el tipo de </w:t>
      </w:r>
      <w:r w:rsidR="00E62B1B" w:rsidRPr="006F6AE7">
        <w:rPr>
          <w:sz w:val="20"/>
          <w:szCs w:val="20"/>
          <w:lang w:val="es-ES" w:eastAsia="x-none"/>
        </w:rPr>
        <w:t>municiones</w:t>
      </w:r>
      <w:r w:rsidR="00192E49" w:rsidRPr="006F6AE7">
        <w:rPr>
          <w:sz w:val="20"/>
          <w:szCs w:val="20"/>
          <w:lang w:val="es-ES" w:eastAsia="x-none"/>
        </w:rPr>
        <w:t xml:space="preserve"> a utilizarse y, en su caso, justificar de forma estricta la necesidad </w:t>
      </w:r>
      <w:r w:rsidR="00E62B1B" w:rsidRPr="006F6AE7">
        <w:rPr>
          <w:sz w:val="20"/>
          <w:szCs w:val="20"/>
          <w:lang w:val="es-ES" w:eastAsia="x-none"/>
        </w:rPr>
        <w:t xml:space="preserve">militar </w:t>
      </w:r>
      <w:r w:rsidR="00192E49" w:rsidRPr="006F6AE7">
        <w:rPr>
          <w:sz w:val="20"/>
          <w:szCs w:val="20"/>
          <w:lang w:val="es-ES" w:eastAsia="x-none"/>
        </w:rPr>
        <w:t>de utilizar balas reales en un ejercicio en concreto.</w:t>
      </w:r>
    </w:p>
    <w:p w:rsidR="00192E49" w:rsidRPr="00192E49" w:rsidRDefault="00192E49" w:rsidP="00192E49">
      <w:pPr>
        <w:tabs>
          <w:tab w:val="left" w:pos="567"/>
        </w:tabs>
        <w:spacing w:line="240" w:lineRule="auto"/>
        <w:rPr>
          <w:rFonts w:eastAsia="MS Mincho"/>
          <w:sz w:val="20"/>
          <w:szCs w:val="20"/>
          <w:lang w:val="es-ES" w:bidi="en-US"/>
        </w:rPr>
      </w:pPr>
    </w:p>
    <w:p w:rsidR="001B626E" w:rsidRPr="00B14590" w:rsidRDefault="001B626E" w:rsidP="00B14590">
      <w:pPr>
        <w:pStyle w:val="Heading2"/>
        <w:tabs>
          <w:tab w:val="left" w:pos="1843"/>
        </w:tabs>
        <w:spacing w:before="0" w:line="240" w:lineRule="auto"/>
        <w:ind w:left="1134"/>
        <w:rPr>
          <w:rFonts w:ascii="Verdana" w:hAnsi="Verdana"/>
          <w:b w:val="0"/>
          <w:i/>
          <w:color w:val="auto"/>
          <w:sz w:val="20"/>
          <w:szCs w:val="20"/>
        </w:rPr>
      </w:pPr>
      <w:bookmarkStart w:id="127" w:name="_Toc495658700"/>
      <w:r w:rsidRPr="00B14590">
        <w:rPr>
          <w:rFonts w:ascii="Verdana" w:hAnsi="Verdana"/>
          <w:b w:val="0"/>
          <w:i/>
          <w:color w:val="auto"/>
          <w:sz w:val="20"/>
          <w:szCs w:val="20"/>
        </w:rPr>
        <w:t>C.</w:t>
      </w:r>
      <w:r w:rsidR="00AF7FAA" w:rsidRPr="00B14590">
        <w:rPr>
          <w:rFonts w:ascii="Verdana" w:hAnsi="Verdana"/>
          <w:b w:val="0"/>
          <w:i/>
          <w:color w:val="auto"/>
          <w:sz w:val="20"/>
          <w:szCs w:val="20"/>
        </w:rPr>
        <w:t>4</w:t>
      </w:r>
      <w:r w:rsidRPr="00B14590">
        <w:rPr>
          <w:rFonts w:ascii="Verdana" w:hAnsi="Verdana"/>
          <w:b w:val="0"/>
          <w:i/>
          <w:color w:val="auto"/>
          <w:sz w:val="20"/>
          <w:szCs w:val="20"/>
        </w:rPr>
        <w:t xml:space="preserve"> </w:t>
      </w:r>
      <w:r w:rsidRPr="00B14590">
        <w:rPr>
          <w:rFonts w:ascii="Verdana" w:hAnsi="Verdana"/>
          <w:b w:val="0"/>
          <w:i/>
          <w:color w:val="auto"/>
          <w:sz w:val="20"/>
          <w:szCs w:val="20"/>
        </w:rPr>
        <w:tab/>
        <w:t>Otras medidas solicitadas</w:t>
      </w:r>
      <w:bookmarkEnd w:id="127"/>
    </w:p>
    <w:p w:rsidR="001B626E" w:rsidRPr="008031E5" w:rsidRDefault="001B626E" w:rsidP="001B626E">
      <w:pPr>
        <w:spacing w:line="240" w:lineRule="auto"/>
        <w:rPr>
          <w:sz w:val="20"/>
          <w:szCs w:val="20"/>
        </w:rPr>
      </w:pPr>
    </w:p>
    <w:p w:rsidR="00B27FAF" w:rsidRPr="0001748B" w:rsidRDefault="001B626E" w:rsidP="00B27FAF">
      <w:pPr>
        <w:numPr>
          <w:ilvl w:val="0"/>
          <w:numId w:val="1"/>
        </w:numPr>
        <w:tabs>
          <w:tab w:val="left" w:pos="567"/>
          <w:tab w:val="num" w:pos="5057"/>
        </w:tabs>
        <w:spacing w:line="240" w:lineRule="auto"/>
        <w:ind w:left="0" w:firstLine="0"/>
        <w:rPr>
          <w:sz w:val="20"/>
          <w:szCs w:val="20"/>
          <w:lang w:eastAsia="x-none"/>
        </w:rPr>
      </w:pPr>
      <w:r w:rsidRPr="00AF7FAA">
        <w:rPr>
          <w:rFonts w:eastAsia="MS Mincho" w:cs="Arial"/>
          <w:spacing w:val="-2"/>
          <w:sz w:val="20"/>
          <w:szCs w:val="20"/>
          <w:lang w:bidi="en-US"/>
        </w:rPr>
        <w:t>La</w:t>
      </w:r>
      <w:r w:rsidRPr="00AF7FAA">
        <w:rPr>
          <w:sz w:val="20"/>
          <w:szCs w:val="20"/>
        </w:rPr>
        <w:t xml:space="preserve">s </w:t>
      </w:r>
      <w:r w:rsidRPr="00AF7FAA">
        <w:rPr>
          <w:b/>
          <w:i/>
          <w:sz w:val="20"/>
          <w:szCs w:val="20"/>
        </w:rPr>
        <w:t>representantes</w:t>
      </w:r>
      <w:r w:rsidRPr="00AF7FAA">
        <w:rPr>
          <w:sz w:val="20"/>
          <w:szCs w:val="20"/>
        </w:rPr>
        <w:t xml:space="preserve"> solicitaron </w:t>
      </w:r>
      <w:r w:rsidR="004E4A25">
        <w:rPr>
          <w:sz w:val="20"/>
          <w:szCs w:val="20"/>
        </w:rPr>
        <w:t xml:space="preserve">adicionalmente </w:t>
      </w:r>
      <w:r w:rsidR="00A25C8D" w:rsidRPr="00AF7FAA">
        <w:rPr>
          <w:rFonts w:eastAsia="MS Mincho"/>
          <w:sz w:val="20"/>
          <w:szCs w:val="20"/>
          <w:lang w:bidi="en-US"/>
        </w:rPr>
        <w:t>a la Corte que ordenara al Estado de Venezuela:</w:t>
      </w:r>
      <w:r w:rsidR="00A25C8D" w:rsidRPr="0001748B">
        <w:rPr>
          <w:sz w:val="20"/>
          <w:szCs w:val="20"/>
          <w:lang w:eastAsia="x-none"/>
        </w:rPr>
        <w:t xml:space="preserve"> </w:t>
      </w:r>
      <w:r w:rsidR="00A25C8D">
        <w:rPr>
          <w:sz w:val="20"/>
          <w:szCs w:val="20"/>
        </w:rPr>
        <w:t>i)</w:t>
      </w:r>
      <w:r w:rsidRPr="0001748B">
        <w:rPr>
          <w:sz w:val="20"/>
          <w:szCs w:val="20"/>
        </w:rPr>
        <w:t xml:space="preserve"> </w:t>
      </w:r>
      <w:r w:rsidR="00A25C8D" w:rsidRPr="0001748B">
        <w:rPr>
          <w:sz w:val="20"/>
          <w:szCs w:val="20"/>
          <w:lang w:eastAsia="x-none"/>
        </w:rPr>
        <w:t>realizar capacitaciones en derechos humanos para los miembros de la Guardia Nacional, así como para el personal administrativo y cualquier otro funcionario que tenga incidencia en la formación de los Guardias Nacionales, tendientes a formar y capacitar a sus miembros sobre los principios y normas de los derechos humanos</w:t>
      </w:r>
      <w:r w:rsidR="00A25C8D">
        <w:rPr>
          <w:sz w:val="20"/>
          <w:szCs w:val="20"/>
          <w:lang w:eastAsia="x-none"/>
        </w:rPr>
        <w:t>;</w:t>
      </w:r>
      <w:r w:rsidR="00A25C8D" w:rsidRPr="0001748B">
        <w:rPr>
          <w:b/>
          <w:sz w:val="16"/>
          <w:szCs w:val="16"/>
          <w:lang w:eastAsia="x-none"/>
        </w:rPr>
        <w:t xml:space="preserve"> </w:t>
      </w:r>
      <w:r w:rsidR="00B969C9">
        <w:rPr>
          <w:sz w:val="20"/>
          <w:szCs w:val="20"/>
          <w:lang w:eastAsia="x-none"/>
        </w:rPr>
        <w:t>ii</w:t>
      </w:r>
      <w:r w:rsidR="00A25C8D" w:rsidRPr="00125C44">
        <w:rPr>
          <w:sz w:val="20"/>
          <w:szCs w:val="20"/>
          <w:lang w:eastAsia="x-none"/>
        </w:rPr>
        <w:t>)</w:t>
      </w:r>
      <w:r w:rsidR="00A25C8D">
        <w:rPr>
          <w:b/>
          <w:sz w:val="16"/>
          <w:szCs w:val="16"/>
          <w:lang w:eastAsia="x-none"/>
        </w:rPr>
        <w:t xml:space="preserve"> </w:t>
      </w:r>
      <w:r w:rsidRPr="0001748B">
        <w:rPr>
          <w:sz w:val="20"/>
          <w:szCs w:val="20"/>
          <w:lang w:eastAsia="x-none"/>
        </w:rPr>
        <w:t>organizar el aparato estatal para cumplir con las exigencias del derecho a la información e impulsar una cultura de transparencia y garantizar la efectividad de los recursos para hacer exigible el derecho de acceso a la información</w:t>
      </w:r>
      <w:r w:rsidR="00A75DC1">
        <w:rPr>
          <w:sz w:val="20"/>
          <w:szCs w:val="20"/>
          <w:lang w:eastAsia="x-none"/>
        </w:rPr>
        <w:t xml:space="preserve">; e </w:t>
      </w:r>
      <w:r w:rsidR="00B969C9">
        <w:rPr>
          <w:sz w:val="20"/>
          <w:szCs w:val="20"/>
        </w:rPr>
        <w:t>iii</w:t>
      </w:r>
      <w:r w:rsidR="00A75DC1">
        <w:rPr>
          <w:sz w:val="20"/>
          <w:szCs w:val="20"/>
        </w:rPr>
        <w:t xml:space="preserve">) </w:t>
      </w:r>
      <w:r w:rsidR="003A5CDD" w:rsidRPr="0001748B">
        <w:rPr>
          <w:sz w:val="20"/>
          <w:szCs w:val="20"/>
        </w:rPr>
        <w:lastRenderedPageBreak/>
        <w:t xml:space="preserve">implementar e incluir en un programa habitacional del Estado a cada uno de los padres de Johan Alexis Ortiz Hernández, con el fin de que se les provea de una vivienda adecuada, sin gasto adicional y de manera gratuita, para que cada uno con sus respectivas familias, puedan vivir con dignidad. Asimismo, las representantes señalaron que la inclusión de los progenitores de </w:t>
      </w:r>
      <w:r w:rsidR="00DF510B">
        <w:rPr>
          <w:sz w:val="20"/>
          <w:szCs w:val="20"/>
        </w:rPr>
        <w:t>Johan Alexis Ortiz Hernández</w:t>
      </w:r>
      <w:r w:rsidR="003A5CDD" w:rsidRPr="0001748B">
        <w:rPr>
          <w:sz w:val="20"/>
          <w:szCs w:val="20"/>
        </w:rPr>
        <w:t xml:space="preserve"> en un programa habitacional no podía estar sujeta a los resultados de un diagnóstico socio-económico realizado por el Estado</w:t>
      </w:r>
      <w:r w:rsidR="00A25C8D">
        <w:rPr>
          <w:sz w:val="20"/>
          <w:szCs w:val="20"/>
        </w:rPr>
        <w:t>.</w:t>
      </w:r>
      <w:r w:rsidR="003A5CDD" w:rsidRPr="0001748B">
        <w:rPr>
          <w:b/>
          <w:sz w:val="16"/>
          <w:szCs w:val="16"/>
        </w:rPr>
        <w:t xml:space="preserve"> </w:t>
      </w:r>
      <w:r w:rsidR="00A25C8D" w:rsidRPr="00125C44">
        <w:rPr>
          <w:sz w:val="20"/>
          <w:szCs w:val="20"/>
        </w:rPr>
        <w:t>Adicionalmente, en sus alegatos finales, solicitaron a la Corte que ordenara</w:t>
      </w:r>
      <w:r w:rsidR="00A75DC1">
        <w:rPr>
          <w:sz w:val="20"/>
          <w:szCs w:val="20"/>
        </w:rPr>
        <w:t xml:space="preserve"> al Estado</w:t>
      </w:r>
      <w:r w:rsidR="00A25C8D">
        <w:rPr>
          <w:b/>
          <w:sz w:val="16"/>
          <w:szCs w:val="16"/>
        </w:rPr>
        <w:t xml:space="preserve"> </w:t>
      </w:r>
      <w:r w:rsidR="00A25C8D" w:rsidRPr="0001748B">
        <w:rPr>
          <w:sz w:val="20"/>
          <w:szCs w:val="20"/>
        </w:rPr>
        <w:t xml:space="preserve">eliminar de “los registros judiciales </w:t>
      </w:r>
      <w:r w:rsidR="00A25C8D" w:rsidRPr="0001748B">
        <w:rPr>
          <w:rFonts w:cs="MaiandraGD-Regular"/>
          <w:sz w:val="20"/>
          <w:szCs w:val="20"/>
        </w:rPr>
        <w:t xml:space="preserve">y de toda documentación oficial toda referencia a la causa Penal 6C-6623-06, seguida en contra de Edgar Ortiz Ruiz, por haberse decretado la extinción de la acción penal y consecuencialmente dictado el sobreseimiento de la causa, mediante la sentencia del 04 de </w:t>
      </w:r>
      <w:r w:rsidR="00A75DC1">
        <w:rPr>
          <w:rFonts w:cs="MaiandraGD-Regular"/>
          <w:sz w:val="20"/>
          <w:szCs w:val="20"/>
        </w:rPr>
        <w:t>[f]</w:t>
      </w:r>
      <w:r w:rsidR="00A25C8D" w:rsidRPr="0001748B">
        <w:rPr>
          <w:rFonts w:cs="MaiandraGD-Regular"/>
          <w:sz w:val="20"/>
          <w:szCs w:val="20"/>
        </w:rPr>
        <w:t xml:space="preserve">ebrero de 2009, dictada por el Tribunal Sexto de Control del Circuito Judicial Penal, del </w:t>
      </w:r>
      <w:r w:rsidR="00A75DC1">
        <w:rPr>
          <w:rFonts w:cs="MaiandraGD-Regular"/>
          <w:sz w:val="20"/>
          <w:szCs w:val="20"/>
        </w:rPr>
        <w:t>[e]</w:t>
      </w:r>
      <w:r w:rsidR="00A25C8D" w:rsidRPr="0001748B">
        <w:rPr>
          <w:rFonts w:cs="MaiandraGD-Regular"/>
          <w:sz w:val="20"/>
          <w:szCs w:val="20"/>
        </w:rPr>
        <w:t>stado de Táchira”.</w:t>
      </w:r>
    </w:p>
    <w:p w:rsidR="00D33793" w:rsidRPr="0001748B" w:rsidRDefault="00D33793" w:rsidP="001B626E">
      <w:pPr>
        <w:tabs>
          <w:tab w:val="left" w:pos="567"/>
        </w:tabs>
        <w:spacing w:line="240" w:lineRule="auto"/>
        <w:rPr>
          <w:sz w:val="20"/>
          <w:szCs w:val="20"/>
        </w:rPr>
      </w:pPr>
    </w:p>
    <w:p w:rsidR="00B27FAF" w:rsidRPr="0001748B" w:rsidRDefault="001B626E" w:rsidP="00B27FAF">
      <w:pPr>
        <w:numPr>
          <w:ilvl w:val="0"/>
          <w:numId w:val="1"/>
        </w:numPr>
        <w:tabs>
          <w:tab w:val="left" w:pos="567"/>
          <w:tab w:val="num" w:pos="5057"/>
        </w:tabs>
        <w:spacing w:line="240" w:lineRule="auto"/>
        <w:ind w:left="0" w:firstLine="0"/>
        <w:rPr>
          <w:sz w:val="20"/>
          <w:szCs w:val="20"/>
          <w:lang w:eastAsia="x-none"/>
        </w:rPr>
      </w:pPr>
      <w:r w:rsidRPr="0001748B">
        <w:rPr>
          <w:sz w:val="20"/>
          <w:szCs w:val="20"/>
        </w:rPr>
        <w:t xml:space="preserve">El </w:t>
      </w:r>
      <w:r w:rsidRPr="0001748B">
        <w:rPr>
          <w:b/>
          <w:i/>
          <w:sz w:val="20"/>
          <w:szCs w:val="20"/>
        </w:rPr>
        <w:t>Estado</w:t>
      </w:r>
      <w:r w:rsidRPr="0001748B">
        <w:rPr>
          <w:sz w:val="20"/>
          <w:szCs w:val="20"/>
        </w:rPr>
        <w:t xml:space="preserve"> </w:t>
      </w:r>
      <w:r w:rsidR="00D33793" w:rsidRPr="0001748B">
        <w:rPr>
          <w:rFonts w:eastAsia="MS Mincho"/>
          <w:sz w:val="20"/>
          <w:szCs w:val="20"/>
          <w:lang w:bidi="en-US"/>
        </w:rPr>
        <w:t>señaló que</w:t>
      </w:r>
      <w:r w:rsidR="00C66DC4">
        <w:rPr>
          <w:rFonts w:eastAsia="MS Mincho"/>
          <w:sz w:val="20"/>
          <w:szCs w:val="20"/>
          <w:lang w:bidi="en-US"/>
        </w:rPr>
        <w:t>,</w:t>
      </w:r>
      <w:r w:rsidR="00D33793" w:rsidRPr="0001748B">
        <w:rPr>
          <w:rFonts w:eastAsia="MS Mincho"/>
          <w:sz w:val="20"/>
          <w:szCs w:val="20"/>
          <w:lang w:bidi="en-US"/>
        </w:rPr>
        <w:t xml:space="preserve"> conforme a los artículo 166 y 168 de la Ley Orgánica de la Fuerza Armada Bolivariana, los y las integrantes de las Fuerzas Armadas, incluyendo a los estudiantes de la Escuela de Formación de Guardias Nacionales, debían conocer, respetar y hacer cumplir las disposiciones legales nacionales y los instrumentos internacionales en materia de Derecho Internacional Humanitario ratificados por Venezuela, así como debían estar formados y capacitados permanentemente en derechos humanos y derecho internacional humanitario. </w:t>
      </w:r>
      <w:r w:rsidR="00552591" w:rsidRPr="0001748B">
        <w:rPr>
          <w:sz w:val="20"/>
          <w:szCs w:val="20"/>
        </w:rPr>
        <w:t>El Estado declaró durante la audiencia pública y reiteró en su escrito de alegatos finales que procederá “a brindar medidas de atención integral a las víctimas del presente caso, con el objeto de dar respuesta a sus necesidades socioeconómicas, haciendo uso para ello de todo el sistema de protección social construido por el Gobierno venezolano. [M]etodología […] orientada a asegurar condiciones de vida digna a la víctima y sus familiares, atendiendo integralmente las necesidades socioeconómicas debidamente determinadas, incluyendo vivienda, asignaciones dinerarias, atención en salud, entr</w:t>
      </w:r>
      <w:r w:rsidR="00106CAC">
        <w:rPr>
          <w:sz w:val="20"/>
          <w:szCs w:val="20"/>
        </w:rPr>
        <w:t>e</w:t>
      </w:r>
      <w:r w:rsidR="00552591" w:rsidRPr="0001748B">
        <w:rPr>
          <w:sz w:val="20"/>
          <w:szCs w:val="20"/>
        </w:rPr>
        <w:t xml:space="preserve"> otras medidas de similar naturaleza. Como parte de esa metodología, se realiza a las víctimas directas e indirectas un estudio socioeconómico por parte de personal especializado, con el objeto de determinar sus necesidades reales de atención. A partir de los resultados del diagnóstico, se adoptan las medidas que resulten aplicables a través de los órganos del sistema de protección social […]”.</w:t>
      </w:r>
    </w:p>
    <w:p w:rsidR="001B626E" w:rsidRDefault="001B626E" w:rsidP="001B626E">
      <w:pPr>
        <w:tabs>
          <w:tab w:val="left" w:pos="567"/>
        </w:tabs>
        <w:spacing w:line="240" w:lineRule="auto"/>
        <w:rPr>
          <w:sz w:val="20"/>
          <w:szCs w:val="20"/>
          <w:lang w:bidi="en-US"/>
        </w:rPr>
      </w:pPr>
    </w:p>
    <w:p w:rsidR="005338DD" w:rsidRPr="00DE5E39" w:rsidRDefault="0037202F" w:rsidP="00125C44">
      <w:pPr>
        <w:numPr>
          <w:ilvl w:val="0"/>
          <w:numId w:val="1"/>
        </w:numPr>
        <w:tabs>
          <w:tab w:val="left" w:pos="567"/>
          <w:tab w:val="num" w:pos="5057"/>
        </w:tabs>
        <w:spacing w:line="240" w:lineRule="auto"/>
        <w:ind w:left="0" w:firstLine="0"/>
        <w:rPr>
          <w:sz w:val="20"/>
          <w:szCs w:val="20"/>
        </w:rPr>
      </w:pPr>
      <w:r>
        <w:rPr>
          <w:sz w:val="20"/>
          <w:szCs w:val="20"/>
        </w:rPr>
        <w:t>E</w:t>
      </w:r>
      <w:r w:rsidR="005338DD" w:rsidRPr="00DE5E39">
        <w:rPr>
          <w:sz w:val="20"/>
          <w:szCs w:val="20"/>
        </w:rPr>
        <w:t xml:space="preserve">n cuanto a la solicitud </w:t>
      </w:r>
      <w:r w:rsidR="00DB5B61">
        <w:rPr>
          <w:sz w:val="20"/>
          <w:szCs w:val="20"/>
        </w:rPr>
        <w:t>relativa a</w:t>
      </w:r>
      <w:r w:rsidR="005338DD" w:rsidRPr="00DE5E39">
        <w:rPr>
          <w:sz w:val="20"/>
          <w:szCs w:val="20"/>
        </w:rPr>
        <w:t xml:space="preserve"> una capacitación en derechos humanos a los miembros de la</w:t>
      </w:r>
      <w:r>
        <w:rPr>
          <w:sz w:val="20"/>
          <w:szCs w:val="20"/>
        </w:rPr>
        <w:t xml:space="preserve"> Guardia Nacional</w:t>
      </w:r>
      <w:r w:rsidR="005338DD" w:rsidRPr="00DE5E39">
        <w:rPr>
          <w:sz w:val="20"/>
          <w:szCs w:val="20"/>
        </w:rPr>
        <w:t>, la Corte</w:t>
      </w:r>
      <w:r>
        <w:rPr>
          <w:sz w:val="20"/>
          <w:szCs w:val="20"/>
        </w:rPr>
        <w:t xml:space="preserve"> nota que</w:t>
      </w:r>
      <w:r w:rsidR="005338DD" w:rsidRPr="00DE5E39">
        <w:rPr>
          <w:sz w:val="20"/>
          <w:szCs w:val="20"/>
        </w:rPr>
        <w:t xml:space="preserve"> </w:t>
      </w:r>
      <w:r>
        <w:rPr>
          <w:sz w:val="20"/>
          <w:szCs w:val="20"/>
        </w:rPr>
        <w:t xml:space="preserve">previamente </w:t>
      </w:r>
      <w:r w:rsidR="005338DD" w:rsidRPr="00DE5E39">
        <w:rPr>
          <w:sz w:val="20"/>
          <w:szCs w:val="20"/>
        </w:rPr>
        <w:t xml:space="preserve">ha ordenado al Estado </w:t>
      </w:r>
      <w:r>
        <w:rPr>
          <w:sz w:val="20"/>
          <w:szCs w:val="20"/>
        </w:rPr>
        <w:t>venezolano</w:t>
      </w:r>
      <w:r w:rsidR="005338DD" w:rsidRPr="00DE5E39">
        <w:rPr>
          <w:sz w:val="20"/>
          <w:szCs w:val="20"/>
        </w:rPr>
        <w:t xml:space="preserve"> realizar cursos de capacitación </w:t>
      </w:r>
      <w:r w:rsidR="005338DD" w:rsidRPr="00DE5E39">
        <w:rPr>
          <w:rFonts w:eastAsiaTheme="minorHAnsi" w:cs="Arial"/>
          <w:sz w:val="20"/>
          <w:szCs w:val="20"/>
        </w:rPr>
        <w:t>permanentes</w:t>
      </w:r>
      <w:r w:rsidR="005338DD" w:rsidRPr="00DE5E39">
        <w:rPr>
          <w:sz w:val="20"/>
          <w:szCs w:val="20"/>
        </w:rPr>
        <w:t xml:space="preserve"> en derechos humanos a miembros de fuerzas armadas y </w:t>
      </w:r>
      <w:r>
        <w:rPr>
          <w:sz w:val="20"/>
          <w:szCs w:val="20"/>
        </w:rPr>
        <w:t>de seguridad</w:t>
      </w:r>
      <w:r w:rsidR="005338DD" w:rsidRPr="00DE5E39">
        <w:rPr>
          <w:sz w:val="20"/>
          <w:szCs w:val="20"/>
        </w:rPr>
        <w:t xml:space="preserve"> en el marco de los casos</w:t>
      </w:r>
      <w:r>
        <w:rPr>
          <w:sz w:val="20"/>
          <w:szCs w:val="20"/>
        </w:rPr>
        <w:t xml:space="preserve"> </w:t>
      </w:r>
      <w:r w:rsidR="00845E88">
        <w:rPr>
          <w:sz w:val="20"/>
          <w:szCs w:val="20"/>
        </w:rPr>
        <w:t xml:space="preserve">del </w:t>
      </w:r>
      <w:r w:rsidRPr="0037202F">
        <w:rPr>
          <w:i/>
          <w:sz w:val="20"/>
          <w:szCs w:val="20"/>
        </w:rPr>
        <w:t>Caracazo</w:t>
      </w:r>
      <w:r w:rsidR="005338DD" w:rsidRPr="00DE5E39">
        <w:rPr>
          <w:sz w:val="20"/>
          <w:szCs w:val="20"/>
          <w:vertAlign w:val="superscript"/>
        </w:rPr>
        <w:footnoteReference w:id="240"/>
      </w:r>
      <w:r w:rsidR="005338DD" w:rsidRPr="00DE5E39">
        <w:rPr>
          <w:sz w:val="20"/>
          <w:szCs w:val="20"/>
        </w:rPr>
        <w:t xml:space="preserve"> </w:t>
      </w:r>
      <w:r>
        <w:rPr>
          <w:sz w:val="20"/>
          <w:szCs w:val="20"/>
        </w:rPr>
        <w:t xml:space="preserve">y </w:t>
      </w:r>
      <w:r w:rsidRPr="0037202F">
        <w:rPr>
          <w:i/>
          <w:sz w:val="20"/>
          <w:szCs w:val="20"/>
        </w:rPr>
        <w:t>Montero Aranguren y otros (Retén de Catia)</w:t>
      </w:r>
      <w:r w:rsidR="005338DD" w:rsidRPr="00DE5E39">
        <w:rPr>
          <w:sz w:val="20"/>
          <w:szCs w:val="20"/>
          <w:vertAlign w:val="superscript"/>
        </w:rPr>
        <w:footnoteReference w:id="241"/>
      </w:r>
      <w:r w:rsidR="005338DD" w:rsidRPr="00DE5E39">
        <w:rPr>
          <w:sz w:val="20"/>
          <w:szCs w:val="20"/>
        </w:rPr>
        <w:t xml:space="preserve">, por lo que no resulta procedente </w:t>
      </w:r>
      <w:r w:rsidR="00934AA3">
        <w:rPr>
          <w:sz w:val="20"/>
          <w:szCs w:val="20"/>
        </w:rPr>
        <w:t xml:space="preserve">reiterar dicha </w:t>
      </w:r>
      <w:r w:rsidR="005338DD" w:rsidRPr="00DE5E39">
        <w:rPr>
          <w:sz w:val="20"/>
          <w:szCs w:val="20"/>
        </w:rPr>
        <w:t>medida en el presente caso.</w:t>
      </w:r>
    </w:p>
    <w:p w:rsidR="005338DD" w:rsidRPr="0001748B" w:rsidRDefault="005338DD" w:rsidP="00C66DC4">
      <w:pPr>
        <w:tabs>
          <w:tab w:val="left" w:pos="0"/>
          <w:tab w:val="num" w:pos="11028"/>
        </w:tabs>
        <w:spacing w:line="240" w:lineRule="auto"/>
        <w:ind w:right="-90"/>
        <w:rPr>
          <w:sz w:val="20"/>
          <w:szCs w:val="20"/>
        </w:rPr>
      </w:pPr>
    </w:p>
    <w:p w:rsidR="00C66DC4" w:rsidRPr="0001748B" w:rsidRDefault="00106CAC" w:rsidP="00C66DC4">
      <w:pPr>
        <w:numPr>
          <w:ilvl w:val="0"/>
          <w:numId w:val="1"/>
        </w:numPr>
        <w:tabs>
          <w:tab w:val="left" w:pos="567"/>
          <w:tab w:val="num" w:pos="5057"/>
        </w:tabs>
        <w:spacing w:line="240" w:lineRule="auto"/>
        <w:ind w:left="0" w:firstLine="0"/>
        <w:rPr>
          <w:rFonts w:eastAsia="MS Mincho"/>
          <w:sz w:val="20"/>
          <w:szCs w:val="20"/>
          <w:lang w:bidi="en-US"/>
        </w:rPr>
      </w:pPr>
      <w:r>
        <w:rPr>
          <w:sz w:val="20"/>
          <w:szCs w:val="20"/>
        </w:rPr>
        <w:t>Por otra parte, l</w:t>
      </w:r>
      <w:r w:rsidR="00C66DC4" w:rsidRPr="0001748B">
        <w:rPr>
          <w:sz w:val="20"/>
          <w:szCs w:val="20"/>
        </w:rPr>
        <w:t>a Corte hace notar que el Estado sujetó el acceso a la medida de reparación solicitada por las víctimas respecto al programa habitacional a la realización de un estudio socioeconómico por parte de personal especializado</w:t>
      </w:r>
      <w:r>
        <w:rPr>
          <w:sz w:val="20"/>
          <w:szCs w:val="20"/>
        </w:rPr>
        <w:t>, lo cual no fue aceptado por las víctimas</w:t>
      </w:r>
      <w:r w:rsidR="00C66DC4" w:rsidRPr="0001748B">
        <w:rPr>
          <w:sz w:val="20"/>
          <w:szCs w:val="20"/>
        </w:rPr>
        <w:t xml:space="preserve">. Por tanto, hay una controversia entre las partes respecto a esta solicitud de reparación. Al respecto, la Corte no estima necesario otorgar la medida relativa a una vivienda dado que ordenó medidas de satisfacción y de indemnizaciones compensatorias. Sin perjuicio de ello, debido a que el Estado se ofreció a realizar un diagnóstico para determinar las necesidades de atención y brindar la atención </w:t>
      </w:r>
      <w:r w:rsidR="00C66DC4" w:rsidRPr="0001748B">
        <w:rPr>
          <w:sz w:val="20"/>
          <w:szCs w:val="20"/>
        </w:rPr>
        <w:lastRenderedPageBreak/>
        <w:t xml:space="preserve">integral requerida a las víctimas, el mismo podrá ser efectuado si </w:t>
      </w:r>
      <w:r w:rsidR="00154D5A">
        <w:rPr>
          <w:sz w:val="20"/>
          <w:szCs w:val="20"/>
        </w:rPr>
        <w:t>ellas</w:t>
      </w:r>
      <w:r w:rsidR="00C66DC4" w:rsidRPr="0001748B">
        <w:rPr>
          <w:sz w:val="20"/>
          <w:szCs w:val="20"/>
        </w:rPr>
        <w:t xml:space="preserve"> brindan su anuencia para ello. La Corte no efectuará una supervisión al respecto.</w:t>
      </w:r>
    </w:p>
    <w:p w:rsidR="00C66DC4" w:rsidRPr="00D1397B" w:rsidRDefault="00C66DC4" w:rsidP="00D1397B">
      <w:pPr>
        <w:spacing w:line="240" w:lineRule="auto"/>
        <w:rPr>
          <w:rFonts w:eastAsia="MS Mincho"/>
          <w:sz w:val="20"/>
          <w:szCs w:val="20"/>
          <w:lang w:bidi="en-US"/>
        </w:rPr>
      </w:pPr>
    </w:p>
    <w:p w:rsidR="00C66DC4" w:rsidRPr="0001748B" w:rsidRDefault="00C66DC4" w:rsidP="00C66DC4">
      <w:pPr>
        <w:numPr>
          <w:ilvl w:val="0"/>
          <w:numId w:val="1"/>
        </w:numPr>
        <w:tabs>
          <w:tab w:val="left" w:pos="567"/>
          <w:tab w:val="num" w:pos="5057"/>
        </w:tabs>
        <w:spacing w:line="240" w:lineRule="auto"/>
        <w:ind w:left="0" w:firstLine="0"/>
        <w:rPr>
          <w:rFonts w:eastAsia="MS Mincho"/>
          <w:sz w:val="20"/>
          <w:szCs w:val="20"/>
          <w:lang w:bidi="en-US"/>
        </w:rPr>
      </w:pPr>
      <w:r w:rsidRPr="0001748B">
        <w:rPr>
          <w:sz w:val="20"/>
          <w:szCs w:val="20"/>
          <w:lang w:bidi="en-US"/>
        </w:rPr>
        <w:t xml:space="preserve">En </w:t>
      </w:r>
      <w:r w:rsidR="00B03323">
        <w:rPr>
          <w:sz w:val="20"/>
          <w:szCs w:val="20"/>
          <w:lang w:bidi="en-US"/>
        </w:rPr>
        <w:t>suma</w:t>
      </w:r>
      <w:r w:rsidRPr="0001748B">
        <w:rPr>
          <w:sz w:val="20"/>
          <w:szCs w:val="20"/>
          <w:lang w:bidi="en-US"/>
        </w:rPr>
        <w:t>, la Corte considera que la emisión de la presente Sentencia y las reparaciones ordenadas en este capítulo resultan suficientes y adecuadas para remediar las violaciones sufridas por las víctimas y no estima necesario ordenar las demás medidas solicitadas.</w:t>
      </w:r>
    </w:p>
    <w:p w:rsidR="00C66DC4" w:rsidRDefault="00C66DC4" w:rsidP="001B626E">
      <w:pPr>
        <w:tabs>
          <w:tab w:val="left" w:pos="567"/>
        </w:tabs>
        <w:spacing w:line="240" w:lineRule="auto"/>
        <w:rPr>
          <w:sz w:val="20"/>
          <w:szCs w:val="20"/>
          <w:lang w:bidi="en-US"/>
        </w:rPr>
      </w:pPr>
    </w:p>
    <w:p w:rsidR="00106CAC" w:rsidRPr="00D1397B" w:rsidRDefault="001B626E" w:rsidP="00D1397B">
      <w:pPr>
        <w:numPr>
          <w:ilvl w:val="0"/>
          <w:numId w:val="1"/>
        </w:numPr>
        <w:tabs>
          <w:tab w:val="left" w:pos="567"/>
          <w:tab w:val="num" w:pos="5057"/>
        </w:tabs>
        <w:spacing w:line="240" w:lineRule="auto"/>
        <w:ind w:left="0" w:firstLine="0"/>
        <w:rPr>
          <w:rFonts w:eastAsia="MS Mincho"/>
          <w:sz w:val="20"/>
          <w:szCs w:val="20"/>
          <w:lang w:bidi="en-US"/>
        </w:rPr>
      </w:pPr>
      <w:r w:rsidRPr="00106CAC">
        <w:rPr>
          <w:sz w:val="20"/>
          <w:szCs w:val="20"/>
          <w:lang w:bidi="en-US"/>
        </w:rPr>
        <w:t xml:space="preserve">En </w:t>
      </w:r>
      <w:r w:rsidRPr="00106CAC">
        <w:rPr>
          <w:rFonts w:eastAsia="MS Mincho"/>
          <w:sz w:val="20"/>
          <w:szCs w:val="20"/>
          <w:lang w:bidi="en-US"/>
        </w:rPr>
        <w:t>relación</w:t>
      </w:r>
      <w:r w:rsidRPr="00106CAC">
        <w:rPr>
          <w:sz w:val="20"/>
          <w:szCs w:val="20"/>
          <w:lang w:bidi="en-US"/>
        </w:rPr>
        <w:t xml:space="preserve"> con la solicitud de </w:t>
      </w:r>
      <w:r w:rsidR="00106CAC" w:rsidRPr="00106CAC">
        <w:rPr>
          <w:sz w:val="20"/>
          <w:szCs w:val="20"/>
          <w:lang w:bidi="en-US"/>
        </w:rPr>
        <w:t xml:space="preserve">que el Estado </w:t>
      </w:r>
      <w:r w:rsidR="00106CAC" w:rsidRPr="00106CAC">
        <w:rPr>
          <w:sz w:val="20"/>
          <w:szCs w:val="20"/>
          <w:lang w:eastAsia="x-none"/>
        </w:rPr>
        <w:t>organice el aparato estatal para cumplir con las exigencias del derecho a la información</w:t>
      </w:r>
      <w:r w:rsidR="00106CAC" w:rsidRPr="00106CAC">
        <w:rPr>
          <w:sz w:val="20"/>
          <w:szCs w:val="20"/>
          <w:lang w:bidi="en-US"/>
        </w:rPr>
        <w:t xml:space="preserve"> y</w:t>
      </w:r>
      <w:r w:rsidRPr="00106CAC">
        <w:rPr>
          <w:sz w:val="20"/>
          <w:szCs w:val="20"/>
          <w:lang w:bidi="en-US"/>
        </w:rPr>
        <w:t xml:space="preserve"> </w:t>
      </w:r>
      <w:r w:rsidR="000D70E6" w:rsidRPr="00106CAC">
        <w:rPr>
          <w:sz w:val="20"/>
          <w:szCs w:val="20"/>
          <w:lang w:bidi="en-US"/>
        </w:rPr>
        <w:t xml:space="preserve">que </w:t>
      </w:r>
      <w:r w:rsidRPr="00106CAC">
        <w:rPr>
          <w:sz w:val="20"/>
          <w:szCs w:val="20"/>
          <w:lang w:bidi="en-US"/>
        </w:rPr>
        <w:t xml:space="preserve">elimine los registros judiciales en la causa penal incoada en contra de Edgar Humberto Ortiz </w:t>
      </w:r>
      <w:r w:rsidRPr="00D0375E">
        <w:rPr>
          <w:sz w:val="20"/>
          <w:szCs w:val="20"/>
          <w:lang w:bidi="en-US"/>
        </w:rPr>
        <w:t>Ruiz, la Corte considera que no existe un nexo causal entr</w:t>
      </w:r>
      <w:r w:rsidR="000D70E6" w:rsidRPr="00D0375E">
        <w:rPr>
          <w:sz w:val="20"/>
          <w:szCs w:val="20"/>
          <w:lang w:bidi="en-US"/>
        </w:rPr>
        <w:t>e</w:t>
      </w:r>
      <w:r w:rsidRPr="00D0375E">
        <w:rPr>
          <w:sz w:val="20"/>
          <w:szCs w:val="20"/>
          <w:lang w:bidi="en-US"/>
        </w:rPr>
        <w:t xml:space="preserve"> dicha</w:t>
      </w:r>
      <w:r w:rsidR="00106CAC" w:rsidRPr="006E1A42">
        <w:rPr>
          <w:sz w:val="20"/>
          <w:szCs w:val="20"/>
          <w:lang w:bidi="en-US"/>
        </w:rPr>
        <w:t>s</w:t>
      </w:r>
      <w:r w:rsidRPr="006E1A42">
        <w:rPr>
          <w:sz w:val="20"/>
          <w:szCs w:val="20"/>
          <w:lang w:bidi="en-US"/>
        </w:rPr>
        <w:t xml:space="preserve"> solicitud</w:t>
      </w:r>
      <w:r w:rsidR="00106CAC" w:rsidRPr="00106CAC">
        <w:rPr>
          <w:sz w:val="20"/>
          <w:szCs w:val="20"/>
          <w:lang w:bidi="en-US"/>
        </w:rPr>
        <w:t>es</w:t>
      </w:r>
      <w:r w:rsidRPr="00106CAC">
        <w:rPr>
          <w:sz w:val="20"/>
          <w:szCs w:val="20"/>
          <w:lang w:bidi="en-US"/>
        </w:rPr>
        <w:t xml:space="preserve"> y los derechos </w:t>
      </w:r>
      <w:r w:rsidR="000D70E6" w:rsidRPr="00106CAC">
        <w:rPr>
          <w:sz w:val="20"/>
          <w:szCs w:val="20"/>
          <w:lang w:bidi="en-US"/>
        </w:rPr>
        <w:t>declarados</w:t>
      </w:r>
      <w:r w:rsidRPr="00106CAC">
        <w:rPr>
          <w:sz w:val="20"/>
          <w:szCs w:val="20"/>
          <w:lang w:bidi="en-US"/>
        </w:rPr>
        <w:t xml:space="preserve"> como violados en la presente Sentencia.</w:t>
      </w:r>
      <w:r w:rsidR="00106CAC">
        <w:rPr>
          <w:sz w:val="20"/>
          <w:szCs w:val="20"/>
          <w:lang w:bidi="en-US"/>
        </w:rPr>
        <w:t xml:space="preserve"> Además, la medida referente a</w:t>
      </w:r>
      <w:r w:rsidR="00070246">
        <w:rPr>
          <w:sz w:val="20"/>
          <w:szCs w:val="20"/>
          <w:lang w:bidi="en-US"/>
        </w:rPr>
        <w:t xml:space="preserve"> la eliminación de</w:t>
      </w:r>
      <w:r w:rsidR="00106CAC">
        <w:rPr>
          <w:sz w:val="20"/>
          <w:szCs w:val="20"/>
          <w:lang w:bidi="en-US"/>
        </w:rPr>
        <w:t xml:space="preserve"> los registros judiciales fue solicitada extemporáneamente.</w:t>
      </w:r>
    </w:p>
    <w:p w:rsidR="00D1397B" w:rsidRPr="0001748B" w:rsidRDefault="00D1397B" w:rsidP="00D1397B">
      <w:pPr>
        <w:tabs>
          <w:tab w:val="left" w:pos="567"/>
        </w:tabs>
        <w:spacing w:line="240" w:lineRule="auto"/>
        <w:rPr>
          <w:rFonts w:eastAsia="MS Mincho"/>
          <w:sz w:val="20"/>
          <w:szCs w:val="20"/>
          <w:lang w:bidi="en-US"/>
        </w:rPr>
      </w:pPr>
    </w:p>
    <w:p w:rsidR="00AE0653" w:rsidRPr="00106CAC" w:rsidRDefault="00C66DC4" w:rsidP="00106CAC">
      <w:pPr>
        <w:numPr>
          <w:ilvl w:val="0"/>
          <w:numId w:val="1"/>
        </w:numPr>
        <w:tabs>
          <w:tab w:val="left" w:pos="567"/>
          <w:tab w:val="num" w:pos="5057"/>
        </w:tabs>
        <w:spacing w:line="240" w:lineRule="auto"/>
        <w:ind w:left="0" w:firstLine="0"/>
        <w:rPr>
          <w:rFonts w:eastAsia="MS Mincho"/>
          <w:sz w:val="20"/>
          <w:szCs w:val="20"/>
          <w:lang w:bidi="en-US"/>
        </w:rPr>
      </w:pPr>
      <w:r w:rsidRPr="00106CAC">
        <w:rPr>
          <w:rFonts w:eastAsia="MS Mincho"/>
          <w:sz w:val="20"/>
          <w:szCs w:val="20"/>
          <w:lang w:bidi="en-US"/>
        </w:rPr>
        <w:t>Finalmente</w:t>
      </w:r>
      <w:r w:rsidR="00AE0653" w:rsidRPr="00106CAC">
        <w:rPr>
          <w:rFonts w:eastAsia="MS Mincho"/>
          <w:sz w:val="20"/>
          <w:szCs w:val="20"/>
          <w:lang w:bidi="en-US"/>
        </w:rPr>
        <w:t xml:space="preserve">, la Corte nota que, si bien el señor Edgar Humberto Ortiz Ruiz solicitó en la audiencia pública que </w:t>
      </w:r>
      <w:r w:rsidR="0057488D" w:rsidRPr="00106CAC">
        <w:rPr>
          <w:rFonts w:eastAsia="MS Mincho"/>
          <w:sz w:val="20"/>
          <w:szCs w:val="20"/>
          <w:lang w:bidi="en-US"/>
        </w:rPr>
        <w:t>se dispusieran las medidas para que él</w:t>
      </w:r>
      <w:r w:rsidR="00AE0653" w:rsidRPr="00106CAC">
        <w:rPr>
          <w:rFonts w:eastAsia="MS Mincho"/>
          <w:sz w:val="20"/>
          <w:szCs w:val="20"/>
          <w:lang w:bidi="en-US"/>
        </w:rPr>
        <w:t xml:space="preserve"> junto con su familia</w:t>
      </w:r>
      <w:r w:rsidR="0057488D" w:rsidRPr="00106CAC">
        <w:rPr>
          <w:rFonts w:eastAsia="MS Mincho"/>
          <w:sz w:val="20"/>
          <w:szCs w:val="20"/>
          <w:lang w:bidi="en-US"/>
        </w:rPr>
        <w:t xml:space="preserve"> pudiera establecerse fuera de Venezuela</w:t>
      </w:r>
      <w:r w:rsidR="00AE0653" w:rsidRPr="00106CAC">
        <w:rPr>
          <w:rFonts w:eastAsia="MS Mincho"/>
          <w:sz w:val="20"/>
          <w:szCs w:val="20"/>
          <w:lang w:bidi="en-US"/>
        </w:rPr>
        <w:t xml:space="preserve">, dicha petición no fue </w:t>
      </w:r>
      <w:r w:rsidR="00154D5A">
        <w:rPr>
          <w:rFonts w:eastAsia="MS Mincho"/>
          <w:sz w:val="20"/>
          <w:szCs w:val="20"/>
          <w:lang w:bidi="en-US"/>
        </w:rPr>
        <w:t>formulada</w:t>
      </w:r>
      <w:r w:rsidR="00154D5A" w:rsidRPr="00106CAC">
        <w:rPr>
          <w:rFonts w:eastAsia="MS Mincho"/>
          <w:sz w:val="20"/>
          <w:szCs w:val="20"/>
          <w:lang w:bidi="en-US"/>
        </w:rPr>
        <w:t xml:space="preserve"> </w:t>
      </w:r>
      <w:r w:rsidR="00AE0653" w:rsidRPr="00106CAC">
        <w:rPr>
          <w:rFonts w:eastAsia="MS Mincho"/>
          <w:sz w:val="20"/>
          <w:szCs w:val="20"/>
          <w:lang w:bidi="en-US"/>
        </w:rPr>
        <w:t xml:space="preserve">como medida de reparación en los </w:t>
      </w:r>
      <w:r w:rsidR="0057488D" w:rsidRPr="00106CAC">
        <w:rPr>
          <w:rFonts w:eastAsia="MS Mincho"/>
          <w:sz w:val="20"/>
          <w:szCs w:val="20"/>
          <w:lang w:bidi="en-US"/>
        </w:rPr>
        <w:t>alegatos</w:t>
      </w:r>
      <w:r w:rsidR="00AE0653" w:rsidRPr="00106CAC">
        <w:rPr>
          <w:rFonts w:eastAsia="MS Mincho"/>
          <w:sz w:val="20"/>
          <w:szCs w:val="20"/>
          <w:lang w:bidi="en-US"/>
        </w:rPr>
        <w:t xml:space="preserve"> </w:t>
      </w:r>
      <w:r w:rsidR="00106CAC">
        <w:rPr>
          <w:rFonts w:eastAsia="MS Mincho"/>
          <w:sz w:val="20"/>
          <w:szCs w:val="20"/>
          <w:lang w:bidi="en-US"/>
        </w:rPr>
        <w:t xml:space="preserve">finales </w:t>
      </w:r>
      <w:r w:rsidR="0057488D" w:rsidRPr="00106CAC">
        <w:rPr>
          <w:rFonts w:eastAsia="MS Mincho"/>
          <w:sz w:val="20"/>
          <w:szCs w:val="20"/>
          <w:lang w:bidi="en-US"/>
        </w:rPr>
        <w:t>de las representantes</w:t>
      </w:r>
      <w:r w:rsidR="00AE0653" w:rsidRPr="00106CAC">
        <w:rPr>
          <w:rFonts w:eastAsia="MS Mincho"/>
          <w:sz w:val="20"/>
          <w:szCs w:val="20"/>
          <w:lang w:bidi="en-US"/>
        </w:rPr>
        <w:t>, por lo que la Corte no se pronunciará al respecto.</w:t>
      </w:r>
      <w:r w:rsidRPr="00106CAC">
        <w:rPr>
          <w:rFonts w:eastAsia="MS Mincho"/>
          <w:sz w:val="20"/>
          <w:szCs w:val="20"/>
          <w:lang w:bidi="en-US"/>
        </w:rPr>
        <w:t xml:space="preserve"> </w:t>
      </w:r>
      <w:r w:rsidRPr="00106CAC">
        <w:rPr>
          <w:sz w:val="20"/>
          <w:szCs w:val="20"/>
        </w:rPr>
        <w:t>Por otra parte</w:t>
      </w:r>
      <w:r w:rsidRPr="00125C44">
        <w:rPr>
          <w:sz w:val="20"/>
          <w:szCs w:val="20"/>
        </w:rPr>
        <w:t>, el Estado</w:t>
      </w:r>
      <w:r w:rsidRPr="00106CAC">
        <w:rPr>
          <w:sz w:val="20"/>
          <w:szCs w:val="20"/>
        </w:rPr>
        <w:t xml:space="preserve"> solicitó a la Corte </w:t>
      </w:r>
      <w:r w:rsidR="001E074F">
        <w:rPr>
          <w:sz w:val="20"/>
          <w:szCs w:val="20"/>
        </w:rPr>
        <w:t xml:space="preserve">que </w:t>
      </w:r>
      <w:r w:rsidRPr="00106CAC">
        <w:rPr>
          <w:sz w:val="20"/>
          <w:szCs w:val="20"/>
        </w:rPr>
        <w:t xml:space="preserve">desestimara </w:t>
      </w:r>
      <w:r w:rsidR="00D0375E">
        <w:rPr>
          <w:sz w:val="20"/>
          <w:szCs w:val="20"/>
        </w:rPr>
        <w:t>dicha</w:t>
      </w:r>
      <w:r w:rsidRPr="00106CAC">
        <w:rPr>
          <w:sz w:val="20"/>
          <w:szCs w:val="20"/>
        </w:rPr>
        <w:t xml:space="preserve"> medida de protección</w:t>
      </w:r>
      <w:r w:rsidR="00D0375E">
        <w:rPr>
          <w:rStyle w:val="FootnoteReference"/>
          <w:sz w:val="20"/>
          <w:szCs w:val="20"/>
        </w:rPr>
        <w:footnoteReference w:id="242"/>
      </w:r>
      <w:r w:rsidRPr="00106CAC">
        <w:rPr>
          <w:sz w:val="20"/>
          <w:szCs w:val="20"/>
        </w:rPr>
        <w:t>.</w:t>
      </w:r>
      <w:r w:rsidR="00AE0653" w:rsidRPr="00106CAC">
        <w:rPr>
          <w:rFonts w:eastAsia="MS Mincho"/>
          <w:sz w:val="20"/>
          <w:szCs w:val="20"/>
          <w:lang w:bidi="en-US"/>
        </w:rPr>
        <w:t xml:space="preserve"> Sin perjuicio de que la Corte no se pronunci</w:t>
      </w:r>
      <w:r w:rsidR="00D0375E">
        <w:rPr>
          <w:rFonts w:eastAsia="MS Mincho"/>
          <w:sz w:val="20"/>
          <w:szCs w:val="20"/>
          <w:lang w:bidi="en-US"/>
        </w:rPr>
        <w:t>ar</w:t>
      </w:r>
      <w:r w:rsidR="00BE0E2D">
        <w:rPr>
          <w:rFonts w:eastAsia="MS Mincho"/>
          <w:sz w:val="20"/>
          <w:szCs w:val="20"/>
          <w:lang w:bidi="en-US"/>
        </w:rPr>
        <w:t>á</w:t>
      </w:r>
      <w:r w:rsidR="00AE0653" w:rsidRPr="00106CAC">
        <w:rPr>
          <w:rFonts w:eastAsia="MS Mincho"/>
          <w:sz w:val="20"/>
          <w:szCs w:val="20"/>
          <w:lang w:bidi="en-US"/>
        </w:rPr>
        <w:t xml:space="preserve"> respecto de est</w:t>
      </w:r>
      <w:r w:rsidR="00D0375E">
        <w:rPr>
          <w:rFonts w:eastAsia="MS Mincho"/>
          <w:sz w:val="20"/>
          <w:szCs w:val="20"/>
          <w:lang w:bidi="en-US"/>
        </w:rPr>
        <w:t xml:space="preserve">e asunto al no existir una solicitud </w:t>
      </w:r>
      <w:r w:rsidR="00AE0653" w:rsidRPr="00106CAC">
        <w:rPr>
          <w:rFonts w:eastAsia="MS Mincho"/>
          <w:sz w:val="20"/>
          <w:szCs w:val="20"/>
          <w:lang w:bidi="en-US"/>
        </w:rPr>
        <w:t xml:space="preserve">en concreto, se recuerda al Estado su obligación de brindar las medidas de protección dentro del territorio nacional a favor de los familiares del joven Ortiz Hernández, tal como le fue ordenado </w:t>
      </w:r>
      <w:r w:rsidR="00AE0653" w:rsidRPr="00106CAC">
        <w:rPr>
          <w:rFonts w:eastAsia="MS Mincho"/>
          <w:i/>
          <w:sz w:val="20"/>
          <w:szCs w:val="20"/>
          <w:lang w:bidi="en-US"/>
        </w:rPr>
        <w:t>supra</w:t>
      </w:r>
      <w:r w:rsidR="00AE0653" w:rsidRPr="00106CAC">
        <w:rPr>
          <w:rFonts w:eastAsia="MS Mincho"/>
          <w:sz w:val="20"/>
          <w:szCs w:val="20"/>
          <w:lang w:bidi="en-US"/>
        </w:rPr>
        <w:t>.</w:t>
      </w:r>
    </w:p>
    <w:p w:rsidR="00D33793" w:rsidRPr="0001748B" w:rsidRDefault="00D33793" w:rsidP="001B626E">
      <w:pPr>
        <w:autoSpaceDE w:val="0"/>
        <w:autoSpaceDN w:val="0"/>
        <w:spacing w:line="240" w:lineRule="auto"/>
        <w:rPr>
          <w:rFonts w:cs="Verdana"/>
          <w:sz w:val="20"/>
        </w:rPr>
      </w:pPr>
    </w:p>
    <w:p w:rsidR="001B626E" w:rsidRPr="0001748B" w:rsidRDefault="001B626E" w:rsidP="008031E5">
      <w:pPr>
        <w:keepNext/>
        <w:keepLines/>
        <w:numPr>
          <w:ilvl w:val="0"/>
          <w:numId w:val="13"/>
        </w:numPr>
        <w:tabs>
          <w:tab w:val="left" w:pos="567"/>
          <w:tab w:val="left" w:pos="1134"/>
        </w:tabs>
        <w:spacing w:line="240" w:lineRule="auto"/>
        <w:ind w:left="567" w:firstLine="0"/>
        <w:outlineLvl w:val="1"/>
        <w:rPr>
          <w:rFonts w:eastAsia="MS Mincho"/>
          <w:b/>
          <w:bCs/>
          <w:i/>
          <w:sz w:val="20"/>
          <w:szCs w:val="20"/>
        </w:rPr>
      </w:pPr>
      <w:bookmarkStart w:id="128" w:name="_Toc476390741"/>
      <w:bookmarkStart w:id="129" w:name="_Toc495658701"/>
      <w:r w:rsidRPr="0001748B">
        <w:rPr>
          <w:rFonts w:eastAsia="MS Mincho"/>
          <w:b/>
          <w:bCs/>
          <w:i/>
          <w:sz w:val="20"/>
          <w:szCs w:val="20"/>
        </w:rPr>
        <w:t>Indemnizaci</w:t>
      </w:r>
      <w:r w:rsidR="00B80B74">
        <w:rPr>
          <w:rFonts w:eastAsia="MS Mincho"/>
          <w:b/>
          <w:bCs/>
          <w:i/>
          <w:sz w:val="20"/>
          <w:szCs w:val="20"/>
        </w:rPr>
        <w:t>o</w:t>
      </w:r>
      <w:r w:rsidRPr="0001748B">
        <w:rPr>
          <w:rFonts w:eastAsia="MS Mincho"/>
          <w:b/>
          <w:bCs/>
          <w:i/>
          <w:sz w:val="20"/>
          <w:szCs w:val="20"/>
        </w:rPr>
        <w:t>n</w:t>
      </w:r>
      <w:r w:rsidR="00B80B74">
        <w:rPr>
          <w:rFonts w:eastAsia="MS Mincho"/>
          <w:b/>
          <w:bCs/>
          <w:i/>
          <w:sz w:val="20"/>
          <w:szCs w:val="20"/>
        </w:rPr>
        <w:t>es</w:t>
      </w:r>
      <w:r w:rsidRPr="0001748B">
        <w:rPr>
          <w:rFonts w:eastAsia="MS Mincho"/>
          <w:b/>
          <w:bCs/>
          <w:i/>
          <w:sz w:val="20"/>
          <w:szCs w:val="20"/>
        </w:rPr>
        <w:t xml:space="preserve"> compensatoria</w:t>
      </w:r>
      <w:r w:rsidR="00B80B74">
        <w:rPr>
          <w:rFonts w:eastAsia="MS Mincho"/>
          <w:b/>
          <w:bCs/>
          <w:i/>
          <w:sz w:val="20"/>
          <w:szCs w:val="20"/>
        </w:rPr>
        <w:t>s</w:t>
      </w:r>
      <w:bookmarkEnd w:id="128"/>
      <w:bookmarkEnd w:id="129"/>
    </w:p>
    <w:p w:rsidR="001B626E" w:rsidRPr="0001748B" w:rsidRDefault="001B626E" w:rsidP="001B626E">
      <w:pPr>
        <w:spacing w:line="240" w:lineRule="auto"/>
        <w:ind w:left="142"/>
        <w:rPr>
          <w:sz w:val="20"/>
          <w:szCs w:val="20"/>
        </w:rPr>
      </w:pPr>
    </w:p>
    <w:p w:rsidR="001B626E" w:rsidRPr="0001748B" w:rsidRDefault="001B626E" w:rsidP="001B626E">
      <w:pPr>
        <w:numPr>
          <w:ilvl w:val="0"/>
          <w:numId w:val="1"/>
        </w:numPr>
        <w:tabs>
          <w:tab w:val="left" w:pos="567"/>
          <w:tab w:val="num" w:pos="5057"/>
        </w:tabs>
        <w:spacing w:line="240" w:lineRule="auto"/>
        <w:ind w:left="0" w:firstLine="0"/>
        <w:rPr>
          <w:rFonts w:eastAsia="Calibri"/>
          <w:b/>
          <w:i/>
          <w:spacing w:val="-2"/>
          <w:sz w:val="20"/>
          <w:szCs w:val="20"/>
          <w:lang w:eastAsia="x-none"/>
        </w:rPr>
      </w:pPr>
      <w:r w:rsidRPr="0001748B">
        <w:rPr>
          <w:rFonts w:eastAsia="Verdana" w:cs="Verdana"/>
          <w:sz w:val="20"/>
          <w:szCs w:val="20"/>
        </w:rPr>
        <w:t xml:space="preserve">Las </w:t>
      </w:r>
      <w:r w:rsidRPr="0001748B">
        <w:rPr>
          <w:rFonts w:eastAsia="Verdana" w:cs="Verdana"/>
          <w:b/>
          <w:i/>
          <w:sz w:val="20"/>
          <w:szCs w:val="20"/>
        </w:rPr>
        <w:t xml:space="preserve">representantes </w:t>
      </w:r>
      <w:r w:rsidRPr="0001748B">
        <w:rPr>
          <w:rFonts w:eastAsia="Verdana" w:cs="Verdana"/>
          <w:sz w:val="20"/>
          <w:szCs w:val="20"/>
        </w:rPr>
        <w:t>solicitaron que las indemnizaciones sean recibidas directamente por las personas beneficia</w:t>
      </w:r>
      <w:r w:rsidR="00D377DB">
        <w:rPr>
          <w:rFonts w:eastAsia="Verdana" w:cs="Verdana"/>
          <w:sz w:val="20"/>
          <w:szCs w:val="20"/>
        </w:rPr>
        <w:t>ri</w:t>
      </w:r>
      <w:r w:rsidRPr="0001748B">
        <w:rPr>
          <w:rFonts w:eastAsia="Verdana" w:cs="Verdana"/>
          <w:sz w:val="20"/>
          <w:szCs w:val="20"/>
        </w:rPr>
        <w:t>as, en efectivo, y conforme a la tasa de cambio que resulte de justicia</w:t>
      </w:r>
      <w:r w:rsidR="002C38DF" w:rsidRPr="0001748B">
        <w:rPr>
          <w:rFonts w:eastAsia="Verdana" w:cs="Verdana"/>
          <w:sz w:val="20"/>
          <w:szCs w:val="20"/>
        </w:rPr>
        <w:t xml:space="preserve">, pero tomando en consideración la devaluación que ha tenido el bolívar frente al dólar, de modo que las sumas que las víctimas reciban puedan mantener un adecuado valor adquisitivo. </w:t>
      </w:r>
      <w:r w:rsidRPr="0001748B">
        <w:rPr>
          <w:rFonts w:eastAsia="Verdana" w:cs="Verdana"/>
          <w:sz w:val="20"/>
          <w:szCs w:val="20"/>
        </w:rPr>
        <w:t>De igual forma, solicitaron que el pago de los montos ordenados por la Corte se haga dentro de los seis meses a partir de la notificación de la Sentencia y que esté libre de todo impuesto.</w:t>
      </w:r>
    </w:p>
    <w:p w:rsidR="001B626E" w:rsidRPr="0001748B" w:rsidRDefault="001B626E" w:rsidP="001B626E">
      <w:pPr>
        <w:tabs>
          <w:tab w:val="left" w:pos="567"/>
        </w:tabs>
        <w:spacing w:line="240" w:lineRule="auto"/>
        <w:rPr>
          <w:rFonts w:eastAsia="Calibri"/>
          <w:b/>
          <w:i/>
          <w:spacing w:val="-2"/>
          <w:sz w:val="20"/>
          <w:szCs w:val="20"/>
          <w:lang w:eastAsia="x-none"/>
        </w:rPr>
      </w:pPr>
    </w:p>
    <w:p w:rsidR="001B626E" w:rsidRPr="0001748B" w:rsidRDefault="001B626E" w:rsidP="001B626E">
      <w:pPr>
        <w:numPr>
          <w:ilvl w:val="0"/>
          <w:numId w:val="1"/>
        </w:numPr>
        <w:tabs>
          <w:tab w:val="left" w:pos="567"/>
          <w:tab w:val="num" w:pos="5057"/>
        </w:tabs>
        <w:spacing w:line="240" w:lineRule="auto"/>
        <w:ind w:left="0" w:firstLine="0"/>
        <w:rPr>
          <w:rFonts w:eastAsia="Calibri"/>
          <w:b/>
          <w:i/>
          <w:spacing w:val="-2"/>
          <w:sz w:val="20"/>
          <w:szCs w:val="20"/>
          <w:lang w:eastAsia="x-none"/>
        </w:rPr>
      </w:pPr>
      <w:r w:rsidRPr="0001748B">
        <w:rPr>
          <w:rFonts w:eastAsia="MS Mincho"/>
          <w:sz w:val="20"/>
          <w:szCs w:val="20"/>
          <w:lang w:bidi="en-US"/>
        </w:rPr>
        <w:t xml:space="preserve">El </w:t>
      </w:r>
      <w:r w:rsidRPr="0001748B">
        <w:rPr>
          <w:rFonts w:eastAsia="MS Mincho"/>
          <w:b/>
          <w:i/>
          <w:sz w:val="20"/>
          <w:szCs w:val="20"/>
          <w:lang w:bidi="en-US"/>
        </w:rPr>
        <w:t>Estado</w:t>
      </w:r>
      <w:r w:rsidRPr="0001748B">
        <w:rPr>
          <w:rFonts w:eastAsia="Verdana" w:cs="Verdana"/>
          <w:sz w:val="20"/>
          <w:szCs w:val="20"/>
        </w:rPr>
        <w:t xml:space="preserve"> a</w:t>
      </w:r>
      <w:r w:rsidRPr="0001748B">
        <w:rPr>
          <w:rFonts w:eastAsia="Verdana" w:cs="Verdana"/>
          <w:spacing w:val="3"/>
          <w:sz w:val="20"/>
          <w:szCs w:val="20"/>
        </w:rPr>
        <w:t>l</w:t>
      </w:r>
      <w:r w:rsidRPr="0001748B">
        <w:rPr>
          <w:rFonts w:eastAsia="Verdana" w:cs="Verdana"/>
          <w:spacing w:val="-1"/>
          <w:sz w:val="20"/>
          <w:szCs w:val="20"/>
        </w:rPr>
        <w:t>e</w:t>
      </w:r>
      <w:r w:rsidRPr="0001748B">
        <w:rPr>
          <w:rFonts w:eastAsia="Verdana" w:cs="Verdana"/>
          <w:spacing w:val="1"/>
          <w:sz w:val="20"/>
          <w:szCs w:val="20"/>
        </w:rPr>
        <w:t>g</w:t>
      </w:r>
      <w:r w:rsidRPr="0001748B">
        <w:rPr>
          <w:rFonts w:eastAsia="Verdana" w:cs="Verdana"/>
          <w:sz w:val="20"/>
          <w:szCs w:val="20"/>
        </w:rPr>
        <w:t xml:space="preserve">ó </w:t>
      </w:r>
      <w:r w:rsidRPr="0001748B">
        <w:rPr>
          <w:rFonts w:eastAsia="Verdana" w:cs="Verdana"/>
          <w:spacing w:val="1"/>
          <w:sz w:val="20"/>
          <w:szCs w:val="20"/>
        </w:rPr>
        <w:t>qu</w:t>
      </w:r>
      <w:r w:rsidRPr="0001748B">
        <w:rPr>
          <w:rFonts w:eastAsia="Verdana" w:cs="Verdana"/>
          <w:sz w:val="20"/>
          <w:szCs w:val="20"/>
        </w:rPr>
        <w:t>e “</w:t>
      </w:r>
      <w:r w:rsidRPr="0001748B">
        <w:rPr>
          <w:rFonts w:eastAsia="Verdana" w:cs="Verdana"/>
          <w:spacing w:val="1"/>
          <w:sz w:val="20"/>
          <w:szCs w:val="20"/>
        </w:rPr>
        <w:t>n</w:t>
      </w:r>
      <w:r w:rsidRPr="0001748B">
        <w:rPr>
          <w:rFonts w:eastAsia="Verdana" w:cs="Verdana"/>
          <w:sz w:val="20"/>
          <w:szCs w:val="20"/>
        </w:rPr>
        <w:t xml:space="preserve">o </w:t>
      </w:r>
      <w:r w:rsidRPr="0001748B">
        <w:rPr>
          <w:rFonts w:eastAsia="Verdana" w:cs="Verdana"/>
          <w:spacing w:val="1"/>
          <w:sz w:val="20"/>
          <w:szCs w:val="20"/>
        </w:rPr>
        <w:t>p[odía]</w:t>
      </w:r>
      <w:r w:rsidRPr="0001748B">
        <w:rPr>
          <w:rFonts w:eastAsia="Verdana" w:cs="Verdana"/>
          <w:sz w:val="20"/>
          <w:szCs w:val="20"/>
        </w:rPr>
        <w:t xml:space="preserve"> </w:t>
      </w:r>
      <w:r w:rsidRPr="0001748B">
        <w:rPr>
          <w:rFonts w:eastAsia="Verdana" w:cs="Verdana"/>
          <w:spacing w:val="3"/>
          <w:sz w:val="20"/>
          <w:szCs w:val="20"/>
        </w:rPr>
        <w:t>i</w:t>
      </w:r>
      <w:r w:rsidRPr="0001748B">
        <w:rPr>
          <w:rFonts w:eastAsia="Verdana" w:cs="Verdana"/>
          <w:spacing w:val="1"/>
          <w:sz w:val="20"/>
          <w:szCs w:val="20"/>
        </w:rPr>
        <w:t>nd</w:t>
      </w:r>
      <w:r w:rsidRPr="0001748B">
        <w:rPr>
          <w:rFonts w:eastAsia="Verdana" w:cs="Verdana"/>
          <w:spacing w:val="-1"/>
          <w:sz w:val="20"/>
          <w:szCs w:val="20"/>
        </w:rPr>
        <w:t>e</w:t>
      </w:r>
      <w:r w:rsidRPr="0001748B">
        <w:rPr>
          <w:rFonts w:eastAsia="Verdana" w:cs="Verdana"/>
          <w:spacing w:val="1"/>
          <w:sz w:val="20"/>
          <w:szCs w:val="20"/>
        </w:rPr>
        <w:t>m</w:t>
      </w:r>
      <w:r w:rsidRPr="0001748B">
        <w:rPr>
          <w:rFonts w:eastAsia="Verdana" w:cs="Verdana"/>
          <w:spacing w:val="-1"/>
          <w:sz w:val="20"/>
          <w:szCs w:val="20"/>
        </w:rPr>
        <w:t>n</w:t>
      </w:r>
      <w:r w:rsidRPr="0001748B">
        <w:rPr>
          <w:rFonts w:eastAsia="Verdana" w:cs="Verdana"/>
          <w:spacing w:val="3"/>
          <w:sz w:val="20"/>
          <w:szCs w:val="20"/>
        </w:rPr>
        <w:t>i</w:t>
      </w:r>
      <w:r w:rsidRPr="0001748B">
        <w:rPr>
          <w:rFonts w:eastAsia="Verdana" w:cs="Verdana"/>
          <w:spacing w:val="1"/>
          <w:sz w:val="20"/>
          <w:szCs w:val="20"/>
        </w:rPr>
        <w:t>z</w:t>
      </w:r>
      <w:r w:rsidRPr="0001748B">
        <w:rPr>
          <w:rFonts w:eastAsia="Verdana" w:cs="Verdana"/>
          <w:sz w:val="20"/>
          <w:szCs w:val="20"/>
        </w:rPr>
        <w:t>ar</w:t>
      </w:r>
      <w:r w:rsidRPr="0001748B">
        <w:rPr>
          <w:rFonts w:eastAsia="Verdana" w:cs="Verdana"/>
          <w:spacing w:val="64"/>
          <w:sz w:val="20"/>
          <w:szCs w:val="20"/>
        </w:rPr>
        <w:t xml:space="preserve"> </w:t>
      </w:r>
      <w:r w:rsidRPr="0001748B">
        <w:rPr>
          <w:rFonts w:eastAsia="Verdana" w:cs="Verdana"/>
          <w:spacing w:val="-1"/>
          <w:sz w:val="20"/>
          <w:szCs w:val="20"/>
        </w:rPr>
        <w:t>co</w:t>
      </w:r>
      <w:r w:rsidRPr="0001748B">
        <w:rPr>
          <w:rFonts w:eastAsia="Verdana" w:cs="Verdana"/>
          <w:sz w:val="20"/>
          <w:szCs w:val="20"/>
        </w:rPr>
        <w:t xml:space="preserve">n </w:t>
      </w:r>
      <w:r w:rsidRPr="0001748B">
        <w:rPr>
          <w:rFonts w:eastAsia="Verdana" w:cs="Verdana"/>
          <w:spacing w:val="-1"/>
          <w:sz w:val="20"/>
          <w:szCs w:val="20"/>
        </w:rPr>
        <w:t>s</w:t>
      </w:r>
      <w:r w:rsidRPr="0001748B">
        <w:rPr>
          <w:rFonts w:eastAsia="Verdana" w:cs="Verdana"/>
          <w:spacing w:val="1"/>
          <w:sz w:val="20"/>
          <w:szCs w:val="20"/>
        </w:rPr>
        <w:t>um</w:t>
      </w:r>
      <w:r w:rsidRPr="0001748B">
        <w:rPr>
          <w:rFonts w:eastAsia="Verdana" w:cs="Verdana"/>
          <w:sz w:val="20"/>
          <w:szCs w:val="20"/>
        </w:rPr>
        <w:t xml:space="preserve">as </w:t>
      </w:r>
      <w:r w:rsidRPr="0001748B">
        <w:rPr>
          <w:rFonts w:eastAsia="Verdana" w:cs="Verdana"/>
          <w:spacing w:val="1"/>
          <w:sz w:val="20"/>
          <w:szCs w:val="20"/>
        </w:rPr>
        <w:t>mil</w:t>
      </w:r>
      <w:r w:rsidRPr="0001748B">
        <w:rPr>
          <w:rFonts w:eastAsia="Verdana" w:cs="Verdana"/>
          <w:spacing w:val="3"/>
          <w:sz w:val="20"/>
          <w:szCs w:val="20"/>
        </w:rPr>
        <w:t>l</w:t>
      </w:r>
      <w:r w:rsidRPr="0001748B">
        <w:rPr>
          <w:rFonts w:eastAsia="Verdana" w:cs="Verdana"/>
          <w:spacing w:val="-1"/>
          <w:sz w:val="20"/>
          <w:szCs w:val="20"/>
        </w:rPr>
        <w:t>o</w:t>
      </w:r>
      <w:r w:rsidRPr="0001748B">
        <w:rPr>
          <w:rFonts w:eastAsia="Verdana" w:cs="Verdana"/>
          <w:spacing w:val="1"/>
          <w:sz w:val="20"/>
          <w:szCs w:val="20"/>
        </w:rPr>
        <w:t>n</w:t>
      </w:r>
      <w:r w:rsidRPr="0001748B">
        <w:rPr>
          <w:rFonts w:eastAsia="Verdana" w:cs="Verdana"/>
          <w:sz w:val="20"/>
          <w:szCs w:val="20"/>
        </w:rPr>
        <w:t>a</w:t>
      </w:r>
      <w:r w:rsidRPr="0001748B">
        <w:rPr>
          <w:rFonts w:eastAsia="Verdana" w:cs="Verdana"/>
          <w:spacing w:val="-1"/>
          <w:sz w:val="20"/>
          <w:szCs w:val="20"/>
        </w:rPr>
        <w:t>r</w:t>
      </w:r>
      <w:r w:rsidRPr="0001748B">
        <w:rPr>
          <w:rFonts w:eastAsia="Verdana" w:cs="Verdana"/>
          <w:spacing w:val="3"/>
          <w:sz w:val="20"/>
          <w:szCs w:val="20"/>
        </w:rPr>
        <w:t>i</w:t>
      </w:r>
      <w:r w:rsidRPr="0001748B">
        <w:rPr>
          <w:rFonts w:eastAsia="Verdana" w:cs="Verdana"/>
          <w:sz w:val="20"/>
          <w:szCs w:val="20"/>
        </w:rPr>
        <w:t>as</w:t>
      </w:r>
      <w:r w:rsidRPr="0001748B">
        <w:rPr>
          <w:rFonts w:eastAsia="Verdana" w:cs="Verdana"/>
          <w:spacing w:val="64"/>
          <w:sz w:val="20"/>
          <w:szCs w:val="20"/>
        </w:rPr>
        <w:t xml:space="preserve"> </w:t>
      </w:r>
      <w:r w:rsidRPr="0001748B">
        <w:rPr>
          <w:rFonts w:eastAsia="Verdana" w:cs="Verdana"/>
          <w:spacing w:val="-1"/>
          <w:sz w:val="20"/>
          <w:szCs w:val="20"/>
        </w:rPr>
        <w:t>e</w:t>
      </w:r>
      <w:r w:rsidRPr="0001748B">
        <w:rPr>
          <w:rFonts w:eastAsia="Verdana" w:cs="Verdana"/>
          <w:sz w:val="20"/>
          <w:szCs w:val="20"/>
        </w:rPr>
        <w:t xml:space="preserve">n </w:t>
      </w:r>
      <w:r w:rsidRPr="0001748B">
        <w:rPr>
          <w:rFonts w:eastAsia="Verdana" w:cs="Verdana"/>
          <w:spacing w:val="1"/>
          <w:sz w:val="20"/>
          <w:szCs w:val="20"/>
        </w:rPr>
        <w:t>d</w:t>
      </w:r>
      <w:r w:rsidRPr="0001748B">
        <w:rPr>
          <w:rFonts w:eastAsia="Verdana" w:cs="Verdana"/>
          <w:spacing w:val="-1"/>
          <w:sz w:val="20"/>
          <w:szCs w:val="20"/>
        </w:rPr>
        <w:t>ó</w:t>
      </w:r>
      <w:r w:rsidRPr="0001748B">
        <w:rPr>
          <w:rFonts w:eastAsia="Verdana" w:cs="Verdana"/>
          <w:spacing w:val="3"/>
          <w:sz w:val="20"/>
          <w:szCs w:val="20"/>
        </w:rPr>
        <w:t>l</w:t>
      </w:r>
      <w:r w:rsidRPr="0001748B">
        <w:rPr>
          <w:rFonts w:eastAsia="Verdana" w:cs="Verdana"/>
          <w:sz w:val="20"/>
          <w:szCs w:val="20"/>
        </w:rPr>
        <w:t>a</w:t>
      </w:r>
      <w:r w:rsidRPr="0001748B">
        <w:rPr>
          <w:rFonts w:eastAsia="Verdana" w:cs="Verdana"/>
          <w:spacing w:val="-1"/>
          <w:sz w:val="20"/>
          <w:szCs w:val="20"/>
        </w:rPr>
        <w:t>res</w:t>
      </w:r>
      <w:r w:rsidRPr="0001748B">
        <w:rPr>
          <w:rFonts w:eastAsia="Verdana" w:cs="Verdana"/>
          <w:sz w:val="20"/>
          <w:szCs w:val="20"/>
        </w:rPr>
        <w:t>,</w:t>
      </w:r>
      <w:r w:rsidRPr="0001748B">
        <w:rPr>
          <w:rFonts w:eastAsia="Verdana" w:cs="Verdana"/>
          <w:spacing w:val="69"/>
          <w:sz w:val="20"/>
          <w:szCs w:val="20"/>
        </w:rPr>
        <w:t xml:space="preserve"> </w:t>
      </w:r>
      <w:r w:rsidRPr="0001748B">
        <w:rPr>
          <w:rFonts w:eastAsia="Verdana" w:cs="Verdana"/>
          <w:spacing w:val="1"/>
          <w:sz w:val="20"/>
          <w:szCs w:val="20"/>
        </w:rPr>
        <w:t>p</w:t>
      </w:r>
      <w:r w:rsidRPr="0001748B">
        <w:rPr>
          <w:rFonts w:eastAsia="Verdana" w:cs="Verdana"/>
          <w:spacing w:val="-1"/>
          <w:sz w:val="20"/>
          <w:szCs w:val="20"/>
        </w:rPr>
        <w:t>or</w:t>
      </w:r>
      <w:r w:rsidRPr="0001748B">
        <w:rPr>
          <w:rFonts w:eastAsia="Verdana" w:cs="Verdana"/>
          <w:spacing w:val="1"/>
          <w:sz w:val="20"/>
          <w:szCs w:val="20"/>
        </w:rPr>
        <w:t>q</w:t>
      </w:r>
      <w:r w:rsidRPr="0001748B">
        <w:rPr>
          <w:rFonts w:eastAsia="Verdana" w:cs="Verdana"/>
          <w:spacing w:val="4"/>
          <w:sz w:val="20"/>
          <w:szCs w:val="20"/>
        </w:rPr>
        <w:t>u</w:t>
      </w:r>
      <w:r w:rsidRPr="0001748B">
        <w:rPr>
          <w:rFonts w:eastAsia="Verdana" w:cs="Verdana"/>
          <w:sz w:val="20"/>
          <w:szCs w:val="20"/>
        </w:rPr>
        <w:t>e</w:t>
      </w:r>
      <w:r w:rsidRPr="0001748B">
        <w:rPr>
          <w:rFonts w:eastAsia="Verdana" w:cs="Verdana"/>
          <w:spacing w:val="70"/>
          <w:sz w:val="20"/>
          <w:szCs w:val="20"/>
        </w:rPr>
        <w:t xml:space="preserve"> </w:t>
      </w:r>
      <w:r w:rsidRPr="0001748B">
        <w:rPr>
          <w:rFonts w:eastAsia="Verdana" w:cs="Verdana"/>
          <w:spacing w:val="2"/>
          <w:sz w:val="20"/>
          <w:szCs w:val="20"/>
        </w:rPr>
        <w:t>s</w:t>
      </w:r>
      <w:r w:rsidRPr="0001748B">
        <w:rPr>
          <w:rFonts w:eastAsia="Verdana" w:cs="Verdana"/>
          <w:spacing w:val="-1"/>
          <w:sz w:val="20"/>
          <w:szCs w:val="20"/>
        </w:rPr>
        <w:t>er</w:t>
      </w:r>
      <w:r w:rsidRPr="0001748B">
        <w:rPr>
          <w:rFonts w:eastAsia="Verdana" w:cs="Verdana"/>
          <w:spacing w:val="3"/>
          <w:sz w:val="20"/>
          <w:szCs w:val="20"/>
        </w:rPr>
        <w:t>í</w:t>
      </w:r>
      <w:r w:rsidRPr="0001748B">
        <w:rPr>
          <w:rFonts w:eastAsia="Verdana" w:cs="Verdana"/>
          <w:sz w:val="20"/>
          <w:szCs w:val="20"/>
        </w:rPr>
        <w:t xml:space="preserve">a </w:t>
      </w:r>
      <w:r w:rsidRPr="0001748B">
        <w:rPr>
          <w:rFonts w:eastAsia="Verdana" w:cs="Verdana"/>
          <w:spacing w:val="1"/>
          <w:sz w:val="20"/>
          <w:szCs w:val="20"/>
        </w:rPr>
        <w:t>t</w:t>
      </w:r>
      <w:r w:rsidRPr="0001748B">
        <w:rPr>
          <w:rFonts w:eastAsia="Verdana" w:cs="Verdana"/>
          <w:spacing w:val="-1"/>
          <w:sz w:val="20"/>
          <w:szCs w:val="20"/>
        </w:rPr>
        <w:t>r</w:t>
      </w:r>
      <w:r w:rsidRPr="0001748B">
        <w:rPr>
          <w:rFonts w:eastAsia="Verdana" w:cs="Verdana"/>
          <w:sz w:val="20"/>
          <w:szCs w:val="20"/>
        </w:rPr>
        <w:t>a</w:t>
      </w:r>
      <w:r w:rsidRPr="0001748B">
        <w:rPr>
          <w:rFonts w:eastAsia="Verdana" w:cs="Verdana"/>
          <w:spacing w:val="3"/>
          <w:sz w:val="20"/>
          <w:szCs w:val="20"/>
        </w:rPr>
        <w:t>i</w:t>
      </w:r>
      <w:r w:rsidRPr="0001748B">
        <w:rPr>
          <w:rFonts w:eastAsia="Verdana" w:cs="Verdana"/>
          <w:spacing w:val="-1"/>
          <w:sz w:val="20"/>
          <w:szCs w:val="20"/>
        </w:rPr>
        <w:t>c</w:t>
      </w:r>
      <w:r w:rsidRPr="0001748B">
        <w:rPr>
          <w:rFonts w:eastAsia="Verdana" w:cs="Verdana"/>
          <w:spacing w:val="3"/>
          <w:sz w:val="20"/>
          <w:szCs w:val="20"/>
        </w:rPr>
        <w:t>i</w:t>
      </w:r>
      <w:r w:rsidRPr="0001748B">
        <w:rPr>
          <w:rFonts w:eastAsia="Verdana" w:cs="Verdana"/>
          <w:spacing w:val="-1"/>
          <w:sz w:val="20"/>
          <w:szCs w:val="20"/>
        </w:rPr>
        <w:t>o</w:t>
      </w:r>
      <w:r w:rsidRPr="0001748B">
        <w:rPr>
          <w:rFonts w:eastAsia="Verdana" w:cs="Verdana"/>
          <w:spacing w:val="1"/>
          <w:sz w:val="20"/>
          <w:szCs w:val="20"/>
        </w:rPr>
        <w:t>n</w:t>
      </w:r>
      <w:r w:rsidRPr="0001748B">
        <w:rPr>
          <w:rFonts w:eastAsia="Verdana" w:cs="Verdana"/>
          <w:sz w:val="20"/>
          <w:szCs w:val="20"/>
        </w:rPr>
        <w:t>ar</w:t>
      </w:r>
      <w:r w:rsidRPr="0001748B">
        <w:rPr>
          <w:rFonts w:eastAsia="Verdana" w:cs="Verdana"/>
          <w:spacing w:val="-12"/>
          <w:sz w:val="20"/>
          <w:szCs w:val="20"/>
        </w:rPr>
        <w:t xml:space="preserve"> </w:t>
      </w:r>
      <w:r w:rsidRPr="0001748B">
        <w:rPr>
          <w:rFonts w:eastAsia="Verdana" w:cs="Verdana"/>
          <w:spacing w:val="3"/>
          <w:sz w:val="20"/>
          <w:szCs w:val="20"/>
        </w:rPr>
        <w:t>l</w:t>
      </w:r>
      <w:r w:rsidRPr="0001748B">
        <w:rPr>
          <w:rFonts w:eastAsia="Verdana" w:cs="Verdana"/>
          <w:spacing w:val="-1"/>
          <w:sz w:val="20"/>
          <w:szCs w:val="20"/>
        </w:rPr>
        <w:t>o</w:t>
      </w:r>
      <w:r w:rsidRPr="0001748B">
        <w:rPr>
          <w:rFonts w:eastAsia="Verdana" w:cs="Verdana"/>
          <w:sz w:val="20"/>
          <w:szCs w:val="20"/>
        </w:rPr>
        <w:t>s</w:t>
      </w:r>
      <w:r w:rsidRPr="0001748B">
        <w:rPr>
          <w:rFonts w:eastAsia="Verdana" w:cs="Verdana"/>
          <w:spacing w:val="-4"/>
          <w:sz w:val="20"/>
          <w:szCs w:val="20"/>
        </w:rPr>
        <w:t xml:space="preserve"> </w:t>
      </w:r>
      <w:r w:rsidRPr="0001748B">
        <w:rPr>
          <w:rFonts w:eastAsia="Verdana" w:cs="Verdana"/>
          <w:spacing w:val="3"/>
          <w:sz w:val="20"/>
          <w:szCs w:val="20"/>
        </w:rPr>
        <w:t>i</w:t>
      </w:r>
      <w:r w:rsidRPr="0001748B">
        <w:rPr>
          <w:rFonts w:eastAsia="Verdana" w:cs="Verdana"/>
          <w:spacing w:val="-1"/>
          <w:sz w:val="20"/>
          <w:szCs w:val="20"/>
        </w:rPr>
        <w:t>n</w:t>
      </w:r>
      <w:r w:rsidRPr="0001748B">
        <w:rPr>
          <w:rFonts w:eastAsia="Verdana" w:cs="Verdana"/>
          <w:spacing w:val="1"/>
          <w:sz w:val="20"/>
          <w:szCs w:val="20"/>
        </w:rPr>
        <w:t>t</w:t>
      </w:r>
      <w:r w:rsidRPr="0001748B">
        <w:rPr>
          <w:rFonts w:eastAsia="Verdana" w:cs="Verdana"/>
          <w:spacing w:val="-1"/>
          <w:sz w:val="20"/>
          <w:szCs w:val="20"/>
        </w:rPr>
        <w:t>er</w:t>
      </w:r>
      <w:r w:rsidRPr="0001748B">
        <w:rPr>
          <w:rFonts w:eastAsia="Verdana" w:cs="Verdana"/>
          <w:spacing w:val="1"/>
          <w:sz w:val="20"/>
          <w:szCs w:val="20"/>
        </w:rPr>
        <w:t>e</w:t>
      </w:r>
      <w:r w:rsidRPr="0001748B">
        <w:rPr>
          <w:rFonts w:eastAsia="Verdana" w:cs="Verdana"/>
          <w:spacing w:val="-1"/>
          <w:sz w:val="20"/>
          <w:szCs w:val="20"/>
        </w:rPr>
        <w:t>s</w:t>
      </w:r>
      <w:r w:rsidRPr="0001748B">
        <w:rPr>
          <w:rFonts w:eastAsia="Verdana" w:cs="Verdana"/>
          <w:spacing w:val="1"/>
          <w:sz w:val="20"/>
          <w:szCs w:val="20"/>
        </w:rPr>
        <w:t>e</w:t>
      </w:r>
      <w:r w:rsidRPr="0001748B">
        <w:rPr>
          <w:rFonts w:eastAsia="Verdana" w:cs="Verdana"/>
          <w:sz w:val="20"/>
          <w:szCs w:val="20"/>
        </w:rPr>
        <w:t>s</w:t>
      </w:r>
      <w:r w:rsidRPr="0001748B">
        <w:rPr>
          <w:rFonts w:eastAsia="Verdana" w:cs="Verdana"/>
          <w:spacing w:val="-8"/>
          <w:sz w:val="20"/>
          <w:szCs w:val="20"/>
        </w:rPr>
        <w:t xml:space="preserve"> </w:t>
      </w:r>
      <w:r w:rsidRPr="0001748B">
        <w:rPr>
          <w:rFonts w:eastAsia="Verdana" w:cs="Verdana"/>
          <w:spacing w:val="1"/>
          <w:sz w:val="20"/>
          <w:szCs w:val="20"/>
        </w:rPr>
        <w:t>d</w:t>
      </w:r>
      <w:r w:rsidRPr="0001748B">
        <w:rPr>
          <w:rFonts w:eastAsia="Verdana" w:cs="Verdana"/>
          <w:spacing w:val="-1"/>
          <w:sz w:val="20"/>
          <w:szCs w:val="20"/>
        </w:rPr>
        <w:t>e</w:t>
      </w:r>
      <w:r w:rsidRPr="0001748B">
        <w:rPr>
          <w:rFonts w:eastAsia="Verdana" w:cs="Verdana"/>
          <w:sz w:val="20"/>
          <w:szCs w:val="20"/>
        </w:rPr>
        <w:t>l</w:t>
      </w:r>
      <w:r w:rsidRPr="0001748B">
        <w:rPr>
          <w:rFonts w:eastAsia="Verdana" w:cs="Verdana"/>
          <w:spacing w:val="-1"/>
          <w:sz w:val="20"/>
          <w:szCs w:val="20"/>
        </w:rPr>
        <w:t xml:space="preserve"> </w:t>
      </w:r>
      <w:r w:rsidRPr="0001748B">
        <w:rPr>
          <w:rFonts w:eastAsia="Verdana" w:cs="Verdana"/>
          <w:spacing w:val="1"/>
          <w:sz w:val="20"/>
          <w:szCs w:val="20"/>
        </w:rPr>
        <w:t>pu</w:t>
      </w:r>
      <w:r w:rsidRPr="0001748B">
        <w:rPr>
          <w:rFonts w:eastAsia="Verdana" w:cs="Verdana"/>
          <w:spacing w:val="-1"/>
          <w:sz w:val="20"/>
          <w:szCs w:val="20"/>
        </w:rPr>
        <w:t>e</w:t>
      </w:r>
      <w:r w:rsidRPr="0001748B">
        <w:rPr>
          <w:rFonts w:eastAsia="Verdana" w:cs="Verdana"/>
          <w:spacing w:val="1"/>
          <w:sz w:val="20"/>
          <w:szCs w:val="20"/>
        </w:rPr>
        <w:t>b</w:t>
      </w:r>
      <w:r w:rsidRPr="0001748B">
        <w:rPr>
          <w:rFonts w:eastAsia="Verdana" w:cs="Verdana"/>
          <w:spacing w:val="3"/>
          <w:sz w:val="20"/>
          <w:szCs w:val="20"/>
        </w:rPr>
        <w:t>l</w:t>
      </w:r>
      <w:r w:rsidRPr="0001748B">
        <w:rPr>
          <w:rFonts w:eastAsia="Verdana" w:cs="Verdana"/>
          <w:sz w:val="20"/>
          <w:szCs w:val="20"/>
        </w:rPr>
        <w:t>o</w:t>
      </w:r>
      <w:r w:rsidRPr="0001748B">
        <w:rPr>
          <w:rFonts w:eastAsia="Verdana" w:cs="Verdana"/>
          <w:spacing w:val="-9"/>
          <w:sz w:val="20"/>
          <w:szCs w:val="20"/>
        </w:rPr>
        <w:t xml:space="preserve"> </w:t>
      </w:r>
      <w:r w:rsidRPr="0001748B">
        <w:rPr>
          <w:rFonts w:eastAsia="Verdana" w:cs="Verdana"/>
          <w:sz w:val="20"/>
          <w:szCs w:val="20"/>
        </w:rPr>
        <w:t>v</w:t>
      </w:r>
      <w:r w:rsidRPr="0001748B">
        <w:rPr>
          <w:rFonts w:eastAsia="Verdana" w:cs="Verdana"/>
          <w:spacing w:val="-1"/>
          <w:sz w:val="20"/>
          <w:szCs w:val="20"/>
        </w:rPr>
        <w:t>e</w:t>
      </w:r>
      <w:r w:rsidRPr="0001748B">
        <w:rPr>
          <w:rFonts w:eastAsia="Verdana" w:cs="Verdana"/>
          <w:spacing w:val="1"/>
          <w:sz w:val="20"/>
          <w:szCs w:val="20"/>
        </w:rPr>
        <w:t>n</w:t>
      </w:r>
      <w:r w:rsidRPr="0001748B">
        <w:rPr>
          <w:rFonts w:eastAsia="Verdana" w:cs="Verdana"/>
          <w:spacing w:val="-1"/>
          <w:sz w:val="20"/>
          <w:szCs w:val="20"/>
        </w:rPr>
        <w:t>e</w:t>
      </w:r>
      <w:r w:rsidRPr="0001748B">
        <w:rPr>
          <w:rFonts w:eastAsia="Verdana" w:cs="Verdana"/>
          <w:spacing w:val="1"/>
          <w:sz w:val="20"/>
          <w:szCs w:val="20"/>
        </w:rPr>
        <w:t>z</w:t>
      </w:r>
      <w:r w:rsidRPr="0001748B">
        <w:rPr>
          <w:rFonts w:eastAsia="Verdana" w:cs="Verdana"/>
          <w:spacing w:val="-1"/>
          <w:sz w:val="20"/>
          <w:szCs w:val="20"/>
        </w:rPr>
        <w:t>o</w:t>
      </w:r>
      <w:r w:rsidRPr="0001748B">
        <w:rPr>
          <w:rFonts w:eastAsia="Verdana" w:cs="Verdana"/>
          <w:spacing w:val="3"/>
          <w:sz w:val="20"/>
          <w:szCs w:val="20"/>
        </w:rPr>
        <w:t>l</w:t>
      </w:r>
      <w:r w:rsidRPr="0001748B">
        <w:rPr>
          <w:rFonts w:eastAsia="Verdana" w:cs="Verdana"/>
          <w:sz w:val="20"/>
          <w:szCs w:val="20"/>
        </w:rPr>
        <w:t>a</w:t>
      </w:r>
      <w:r w:rsidRPr="0001748B">
        <w:rPr>
          <w:rFonts w:eastAsia="Verdana" w:cs="Verdana"/>
          <w:spacing w:val="1"/>
          <w:sz w:val="20"/>
          <w:szCs w:val="20"/>
        </w:rPr>
        <w:t>n</w:t>
      </w:r>
      <w:r w:rsidRPr="0001748B">
        <w:rPr>
          <w:rFonts w:eastAsia="Verdana" w:cs="Verdana"/>
          <w:spacing w:val="-1"/>
          <w:sz w:val="20"/>
          <w:szCs w:val="20"/>
        </w:rPr>
        <w:t>o</w:t>
      </w:r>
      <w:r w:rsidRPr="0001748B">
        <w:rPr>
          <w:rFonts w:eastAsia="Verdana" w:cs="Verdana"/>
          <w:sz w:val="20"/>
          <w:szCs w:val="20"/>
        </w:rPr>
        <w:t>”.</w:t>
      </w:r>
      <w:r w:rsidRPr="0001748B">
        <w:rPr>
          <w:rFonts w:eastAsia="Verdana" w:cs="Verdana"/>
          <w:spacing w:val="-10"/>
          <w:sz w:val="20"/>
          <w:szCs w:val="20"/>
        </w:rPr>
        <w:t xml:space="preserve"> </w:t>
      </w:r>
      <w:r w:rsidRPr="0001748B">
        <w:rPr>
          <w:rFonts w:eastAsia="Verdana" w:cs="Verdana"/>
          <w:bCs/>
          <w:sz w:val="20"/>
          <w:szCs w:val="20"/>
        </w:rPr>
        <w:t>Sin embargo, en su escrito de alegatos finales señaló que tenía la mejor disposición de tramitar las eventuales indemnizaciones monetarias que ordene esta Corte, las cuales entiende se enmarcarán dentro de parámetros de racionalidad y jurisprudencia anterior del Tribunal. Por otro lado, el Estado señaló que</w:t>
      </w:r>
      <w:r w:rsidR="00857383" w:rsidRPr="0001748B">
        <w:rPr>
          <w:rFonts w:eastAsia="Verdana" w:cs="Verdana"/>
          <w:bCs/>
          <w:sz w:val="20"/>
          <w:szCs w:val="20"/>
        </w:rPr>
        <w:t>,</w:t>
      </w:r>
      <w:r w:rsidRPr="0001748B">
        <w:rPr>
          <w:rFonts w:eastAsia="Verdana" w:cs="Verdana"/>
          <w:bCs/>
          <w:sz w:val="20"/>
          <w:szCs w:val="20"/>
        </w:rPr>
        <w:t xml:space="preserve"> atendiendo al sistema monetario nacional, al derecho interno y al régimen administrado de divisas, la unidad monetaria en Venezuela era el Bolívar, no siendo el dólar la moneda de curso legal en Venezuela. Adicionalmente, alegó que en virtud del sistema administrado de divisas que existe en el país para proteger el valor de la moneda local y de las reservas internacionales, así como para regular oficialmente la compra y venta de divisas, existen dos tasas de cambio oficiales, establecidas por el Banco Central de Venezuela. Por una parte, el tipo de cambio al cual tienen acceso las personas naturales y las personas jurídicas de naturaleza privada (artículo 24, Convenio Cambiario No. 33, publicado en la Gaceta Oficial No. 6.171 Extraordinario de 10 de febrero de 2015), cuya tasa de </w:t>
      </w:r>
      <w:r w:rsidRPr="0001748B">
        <w:rPr>
          <w:rFonts w:eastAsia="Verdana" w:cs="Verdana"/>
          <w:bCs/>
          <w:sz w:val="20"/>
          <w:szCs w:val="20"/>
        </w:rPr>
        <w:lastRenderedPageBreak/>
        <w:t xml:space="preserve">cambio es publicada diariamente por dicho Banco, ascendente a Bs. 701.86 por dólar al 9 de marzo de 2017. Por otra parte, el tipo de cambio protegido, denominado “DIPRO” (divisas con tipo de cambio protegido), dirigido exclusivamente a “la liquidación de las operaciones de divisas para el pago de las importaciones de los bienes determinados en el listado de rubros pertenecientes a los sectores de alimentos y salud y de las materias primas e insumos asociados a la producción de estos sectores” (artículo 2, Convenio Cambiario No. 35, publicado en la Gaceta Oficial No. 40.865 de 9 de </w:t>
      </w:r>
      <w:r w:rsidR="003F7C74">
        <w:rPr>
          <w:rFonts w:eastAsia="Verdana" w:cs="Verdana"/>
          <w:bCs/>
          <w:sz w:val="20"/>
          <w:szCs w:val="20"/>
        </w:rPr>
        <w:t>marzo</w:t>
      </w:r>
      <w:r w:rsidR="003F7C74" w:rsidRPr="0001748B">
        <w:rPr>
          <w:rFonts w:eastAsia="Verdana" w:cs="Verdana"/>
          <w:bCs/>
          <w:sz w:val="20"/>
          <w:szCs w:val="20"/>
        </w:rPr>
        <w:t xml:space="preserve"> </w:t>
      </w:r>
      <w:r w:rsidRPr="0001748B">
        <w:rPr>
          <w:rFonts w:eastAsia="Verdana" w:cs="Verdana"/>
          <w:bCs/>
          <w:sz w:val="20"/>
          <w:szCs w:val="20"/>
        </w:rPr>
        <w:t>de 2016). En virtud de ello, el Estado solicitó que</w:t>
      </w:r>
      <w:r w:rsidR="00272236">
        <w:rPr>
          <w:rFonts w:eastAsia="Verdana" w:cs="Verdana"/>
          <w:bCs/>
          <w:sz w:val="20"/>
          <w:szCs w:val="20"/>
        </w:rPr>
        <w:t>,</w:t>
      </w:r>
      <w:r w:rsidRPr="0001748B">
        <w:rPr>
          <w:rFonts w:eastAsia="Verdana" w:cs="Verdana"/>
          <w:bCs/>
          <w:sz w:val="20"/>
          <w:szCs w:val="20"/>
        </w:rPr>
        <w:t xml:space="preserve"> a fin de asegurar la ejecución de la presente Sentencia, la moneda extranjera sea utilizada para establecer la cuantía de la obligación, como una fórmula de estabilización de la obligación, mas no como moneda de pago, para que de este modo el Estado pueda honrar esta medida con el pago del monto debido en su equivalente en moneda de curso legal del país. Señaló</w:t>
      </w:r>
      <w:r w:rsidR="00272236">
        <w:rPr>
          <w:rFonts w:eastAsia="Verdana" w:cs="Verdana"/>
          <w:bCs/>
          <w:sz w:val="20"/>
          <w:szCs w:val="20"/>
        </w:rPr>
        <w:t>,</w:t>
      </w:r>
      <w:r w:rsidRPr="0001748B">
        <w:rPr>
          <w:rFonts w:eastAsia="Verdana" w:cs="Verdana"/>
          <w:bCs/>
          <w:sz w:val="20"/>
          <w:szCs w:val="20"/>
        </w:rPr>
        <w:t xml:space="preserve"> además, que estimaba necesario que la Corte pudiera determinar el cambio de referencia aplicable para la conversión, considerando como referencia aplicable la correspondiente a personas naturales.</w:t>
      </w:r>
    </w:p>
    <w:p w:rsidR="001B626E" w:rsidRDefault="001B626E" w:rsidP="001B626E">
      <w:pPr>
        <w:spacing w:line="240" w:lineRule="auto"/>
        <w:ind w:left="142"/>
        <w:rPr>
          <w:sz w:val="20"/>
          <w:szCs w:val="20"/>
        </w:rPr>
      </w:pPr>
    </w:p>
    <w:p w:rsidR="002F55DE" w:rsidRDefault="002F55DE" w:rsidP="00125C44">
      <w:pPr>
        <w:numPr>
          <w:ilvl w:val="0"/>
          <w:numId w:val="1"/>
        </w:numPr>
        <w:tabs>
          <w:tab w:val="left" w:pos="567"/>
          <w:tab w:val="num" w:pos="5057"/>
        </w:tabs>
        <w:spacing w:line="240" w:lineRule="auto"/>
        <w:ind w:left="0" w:firstLine="0"/>
        <w:rPr>
          <w:sz w:val="20"/>
          <w:szCs w:val="20"/>
        </w:rPr>
      </w:pPr>
      <w:r w:rsidRPr="0001748B">
        <w:rPr>
          <w:rFonts w:eastAsia="MS Mincho"/>
          <w:sz w:val="20"/>
          <w:szCs w:val="20"/>
          <w:lang w:bidi="en-US"/>
        </w:rPr>
        <w:t>En lo que respecta a la moneda de pago de las indemnizaciones y reintegro de costas y gastos</w:t>
      </w:r>
      <w:r>
        <w:rPr>
          <w:rFonts w:eastAsia="MS Mincho"/>
          <w:sz w:val="20"/>
          <w:szCs w:val="20"/>
          <w:lang w:bidi="en-US"/>
        </w:rPr>
        <w:t xml:space="preserve"> que se dispondrán a continuación</w:t>
      </w:r>
      <w:r w:rsidRPr="0001748B">
        <w:rPr>
          <w:rFonts w:eastAsia="MS Mincho"/>
          <w:sz w:val="20"/>
          <w:szCs w:val="20"/>
          <w:lang w:bidi="en-US"/>
        </w:rPr>
        <w:t>, debido a la información aportada por las partes, la Corte estima que corresponde al Estado asegurar que los montos ordenados mantengan una adecuado valor adquisitivo</w:t>
      </w:r>
      <w:r>
        <w:rPr>
          <w:rFonts w:eastAsia="MS Mincho"/>
          <w:sz w:val="20"/>
          <w:szCs w:val="20"/>
          <w:lang w:bidi="en-US"/>
        </w:rPr>
        <w:t xml:space="preserve">, para lo cual dispondrá lo pertinente en el capítulo de modalidad de cumplimiento de los pagos ordenados </w:t>
      </w:r>
      <w:r w:rsidRPr="0001748B">
        <w:rPr>
          <w:rFonts w:eastAsia="MS Mincho"/>
          <w:sz w:val="20"/>
          <w:szCs w:val="20"/>
          <w:lang w:bidi="en-US"/>
        </w:rPr>
        <w:t>(</w:t>
      </w:r>
      <w:r>
        <w:rPr>
          <w:rFonts w:eastAsia="MS Mincho"/>
          <w:i/>
          <w:sz w:val="20"/>
          <w:szCs w:val="20"/>
          <w:lang w:bidi="en-US"/>
        </w:rPr>
        <w:t>infra</w:t>
      </w:r>
      <w:r w:rsidRPr="0001748B">
        <w:rPr>
          <w:rFonts w:eastAsia="MS Mincho"/>
          <w:sz w:val="20"/>
          <w:szCs w:val="20"/>
          <w:lang w:bidi="en-US"/>
        </w:rPr>
        <w:t xml:space="preserve"> párr. </w:t>
      </w:r>
      <w:r w:rsidR="006F1295">
        <w:rPr>
          <w:rFonts w:eastAsia="MS Mincho"/>
          <w:sz w:val="20"/>
          <w:szCs w:val="20"/>
          <w:lang w:bidi="en-US"/>
        </w:rPr>
        <w:t>262</w:t>
      </w:r>
      <w:r w:rsidRPr="0001748B">
        <w:rPr>
          <w:rFonts w:eastAsia="MS Mincho"/>
          <w:sz w:val="20"/>
          <w:szCs w:val="20"/>
          <w:lang w:bidi="en-US"/>
        </w:rPr>
        <w:t>).</w:t>
      </w:r>
    </w:p>
    <w:p w:rsidR="002F55DE" w:rsidRPr="0001748B" w:rsidRDefault="002F55DE" w:rsidP="001B626E">
      <w:pPr>
        <w:spacing w:line="240" w:lineRule="auto"/>
        <w:ind w:left="142"/>
        <w:rPr>
          <w:sz w:val="20"/>
          <w:szCs w:val="20"/>
        </w:rPr>
      </w:pPr>
    </w:p>
    <w:p w:rsidR="001B626E" w:rsidRPr="00B14590" w:rsidRDefault="001B626E" w:rsidP="00B14590">
      <w:pPr>
        <w:pStyle w:val="Heading2"/>
        <w:tabs>
          <w:tab w:val="left" w:pos="1843"/>
        </w:tabs>
        <w:spacing w:before="0" w:line="240" w:lineRule="auto"/>
        <w:ind w:left="1134"/>
        <w:rPr>
          <w:rFonts w:ascii="Verdana" w:hAnsi="Verdana"/>
          <w:b w:val="0"/>
          <w:i/>
          <w:color w:val="auto"/>
          <w:sz w:val="20"/>
          <w:szCs w:val="20"/>
        </w:rPr>
      </w:pPr>
      <w:bookmarkStart w:id="130" w:name="_Toc476390742"/>
      <w:bookmarkStart w:id="131" w:name="_Toc495658702"/>
      <w:r w:rsidRPr="00B14590">
        <w:rPr>
          <w:rFonts w:ascii="Verdana" w:hAnsi="Verdana"/>
          <w:b w:val="0"/>
          <w:i/>
          <w:color w:val="auto"/>
          <w:sz w:val="20"/>
          <w:szCs w:val="20"/>
        </w:rPr>
        <w:t>D.1</w:t>
      </w:r>
      <w:r w:rsidR="00067EAA" w:rsidRPr="00B14590">
        <w:rPr>
          <w:rFonts w:ascii="Verdana" w:hAnsi="Verdana"/>
          <w:b w:val="0"/>
          <w:i/>
          <w:color w:val="auto"/>
          <w:sz w:val="20"/>
          <w:szCs w:val="20"/>
        </w:rPr>
        <w:tab/>
      </w:r>
      <w:r w:rsidRPr="00B14590">
        <w:rPr>
          <w:rFonts w:ascii="Verdana" w:hAnsi="Verdana"/>
          <w:b w:val="0"/>
          <w:i/>
          <w:color w:val="auto"/>
          <w:sz w:val="20"/>
          <w:szCs w:val="20"/>
        </w:rPr>
        <w:t>Daño material</w:t>
      </w:r>
      <w:bookmarkEnd w:id="130"/>
      <w:bookmarkEnd w:id="131"/>
    </w:p>
    <w:p w:rsidR="001B626E" w:rsidRDefault="001B626E" w:rsidP="001B626E">
      <w:pPr>
        <w:tabs>
          <w:tab w:val="left" w:pos="567"/>
        </w:tabs>
        <w:autoSpaceDE w:val="0"/>
        <w:autoSpaceDN w:val="0"/>
        <w:spacing w:line="240" w:lineRule="auto"/>
        <w:contextualSpacing/>
        <w:outlineLvl w:val="2"/>
        <w:rPr>
          <w:rFonts w:eastAsia="Calibri"/>
          <w:b/>
          <w:i/>
          <w:spacing w:val="-2"/>
          <w:sz w:val="20"/>
          <w:szCs w:val="20"/>
          <w:lang w:eastAsia="x-none"/>
        </w:rPr>
      </w:pPr>
    </w:p>
    <w:p w:rsidR="00B80B74" w:rsidRPr="0001748B" w:rsidRDefault="00B80B74" w:rsidP="00B80B74">
      <w:pPr>
        <w:numPr>
          <w:ilvl w:val="0"/>
          <w:numId w:val="1"/>
        </w:numPr>
        <w:tabs>
          <w:tab w:val="left" w:pos="567"/>
          <w:tab w:val="num" w:pos="5057"/>
        </w:tabs>
        <w:spacing w:line="240" w:lineRule="auto"/>
        <w:ind w:left="0" w:firstLine="0"/>
        <w:rPr>
          <w:rFonts w:eastAsia="Calibri"/>
          <w:b/>
          <w:i/>
          <w:spacing w:val="-2"/>
          <w:sz w:val="20"/>
          <w:szCs w:val="20"/>
          <w:lang w:eastAsia="x-none"/>
        </w:rPr>
      </w:pPr>
      <w:r w:rsidRPr="0001748B">
        <w:rPr>
          <w:rFonts w:eastAsia="Verdana" w:cs="Verdana"/>
          <w:sz w:val="20"/>
          <w:szCs w:val="20"/>
        </w:rPr>
        <w:t xml:space="preserve">La </w:t>
      </w:r>
      <w:r w:rsidRPr="0001748B">
        <w:rPr>
          <w:rFonts w:eastAsia="Verdana" w:cs="Verdana"/>
          <w:b/>
          <w:i/>
          <w:sz w:val="20"/>
          <w:szCs w:val="20"/>
        </w:rPr>
        <w:t>Comisión</w:t>
      </w:r>
      <w:r w:rsidRPr="0001748B">
        <w:rPr>
          <w:rFonts w:eastAsia="Verdana" w:cs="Verdana"/>
          <w:sz w:val="20"/>
          <w:szCs w:val="20"/>
        </w:rPr>
        <w:t xml:space="preserve"> solicitó </w:t>
      </w:r>
      <w:r>
        <w:rPr>
          <w:rFonts w:eastAsia="Verdana" w:cs="Verdana"/>
          <w:sz w:val="20"/>
          <w:szCs w:val="20"/>
        </w:rPr>
        <w:t>a</w:t>
      </w:r>
      <w:r w:rsidRPr="0001748B">
        <w:rPr>
          <w:rFonts w:eastAsia="Verdana" w:cs="Verdana"/>
          <w:sz w:val="20"/>
          <w:szCs w:val="20"/>
        </w:rPr>
        <w:t xml:space="preserve"> la Corte</w:t>
      </w:r>
      <w:r w:rsidR="003C3961">
        <w:rPr>
          <w:rFonts w:eastAsia="Verdana" w:cs="Verdana"/>
          <w:sz w:val="20"/>
          <w:szCs w:val="20"/>
        </w:rPr>
        <w:t>, en términos generales</w:t>
      </w:r>
      <w:r w:rsidR="00272236">
        <w:rPr>
          <w:rFonts w:eastAsia="Verdana" w:cs="Verdana"/>
          <w:sz w:val="20"/>
          <w:szCs w:val="20"/>
        </w:rPr>
        <w:t>,</w:t>
      </w:r>
      <w:r>
        <w:rPr>
          <w:rFonts w:eastAsia="Verdana" w:cs="Verdana"/>
          <w:sz w:val="20"/>
          <w:szCs w:val="20"/>
        </w:rPr>
        <w:t xml:space="preserve"> que</w:t>
      </w:r>
      <w:r w:rsidRPr="0001748B">
        <w:rPr>
          <w:rFonts w:eastAsia="Verdana" w:cs="Verdana"/>
          <w:sz w:val="20"/>
          <w:szCs w:val="20"/>
        </w:rPr>
        <w:t xml:space="preserve"> ordenara al Estado reparar adecuadamente las violaciones de derechos humanos declaradas en el informe de fondo, tanto en el aspecto material como moral.</w:t>
      </w:r>
    </w:p>
    <w:p w:rsidR="00B80B74" w:rsidRDefault="00B80B74" w:rsidP="001B626E">
      <w:pPr>
        <w:tabs>
          <w:tab w:val="left" w:pos="567"/>
        </w:tabs>
        <w:autoSpaceDE w:val="0"/>
        <w:autoSpaceDN w:val="0"/>
        <w:spacing w:line="240" w:lineRule="auto"/>
        <w:contextualSpacing/>
        <w:outlineLvl w:val="2"/>
        <w:rPr>
          <w:rFonts w:eastAsia="Calibri"/>
          <w:b/>
          <w:i/>
          <w:spacing w:val="-2"/>
          <w:sz w:val="20"/>
          <w:szCs w:val="20"/>
          <w:lang w:eastAsia="x-none"/>
        </w:rPr>
      </w:pPr>
    </w:p>
    <w:p w:rsidR="00D44A7B" w:rsidRPr="0001748B" w:rsidRDefault="00D44A7B" w:rsidP="00D44A7B">
      <w:pPr>
        <w:numPr>
          <w:ilvl w:val="0"/>
          <w:numId w:val="1"/>
        </w:numPr>
        <w:tabs>
          <w:tab w:val="left" w:pos="567"/>
          <w:tab w:val="num" w:pos="5057"/>
        </w:tabs>
        <w:spacing w:line="240" w:lineRule="auto"/>
        <w:ind w:left="0" w:firstLine="0"/>
        <w:rPr>
          <w:rFonts w:eastAsia="MS Mincho"/>
          <w:bCs/>
          <w:sz w:val="20"/>
          <w:szCs w:val="20"/>
          <w:lang w:bidi="en-US"/>
        </w:rPr>
      </w:pPr>
      <w:r w:rsidRPr="0001748B">
        <w:rPr>
          <w:rFonts w:eastAsia="MS Mincho"/>
          <w:bCs/>
          <w:sz w:val="20"/>
          <w:szCs w:val="20"/>
          <w:lang w:bidi="en-US"/>
        </w:rPr>
        <w:t xml:space="preserve">La Corte ha desarrollado en su jurisprudencia el concepto de daño material y los supuestos en que corresponde indemnizarlo. </w:t>
      </w:r>
      <w:r w:rsidR="00644D21">
        <w:rPr>
          <w:rFonts w:eastAsia="MS Mincho"/>
          <w:bCs/>
          <w:sz w:val="20"/>
          <w:szCs w:val="20"/>
          <w:lang w:bidi="en-US"/>
        </w:rPr>
        <w:t>En efecto,</w:t>
      </w:r>
      <w:r w:rsidRPr="0001748B">
        <w:rPr>
          <w:rFonts w:eastAsia="MS Mincho"/>
          <w:bCs/>
          <w:sz w:val="20"/>
          <w:szCs w:val="20"/>
          <w:lang w:bidi="en-US"/>
        </w:rPr>
        <w:t xml:space="preserve"> ha establecido que el daño material supone “la pérdida o </w:t>
      </w:r>
      <w:r w:rsidRPr="0001748B">
        <w:rPr>
          <w:rFonts w:eastAsia="Calibri"/>
          <w:spacing w:val="-2"/>
          <w:sz w:val="20"/>
          <w:szCs w:val="20"/>
          <w:lang w:eastAsia="x-none"/>
        </w:rPr>
        <w:t>detrimento</w:t>
      </w:r>
      <w:r w:rsidRPr="0001748B">
        <w:rPr>
          <w:rFonts w:eastAsia="MS Mincho"/>
          <w:bCs/>
          <w:sz w:val="20"/>
          <w:szCs w:val="20"/>
          <w:lang w:bidi="en-US"/>
        </w:rPr>
        <w:t xml:space="preserve"> de los ingresos de las víctimas, los gastos efectuados con motivo de los hechos y las consecuencias de carácter pecuniario que tengan un nexo causal con los hechos del caso”</w:t>
      </w:r>
      <w:r w:rsidRPr="0001748B">
        <w:rPr>
          <w:rFonts w:eastAsia="MS Mincho"/>
          <w:bCs/>
          <w:sz w:val="20"/>
          <w:szCs w:val="20"/>
          <w:vertAlign w:val="superscript"/>
          <w:lang w:bidi="en-US"/>
        </w:rPr>
        <w:footnoteReference w:id="243"/>
      </w:r>
      <w:r w:rsidR="005E16AB">
        <w:rPr>
          <w:rFonts w:eastAsia="MS Mincho"/>
          <w:bCs/>
          <w:sz w:val="20"/>
          <w:szCs w:val="20"/>
          <w:lang w:bidi="en-US"/>
        </w:rPr>
        <w:t>.</w:t>
      </w:r>
    </w:p>
    <w:p w:rsidR="00D44A7B" w:rsidRPr="0001748B" w:rsidRDefault="00D44A7B" w:rsidP="001B626E">
      <w:pPr>
        <w:tabs>
          <w:tab w:val="left" w:pos="567"/>
        </w:tabs>
        <w:autoSpaceDE w:val="0"/>
        <w:autoSpaceDN w:val="0"/>
        <w:spacing w:line="240" w:lineRule="auto"/>
        <w:contextualSpacing/>
        <w:outlineLvl w:val="2"/>
        <w:rPr>
          <w:rFonts w:eastAsia="Calibri"/>
          <w:b/>
          <w:i/>
          <w:spacing w:val="-2"/>
          <w:sz w:val="20"/>
          <w:szCs w:val="20"/>
          <w:lang w:eastAsia="x-none"/>
        </w:rPr>
      </w:pPr>
    </w:p>
    <w:p w:rsidR="001B626E" w:rsidRPr="008031E5" w:rsidRDefault="001B626E" w:rsidP="008031E5">
      <w:pPr>
        <w:spacing w:line="240" w:lineRule="auto"/>
        <w:ind w:left="1985"/>
        <w:rPr>
          <w:i/>
          <w:iCs/>
          <w:sz w:val="20"/>
          <w:szCs w:val="20"/>
        </w:rPr>
      </w:pPr>
      <w:r w:rsidRPr="008031E5">
        <w:rPr>
          <w:i/>
          <w:iCs/>
          <w:sz w:val="20"/>
          <w:szCs w:val="20"/>
        </w:rPr>
        <w:t xml:space="preserve">a) </w:t>
      </w:r>
      <w:r w:rsidRPr="008031E5">
        <w:rPr>
          <w:i/>
          <w:iCs/>
          <w:sz w:val="20"/>
          <w:szCs w:val="20"/>
        </w:rPr>
        <w:tab/>
        <w:t>Pérdida de ingresos</w:t>
      </w:r>
    </w:p>
    <w:p w:rsidR="001B626E" w:rsidRPr="0001748B" w:rsidRDefault="001B626E" w:rsidP="001B626E">
      <w:pPr>
        <w:tabs>
          <w:tab w:val="left" w:pos="0"/>
          <w:tab w:val="num" w:pos="12305"/>
        </w:tabs>
        <w:spacing w:line="240" w:lineRule="auto"/>
        <w:ind w:right="-90"/>
        <w:rPr>
          <w:rFonts w:eastAsia="Calibri"/>
          <w:b/>
          <w:i/>
          <w:spacing w:val="-2"/>
          <w:sz w:val="20"/>
          <w:szCs w:val="20"/>
          <w:lang w:eastAsia="x-none"/>
        </w:rPr>
      </w:pPr>
    </w:p>
    <w:p w:rsidR="001B626E" w:rsidRPr="0001748B" w:rsidRDefault="001B626E" w:rsidP="00033EF0">
      <w:pPr>
        <w:numPr>
          <w:ilvl w:val="0"/>
          <w:numId w:val="1"/>
        </w:numPr>
        <w:tabs>
          <w:tab w:val="left" w:pos="567"/>
          <w:tab w:val="num" w:pos="5057"/>
        </w:tabs>
        <w:spacing w:line="240" w:lineRule="auto"/>
        <w:ind w:left="0" w:firstLine="0"/>
        <w:rPr>
          <w:rFonts w:eastAsia="Calibri"/>
          <w:b/>
          <w:i/>
          <w:spacing w:val="-2"/>
          <w:sz w:val="20"/>
          <w:szCs w:val="20"/>
          <w:lang w:eastAsia="x-none"/>
        </w:rPr>
      </w:pPr>
      <w:r w:rsidRPr="0001748B">
        <w:rPr>
          <w:rFonts w:eastAsia="Verdana" w:cs="Verdana"/>
          <w:sz w:val="20"/>
          <w:szCs w:val="20"/>
        </w:rPr>
        <w:t xml:space="preserve">Las </w:t>
      </w:r>
      <w:r w:rsidRPr="0001748B">
        <w:rPr>
          <w:rFonts w:eastAsia="Verdana" w:cs="Verdana"/>
          <w:b/>
          <w:i/>
          <w:sz w:val="20"/>
          <w:szCs w:val="20"/>
        </w:rPr>
        <w:t>representantes</w:t>
      </w:r>
      <w:r w:rsidRPr="0001748B">
        <w:rPr>
          <w:rFonts w:eastAsia="Verdana" w:cs="Verdana"/>
          <w:sz w:val="20"/>
          <w:szCs w:val="20"/>
        </w:rPr>
        <w:t xml:space="preserve"> solicitaron </w:t>
      </w:r>
      <w:r w:rsidR="0041343B">
        <w:rPr>
          <w:rFonts w:eastAsia="Verdana" w:cs="Verdana"/>
          <w:sz w:val="20"/>
          <w:szCs w:val="20"/>
        </w:rPr>
        <w:t>a</w:t>
      </w:r>
      <w:r w:rsidR="0041343B" w:rsidRPr="0001748B">
        <w:rPr>
          <w:rFonts w:eastAsia="Verdana" w:cs="Verdana"/>
          <w:sz w:val="20"/>
          <w:szCs w:val="20"/>
        </w:rPr>
        <w:t xml:space="preserve"> </w:t>
      </w:r>
      <w:r w:rsidRPr="0001748B">
        <w:rPr>
          <w:rFonts w:eastAsia="Verdana" w:cs="Verdana"/>
          <w:sz w:val="20"/>
          <w:szCs w:val="20"/>
        </w:rPr>
        <w:t xml:space="preserve">la Corte </w:t>
      </w:r>
      <w:r w:rsidR="0041343B">
        <w:rPr>
          <w:rFonts w:eastAsia="Verdana" w:cs="Verdana"/>
          <w:sz w:val="20"/>
          <w:szCs w:val="20"/>
        </w:rPr>
        <w:t xml:space="preserve">que </w:t>
      </w:r>
      <w:r w:rsidRPr="0001748B">
        <w:rPr>
          <w:rFonts w:eastAsia="Verdana" w:cs="Verdana"/>
          <w:sz w:val="20"/>
          <w:szCs w:val="20"/>
        </w:rPr>
        <w:t>ordenara al Estado el pago de US$</w:t>
      </w:r>
      <w:r w:rsidR="00DC48E3" w:rsidRPr="0001748B">
        <w:rPr>
          <w:rFonts w:eastAsia="Verdana" w:cs="Verdana"/>
          <w:sz w:val="20"/>
          <w:szCs w:val="20"/>
        </w:rPr>
        <w:t xml:space="preserve"> </w:t>
      </w:r>
      <w:r w:rsidRPr="0001748B">
        <w:rPr>
          <w:rFonts w:eastAsia="Verdana" w:cs="Verdana"/>
          <w:sz w:val="20"/>
          <w:szCs w:val="20"/>
        </w:rPr>
        <w:t>85</w:t>
      </w:r>
      <w:r w:rsidR="00DC48E3" w:rsidRPr="0001748B">
        <w:rPr>
          <w:rFonts w:eastAsia="Verdana" w:cs="Verdana"/>
          <w:sz w:val="20"/>
          <w:szCs w:val="20"/>
        </w:rPr>
        <w:t>.</w:t>
      </w:r>
      <w:r w:rsidRPr="0001748B">
        <w:rPr>
          <w:rFonts w:eastAsia="Verdana" w:cs="Verdana"/>
          <w:sz w:val="20"/>
          <w:szCs w:val="20"/>
        </w:rPr>
        <w:t>165</w:t>
      </w:r>
      <w:r w:rsidR="00DC48E3" w:rsidRPr="0001748B">
        <w:rPr>
          <w:rFonts w:eastAsia="Verdana" w:cs="Verdana"/>
          <w:sz w:val="20"/>
          <w:szCs w:val="20"/>
        </w:rPr>
        <w:t>,</w:t>
      </w:r>
      <w:r w:rsidRPr="0001748B">
        <w:rPr>
          <w:rFonts w:eastAsia="Verdana" w:cs="Verdana"/>
          <w:sz w:val="20"/>
          <w:szCs w:val="20"/>
        </w:rPr>
        <w:t xml:space="preserve">53 (ochenta y cinco mil ciento sesenta y cinco dólares </w:t>
      </w:r>
      <w:r w:rsidR="00DD7899">
        <w:rPr>
          <w:rFonts w:eastAsia="Verdana" w:cs="Verdana"/>
          <w:sz w:val="20"/>
          <w:szCs w:val="20"/>
        </w:rPr>
        <w:t>de los Estados Unidos de América</w:t>
      </w:r>
      <w:r w:rsidRPr="0001748B">
        <w:rPr>
          <w:rFonts w:eastAsia="Verdana" w:cs="Verdana"/>
          <w:sz w:val="20"/>
          <w:szCs w:val="20"/>
        </w:rPr>
        <w:t xml:space="preserve"> con 53/100) por “concepto de daño material por lucro cesante, a favor de cada uno de los padres de la víctima fallecida, es decir, los señores Edgar Ortiz y Zaida Hernández”. Las representantes señalaron que Johan Alexis Ortiz Hernández era un estudiante de último nivel de la Escuela de </w:t>
      </w:r>
      <w:r w:rsidR="000C7DFF">
        <w:rPr>
          <w:rFonts w:eastAsia="Verdana" w:cs="Verdana"/>
          <w:sz w:val="20"/>
          <w:szCs w:val="20"/>
        </w:rPr>
        <w:t xml:space="preserve">Formación de </w:t>
      </w:r>
      <w:r w:rsidRPr="0001748B">
        <w:rPr>
          <w:rFonts w:eastAsia="Verdana" w:cs="Verdana"/>
          <w:sz w:val="20"/>
          <w:szCs w:val="20"/>
        </w:rPr>
        <w:t>Guardias Nacionales al momento de su fallecimiento y que el cálculo del lucro cesante sería a partir de junio de 1998, fecha en la cual debía haber comenzado a percibir el sueldo base de Guardia Nacional, momento en el que dicho sueldo ascendía a la cantidad de Bs. 13</w:t>
      </w:r>
      <w:r w:rsidR="00DC48E3" w:rsidRPr="0001748B">
        <w:rPr>
          <w:rFonts w:eastAsia="Verdana" w:cs="Verdana"/>
          <w:sz w:val="20"/>
          <w:szCs w:val="20"/>
        </w:rPr>
        <w:t>.</w:t>
      </w:r>
      <w:r w:rsidRPr="0001748B">
        <w:rPr>
          <w:rFonts w:eastAsia="Verdana" w:cs="Verdana"/>
          <w:sz w:val="20"/>
          <w:szCs w:val="20"/>
        </w:rPr>
        <w:t xml:space="preserve">000. </w:t>
      </w:r>
      <w:r w:rsidR="00033EF0" w:rsidRPr="00033EF0">
        <w:rPr>
          <w:rFonts w:eastAsia="Verdana" w:cs="Verdana"/>
          <w:sz w:val="20"/>
          <w:szCs w:val="20"/>
        </w:rPr>
        <w:t>Las representantes indicaron que “el Estado venezolano, a través de su institución de la Defensa Pública Bolivariana, no colaboró con la obtención de una certificación en donde el Ministerio del Poder Popular para la Defensa, a través del Ministerio de la Defensa, indicara los salarios base de cada uno de los rangos jerárquicos reconocidos a la Guardia Nacional Bolivariana, desde el año en el que murió Johan Alexis hasta el 2015, como tampoco se pudo obtener la tasa oficial de dólar [con] relación al bolívar dispuesta por el Banco Central de Venezuela en el indicado período e, incluso, en una búsqueda en internet en la que accedi[eron] a la página web de la Guardia Nacional Bolivariana, compro[baron] que no tenían el registro de nómina de manera pública, sino exclusivamente para aquéllos que [eran] miembros de la institución militar</w:t>
      </w:r>
      <w:r w:rsidR="00554EB0">
        <w:rPr>
          <w:rFonts w:eastAsia="Verdana" w:cs="Verdana"/>
          <w:sz w:val="20"/>
          <w:szCs w:val="20"/>
        </w:rPr>
        <w:t>”. Por ello</w:t>
      </w:r>
      <w:r w:rsidR="00033EF0" w:rsidRPr="00033EF0">
        <w:rPr>
          <w:rFonts w:eastAsia="Verdana" w:cs="Verdana"/>
          <w:sz w:val="20"/>
          <w:szCs w:val="20"/>
        </w:rPr>
        <w:t xml:space="preserve">, para el </w:t>
      </w:r>
      <w:r w:rsidR="00033EF0" w:rsidRPr="00033EF0">
        <w:rPr>
          <w:rFonts w:eastAsia="Verdana" w:cs="Verdana"/>
          <w:sz w:val="20"/>
          <w:szCs w:val="20"/>
        </w:rPr>
        <w:lastRenderedPageBreak/>
        <w:t xml:space="preserve">cálculo se apoyaron en fuentes extraídas en documentos </w:t>
      </w:r>
      <w:r w:rsidR="00FB424E">
        <w:rPr>
          <w:rFonts w:eastAsia="Verdana" w:cs="Verdana"/>
          <w:sz w:val="20"/>
          <w:szCs w:val="20"/>
        </w:rPr>
        <w:t>en línea</w:t>
      </w:r>
      <w:r w:rsidR="00033EF0" w:rsidRPr="00033EF0">
        <w:rPr>
          <w:rFonts w:eastAsia="Verdana" w:cs="Verdana"/>
          <w:sz w:val="20"/>
          <w:szCs w:val="20"/>
        </w:rPr>
        <w:t xml:space="preserve">, así como informaciones suministradas por Edgar </w:t>
      </w:r>
      <w:r w:rsidR="00764FDC">
        <w:rPr>
          <w:rFonts w:eastAsia="Verdana" w:cs="Verdana"/>
          <w:sz w:val="20"/>
          <w:szCs w:val="20"/>
        </w:rPr>
        <w:t xml:space="preserve">Humberto </w:t>
      </w:r>
      <w:r w:rsidR="00033EF0" w:rsidRPr="00033EF0">
        <w:rPr>
          <w:rFonts w:eastAsia="Verdana" w:cs="Verdana"/>
          <w:sz w:val="20"/>
          <w:szCs w:val="20"/>
        </w:rPr>
        <w:t xml:space="preserve">Ortiz </w:t>
      </w:r>
      <w:r w:rsidR="005B3F18">
        <w:rPr>
          <w:rFonts w:eastAsia="Verdana" w:cs="Verdana"/>
          <w:sz w:val="20"/>
          <w:szCs w:val="20"/>
        </w:rPr>
        <w:t xml:space="preserve">Ruiz </w:t>
      </w:r>
      <w:r w:rsidR="00033EF0" w:rsidRPr="00033EF0">
        <w:rPr>
          <w:rFonts w:eastAsia="Verdana" w:cs="Verdana"/>
          <w:sz w:val="20"/>
          <w:szCs w:val="20"/>
        </w:rPr>
        <w:t xml:space="preserve">y Zaida </w:t>
      </w:r>
      <w:r w:rsidR="005B3F18">
        <w:rPr>
          <w:rFonts w:eastAsia="Verdana" w:cs="Verdana"/>
          <w:sz w:val="20"/>
          <w:szCs w:val="20"/>
        </w:rPr>
        <w:t xml:space="preserve">Hernández de </w:t>
      </w:r>
      <w:r w:rsidR="00033EF0" w:rsidRPr="00033EF0">
        <w:rPr>
          <w:rFonts w:eastAsia="Verdana" w:cs="Verdana"/>
          <w:sz w:val="20"/>
          <w:szCs w:val="20"/>
        </w:rPr>
        <w:t>Arellano.</w:t>
      </w:r>
    </w:p>
    <w:p w:rsidR="001B626E" w:rsidRPr="0001748B" w:rsidRDefault="001B626E" w:rsidP="001B626E">
      <w:pPr>
        <w:tabs>
          <w:tab w:val="left" w:pos="0"/>
          <w:tab w:val="num" w:pos="12305"/>
        </w:tabs>
        <w:spacing w:line="240" w:lineRule="auto"/>
        <w:ind w:right="-90"/>
        <w:rPr>
          <w:rFonts w:eastAsia="Calibri"/>
          <w:b/>
          <w:i/>
          <w:spacing w:val="-2"/>
          <w:sz w:val="20"/>
          <w:szCs w:val="20"/>
          <w:lang w:eastAsia="x-none"/>
        </w:rPr>
      </w:pPr>
    </w:p>
    <w:p w:rsidR="001B626E" w:rsidRPr="0001748B" w:rsidRDefault="001B626E" w:rsidP="001B626E">
      <w:pPr>
        <w:numPr>
          <w:ilvl w:val="0"/>
          <w:numId w:val="1"/>
        </w:numPr>
        <w:tabs>
          <w:tab w:val="left" w:pos="567"/>
          <w:tab w:val="num" w:pos="5057"/>
        </w:tabs>
        <w:spacing w:line="240" w:lineRule="auto"/>
        <w:ind w:left="0" w:firstLine="0"/>
        <w:rPr>
          <w:rFonts w:eastAsia="Calibri"/>
          <w:spacing w:val="-2"/>
          <w:sz w:val="20"/>
          <w:szCs w:val="20"/>
          <w:lang w:eastAsia="x-none"/>
        </w:rPr>
      </w:pPr>
      <w:r w:rsidRPr="0001748B">
        <w:rPr>
          <w:rFonts w:eastAsia="Calibri"/>
          <w:spacing w:val="-2"/>
          <w:sz w:val="20"/>
          <w:szCs w:val="20"/>
          <w:lang w:eastAsia="x-none"/>
        </w:rPr>
        <w:t xml:space="preserve">Las representantes calcularon </w:t>
      </w:r>
      <w:r w:rsidR="0061041F">
        <w:rPr>
          <w:rFonts w:eastAsia="Calibri"/>
          <w:spacing w:val="-2"/>
          <w:sz w:val="20"/>
          <w:szCs w:val="20"/>
          <w:lang w:eastAsia="x-none"/>
        </w:rPr>
        <w:t>la pérdida de ingresos</w:t>
      </w:r>
      <w:r w:rsidRPr="0001748B">
        <w:rPr>
          <w:rFonts w:eastAsia="Calibri"/>
          <w:spacing w:val="-2"/>
          <w:sz w:val="20"/>
          <w:szCs w:val="20"/>
          <w:lang w:eastAsia="x-none"/>
        </w:rPr>
        <w:t xml:space="preserve"> tomando en consideración no solo el salario base </w:t>
      </w:r>
      <w:r w:rsidRPr="0001748B">
        <w:rPr>
          <w:sz w:val="20"/>
          <w:szCs w:val="20"/>
        </w:rPr>
        <w:t>que hubiera devengado Johan Alexis, sino también los beneficios adicionales, consistentes en prima por</w:t>
      </w:r>
      <w:r w:rsidRPr="0001748B">
        <w:rPr>
          <w:rFonts w:eastAsia="Calibri"/>
          <w:spacing w:val="-2"/>
          <w:sz w:val="20"/>
          <w:szCs w:val="20"/>
          <w:lang w:eastAsia="x-none"/>
        </w:rPr>
        <w:t xml:space="preserve"> </w:t>
      </w:r>
      <w:r w:rsidRPr="0001748B">
        <w:rPr>
          <w:sz w:val="20"/>
          <w:szCs w:val="20"/>
        </w:rPr>
        <w:t>antigüedad de 50 bolívares por cada año de servicio, más la prima de transporte</w:t>
      </w:r>
      <w:r w:rsidRPr="0001748B">
        <w:rPr>
          <w:rFonts w:eastAsia="Calibri"/>
          <w:spacing w:val="-2"/>
          <w:sz w:val="20"/>
          <w:szCs w:val="20"/>
          <w:lang w:eastAsia="x-none"/>
        </w:rPr>
        <w:t xml:space="preserve"> </w:t>
      </w:r>
      <w:r w:rsidRPr="0001748B">
        <w:rPr>
          <w:sz w:val="20"/>
          <w:szCs w:val="20"/>
        </w:rPr>
        <w:t>consistente en 315 bolívares mensuales</w:t>
      </w:r>
      <w:r w:rsidR="0061041F">
        <w:rPr>
          <w:sz w:val="20"/>
          <w:szCs w:val="20"/>
        </w:rPr>
        <w:t>. Asimismo</w:t>
      </w:r>
      <w:r w:rsidRPr="0001748B">
        <w:rPr>
          <w:sz w:val="20"/>
          <w:szCs w:val="20"/>
        </w:rPr>
        <w:t xml:space="preserve">, </w:t>
      </w:r>
      <w:r w:rsidR="0061041F">
        <w:rPr>
          <w:sz w:val="20"/>
          <w:szCs w:val="20"/>
        </w:rPr>
        <w:t>dado</w:t>
      </w:r>
      <w:r w:rsidRPr="0001748B">
        <w:rPr>
          <w:sz w:val="20"/>
          <w:szCs w:val="20"/>
        </w:rPr>
        <w:t xml:space="preserve"> que </w:t>
      </w:r>
      <w:r w:rsidR="0061041F">
        <w:rPr>
          <w:sz w:val="20"/>
          <w:szCs w:val="20"/>
        </w:rPr>
        <w:t>Johan Alexis</w:t>
      </w:r>
      <w:r w:rsidRPr="0001748B">
        <w:rPr>
          <w:sz w:val="20"/>
          <w:szCs w:val="20"/>
        </w:rPr>
        <w:t xml:space="preserve"> estaba inscrito</w:t>
      </w:r>
      <w:r w:rsidRPr="0001748B">
        <w:rPr>
          <w:rFonts w:eastAsia="Calibri"/>
          <w:spacing w:val="-2"/>
          <w:sz w:val="20"/>
          <w:szCs w:val="20"/>
          <w:lang w:eastAsia="x-none"/>
        </w:rPr>
        <w:t xml:space="preserve"> </w:t>
      </w:r>
      <w:r w:rsidRPr="0001748B">
        <w:rPr>
          <w:sz w:val="20"/>
          <w:szCs w:val="20"/>
        </w:rPr>
        <w:t xml:space="preserve">en la Universidad para estudiar la Licenciatura en Derecho, </w:t>
      </w:r>
      <w:r w:rsidR="0061041F">
        <w:rPr>
          <w:sz w:val="20"/>
          <w:szCs w:val="20"/>
        </w:rPr>
        <w:t>incluyeron</w:t>
      </w:r>
      <w:r w:rsidRPr="0001748B">
        <w:rPr>
          <w:sz w:val="20"/>
          <w:szCs w:val="20"/>
        </w:rPr>
        <w:t xml:space="preserve"> la prima por profesionalización que es un 12% del sueldo</w:t>
      </w:r>
      <w:r w:rsidRPr="0001748B">
        <w:rPr>
          <w:rFonts w:eastAsia="Calibri"/>
          <w:spacing w:val="-2"/>
          <w:sz w:val="20"/>
          <w:szCs w:val="20"/>
          <w:lang w:eastAsia="x-none"/>
        </w:rPr>
        <w:t xml:space="preserve"> </w:t>
      </w:r>
      <w:r w:rsidRPr="0001748B">
        <w:rPr>
          <w:sz w:val="20"/>
          <w:szCs w:val="20"/>
        </w:rPr>
        <w:t xml:space="preserve">básico, </w:t>
      </w:r>
      <w:r w:rsidR="0061041F">
        <w:rPr>
          <w:sz w:val="20"/>
          <w:szCs w:val="20"/>
        </w:rPr>
        <w:t>así como</w:t>
      </w:r>
      <w:r w:rsidRPr="0001748B">
        <w:rPr>
          <w:sz w:val="20"/>
          <w:szCs w:val="20"/>
        </w:rPr>
        <w:t xml:space="preserve"> el bono de fin de año, es decir, la regalía pascual, y un décimo cuarto</w:t>
      </w:r>
      <w:r w:rsidRPr="0001748B">
        <w:rPr>
          <w:rFonts w:eastAsia="Calibri"/>
          <w:spacing w:val="-2"/>
          <w:sz w:val="20"/>
          <w:szCs w:val="20"/>
          <w:lang w:eastAsia="x-none"/>
        </w:rPr>
        <w:t xml:space="preserve"> </w:t>
      </w:r>
      <w:r w:rsidRPr="0001748B">
        <w:rPr>
          <w:sz w:val="20"/>
          <w:szCs w:val="20"/>
        </w:rPr>
        <w:t>salario consistente en un bono vacacional, todo lo cual se comprueba con los documentos</w:t>
      </w:r>
      <w:r w:rsidRPr="0001748B">
        <w:rPr>
          <w:rFonts w:eastAsia="Calibri"/>
          <w:spacing w:val="-2"/>
          <w:sz w:val="20"/>
          <w:szCs w:val="20"/>
          <w:lang w:eastAsia="x-none"/>
        </w:rPr>
        <w:t xml:space="preserve"> </w:t>
      </w:r>
      <w:r w:rsidRPr="0001748B">
        <w:rPr>
          <w:sz w:val="20"/>
          <w:szCs w:val="20"/>
        </w:rPr>
        <w:t>ofertados por dos Guardias Nacionales, uno de ellos era de la</w:t>
      </w:r>
      <w:r w:rsidRPr="0001748B">
        <w:rPr>
          <w:rFonts w:eastAsia="Calibri"/>
          <w:spacing w:val="-2"/>
          <w:sz w:val="20"/>
          <w:szCs w:val="20"/>
          <w:lang w:eastAsia="x-none"/>
        </w:rPr>
        <w:t xml:space="preserve"> </w:t>
      </w:r>
      <w:r w:rsidRPr="0001748B">
        <w:rPr>
          <w:sz w:val="20"/>
          <w:szCs w:val="20"/>
        </w:rPr>
        <w:t>promoción de alumnos de Johan Alexis Ortiz</w:t>
      </w:r>
      <w:r w:rsidRPr="0001748B">
        <w:rPr>
          <w:rFonts w:eastAsia="Calibri"/>
          <w:spacing w:val="-2"/>
          <w:sz w:val="20"/>
          <w:szCs w:val="20"/>
          <w:lang w:eastAsia="x-none"/>
        </w:rPr>
        <w:t xml:space="preserve"> </w:t>
      </w:r>
      <w:r w:rsidRPr="0001748B">
        <w:rPr>
          <w:sz w:val="20"/>
          <w:szCs w:val="20"/>
        </w:rPr>
        <w:t xml:space="preserve">Hernández, así como en la página web consultada “Notilogía”, la cual publicó en junio del año 2015 un reporte respecto a cuánto ganaba un militar en Venezuela </w:t>
      </w:r>
      <w:r w:rsidR="00A61E14">
        <w:rPr>
          <w:sz w:val="20"/>
          <w:szCs w:val="20"/>
        </w:rPr>
        <w:t>en ese</w:t>
      </w:r>
      <w:r w:rsidRPr="0001748B">
        <w:rPr>
          <w:sz w:val="20"/>
          <w:szCs w:val="20"/>
        </w:rPr>
        <w:t xml:space="preserve"> año.</w:t>
      </w:r>
    </w:p>
    <w:p w:rsidR="001B626E" w:rsidRPr="0001748B" w:rsidRDefault="001B626E" w:rsidP="001B626E">
      <w:pPr>
        <w:tabs>
          <w:tab w:val="left" w:pos="0"/>
          <w:tab w:val="num" w:pos="11028"/>
        </w:tabs>
        <w:spacing w:line="240" w:lineRule="auto"/>
        <w:ind w:right="-90"/>
        <w:rPr>
          <w:rFonts w:eastAsia="Calibri"/>
          <w:spacing w:val="-2"/>
          <w:sz w:val="20"/>
          <w:szCs w:val="20"/>
          <w:lang w:eastAsia="x-none"/>
        </w:rPr>
      </w:pPr>
    </w:p>
    <w:p w:rsidR="001B626E" w:rsidRPr="0001748B" w:rsidRDefault="001B626E" w:rsidP="001B626E">
      <w:pPr>
        <w:numPr>
          <w:ilvl w:val="0"/>
          <w:numId w:val="1"/>
        </w:numPr>
        <w:tabs>
          <w:tab w:val="left" w:pos="567"/>
          <w:tab w:val="num" w:pos="5057"/>
        </w:tabs>
        <w:spacing w:line="240" w:lineRule="auto"/>
        <w:ind w:left="0" w:firstLine="0"/>
        <w:rPr>
          <w:rFonts w:eastAsia="Calibri"/>
          <w:spacing w:val="-2"/>
          <w:sz w:val="20"/>
          <w:szCs w:val="20"/>
          <w:lang w:eastAsia="x-none"/>
        </w:rPr>
      </w:pPr>
      <w:r w:rsidRPr="0001748B">
        <w:rPr>
          <w:rFonts w:eastAsia="Calibri"/>
          <w:spacing w:val="-2"/>
          <w:sz w:val="20"/>
          <w:szCs w:val="20"/>
          <w:lang w:eastAsia="x-none"/>
        </w:rPr>
        <w:t>Con base en lo anterior, las representantes calcularon que</w:t>
      </w:r>
      <w:r w:rsidR="005B7D29">
        <w:rPr>
          <w:rFonts w:eastAsia="Calibri"/>
          <w:spacing w:val="-2"/>
          <w:sz w:val="20"/>
          <w:szCs w:val="20"/>
          <w:lang w:eastAsia="x-none"/>
        </w:rPr>
        <w:t>, en</w:t>
      </w:r>
      <w:r w:rsidRPr="0001748B">
        <w:rPr>
          <w:rFonts w:eastAsia="Calibri"/>
          <w:spacing w:val="-2"/>
          <w:sz w:val="20"/>
          <w:szCs w:val="20"/>
          <w:lang w:eastAsia="x-none"/>
        </w:rPr>
        <w:t xml:space="preserve"> los primeros cinco años subsiguientes al fa</w:t>
      </w:r>
      <w:r w:rsidRPr="00112712">
        <w:rPr>
          <w:rFonts w:eastAsia="Calibri"/>
          <w:spacing w:val="-2"/>
          <w:sz w:val="20"/>
          <w:szCs w:val="20"/>
          <w:lang w:eastAsia="x-none"/>
        </w:rPr>
        <w:t>llecimiento de Johan Alexis Ortiz Hernández, el monto por pérdida de ingresos ascendería a la suma de Bs.</w:t>
      </w:r>
      <w:r w:rsidR="00DC48E3" w:rsidRPr="00112712">
        <w:rPr>
          <w:rFonts w:eastAsia="Calibri"/>
          <w:spacing w:val="-2"/>
          <w:sz w:val="20"/>
          <w:szCs w:val="20"/>
          <w:lang w:eastAsia="x-none"/>
        </w:rPr>
        <w:t xml:space="preserve"> </w:t>
      </w:r>
      <w:r w:rsidRPr="00112712">
        <w:rPr>
          <w:rFonts w:eastAsia="Calibri"/>
          <w:spacing w:val="-2"/>
          <w:sz w:val="20"/>
          <w:szCs w:val="20"/>
          <w:lang w:eastAsia="x-none"/>
        </w:rPr>
        <w:t>930</w:t>
      </w:r>
      <w:r w:rsidR="00DC48E3" w:rsidRPr="00112712">
        <w:rPr>
          <w:rFonts w:eastAsia="Calibri"/>
          <w:spacing w:val="-2"/>
          <w:sz w:val="20"/>
          <w:szCs w:val="20"/>
          <w:lang w:eastAsia="x-none"/>
        </w:rPr>
        <w:t>.</w:t>
      </w:r>
      <w:r w:rsidRPr="00112712">
        <w:rPr>
          <w:rFonts w:eastAsia="Calibri"/>
          <w:spacing w:val="-2"/>
          <w:sz w:val="20"/>
          <w:szCs w:val="20"/>
          <w:lang w:eastAsia="x-none"/>
        </w:rPr>
        <w:t>710</w:t>
      </w:r>
      <w:r w:rsidR="00DC48E3" w:rsidRPr="00112712">
        <w:rPr>
          <w:rFonts w:eastAsia="Calibri"/>
          <w:spacing w:val="-2"/>
          <w:sz w:val="20"/>
          <w:szCs w:val="20"/>
          <w:lang w:eastAsia="x-none"/>
        </w:rPr>
        <w:t>,</w:t>
      </w:r>
      <w:r w:rsidRPr="00112712">
        <w:rPr>
          <w:rFonts w:eastAsia="Calibri"/>
          <w:spacing w:val="-2"/>
          <w:sz w:val="20"/>
          <w:szCs w:val="20"/>
          <w:lang w:eastAsia="x-none"/>
        </w:rPr>
        <w:t>00, los cuales convertidos en dólares equivaldrían a US$</w:t>
      </w:r>
      <w:r w:rsidR="00DC48E3" w:rsidRPr="00112712">
        <w:rPr>
          <w:rFonts w:eastAsia="Calibri"/>
          <w:spacing w:val="-2"/>
          <w:sz w:val="20"/>
          <w:szCs w:val="20"/>
          <w:lang w:eastAsia="x-none"/>
        </w:rPr>
        <w:t xml:space="preserve"> </w:t>
      </w:r>
      <w:r w:rsidRPr="00112712">
        <w:rPr>
          <w:rFonts w:eastAsia="Calibri"/>
          <w:spacing w:val="-2"/>
          <w:sz w:val="20"/>
          <w:szCs w:val="20"/>
          <w:lang w:eastAsia="x-none"/>
        </w:rPr>
        <w:t>4</w:t>
      </w:r>
      <w:r w:rsidR="00DC48E3" w:rsidRPr="00112712">
        <w:rPr>
          <w:rFonts w:eastAsia="Calibri"/>
          <w:spacing w:val="-2"/>
          <w:sz w:val="20"/>
          <w:szCs w:val="20"/>
          <w:lang w:eastAsia="x-none"/>
        </w:rPr>
        <w:t>.</w:t>
      </w:r>
      <w:r w:rsidRPr="00112712">
        <w:rPr>
          <w:rFonts w:eastAsia="Calibri"/>
          <w:spacing w:val="-2"/>
          <w:sz w:val="20"/>
          <w:szCs w:val="20"/>
          <w:lang w:eastAsia="x-none"/>
        </w:rPr>
        <w:t>653</w:t>
      </w:r>
      <w:r w:rsidR="00DC48E3" w:rsidRPr="00112712">
        <w:rPr>
          <w:rFonts w:eastAsia="Calibri"/>
          <w:spacing w:val="-2"/>
          <w:sz w:val="20"/>
          <w:szCs w:val="20"/>
          <w:lang w:eastAsia="x-none"/>
        </w:rPr>
        <w:t>,</w:t>
      </w:r>
      <w:r w:rsidRPr="00112712">
        <w:rPr>
          <w:rFonts w:eastAsia="Calibri"/>
          <w:spacing w:val="-2"/>
          <w:sz w:val="20"/>
          <w:szCs w:val="20"/>
          <w:lang w:eastAsia="x-none"/>
        </w:rPr>
        <w:t>55. De los años 2003 a 2010, el monto ascendería a la suma de Bs.</w:t>
      </w:r>
      <w:r w:rsidR="00DC48E3" w:rsidRPr="00112712">
        <w:rPr>
          <w:rFonts w:eastAsia="Calibri"/>
          <w:spacing w:val="-2"/>
          <w:sz w:val="20"/>
          <w:szCs w:val="20"/>
          <w:lang w:eastAsia="x-none"/>
        </w:rPr>
        <w:t xml:space="preserve"> </w:t>
      </w:r>
      <w:r w:rsidRPr="00112712">
        <w:rPr>
          <w:rFonts w:eastAsia="Calibri"/>
          <w:spacing w:val="-2"/>
          <w:sz w:val="20"/>
          <w:szCs w:val="20"/>
          <w:lang w:eastAsia="x-none"/>
        </w:rPr>
        <w:t>2</w:t>
      </w:r>
      <w:r w:rsidR="00DC48E3" w:rsidRPr="00112712">
        <w:rPr>
          <w:rFonts w:eastAsia="Calibri"/>
          <w:spacing w:val="-2"/>
          <w:sz w:val="20"/>
          <w:szCs w:val="20"/>
          <w:lang w:eastAsia="x-none"/>
        </w:rPr>
        <w:t>.</w:t>
      </w:r>
      <w:r w:rsidRPr="00112712">
        <w:rPr>
          <w:rFonts w:eastAsia="Calibri"/>
          <w:spacing w:val="-2"/>
          <w:sz w:val="20"/>
          <w:szCs w:val="20"/>
          <w:lang w:eastAsia="x-none"/>
        </w:rPr>
        <w:t>497</w:t>
      </w:r>
      <w:r w:rsidR="00DC48E3" w:rsidRPr="00112712">
        <w:rPr>
          <w:rFonts w:eastAsia="Calibri"/>
          <w:spacing w:val="-2"/>
          <w:sz w:val="20"/>
          <w:szCs w:val="20"/>
          <w:lang w:eastAsia="x-none"/>
        </w:rPr>
        <w:t>.</w:t>
      </w:r>
      <w:r w:rsidRPr="00112712">
        <w:rPr>
          <w:rFonts w:eastAsia="Calibri"/>
          <w:spacing w:val="-2"/>
          <w:sz w:val="20"/>
          <w:szCs w:val="20"/>
          <w:lang w:eastAsia="x-none"/>
        </w:rPr>
        <w:t>280</w:t>
      </w:r>
      <w:r w:rsidR="00DC48E3" w:rsidRPr="00112712">
        <w:rPr>
          <w:rFonts w:eastAsia="Calibri"/>
          <w:spacing w:val="-2"/>
          <w:sz w:val="20"/>
          <w:szCs w:val="20"/>
          <w:lang w:eastAsia="x-none"/>
        </w:rPr>
        <w:t>,</w:t>
      </w:r>
      <w:r w:rsidRPr="00112712">
        <w:rPr>
          <w:rFonts w:eastAsia="Calibri"/>
          <w:spacing w:val="-2"/>
          <w:sz w:val="20"/>
          <w:szCs w:val="20"/>
          <w:lang w:eastAsia="x-none"/>
        </w:rPr>
        <w:t>00</w:t>
      </w:r>
      <w:r w:rsidR="00B447CF">
        <w:rPr>
          <w:rFonts w:eastAsia="Calibri"/>
          <w:spacing w:val="-2"/>
          <w:sz w:val="20"/>
          <w:szCs w:val="20"/>
          <w:lang w:eastAsia="x-none"/>
        </w:rPr>
        <w:t xml:space="preserve">, </w:t>
      </w:r>
      <w:r w:rsidR="00B447CF" w:rsidRPr="00112712">
        <w:rPr>
          <w:rFonts w:eastAsia="Calibri"/>
          <w:spacing w:val="-2"/>
          <w:sz w:val="20"/>
          <w:szCs w:val="20"/>
          <w:lang w:eastAsia="x-none"/>
        </w:rPr>
        <w:t>los cuales convertidos en dólares equivaldrían a</w:t>
      </w:r>
      <w:r w:rsidR="00B447CF">
        <w:rPr>
          <w:rFonts w:eastAsia="Calibri"/>
          <w:spacing w:val="-2"/>
          <w:sz w:val="20"/>
          <w:szCs w:val="20"/>
          <w:lang w:eastAsia="x-none"/>
        </w:rPr>
        <w:t xml:space="preserve"> </w:t>
      </w:r>
      <w:r w:rsidRPr="00112712">
        <w:rPr>
          <w:rFonts w:eastAsia="Calibri"/>
          <w:spacing w:val="-2"/>
          <w:sz w:val="20"/>
          <w:szCs w:val="20"/>
          <w:lang w:eastAsia="x-none"/>
        </w:rPr>
        <w:t>US$</w:t>
      </w:r>
      <w:r w:rsidR="00DC48E3" w:rsidRPr="00112712">
        <w:rPr>
          <w:rFonts w:eastAsia="Calibri"/>
          <w:spacing w:val="-2"/>
          <w:sz w:val="20"/>
          <w:szCs w:val="20"/>
          <w:lang w:eastAsia="x-none"/>
        </w:rPr>
        <w:t xml:space="preserve"> </w:t>
      </w:r>
      <w:r w:rsidRPr="00112712">
        <w:rPr>
          <w:rFonts w:eastAsia="Calibri"/>
          <w:spacing w:val="-2"/>
          <w:sz w:val="20"/>
          <w:szCs w:val="20"/>
          <w:lang w:eastAsia="x-none"/>
        </w:rPr>
        <w:t>12</w:t>
      </w:r>
      <w:r w:rsidR="00DC48E3" w:rsidRPr="00112712">
        <w:rPr>
          <w:rFonts w:eastAsia="Calibri"/>
          <w:spacing w:val="-2"/>
          <w:sz w:val="20"/>
          <w:szCs w:val="20"/>
          <w:lang w:eastAsia="x-none"/>
        </w:rPr>
        <w:t>.</w:t>
      </w:r>
      <w:r w:rsidRPr="00112712">
        <w:rPr>
          <w:rFonts w:eastAsia="Calibri"/>
          <w:spacing w:val="-2"/>
          <w:sz w:val="20"/>
          <w:szCs w:val="20"/>
          <w:lang w:eastAsia="x-none"/>
        </w:rPr>
        <w:t>48</w:t>
      </w:r>
      <w:r w:rsidR="00BF5BFA" w:rsidRPr="00112712">
        <w:rPr>
          <w:rFonts w:eastAsia="Calibri"/>
          <w:spacing w:val="-2"/>
          <w:sz w:val="20"/>
          <w:szCs w:val="20"/>
          <w:lang w:eastAsia="x-none"/>
        </w:rPr>
        <w:t>6</w:t>
      </w:r>
      <w:r w:rsidR="00DC48E3" w:rsidRPr="00112712">
        <w:rPr>
          <w:rFonts w:eastAsia="Calibri"/>
          <w:spacing w:val="-2"/>
          <w:sz w:val="20"/>
          <w:szCs w:val="20"/>
          <w:lang w:eastAsia="x-none"/>
        </w:rPr>
        <w:t>,</w:t>
      </w:r>
      <w:r w:rsidR="00BF5BFA" w:rsidRPr="00112712">
        <w:rPr>
          <w:rFonts w:eastAsia="Calibri"/>
          <w:spacing w:val="-2"/>
          <w:sz w:val="20"/>
          <w:szCs w:val="20"/>
          <w:lang w:eastAsia="x-none"/>
        </w:rPr>
        <w:t>4</w:t>
      </w:r>
      <w:r w:rsidRPr="00112712">
        <w:rPr>
          <w:rFonts w:eastAsia="Calibri"/>
          <w:spacing w:val="-2"/>
          <w:sz w:val="20"/>
          <w:szCs w:val="20"/>
          <w:lang w:eastAsia="x-none"/>
        </w:rPr>
        <w:t>, y de 2011 a 2015 el monto ascendería a la suma de Bs.</w:t>
      </w:r>
      <w:r w:rsidR="00DC48E3" w:rsidRPr="00112712">
        <w:rPr>
          <w:rFonts w:eastAsia="Calibri"/>
          <w:spacing w:val="-2"/>
          <w:sz w:val="20"/>
          <w:szCs w:val="20"/>
          <w:lang w:eastAsia="x-none"/>
        </w:rPr>
        <w:t xml:space="preserve"> </w:t>
      </w:r>
      <w:r w:rsidRPr="00112712">
        <w:rPr>
          <w:rFonts w:eastAsia="Calibri"/>
          <w:spacing w:val="-2"/>
          <w:sz w:val="20"/>
          <w:szCs w:val="20"/>
          <w:lang w:eastAsia="x-none"/>
        </w:rPr>
        <w:t>2</w:t>
      </w:r>
      <w:r w:rsidR="00DC48E3" w:rsidRPr="00112712">
        <w:rPr>
          <w:rFonts w:eastAsia="Calibri"/>
          <w:spacing w:val="-2"/>
          <w:sz w:val="20"/>
          <w:szCs w:val="20"/>
          <w:lang w:eastAsia="x-none"/>
        </w:rPr>
        <w:t>.</w:t>
      </w:r>
      <w:r w:rsidRPr="00112712">
        <w:rPr>
          <w:rFonts w:eastAsia="Calibri"/>
          <w:spacing w:val="-2"/>
          <w:sz w:val="20"/>
          <w:szCs w:val="20"/>
          <w:lang w:eastAsia="x-none"/>
        </w:rPr>
        <w:t>823</w:t>
      </w:r>
      <w:r w:rsidR="00DC48E3" w:rsidRPr="00112712">
        <w:rPr>
          <w:rFonts w:eastAsia="Calibri"/>
          <w:spacing w:val="-2"/>
          <w:sz w:val="20"/>
          <w:szCs w:val="20"/>
          <w:lang w:eastAsia="x-none"/>
        </w:rPr>
        <w:t>.</w:t>
      </w:r>
      <w:r w:rsidRPr="00112712">
        <w:rPr>
          <w:rFonts w:eastAsia="Calibri"/>
          <w:spacing w:val="-2"/>
          <w:sz w:val="20"/>
          <w:szCs w:val="20"/>
          <w:lang w:eastAsia="x-none"/>
        </w:rPr>
        <w:t>950</w:t>
      </w:r>
      <w:r w:rsidR="00DC48E3" w:rsidRPr="00112712">
        <w:rPr>
          <w:rFonts w:eastAsia="Calibri"/>
          <w:spacing w:val="-2"/>
          <w:sz w:val="20"/>
          <w:szCs w:val="20"/>
          <w:lang w:eastAsia="x-none"/>
        </w:rPr>
        <w:t>,</w:t>
      </w:r>
      <w:r w:rsidRPr="00112712">
        <w:rPr>
          <w:rFonts w:eastAsia="Calibri"/>
          <w:spacing w:val="-2"/>
          <w:sz w:val="20"/>
          <w:szCs w:val="20"/>
          <w:lang w:eastAsia="x-none"/>
        </w:rPr>
        <w:t>00</w:t>
      </w:r>
      <w:r w:rsidR="00B447CF">
        <w:rPr>
          <w:rFonts w:eastAsia="Calibri"/>
          <w:spacing w:val="-2"/>
          <w:sz w:val="20"/>
          <w:szCs w:val="20"/>
          <w:lang w:eastAsia="x-none"/>
        </w:rPr>
        <w:t>,</w:t>
      </w:r>
      <w:r w:rsidRPr="00112712">
        <w:rPr>
          <w:rFonts w:eastAsia="Calibri"/>
          <w:spacing w:val="-2"/>
          <w:sz w:val="20"/>
          <w:szCs w:val="20"/>
          <w:lang w:eastAsia="x-none"/>
        </w:rPr>
        <w:t xml:space="preserve"> </w:t>
      </w:r>
      <w:r w:rsidR="00B447CF" w:rsidRPr="00112712">
        <w:rPr>
          <w:rFonts w:eastAsia="Calibri"/>
          <w:spacing w:val="-2"/>
          <w:sz w:val="20"/>
          <w:szCs w:val="20"/>
          <w:lang w:eastAsia="x-none"/>
        </w:rPr>
        <w:t xml:space="preserve">los cuales convertidos en dólares equivaldrían a </w:t>
      </w:r>
      <w:r w:rsidRPr="00112712">
        <w:rPr>
          <w:rFonts w:eastAsia="Calibri"/>
          <w:spacing w:val="-2"/>
          <w:sz w:val="20"/>
          <w:szCs w:val="20"/>
          <w:lang w:eastAsia="x-none"/>
        </w:rPr>
        <w:t>US$</w:t>
      </w:r>
      <w:r w:rsidR="00DC48E3" w:rsidRPr="00112712">
        <w:rPr>
          <w:rFonts w:eastAsia="Calibri"/>
          <w:spacing w:val="-2"/>
          <w:sz w:val="20"/>
          <w:szCs w:val="20"/>
          <w:lang w:eastAsia="x-none"/>
        </w:rPr>
        <w:t xml:space="preserve"> </w:t>
      </w:r>
      <w:r w:rsidRPr="00112712">
        <w:rPr>
          <w:rFonts w:eastAsia="Calibri"/>
          <w:spacing w:val="-2"/>
          <w:sz w:val="20"/>
          <w:szCs w:val="20"/>
          <w:lang w:eastAsia="x-none"/>
        </w:rPr>
        <w:t>14</w:t>
      </w:r>
      <w:r w:rsidR="00DC48E3" w:rsidRPr="00112712">
        <w:rPr>
          <w:rFonts w:eastAsia="Calibri"/>
          <w:spacing w:val="-2"/>
          <w:sz w:val="20"/>
          <w:szCs w:val="20"/>
          <w:lang w:eastAsia="x-none"/>
        </w:rPr>
        <w:t>.</w:t>
      </w:r>
      <w:r w:rsidRPr="00112712">
        <w:rPr>
          <w:rFonts w:eastAsia="Calibri"/>
          <w:spacing w:val="-2"/>
          <w:sz w:val="20"/>
          <w:szCs w:val="20"/>
          <w:lang w:eastAsia="x-none"/>
        </w:rPr>
        <w:t>119</w:t>
      </w:r>
      <w:r w:rsidR="00DC48E3" w:rsidRPr="00112712">
        <w:rPr>
          <w:rFonts w:eastAsia="Calibri"/>
          <w:spacing w:val="-2"/>
          <w:sz w:val="20"/>
          <w:szCs w:val="20"/>
          <w:lang w:eastAsia="x-none"/>
        </w:rPr>
        <w:t>,</w:t>
      </w:r>
      <w:r w:rsidRPr="00112712">
        <w:rPr>
          <w:rFonts w:eastAsia="Calibri"/>
          <w:spacing w:val="-2"/>
          <w:sz w:val="20"/>
          <w:szCs w:val="20"/>
          <w:lang w:eastAsia="x-none"/>
        </w:rPr>
        <w:t>75. Para los períodos comprendidos entre 2016 a 2026, 2027 a 2037 y 2039 a 2049, la suma por pérdida de ingresos asciende a Bs.</w:t>
      </w:r>
      <w:r w:rsidR="00DC48E3" w:rsidRPr="00112712">
        <w:rPr>
          <w:rFonts w:eastAsia="Calibri"/>
          <w:spacing w:val="-2"/>
          <w:sz w:val="20"/>
          <w:szCs w:val="20"/>
          <w:lang w:eastAsia="x-none"/>
        </w:rPr>
        <w:t xml:space="preserve"> </w:t>
      </w:r>
      <w:r w:rsidRPr="00112712">
        <w:rPr>
          <w:rFonts w:eastAsia="Calibri"/>
          <w:spacing w:val="-2"/>
          <w:sz w:val="20"/>
          <w:szCs w:val="20"/>
          <w:lang w:eastAsia="x-none"/>
        </w:rPr>
        <w:t>7</w:t>
      </w:r>
      <w:r w:rsidR="00DC48E3" w:rsidRPr="00112712">
        <w:rPr>
          <w:rFonts w:eastAsia="Calibri"/>
          <w:spacing w:val="-2"/>
          <w:sz w:val="20"/>
          <w:szCs w:val="20"/>
          <w:lang w:eastAsia="x-none"/>
        </w:rPr>
        <w:t>.</w:t>
      </w:r>
      <w:r w:rsidRPr="00112712">
        <w:rPr>
          <w:rFonts w:eastAsia="Calibri"/>
          <w:spacing w:val="-2"/>
          <w:sz w:val="20"/>
          <w:szCs w:val="20"/>
          <w:lang w:eastAsia="x-none"/>
        </w:rPr>
        <w:t>766</w:t>
      </w:r>
      <w:r w:rsidR="00DC48E3" w:rsidRPr="00112712">
        <w:rPr>
          <w:rFonts w:eastAsia="Calibri"/>
          <w:spacing w:val="-2"/>
          <w:sz w:val="20"/>
          <w:szCs w:val="20"/>
          <w:lang w:eastAsia="x-none"/>
        </w:rPr>
        <w:t>.</w:t>
      </w:r>
      <w:r w:rsidRPr="00112712">
        <w:rPr>
          <w:rFonts w:eastAsia="Calibri"/>
          <w:spacing w:val="-2"/>
          <w:sz w:val="20"/>
          <w:szCs w:val="20"/>
          <w:lang w:eastAsia="x-none"/>
        </w:rPr>
        <w:t>500</w:t>
      </w:r>
      <w:r w:rsidR="00DC48E3" w:rsidRPr="00112712">
        <w:rPr>
          <w:rFonts w:eastAsia="Calibri"/>
          <w:spacing w:val="-2"/>
          <w:sz w:val="20"/>
          <w:szCs w:val="20"/>
          <w:lang w:eastAsia="x-none"/>
        </w:rPr>
        <w:t>,</w:t>
      </w:r>
      <w:r w:rsidRPr="00112712">
        <w:rPr>
          <w:rFonts w:eastAsia="Calibri"/>
          <w:spacing w:val="-2"/>
          <w:sz w:val="20"/>
          <w:szCs w:val="20"/>
          <w:lang w:eastAsia="x-none"/>
        </w:rPr>
        <w:t>00; Bs.</w:t>
      </w:r>
      <w:r w:rsidR="00DC48E3" w:rsidRPr="00112712">
        <w:rPr>
          <w:rFonts w:eastAsia="Calibri"/>
          <w:spacing w:val="-2"/>
          <w:sz w:val="20"/>
          <w:szCs w:val="20"/>
          <w:lang w:eastAsia="x-none"/>
        </w:rPr>
        <w:t xml:space="preserve"> </w:t>
      </w:r>
      <w:r w:rsidRPr="00112712">
        <w:rPr>
          <w:rFonts w:eastAsia="Calibri"/>
          <w:spacing w:val="-2"/>
          <w:sz w:val="20"/>
          <w:szCs w:val="20"/>
          <w:lang w:eastAsia="x-none"/>
        </w:rPr>
        <w:t>9</w:t>
      </w:r>
      <w:r w:rsidR="00DC48E3" w:rsidRPr="00112712">
        <w:rPr>
          <w:rFonts w:eastAsia="Calibri"/>
          <w:spacing w:val="-2"/>
          <w:sz w:val="20"/>
          <w:szCs w:val="20"/>
          <w:lang w:eastAsia="x-none"/>
        </w:rPr>
        <w:t>.</w:t>
      </w:r>
      <w:r w:rsidRPr="00112712">
        <w:rPr>
          <w:rFonts w:eastAsia="Calibri"/>
          <w:spacing w:val="-2"/>
          <w:sz w:val="20"/>
          <w:szCs w:val="20"/>
          <w:lang w:eastAsia="x-none"/>
        </w:rPr>
        <w:t>887</w:t>
      </w:r>
      <w:r w:rsidR="00DC48E3" w:rsidRPr="00112712">
        <w:rPr>
          <w:rFonts w:eastAsia="Calibri"/>
          <w:spacing w:val="-2"/>
          <w:sz w:val="20"/>
          <w:szCs w:val="20"/>
          <w:lang w:eastAsia="x-none"/>
        </w:rPr>
        <w:t>.</w:t>
      </w:r>
      <w:r w:rsidRPr="00112712">
        <w:rPr>
          <w:rFonts w:eastAsia="Calibri"/>
          <w:spacing w:val="-2"/>
          <w:sz w:val="20"/>
          <w:szCs w:val="20"/>
          <w:lang w:eastAsia="x-none"/>
        </w:rPr>
        <w:t>90</w:t>
      </w:r>
      <w:r w:rsidR="00DC48E3" w:rsidRPr="00112712">
        <w:rPr>
          <w:rFonts w:eastAsia="Calibri"/>
          <w:spacing w:val="-2"/>
          <w:sz w:val="20"/>
          <w:szCs w:val="20"/>
          <w:lang w:eastAsia="x-none"/>
        </w:rPr>
        <w:t>0,</w:t>
      </w:r>
      <w:r w:rsidRPr="00112712">
        <w:rPr>
          <w:rFonts w:eastAsia="Calibri"/>
          <w:spacing w:val="-2"/>
          <w:sz w:val="20"/>
          <w:szCs w:val="20"/>
          <w:lang w:eastAsia="x-none"/>
        </w:rPr>
        <w:t>00 y Bs.14</w:t>
      </w:r>
      <w:r w:rsidR="00DC48E3" w:rsidRPr="00112712">
        <w:rPr>
          <w:rFonts w:eastAsia="Calibri"/>
          <w:spacing w:val="-2"/>
          <w:sz w:val="20"/>
          <w:szCs w:val="20"/>
          <w:lang w:eastAsia="x-none"/>
        </w:rPr>
        <w:t>.</w:t>
      </w:r>
      <w:r w:rsidRPr="00112712">
        <w:rPr>
          <w:rFonts w:eastAsia="Calibri"/>
          <w:spacing w:val="-2"/>
          <w:sz w:val="20"/>
          <w:szCs w:val="20"/>
          <w:lang w:eastAsia="x-none"/>
        </w:rPr>
        <w:t>407</w:t>
      </w:r>
      <w:r w:rsidR="00DC48E3" w:rsidRPr="00112712">
        <w:rPr>
          <w:rFonts w:eastAsia="Calibri"/>
          <w:spacing w:val="-2"/>
          <w:sz w:val="20"/>
          <w:szCs w:val="20"/>
          <w:lang w:eastAsia="x-none"/>
        </w:rPr>
        <w:t>.</w:t>
      </w:r>
      <w:r w:rsidRPr="00112712">
        <w:rPr>
          <w:rFonts w:eastAsia="Calibri"/>
          <w:spacing w:val="-2"/>
          <w:sz w:val="20"/>
          <w:szCs w:val="20"/>
          <w:lang w:eastAsia="x-none"/>
        </w:rPr>
        <w:t>800</w:t>
      </w:r>
      <w:r w:rsidR="00DC48E3" w:rsidRPr="00112712">
        <w:rPr>
          <w:rFonts w:eastAsia="Calibri"/>
          <w:spacing w:val="-2"/>
          <w:sz w:val="20"/>
          <w:szCs w:val="20"/>
          <w:lang w:eastAsia="x-none"/>
        </w:rPr>
        <w:t>,</w:t>
      </w:r>
      <w:r w:rsidRPr="00112712">
        <w:rPr>
          <w:rFonts w:eastAsia="Calibri"/>
          <w:spacing w:val="-2"/>
          <w:sz w:val="20"/>
          <w:szCs w:val="20"/>
          <w:lang w:eastAsia="x-none"/>
        </w:rPr>
        <w:t>00, respectivamente, equivalente a la sumas de US$</w:t>
      </w:r>
      <w:r w:rsidR="00DC48E3" w:rsidRPr="00112712">
        <w:rPr>
          <w:rFonts w:eastAsia="Calibri"/>
          <w:spacing w:val="-2"/>
          <w:sz w:val="20"/>
          <w:szCs w:val="20"/>
          <w:lang w:eastAsia="x-none"/>
        </w:rPr>
        <w:t xml:space="preserve"> </w:t>
      </w:r>
      <w:r w:rsidRPr="00112712">
        <w:rPr>
          <w:rFonts w:eastAsia="Calibri"/>
          <w:spacing w:val="-2"/>
          <w:sz w:val="20"/>
          <w:szCs w:val="20"/>
          <w:lang w:eastAsia="x-none"/>
        </w:rPr>
        <w:t>19</w:t>
      </w:r>
      <w:r w:rsidR="00DC48E3" w:rsidRPr="00112712">
        <w:rPr>
          <w:rFonts w:eastAsia="Calibri"/>
          <w:spacing w:val="-2"/>
          <w:sz w:val="20"/>
          <w:szCs w:val="20"/>
          <w:lang w:eastAsia="x-none"/>
        </w:rPr>
        <w:t>.</w:t>
      </w:r>
      <w:r w:rsidRPr="00112712">
        <w:rPr>
          <w:rFonts w:eastAsia="Calibri"/>
          <w:spacing w:val="-2"/>
          <w:sz w:val="20"/>
          <w:szCs w:val="20"/>
          <w:lang w:eastAsia="x-none"/>
        </w:rPr>
        <w:t>416</w:t>
      </w:r>
      <w:r w:rsidR="00DC48E3" w:rsidRPr="00112712">
        <w:rPr>
          <w:rFonts w:eastAsia="Calibri"/>
          <w:spacing w:val="-2"/>
          <w:sz w:val="20"/>
          <w:szCs w:val="20"/>
          <w:lang w:eastAsia="x-none"/>
        </w:rPr>
        <w:t>,</w:t>
      </w:r>
      <w:r w:rsidRPr="00112712">
        <w:rPr>
          <w:rFonts w:eastAsia="Calibri"/>
          <w:spacing w:val="-2"/>
          <w:sz w:val="20"/>
          <w:szCs w:val="20"/>
          <w:lang w:eastAsia="x-none"/>
        </w:rPr>
        <w:t>25; US$</w:t>
      </w:r>
      <w:r w:rsidR="00DC48E3" w:rsidRPr="00112712">
        <w:rPr>
          <w:rFonts w:eastAsia="Calibri"/>
          <w:spacing w:val="-2"/>
          <w:sz w:val="20"/>
          <w:szCs w:val="20"/>
          <w:lang w:eastAsia="x-none"/>
        </w:rPr>
        <w:t xml:space="preserve"> </w:t>
      </w:r>
      <w:r w:rsidRPr="00112712">
        <w:rPr>
          <w:rFonts w:eastAsia="Calibri"/>
          <w:spacing w:val="-2"/>
          <w:sz w:val="20"/>
          <w:szCs w:val="20"/>
          <w:lang w:eastAsia="x-none"/>
        </w:rPr>
        <w:t>16</w:t>
      </w:r>
      <w:r w:rsidR="00DC48E3" w:rsidRPr="00112712">
        <w:rPr>
          <w:rFonts w:eastAsia="Calibri"/>
          <w:spacing w:val="-2"/>
          <w:sz w:val="20"/>
          <w:szCs w:val="20"/>
          <w:lang w:eastAsia="x-none"/>
        </w:rPr>
        <w:t>.</w:t>
      </w:r>
      <w:r w:rsidRPr="00112712">
        <w:rPr>
          <w:rFonts w:eastAsia="Calibri"/>
          <w:spacing w:val="-2"/>
          <w:sz w:val="20"/>
          <w:szCs w:val="20"/>
          <w:lang w:eastAsia="x-none"/>
        </w:rPr>
        <w:t>479</w:t>
      </w:r>
      <w:r w:rsidR="00B447CF">
        <w:rPr>
          <w:rFonts w:eastAsia="Calibri"/>
          <w:spacing w:val="-2"/>
          <w:sz w:val="20"/>
          <w:szCs w:val="20"/>
          <w:lang w:eastAsia="x-none"/>
        </w:rPr>
        <w:t>,</w:t>
      </w:r>
      <w:r w:rsidRPr="00112712">
        <w:rPr>
          <w:rFonts w:eastAsia="Calibri"/>
          <w:spacing w:val="-2"/>
          <w:sz w:val="20"/>
          <w:szCs w:val="20"/>
          <w:lang w:eastAsia="x-none"/>
        </w:rPr>
        <w:t>833 y US$</w:t>
      </w:r>
      <w:r w:rsidR="00DC48E3" w:rsidRPr="00112712">
        <w:rPr>
          <w:rFonts w:eastAsia="Calibri"/>
          <w:spacing w:val="-2"/>
          <w:sz w:val="20"/>
          <w:szCs w:val="20"/>
          <w:lang w:eastAsia="x-none"/>
        </w:rPr>
        <w:t xml:space="preserve"> </w:t>
      </w:r>
      <w:r w:rsidRPr="00112712">
        <w:rPr>
          <w:rFonts w:eastAsia="Calibri"/>
          <w:spacing w:val="-2"/>
          <w:sz w:val="20"/>
          <w:szCs w:val="20"/>
          <w:lang w:eastAsia="x-none"/>
        </w:rPr>
        <w:t>18</w:t>
      </w:r>
      <w:r w:rsidR="00DC48E3" w:rsidRPr="00112712">
        <w:rPr>
          <w:rFonts w:eastAsia="Calibri"/>
          <w:spacing w:val="-2"/>
          <w:sz w:val="20"/>
          <w:szCs w:val="20"/>
          <w:lang w:eastAsia="x-none"/>
        </w:rPr>
        <w:t>.</w:t>
      </w:r>
      <w:r w:rsidRPr="00112712">
        <w:rPr>
          <w:rFonts w:eastAsia="Calibri"/>
          <w:spacing w:val="-2"/>
          <w:sz w:val="20"/>
          <w:szCs w:val="20"/>
          <w:lang w:eastAsia="x-none"/>
        </w:rPr>
        <w:t>009</w:t>
      </w:r>
      <w:r w:rsidR="00DC48E3" w:rsidRPr="00112712">
        <w:rPr>
          <w:rFonts w:eastAsia="Calibri"/>
          <w:spacing w:val="-2"/>
          <w:sz w:val="20"/>
          <w:szCs w:val="20"/>
          <w:lang w:eastAsia="x-none"/>
        </w:rPr>
        <w:t>,</w:t>
      </w:r>
      <w:r w:rsidRPr="00112712">
        <w:rPr>
          <w:rFonts w:eastAsia="Calibri"/>
          <w:spacing w:val="-2"/>
          <w:sz w:val="20"/>
          <w:szCs w:val="20"/>
          <w:lang w:eastAsia="x-none"/>
        </w:rPr>
        <w:t>75, respectivamente. Las representantes consideraron conveniente establecer un criterio uniforme y mantener el valor del dólar cambiario a 200, 400, 600 y 800 bolívares para los períodos de 1998 a 2015, 2016 a 2026, 2027 a 2037 y 2038 a 2</w:t>
      </w:r>
      <w:r w:rsidRPr="0001748B">
        <w:rPr>
          <w:rFonts w:eastAsia="Calibri"/>
          <w:spacing w:val="-2"/>
          <w:sz w:val="20"/>
          <w:szCs w:val="20"/>
          <w:lang w:eastAsia="x-none"/>
        </w:rPr>
        <w:t>049, respectivamente, con el fin de evitar cálculos complejos producto de las devaluaciones y los diferentes precios del dólar en Venezuela. Todo ello, equivaldría a un total de US$</w:t>
      </w:r>
      <w:r w:rsidR="00DC48E3" w:rsidRPr="0001748B">
        <w:rPr>
          <w:rFonts w:eastAsia="Calibri"/>
          <w:spacing w:val="-2"/>
          <w:sz w:val="20"/>
          <w:szCs w:val="20"/>
          <w:lang w:eastAsia="x-none"/>
        </w:rPr>
        <w:t xml:space="preserve"> </w:t>
      </w:r>
      <w:r w:rsidRPr="0001748B">
        <w:rPr>
          <w:rFonts w:eastAsia="Calibri"/>
          <w:spacing w:val="-2"/>
          <w:sz w:val="20"/>
          <w:szCs w:val="20"/>
          <w:lang w:eastAsia="x-none"/>
        </w:rPr>
        <w:t>85</w:t>
      </w:r>
      <w:r w:rsidR="00DC48E3" w:rsidRPr="0001748B">
        <w:rPr>
          <w:rFonts w:eastAsia="Calibri"/>
          <w:spacing w:val="-2"/>
          <w:sz w:val="20"/>
          <w:szCs w:val="20"/>
          <w:lang w:eastAsia="x-none"/>
        </w:rPr>
        <w:t>.</w:t>
      </w:r>
      <w:r w:rsidRPr="0001748B">
        <w:rPr>
          <w:rFonts w:eastAsia="Calibri"/>
          <w:spacing w:val="-2"/>
          <w:sz w:val="20"/>
          <w:szCs w:val="20"/>
          <w:lang w:eastAsia="x-none"/>
        </w:rPr>
        <w:t>165</w:t>
      </w:r>
      <w:r w:rsidR="00DC48E3" w:rsidRPr="0001748B">
        <w:rPr>
          <w:rFonts w:eastAsia="Calibri"/>
          <w:spacing w:val="-2"/>
          <w:sz w:val="20"/>
          <w:szCs w:val="20"/>
          <w:lang w:eastAsia="x-none"/>
        </w:rPr>
        <w:t>,</w:t>
      </w:r>
      <w:r w:rsidRPr="0001748B">
        <w:rPr>
          <w:rFonts w:eastAsia="Calibri"/>
          <w:spacing w:val="-2"/>
          <w:sz w:val="20"/>
          <w:szCs w:val="20"/>
          <w:lang w:eastAsia="x-none"/>
        </w:rPr>
        <w:t>53 por concepto de pérdida de ingresos de Johan Alexis Ortiz Hernández.</w:t>
      </w:r>
    </w:p>
    <w:p w:rsidR="001B626E" w:rsidRPr="0001748B" w:rsidRDefault="001B626E" w:rsidP="001B626E">
      <w:pPr>
        <w:tabs>
          <w:tab w:val="left" w:pos="567"/>
        </w:tabs>
        <w:spacing w:line="240" w:lineRule="auto"/>
        <w:rPr>
          <w:rFonts w:eastAsia="Calibri"/>
          <w:spacing w:val="-2"/>
          <w:sz w:val="20"/>
          <w:szCs w:val="20"/>
          <w:lang w:eastAsia="x-none"/>
        </w:rPr>
      </w:pPr>
    </w:p>
    <w:p w:rsidR="001B626E" w:rsidRPr="0001748B" w:rsidRDefault="001B626E" w:rsidP="001B626E">
      <w:pPr>
        <w:numPr>
          <w:ilvl w:val="0"/>
          <w:numId w:val="1"/>
        </w:numPr>
        <w:tabs>
          <w:tab w:val="left" w:pos="567"/>
          <w:tab w:val="num" w:pos="5057"/>
        </w:tabs>
        <w:spacing w:line="240" w:lineRule="auto"/>
        <w:ind w:left="0" w:firstLine="0"/>
        <w:rPr>
          <w:rFonts w:eastAsia="Calibri"/>
          <w:b/>
          <w:i/>
          <w:spacing w:val="-2"/>
          <w:sz w:val="20"/>
          <w:szCs w:val="20"/>
          <w:lang w:eastAsia="x-none"/>
        </w:rPr>
      </w:pPr>
      <w:r w:rsidRPr="0001748B">
        <w:rPr>
          <w:rFonts w:eastAsia="Verdana" w:cs="Verdana"/>
          <w:bCs/>
          <w:sz w:val="20"/>
          <w:szCs w:val="20"/>
        </w:rPr>
        <w:t>El</w:t>
      </w:r>
      <w:r w:rsidRPr="0001748B">
        <w:rPr>
          <w:rFonts w:eastAsia="Verdana" w:cs="Verdana"/>
          <w:b/>
          <w:bCs/>
          <w:sz w:val="20"/>
          <w:szCs w:val="20"/>
        </w:rPr>
        <w:t xml:space="preserve"> </w:t>
      </w:r>
      <w:r w:rsidRPr="0001748B">
        <w:rPr>
          <w:rFonts w:eastAsia="Verdana" w:cs="Verdana"/>
          <w:b/>
          <w:bCs/>
          <w:i/>
          <w:sz w:val="20"/>
          <w:szCs w:val="20"/>
        </w:rPr>
        <w:t xml:space="preserve">Estado </w:t>
      </w:r>
      <w:r w:rsidRPr="0001748B">
        <w:rPr>
          <w:rFonts w:eastAsia="Verdana" w:cs="Verdana"/>
          <w:bCs/>
          <w:sz w:val="20"/>
          <w:szCs w:val="20"/>
        </w:rPr>
        <w:t>señaló que</w:t>
      </w:r>
      <w:r w:rsidR="001E76F2">
        <w:rPr>
          <w:rFonts w:eastAsia="Verdana" w:cs="Verdana"/>
          <w:bCs/>
          <w:sz w:val="20"/>
          <w:szCs w:val="20"/>
        </w:rPr>
        <w:t>,</w:t>
      </w:r>
      <w:r w:rsidRPr="0001748B">
        <w:rPr>
          <w:rFonts w:eastAsia="Verdana" w:cs="Verdana"/>
          <w:bCs/>
          <w:sz w:val="20"/>
          <w:szCs w:val="20"/>
        </w:rPr>
        <w:t xml:space="preserve"> tanto la base de cálculo como el monto solicitado</w:t>
      </w:r>
      <w:r w:rsidR="001E76F2">
        <w:rPr>
          <w:rFonts w:eastAsia="Verdana" w:cs="Verdana"/>
          <w:bCs/>
          <w:sz w:val="20"/>
          <w:szCs w:val="20"/>
        </w:rPr>
        <w:t>,</w:t>
      </w:r>
      <w:r w:rsidRPr="0001748B">
        <w:rPr>
          <w:rFonts w:eastAsia="Verdana" w:cs="Verdana"/>
          <w:bCs/>
          <w:sz w:val="20"/>
          <w:szCs w:val="20"/>
        </w:rPr>
        <w:t xml:space="preserve"> se alejaban notablemente de la jurisprudencia de la Corte y que dicha base no tomaba en consideración los “gastos de subsistencia”, es decir, los gastos que habrían</w:t>
      </w:r>
      <w:r w:rsidR="00A15A94">
        <w:rPr>
          <w:rFonts w:eastAsia="Verdana" w:cs="Verdana"/>
          <w:bCs/>
          <w:sz w:val="20"/>
          <w:szCs w:val="20"/>
        </w:rPr>
        <w:t xml:space="preserve"> sido utilizados por la víctima</w:t>
      </w:r>
      <w:r w:rsidRPr="0001748B">
        <w:rPr>
          <w:rFonts w:eastAsia="Verdana" w:cs="Verdana"/>
          <w:bCs/>
          <w:sz w:val="20"/>
          <w:szCs w:val="20"/>
        </w:rPr>
        <w:t xml:space="preserve"> para su manutención, el cual fue estimado como el 25% del ingreso de la víctima por la Corte en el caso del </w:t>
      </w:r>
      <w:r w:rsidRPr="00845E88">
        <w:rPr>
          <w:rFonts w:eastAsia="Verdana" w:cs="Verdana"/>
          <w:bCs/>
          <w:i/>
          <w:sz w:val="20"/>
          <w:szCs w:val="20"/>
        </w:rPr>
        <w:t>Caracazo</w:t>
      </w:r>
      <w:r w:rsidRPr="0001748B">
        <w:rPr>
          <w:rFonts w:eastAsia="Verdana" w:cs="Verdana"/>
          <w:bCs/>
          <w:sz w:val="20"/>
          <w:szCs w:val="20"/>
        </w:rPr>
        <w:t xml:space="preserve">. Indicó que era clara la dificultad para la fijación de la indemnización del lucro cesante, ya que no existían elementos objetivos que permitieran establecerlo, toda vez que estaba altamente sometido a factores aleatorios completamente incomprobables. Asimismo, resaltó que debido a que la Escuela de </w:t>
      </w:r>
      <w:r w:rsidR="00ED1CA8">
        <w:rPr>
          <w:rFonts w:eastAsia="Verdana" w:cs="Verdana"/>
          <w:bCs/>
          <w:sz w:val="20"/>
          <w:szCs w:val="20"/>
        </w:rPr>
        <w:t xml:space="preserve">Formación de </w:t>
      </w:r>
      <w:r w:rsidRPr="0001748B">
        <w:rPr>
          <w:rFonts w:eastAsia="Verdana" w:cs="Verdana"/>
          <w:bCs/>
          <w:sz w:val="20"/>
          <w:szCs w:val="20"/>
        </w:rPr>
        <w:t>Guardias Nacionales era una institución encargada de formar tropa profesional, Johan Alexis Ortiz</w:t>
      </w:r>
      <w:r w:rsidR="000F217F">
        <w:rPr>
          <w:rFonts w:eastAsia="Verdana" w:cs="Verdana"/>
          <w:bCs/>
          <w:sz w:val="20"/>
          <w:szCs w:val="20"/>
        </w:rPr>
        <w:t xml:space="preserve"> </w:t>
      </w:r>
      <w:r w:rsidR="000F217F">
        <w:rPr>
          <w:rFonts w:eastAsia="Batang"/>
          <w:sz w:val="20"/>
          <w:lang w:eastAsia="en-US"/>
        </w:rPr>
        <w:t>Hernández</w:t>
      </w:r>
      <w:r w:rsidRPr="0001748B">
        <w:rPr>
          <w:rFonts w:eastAsia="Verdana" w:cs="Verdana"/>
          <w:bCs/>
          <w:sz w:val="20"/>
          <w:szCs w:val="20"/>
        </w:rPr>
        <w:t xml:space="preserve"> solo podía aspirar </w:t>
      </w:r>
      <w:r w:rsidR="005B7D29">
        <w:rPr>
          <w:rFonts w:eastAsia="Verdana" w:cs="Verdana"/>
          <w:bCs/>
          <w:sz w:val="20"/>
          <w:szCs w:val="20"/>
        </w:rPr>
        <w:t xml:space="preserve">a </w:t>
      </w:r>
      <w:r w:rsidRPr="0001748B">
        <w:rPr>
          <w:rFonts w:eastAsia="Verdana" w:cs="Verdana"/>
          <w:bCs/>
          <w:sz w:val="20"/>
          <w:szCs w:val="20"/>
        </w:rPr>
        <w:t>llegar al r</w:t>
      </w:r>
      <w:r w:rsidR="005B7D29">
        <w:rPr>
          <w:rFonts w:eastAsia="Verdana" w:cs="Verdana"/>
          <w:bCs/>
          <w:sz w:val="20"/>
          <w:szCs w:val="20"/>
        </w:rPr>
        <w:t>a</w:t>
      </w:r>
      <w:r w:rsidRPr="0001748B">
        <w:rPr>
          <w:rFonts w:eastAsia="Verdana" w:cs="Verdana"/>
          <w:bCs/>
          <w:sz w:val="20"/>
          <w:szCs w:val="20"/>
        </w:rPr>
        <w:t>ngo de Sargento, como máxima jerarquía aplicable a la tropa profesional, y no al rango de Teniente Coronel, como alegaban las representantes, pues dicha jerarquía sólo podía ser alcanzada por los oficiales graduados de la Escuela de Formación de Oficiales de la Guardia Nacional (EFOFAC).</w:t>
      </w:r>
    </w:p>
    <w:p w:rsidR="00D44A7B" w:rsidRPr="0001748B" w:rsidRDefault="00D44A7B" w:rsidP="00D44A7B">
      <w:pPr>
        <w:pStyle w:val="Prrafodelista2"/>
        <w:tabs>
          <w:tab w:val="left" w:pos="0"/>
          <w:tab w:val="num" w:pos="12305"/>
        </w:tabs>
        <w:ind w:left="0" w:right="-90"/>
        <w:rPr>
          <w:bCs/>
          <w:lang w:val="es-CR"/>
        </w:rPr>
      </w:pPr>
    </w:p>
    <w:p w:rsidR="00D44A7B" w:rsidRPr="0001748B" w:rsidRDefault="00F112B2" w:rsidP="00125C44">
      <w:pPr>
        <w:numPr>
          <w:ilvl w:val="0"/>
          <w:numId w:val="1"/>
        </w:numPr>
        <w:tabs>
          <w:tab w:val="left" w:pos="567"/>
          <w:tab w:val="num" w:pos="5057"/>
        </w:tabs>
        <w:spacing w:line="240" w:lineRule="auto"/>
        <w:ind w:left="0" w:firstLine="0"/>
        <w:rPr>
          <w:bCs/>
          <w:sz w:val="20"/>
          <w:szCs w:val="20"/>
        </w:rPr>
      </w:pPr>
      <w:r w:rsidRPr="0001748B">
        <w:rPr>
          <w:bCs/>
          <w:sz w:val="20"/>
          <w:szCs w:val="20"/>
        </w:rPr>
        <w:t xml:space="preserve">El monto solicitado por concepto de </w:t>
      </w:r>
      <w:r w:rsidRPr="0001748B">
        <w:rPr>
          <w:bCs/>
          <w:sz w:val="20"/>
          <w:szCs w:val="20"/>
          <w:lang w:bidi="en-US"/>
        </w:rPr>
        <w:t>pérdida de ingresos</w:t>
      </w:r>
      <w:r w:rsidRPr="0001748B" w:rsidDel="005F1425">
        <w:rPr>
          <w:bCs/>
          <w:sz w:val="20"/>
          <w:szCs w:val="20"/>
        </w:rPr>
        <w:t xml:space="preserve"> </w:t>
      </w:r>
      <w:r w:rsidR="00DD7899">
        <w:rPr>
          <w:bCs/>
          <w:sz w:val="20"/>
          <w:szCs w:val="20"/>
        </w:rPr>
        <w:t>(</w:t>
      </w:r>
      <w:r w:rsidR="00DD7899">
        <w:rPr>
          <w:bCs/>
          <w:i/>
          <w:sz w:val="20"/>
          <w:szCs w:val="20"/>
        </w:rPr>
        <w:t>supra</w:t>
      </w:r>
      <w:r w:rsidR="00DD7899">
        <w:rPr>
          <w:bCs/>
          <w:sz w:val="20"/>
          <w:szCs w:val="20"/>
        </w:rPr>
        <w:t xml:space="preserve"> párr. 230) </w:t>
      </w:r>
      <w:r w:rsidRPr="0001748B">
        <w:rPr>
          <w:rFonts w:eastAsia="Calibri"/>
          <w:spacing w:val="-2"/>
          <w:sz w:val="20"/>
          <w:szCs w:val="20"/>
          <w:lang w:eastAsia="x-none"/>
        </w:rPr>
        <w:t xml:space="preserve">fue calculado tomando en cuenta tipos de cambio de bolívares a dólares oscilantes entre 200 a 800 bolívares por dólar. Dicho monto </w:t>
      </w:r>
      <w:r w:rsidR="006C5239">
        <w:rPr>
          <w:rFonts w:eastAsia="Calibri"/>
          <w:spacing w:val="-2"/>
          <w:sz w:val="20"/>
          <w:szCs w:val="20"/>
          <w:lang w:eastAsia="x-none"/>
        </w:rPr>
        <w:t xml:space="preserve">fue calculado </w:t>
      </w:r>
      <w:r w:rsidR="006C5239" w:rsidRPr="0001748B">
        <w:rPr>
          <w:sz w:val="20"/>
          <w:szCs w:val="20"/>
        </w:rPr>
        <w:t xml:space="preserve">de manera progresiva, en el entendido de que </w:t>
      </w:r>
      <w:r w:rsidR="006C5239">
        <w:rPr>
          <w:sz w:val="20"/>
          <w:szCs w:val="20"/>
        </w:rPr>
        <w:t>Johan Alexis Ortiz Hernández</w:t>
      </w:r>
      <w:r w:rsidR="006C5239" w:rsidRPr="0001748B">
        <w:rPr>
          <w:sz w:val="20"/>
          <w:szCs w:val="20"/>
        </w:rPr>
        <w:t xml:space="preserve"> sería promovido a rangos superiores</w:t>
      </w:r>
      <w:r w:rsidR="006C5239">
        <w:rPr>
          <w:sz w:val="20"/>
          <w:szCs w:val="20"/>
        </w:rPr>
        <w:t>. Por lo tanto,</w:t>
      </w:r>
      <w:r w:rsidR="006C5239" w:rsidRPr="0001748B">
        <w:rPr>
          <w:rFonts w:eastAsia="Calibri"/>
          <w:spacing w:val="-2"/>
          <w:sz w:val="20"/>
          <w:szCs w:val="20"/>
          <w:lang w:eastAsia="x-none"/>
        </w:rPr>
        <w:t xml:space="preserve"> </w:t>
      </w:r>
      <w:r w:rsidRPr="0001748B">
        <w:rPr>
          <w:rFonts w:eastAsia="Calibri"/>
          <w:spacing w:val="-2"/>
          <w:sz w:val="20"/>
          <w:szCs w:val="20"/>
          <w:lang w:eastAsia="x-none"/>
        </w:rPr>
        <w:t xml:space="preserve">corresponde al cálculo de 52 años de pérdida de ingresos de </w:t>
      </w:r>
      <w:r>
        <w:rPr>
          <w:rFonts w:eastAsia="Calibri"/>
          <w:spacing w:val="-2"/>
          <w:sz w:val="20"/>
          <w:szCs w:val="20"/>
          <w:lang w:eastAsia="x-none"/>
        </w:rPr>
        <w:t>Johan Alexis Ortiz Hernández</w:t>
      </w:r>
      <w:r w:rsidR="00D44A7B" w:rsidRPr="0001748B">
        <w:rPr>
          <w:bCs/>
          <w:sz w:val="20"/>
          <w:szCs w:val="20"/>
          <w:lang w:bidi="en-US"/>
        </w:rPr>
        <w:t xml:space="preserve"> con base en distintos per</w:t>
      </w:r>
      <w:r w:rsidR="0002077C">
        <w:rPr>
          <w:bCs/>
          <w:sz w:val="20"/>
          <w:szCs w:val="20"/>
          <w:lang w:bidi="en-US"/>
        </w:rPr>
        <w:t>í</w:t>
      </w:r>
      <w:r w:rsidR="00D44A7B" w:rsidRPr="0001748B">
        <w:rPr>
          <w:bCs/>
          <w:sz w:val="20"/>
          <w:szCs w:val="20"/>
          <w:lang w:bidi="en-US"/>
        </w:rPr>
        <w:t xml:space="preserve">odos de tiempo y tomando en cuenta los rangos de jerarquía que habría ostentado, a partir de junio de 1998, fecha en la cual debía haber comenzado a percibir un sueldo, luego de graduado de la Escuela de </w:t>
      </w:r>
      <w:r w:rsidR="00BF6D39">
        <w:rPr>
          <w:bCs/>
          <w:sz w:val="20"/>
          <w:szCs w:val="20"/>
          <w:lang w:bidi="en-US"/>
        </w:rPr>
        <w:t xml:space="preserve">Formación de </w:t>
      </w:r>
      <w:r w:rsidR="00D44A7B" w:rsidRPr="0001748B">
        <w:rPr>
          <w:bCs/>
          <w:sz w:val="20"/>
          <w:szCs w:val="20"/>
          <w:lang w:bidi="en-US"/>
        </w:rPr>
        <w:t xml:space="preserve">Guardias Nacionales, y hasta el año 2049, en el cual cumpliría 71 años de edad, conforme a la expectativa de vida de un hombre en Venezuela. Las representantes tomaron en cuenta el salario base que hubiera devengado </w:t>
      </w:r>
      <w:r w:rsidR="00D44A7B">
        <w:rPr>
          <w:bCs/>
          <w:sz w:val="20"/>
          <w:szCs w:val="20"/>
          <w:lang w:bidi="en-US"/>
        </w:rPr>
        <w:t>Johan Alexis Ortiz Hernández</w:t>
      </w:r>
      <w:r w:rsidR="00D44A7B" w:rsidRPr="0001748B">
        <w:rPr>
          <w:bCs/>
          <w:sz w:val="20"/>
          <w:szCs w:val="20"/>
          <w:lang w:bidi="en-US"/>
        </w:rPr>
        <w:t xml:space="preserve">, así como beneficios </w:t>
      </w:r>
      <w:r w:rsidR="00D44A7B" w:rsidRPr="0001748B">
        <w:rPr>
          <w:bCs/>
          <w:sz w:val="20"/>
          <w:szCs w:val="20"/>
          <w:lang w:bidi="en-US"/>
        </w:rPr>
        <w:lastRenderedPageBreak/>
        <w:t>adicionales consistentes</w:t>
      </w:r>
      <w:r w:rsidR="00D44A7B" w:rsidRPr="0001748B">
        <w:rPr>
          <w:sz w:val="20"/>
          <w:szCs w:val="20"/>
        </w:rPr>
        <w:t xml:space="preserve"> en: </w:t>
      </w:r>
      <w:r w:rsidR="00433D2E">
        <w:rPr>
          <w:sz w:val="20"/>
          <w:szCs w:val="20"/>
        </w:rPr>
        <w:t>i</w:t>
      </w:r>
      <w:r w:rsidR="00D44A7B" w:rsidRPr="0001748B">
        <w:rPr>
          <w:sz w:val="20"/>
          <w:szCs w:val="20"/>
        </w:rPr>
        <w:t>) una prima por</w:t>
      </w:r>
      <w:r w:rsidR="00D44A7B" w:rsidRPr="0001748B">
        <w:rPr>
          <w:rFonts w:eastAsia="Calibri"/>
          <w:spacing w:val="-2"/>
          <w:sz w:val="20"/>
          <w:szCs w:val="20"/>
          <w:lang w:eastAsia="x-none"/>
        </w:rPr>
        <w:t xml:space="preserve"> </w:t>
      </w:r>
      <w:r w:rsidR="00D44A7B" w:rsidRPr="0001748B">
        <w:rPr>
          <w:sz w:val="20"/>
          <w:szCs w:val="20"/>
        </w:rPr>
        <w:t xml:space="preserve">antigüedad por cada año de servicio; </w:t>
      </w:r>
      <w:r w:rsidR="00433D2E">
        <w:rPr>
          <w:sz w:val="20"/>
          <w:szCs w:val="20"/>
        </w:rPr>
        <w:t>ii</w:t>
      </w:r>
      <w:r w:rsidR="00D44A7B" w:rsidRPr="0001748B">
        <w:rPr>
          <w:sz w:val="20"/>
          <w:szCs w:val="20"/>
        </w:rPr>
        <w:t>) primas de transporte</w:t>
      </w:r>
      <w:r w:rsidR="00D44A7B" w:rsidRPr="0001748B">
        <w:rPr>
          <w:rFonts w:eastAsia="Calibri"/>
          <w:spacing w:val="-2"/>
          <w:sz w:val="20"/>
          <w:szCs w:val="20"/>
          <w:lang w:eastAsia="x-none"/>
        </w:rPr>
        <w:t xml:space="preserve"> </w:t>
      </w:r>
      <w:r w:rsidR="00D44A7B" w:rsidRPr="0001748B">
        <w:rPr>
          <w:sz w:val="20"/>
          <w:szCs w:val="20"/>
        </w:rPr>
        <w:t xml:space="preserve">mensuales; </w:t>
      </w:r>
      <w:r w:rsidR="00433D2E">
        <w:rPr>
          <w:sz w:val="20"/>
          <w:szCs w:val="20"/>
        </w:rPr>
        <w:t>iii</w:t>
      </w:r>
      <w:r w:rsidR="00D44A7B" w:rsidRPr="0001748B">
        <w:rPr>
          <w:sz w:val="20"/>
          <w:szCs w:val="20"/>
        </w:rPr>
        <w:t xml:space="preserve">) una prima por profesionalización </w:t>
      </w:r>
      <w:r w:rsidR="006C5239">
        <w:rPr>
          <w:sz w:val="20"/>
          <w:szCs w:val="20"/>
        </w:rPr>
        <w:t>de</w:t>
      </w:r>
      <w:r w:rsidR="00D44A7B" w:rsidRPr="0001748B">
        <w:rPr>
          <w:sz w:val="20"/>
          <w:szCs w:val="20"/>
        </w:rPr>
        <w:t xml:space="preserve"> un 12% del sueldo</w:t>
      </w:r>
      <w:r w:rsidR="00D44A7B" w:rsidRPr="0001748B">
        <w:rPr>
          <w:rFonts w:eastAsia="Calibri"/>
          <w:spacing w:val="-2"/>
          <w:sz w:val="20"/>
          <w:szCs w:val="20"/>
          <w:lang w:eastAsia="x-none"/>
        </w:rPr>
        <w:t xml:space="preserve"> </w:t>
      </w:r>
      <w:r w:rsidR="00D44A7B" w:rsidRPr="0001748B">
        <w:rPr>
          <w:sz w:val="20"/>
          <w:szCs w:val="20"/>
        </w:rPr>
        <w:t xml:space="preserve">básico; </w:t>
      </w:r>
      <w:r w:rsidR="00433D2E">
        <w:rPr>
          <w:sz w:val="20"/>
          <w:szCs w:val="20"/>
        </w:rPr>
        <w:t>iv</w:t>
      </w:r>
      <w:r w:rsidR="00D44A7B" w:rsidRPr="0001748B">
        <w:rPr>
          <w:sz w:val="20"/>
          <w:szCs w:val="20"/>
        </w:rPr>
        <w:t xml:space="preserve">) un bono de fin de año, es decir, la regalía pascual, y </w:t>
      </w:r>
      <w:r w:rsidR="00433D2E">
        <w:rPr>
          <w:sz w:val="20"/>
          <w:szCs w:val="20"/>
        </w:rPr>
        <w:t>v</w:t>
      </w:r>
      <w:r w:rsidR="00D44A7B" w:rsidRPr="0001748B">
        <w:rPr>
          <w:sz w:val="20"/>
          <w:szCs w:val="20"/>
        </w:rPr>
        <w:t>) un décimo cuarto</w:t>
      </w:r>
      <w:r w:rsidR="00D44A7B" w:rsidRPr="0001748B">
        <w:rPr>
          <w:rFonts w:eastAsia="Calibri"/>
          <w:spacing w:val="-2"/>
          <w:sz w:val="20"/>
          <w:szCs w:val="20"/>
          <w:lang w:eastAsia="x-none"/>
        </w:rPr>
        <w:t xml:space="preserve"> </w:t>
      </w:r>
      <w:r w:rsidR="00D44A7B" w:rsidRPr="0001748B">
        <w:rPr>
          <w:sz w:val="20"/>
          <w:szCs w:val="20"/>
        </w:rPr>
        <w:t xml:space="preserve">salario consistente en un bono vacacional. </w:t>
      </w:r>
      <w:r w:rsidRPr="0001748B">
        <w:rPr>
          <w:bCs/>
          <w:sz w:val="20"/>
          <w:szCs w:val="20"/>
          <w:lang w:bidi="en-US"/>
        </w:rPr>
        <w:t xml:space="preserve">La Corte nota que las representantes no pudieron aportar pruebas precisas sobre los salarios dejados de percibir por </w:t>
      </w:r>
      <w:r>
        <w:rPr>
          <w:bCs/>
          <w:sz w:val="20"/>
          <w:szCs w:val="20"/>
          <w:lang w:bidi="en-US"/>
        </w:rPr>
        <w:t>Johan Alexis Ortiz Hernández</w:t>
      </w:r>
      <w:r w:rsidRPr="0001748B">
        <w:rPr>
          <w:bCs/>
          <w:sz w:val="20"/>
          <w:szCs w:val="20"/>
          <w:lang w:bidi="en-US"/>
        </w:rPr>
        <w:t xml:space="preserve"> desde junio de 1998 debido a las dificultades alegadas para conseguir dicha información</w:t>
      </w:r>
      <w:r w:rsidR="00D44A7B" w:rsidRPr="0001748B">
        <w:rPr>
          <w:sz w:val="20"/>
          <w:szCs w:val="20"/>
        </w:rPr>
        <w:t>, por lo que fundamentaron sus cálculos en fuentes</w:t>
      </w:r>
      <w:r w:rsidR="0048650D">
        <w:rPr>
          <w:sz w:val="20"/>
          <w:szCs w:val="20"/>
        </w:rPr>
        <w:t xml:space="preserve"> no oficiales o documentos disponibles</w:t>
      </w:r>
      <w:r w:rsidR="00D44A7B" w:rsidRPr="0001748B">
        <w:rPr>
          <w:sz w:val="20"/>
          <w:szCs w:val="20"/>
        </w:rPr>
        <w:t>.</w:t>
      </w:r>
      <w:r w:rsidR="00CA1169">
        <w:rPr>
          <w:sz w:val="20"/>
          <w:szCs w:val="20"/>
        </w:rPr>
        <w:t xml:space="preserve"> </w:t>
      </w:r>
      <w:r w:rsidR="006C5239" w:rsidRPr="0001748B">
        <w:rPr>
          <w:bCs/>
          <w:sz w:val="20"/>
          <w:szCs w:val="20"/>
          <w:lang w:bidi="en-US"/>
        </w:rPr>
        <w:t>El Estado tampoco aportó medios probatorios para controvertir los cálculos efectuados por las representantes de las víctimas, sino que se limitó a señalar que eran desproporcionados.</w:t>
      </w:r>
    </w:p>
    <w:p w:rsidR="00D44A7B" w:rsidRPr="0001748B" w:rsidRDefault="00D44A7B" w:rsidP="00D44A7B">
      <w:pPr>
        <w:tabs>
          <w:tab w:val="left" w:pos="567"/>
        </w:tabs>
        <w:spacing w:line="240" w:lineRule="auto"/>
        <w:rPr>
          <w:bCs/>
          <w:sz w:val="20"/>
          <w:szCs w:val="20"/>
          <w:lang w:bidi="en-US"/>
        </w:rPr>
      </w:pPr>
    </w:p>
    <w:p w:rsidR="00D44A7B" w:rsidRPr="0001748B" w:rsidRDefault="00FF6540" w:rsidP="00EB5628">
      <w:pPr>
        <w:numPr>
          <w:ilvl w:val="0"/>
          <w:numId w:val="1"/>
        </w:numPr>
        <w:tabs>
          <w:tab w:val="left" w:pos="567"/>
          <w:tab w:val="num" w:pos="5057"/>
        </w:tabs>
        <w:spacing w:line="240" w:lineRule="auto"/>
        <w:ind w:left="0" w:firstLine="0"/>
        <w:rPr>
          <w:b/>
          <w:bCs/>
          <w:sz w:val="16"/>
          <w:szCs w:val="16"/>
        </w:rPr>
      </w:pPr>
      <w:r>
        <w:rPr>
          <w:bCs/>
          <w:sz w:val="20"/>
          <w:szCs w:val="20"/>
          <w:lang w:bidi="en-US"/>
        </w:rPr>
        <w:t>La Corte</w:t>
      </w:r>
      <w:r w:rsidR="00D44A7B" w:rsidRPr="0001748B">
        <w:rPr>
          <w:sz w:val="20"/>
          <w:szCs w:val="20"/>
        </w:rPr>
        <w:t xml:space="preserve"> adv</w:t>
      </w:r>
      <w:r>
        <w:rPr>
          <w:sz w:val="20"/>
          <w:szCs w:val="20"/>
        </w:rPr>
        <w:t>i</w:t>
      </w:r>
      <w:r w:rsidR="00D44A7B" w:rsidRPr="0001748B">
        <w:rPr>
          <w:sz w:val="20"/>
          <w:szCs w:val="20"/>
        </w:rPr>
        <w:t>ert</w:t>
      </w:r>
      <w:r>
        <w:rPr>
          <w:sz w:val="20"/>
          <w:szCs w:val="20"/>
        </w:rPr>
        <w:t>e</w:t>
      </w:r>
      <w:r w:rsidR="00D44A7B" w:rsidRPr="0001748B">
        <w:rPr>
          <w:sz w:val="20"/>
          <w:szCs w:val="20"/>
        </w:rPr>
        <w:t xml:space="preserve"> que </w:t>
      </w:r>
      <w:r w:rsidR="00D44A7B">
        <w:rPr>
          <w:sz w:val="20"/>
          <w:szCs w:val="20"/>
        </w:rPr>
        <w:t>Johan Alexis Ortiz Hernández</w:t>
      </w:r>
      <w:r w:rsidR="00D44A7B" w:rsidRPr="0001748B">
        <w:rPr>
          <w:sz w:val="20"/>
          <w:szCs w:val="20"/>
        </w:rPr>
        <w:t xml:space="preserve"> </w:t>
      </w:r>
      <w:r>
        <w:rPr>
          <w:sz w:val="20"/>
          <w:szCs w:val="20"/>
        </w:rPr>
        <w:t>s</w:t>
      </w:r>
      <w:r w:rsidR="00D44A7B" w:rsidRPr="0001748B">
        <w:rPr>
          <w:sz w:val="20"/>
          <w:szCs w:val="20"/>
        </w:rPr>
        <w:t xml:space="preserve">e vio imposibilitado de percibir ingresos </w:t>
      </w:r>
      <w:r w:rsidR="00D44A7B" w:rsidRPr="0001748B">
        <w:rPr>
          <w:sz w:val="20"/>
        </w:rPr>
        <w:t xml:space="preserve">con motivo </w:t>
      </w:r>
      <w:r w:rsidR="00C54D78">
        <w:rPr>
          <w:sz w:val="20"/>
        </w:rPr>
        <w:t>de su deceso</w:t>
      </w:r>
      <w:r w:rsidR="00D44A7B" w:rsidRPr="0001748B">
        <w:rPr>
          <w:sz w:val="20"/>
        </w:rPr>
        <w:t xml:space="preserve"> derivad</w:t>
      </w:r>
      <w:r w:rsidR="00C54D78">
        <w:rPr>
          <w:sz w:val="20"/>
        </w:rPr>
        <w:t>o</w:t>
      </w:r>
      <w:r w:rsidR="00D44A7B" w:rsidRPr="0001748B">
        <w:rPr>
          <w:sz w:val="20"/>
        </w:rPr>
        <w:t xml:space="preserve"> de</w:t>
      </w:r>
      <w:r w:rsidR="00C54D78">
        <w:rPr>
          <w:sz w:val="20"/>
        </w:rPr>
        <w:t xml:space="preserve"> las heridas de arma de fuego recibidas y la posterior</w:t>
      </w:r>
      <w:r w:rsidR="00D44A7B" w:rsidRPr="0001748B">
        <w:rPr>
          <w:sz w:val="20"/>
        </w:rPr>
        <w:t xml:space="preserve"> falta de atención en salud adecuada y oportuna mientras se encontraba en custodia del Estado en el marco del desarrollo de una práctica militar. Por lo tanto, si bien la Corte no tiene certeza de los montos que </w:t>
      </w:r>
      <w:r w:rsidR="00D44A7B">
        <w:rPr>
          <w:sz w:val="20"/>
        </w:rPr>
        <w:t>Johan Alexis Ortiz Hernández</w:t>
      </w:r>
      <w:r w:rsidR="00D44A7B" w:rsidRPr="0001748B">
        <w:rPr>
          <w:sz w:val="20"/>
        </w:rPr>
        <w:t xml:space="preserve"> </w:t>
      </w:r>
      <w:r w:rsidR="001F2E1C">
        <w:rPr>
          <w:sz w:val="20"/>
        </w:rPr>
        <w:t xml:space="preserve">hubiera debido </w:t>
      </w:r>
      <w:r w:rsidR="00D44A7B" w:rsidRPr="0001748B">
        <w:rPr>
          <w:sz w:val="20"/>
        </w:rPr>
        <w:t>percibir como un militar graduado de la Escuela de</w:t>
      </w:r>
      <w:r w:rsidR="00DE5A49">
        <w:rPr>
          <w:sz w:val="20"/>
        </w:rPr>
        <w:t xml:space="preserve"> Formación de</w:t>
      </w:r>
      <w:r w:rsidR="00D44A7B" w:rsidRPr="0001748B">
        <w:rPr>
          <w:sz w:val="20"/>
        </w:rPr>
        <w:t xml:space="preserve"> Guardias Nacionales, ni de los rangos que efectivamente </w:t>
      </w:r>
      <w:r w:rsidR="001F2E1C">
        <w:rPr>
          <w:sz w:val="20"/>
        </w:rPr>
        <w:t>hubiese</w:t>
      </w:r>
      <w:r w:rsidR="001F2E1C" w:rsidRPr="0001748B">
        <w:rPr>
          <w:sz w:val="20"/>
        </w:rPr>
        <w:t xml:space="preserve"> </w:t>
      </w:r>
      <w:r w:rsidR="00D44A7B" w:rsidRPr="0001748B">
        <w:rPr>
          <w:sz w:val="20"/>
        </w:rPr>
        <w:t xml:space="preserve">ostentado, </w:t>
      </w:r>
      <w:r w:rsidR="00D44A7B" w:rsidRPr="0001748B">
        <w:rPr>
          <w:bCs/>
          <w:sz w:val="20"/>
          <w:szCs w:val="20"/>
          <w:lang w:bidi="en-US"/>
        </w:rPr>
        <w:t xml:space="preserve">tomará en consideración los montos solicitados y las referencias probatorias alegadas, la edad de la víctima al momento de su muerte, y la expectativa de vida </w:t>
      </w:r>
      <w:r w:rsidR="00C54D78">
        <w:rPr>
          <w:bCs/>
          <w:sz w:val="20"/>
          <w:szCs w:val="20"/>
          <w:lang w:bidi="en-US"/>
        </w:rPr>
        <w:t xml:space="preserve">de un hombre </w:t>
      </w:r>
      <w:r w:rsidR="00D44A7B" w:rsidRPr="0001748B">
        <w:rPr>
          <w:bCs/>
          <w:sz w:val="20"/>
          <w:szCs w:val="20"/>
          <w:lang w:bidi="en-US"/>
        </w:rPr>
        <w:t xml:space="preserve">en Venezuela para el cálculo correspondiente. En virtud de ello, </w:t>
      </w:r>
      <w:r w:rsidR="00D44A7B" w:rsidRPr="0001748B">
        <w:rPr>
          <w:sz w:val="20"/>
        </w:rPr>
        <w:t>este Tribunal considera que el monto solicitado</w:t>
      </w:r>
      <w:r w:rsidR="006B3251">
        <w:rPr>
          <w:rFonts w:eastAsia="Calibri"/>
          <w:spacing w:val="-2"/>
          <w:sz w:val="20"/>
          <w:szCs w:val="20"/>
          <w:lang w:eastAsia="x-none"/>
        </w:rPr>
        <w:t xml:space="preserve"> </w:t>
      </w:r>
      <w:r w:rsidR="00D44A7B" w:rsidRPr="0001748B">
        <w:rPr>
          <w:rFonts w:eastAsia="Calibri"/>
          <w:spacing w:val="-2"/>
          <w:sz w:val="20"/>
          <w:szCs w:val="20"/>
          <w:lang w:eastAsia="x-none"/>
        </w:rPr>
        <w:t xml:space="preserve">es </w:t>
      </w:r>
      <w:r w:rsidR="00D44A7B" w:rsidRPr="006D4919">
        <w:rPr>
          <w:rFonts w:eastAsia="Calibri"/>
          <w:spacing w:val="-2"/>
          <w:sz w:val="20"/>
          <w:szCs w:val="20"/>
          <w:lang w:eastAsia="x-none"/>
        </w:rPr>
        <w:t xml:space="preserve">razonable, tomando en cuenta que </w:t>
      </w:r>
      <w:r w:rsidR="00D66A4E">
        <w:rPr>
          <w:rFonts w:eastAsia="Calibri"/>
          <w:spacing w:val="-2"/>
          <w:sz w:val="20"/>
          <w:szCs w:val="20"/>
          <w:lang w:eastAsia="x-none"/>
        </w:rPr>
        <w:t>hubiese</w:t>
      </w:r>
      <w:r w:rsidR="00D66A4E" w:rsidRPr="006D4919">
        <w:rPr>
          <w:rFonts w:eastAsia="Calibri"/>
          <w:spacing w:val="-2"/>
          <w:sz w:val="20"/>
          <w:szCs w:val="20"/>
          <w:lang w:eastAsia="x-none"/>
        </w:rPr>
        <w:t xml:space="preserve"> </w:t>
      </w:r>
      <w:r w:rsidR="00D44A7B" w:rsidRPr="006D4919">
        <w:rPr>
          <w:rFonts w:eastAsia="Calibri"/>
          <w:spacing w:val="-2"/>
          <w:sz w:val="20"/>
          <w:szCs w:val="20"/>
          <w:lang w:eastAsia="x-none"/>
        </w:rPr>
        <w:t>sido el salario que Johan Alexis Ortiz Hernández habría percibido durante 52 años de servicio militar</w:t>
      </w:r>
      <w:r w:rsidR="006D4919" w:rsidRPr="006D4919">
        <w:rPr>
          <w:rFonts w:eastAsia="Calibri"/>
          <w:spacing w:val="-2"/>
          <w:sz w:val="20"/>
          <w:szCs w:val="20"/>
          <w:lang w:eastAsia="x-none"/>
        </w:rPr>
        <w:t>, y lo toma</w:t>
      </w:r>
      <w:r w:rsidR="006D4919" w:rsidRPr="00125C44">
        <w:rPr>
          <w:rFonts w:eastAsia="Calibri"/>
          <w:spacing w:val="-2"/>
          <w:sz w:val="20"/>
          <w:szCs w:val="20"/>
          <w:lang w:eastAsia="x-none"/>
        </w:rPr>
        <w:t xml:space="preserve"> como base para </w:t>
      </w:r>
      <w:r w:rsidR="002268EB">
        <w:rPr>
          <w:rFonts w:eastAsia="Calibri"/>
          <w:spacing w:val="-2"/>
          <w:sz w:val="20"/>
          <w:szCs w:val="20"/>
          <w:lang w:eastAsia="x-none"/>
        </w:rPr>
        <w:t>determinar</w:t>
      </w:r>
      <w:r w:rsidR="006D4919" w:rsidRPr="006D4919">
        <w:rPr>
          <w:rFonts w:eastAsia="Calibri"/>
          <w:spacing w:val="-2"/>
          <w:sz w:val="20"/>
          <w:szCs w:val="20"/>
          <w:lang w:eastAsia="x-none"/>
        </w:rPr>
        <w:t xml:space="preserve"> los ingresos dejados de percibir</w:t>
      </w:r>
      <w:r w:rsidR="00D44A7B" w:rsidRPr="006D4919">
        <w:rPr>
          <w:rFonts w:eastAsia="Calibri"/>
          <w:spacing w:val="-2"/>
          <w:sz w:val="20"/>
          <w:szCs w:val="20"/>
          <w:lang w:eastAsia="x-none"/>
        </w:rPr>
        <w:t xml:space="preserve">. </w:t>
      </w:r>
      <w:r w:rsidR="006B3251" w:rsidRPr="006D4919">
        <w:rPr>
          <w:rFonts w:eastAsia="Calibri"/>
          <w:spacing w:val="-2"/>
          <w:sz w:val="20"/>
          <w:szCs w:val="20"/>
          <w:lang w:eastAsia="x-none"/>
        </w:rPr>
        <w:t xml:space="preserve">Asimismo, la Corte </w:t>
      </w:r>
      <w:r w:rsidR="006D4919" w:rsidRPr="00125C44">
        <w:rPr>
          <w:rFonts w:eastAsia="Calibri"/>
          <w:spacing w:val="-2"/>
          <w:sz w:val="20"/>
          <w:szCs w:val="20"/>
          <w:lang w:eastAsia="x-none"/>
        </w:rPr>
        <w:t>acepta el argumento del Estado y considera apropiado deducir un porcentaje prudencial por los gastos personales en que hubiera incurrido la víctima</w:t>
      </w:r>
      <w:r w:rsidR="006B3251" w:rsidRPr="006D4919">
        <w:rPr>
          <w:rStyle w:val="FootnoteReference"/>
          <w:sz w:val="20"/>
        </w:rPr>
        <w:footnoteReference w:id="244"/>
      </w:r>
      <w:r w:rsidR="006B3251" w:rsidRPr="006D4919">
        <w:rPr>
          <w:sz w:val="20"/>
        </w:rPr>
        <w:t xml:space="preserve">. </w:t>
      </w:r>
      <w:r w:rsidR="00D44A7B" w:rsidRPr="006D4919">
        <w:rPr>
          <w:rFonts w:eastAsia="Calibri"/>
          <w:spacing w:val="-2"/>
          <w:sz w:val="20"/>
          <w:szCs w:val="20"/>
          <w:lang w:eastAsia="x-none"/>
        </w:rPr>
        <w:t>En consecuencia</w:t>
      </w:r>
      <w:r w:rsidR="00D44A7B" w:rsidRPr="0001748B">
        <w:rPr>
          <w:rFonts w:eastAsia="Calibri"/>
          <w:spacing w:val="-2"/>
          <w:sz w:val="20"/>
          <w:szCs w:val="20"/>
          <w:lang w:eastAsia="x-none"/>
        </w:rPr>
        <w:t>, el Tribunal</w:t>
      </w:r>
      <w:r w:rsidR="00D44A7B" w:rsidRPr="0001748B">
        <w:rPr>
          <w:sz w:val="20"/>
        </w:rPr>
        <w:t xml:space="preserve"> estima procedente fijar </w:t>
      </w:r>
      <w:r w:rsidR="00D44A7B" w:rsidRPr="008031E5">
        <w:rPr>
          <w:sz w:val="20"/>
        </w:rPr>
        <w:t>la cantidad de</w:t>
      </w:r>
      <w:r w:rsidR="00EB5628" w:rsidRPr="008031E5">
        <w:rPr>
          <w:sz w:val="20"/>
        </w:rPr>
        <w:t xml:space="preserve"> </w:t>
      </w:r>
      <w:r w:rsidR="00D44A7B" w:rsidRPr="008031E5">
        <w:rPr>
          <w:sz w:val="20"/>
        </w:rPr>
        <w:t xml:space="preserve">US$ </w:t>
      </w:r>
      <w:r w:rsidR="006B3251" w:rsidRPr="008031E5">
        <w:rPr>
          <w:sz w:val="20"/>
        </w:rPr>
        <w:t>6</w:t>
      </w:r>
      <w:r w:rsidR="00EB5628" w:rsidRPr="008031E5">
        <w:rPr>
          <w:sz w:val="20"/>
        </w:rPr>
        <w:t>4</w:t>
      </w:r>
      <w:r w:rsidR="00D44A7B" w:rsidRPr="008031E5">
        <w:rPr>
          <w:sz w:val="20"/>
        </w:rPr>
        <w:t>.</w:t>
      </w:r>
      <w:r w:rsidR="00EB5628" w:rsidRPr="008031E5">
        <w:rPr>
          <w:sz w:val="20"/>
        </w:rPr>
        <w:t>000</w:t>
      </w:r>
      <w:r w:rsidR="002C4046" w:rsidRPr="008031E5">
        <w:rPr>
          <w:sz w:val="20"/>
        </w:rPr>
        <w:t>,00 (sesenta y cuatro mil dólares de los Estados Unidos de América)</w:t>
      </w:r>
      <w:r w:rsidR="00F65506">
        <w:rPr>
          <w:sz w:val="20"/>
        </w:rPr>
        <w:t>.</w:t>
      </w:r>
      <w:r w:rsidR="00D44A7B" w:rsidRPr="0001748B">
        <w:rPr>
          <w:sz w:val="20"/>
        </w:rPr>
        <w:t xml:space="preserve"> </w:t>
      </w:r>
      <w:r w:rsidR="005C0E6F">
        <w:rPr>
          <w:sz w:val="20"/>
        </w:rPr>
        <w:t>Dicho</w:t>
      </w:r>
      <w:r w:rsidR="005C0E6F" w:rsidRPr="0001748B">
        <w:rPr>
          <w:sz w:val="20"/>
        </w:rPr>
        <w:t xml:space="preserve"> </w:t>
      </w:r>
      <w:r w:rsidR="00D44A7B" w:rsidRPr="0001748B">
        <w:rPr>
          <w:sz w:val="20"/>
        </w:rPr>
        <w:t>monto deberá ser distribuido en partes iguales entre su</w:t>
      </w:r>
      <w:r w:rsidR="005C0E6F">
        <w:rPr>
          <w:sz w:val="20"/>
        </w:rPr>
        <w:t>s progenitores</w:t>
      </w:r>
      <w:r w:rsidR="00D44A7B" w:rsidRPr="0001748B">
        <w:rPr>
          <w:sz w:val="20"/>
        </w:rPr>
        <w:t>, Zaida Hernández de Arellano</w:t>
      </w:r>
      <w:r w:rsidR="00CD4B59" w:rsidRPr="00CD4B59">
        <w:rPr>
          <w:sz w:val="20"/>
        </w:rPr>
        <w:t xml:space="preserve"> </w:t>
      </w:r>
      <w:r w:rsidR="00CD4B59">
        <w:rPr>
          <w:sz w:val="20"/>
        </w:rPr>
        <w:t xml:space="preserve">y </w:t>
      </w:r>
      <w:r w:rsidR="00CD4B59" w:rsidRPr="0001748B">
        <w:rPr>
          <w:sz w:val="20"/>
        </w:rPr>
        <w:t>Edgar Humberto Ortiz Ruiz</w:t>
      </w:r>
      <w:r w:rsidR="00D44A7B" w:rsidRPr="0001748B">
        <w:rPr>
          <w:sz w:val="20"/>
        </w:rPr>
        <w:t>.</w:t>
      </w:r>
    </w:p>
    <w:p w:rsidR="00D44A7B" w:rsidRPr="0001748B" w:rsidRDefault="00D44A7B" w:rsidP="001B626E">
      <w:pPr>
        <w:tabs>
          <w:tab w:val="left" w:pos="567"/>
        </w:tabs>
        <w:spacing w:line="240" w:lineRule="auto"/>
        <w:rPr>
          <w:rFonts w:eastAsia="Calibri"/>
          <w:spacing w:val="-2"/>
          <w:sz w:val="20"/>
          <w:szCs w:val="20"/>
          <w:lang w:eastAsia="x-none"/>
        </w:rPr>
      </w:pPr>
    </w:p>
    <w:p w:rsidR="001B626E" w:rsidRPr="008031E5" w:rsidRDefault="001B626E" w:rsidP="008031E5">
      <w:pPr>
        <w:spacing w:line="240" w:lineRule="auto"/>
        <w:ind w:left="1985"/>
        <w:rPr>
          <w:i/>
          <w:iCs/>
          <w:sz w:val="20"/>
          <w:szCs w:val="20"/>
        </w:rPr>
      </w:pPr>
      <w:r w:rsidRPr="008031E5">
        <w:rPr>
          <w:i/>
          <w:iCs/>
          <w:sz w:val="20"/>
          <w:szCs w:val="20"/>
        </w:rPr>
        <w:t xml:space="preserve">b) </w:t>
      </w:r>
      <w:r w:rsidRPr="008031E5">
        <w:rPr>
          <w:i/>
          <w:iCs/>
          <w:sz w:val="20"/>
          <w:szCs w:val="20"/>
        </w:rPr>
        <w:tab/>
        <w:t>Daño emergente</w:t>
      </w:r>
    </w:p>
    <w:p w:rsidR="001B626E" w:rsidRPr="0001748B" w:rsidRDefault="001B626E" w:rsidP="001B626E">
      <w:pPr>
        <w:spacing w:line="240" w:lineRule="auto"/>
        <w:rPr>
          <w:rFonts w:eastAsia="MS Mincho" w:cs="Tahoma"/>
          <w:b/>
          <w:sz w:val="20"/>
          <w:szCs w:val="20"/>
        </w:rPr>
      </w:pPr>
    </w:p>
    <w:p w:rsidR="001B626E" w:rsidRPr="0001748B" w:rsidRDefault="001B626E" w:rsidP="001B626E">
      <w:pPr>
        <w:numPr>
          <w:ilvl w:val="0"/>
          <w:numId w:val="1"/>
        </w:numPr>
        <w:tabs>
          <w:tab w:val="left" w:pos="567"/>
          <w:tab w:val="num" w:pos="5057"/>
        </w:tabs>
        <w:spacing w:line="240" w:lineRule="auto"/>
        <w:ind w:left="0" w:firstLine="0"/>
        <w:rPr>
          <w:rFonts w:eastAsia="MS Mincho" w:cs="Tahoma"/>
          <w:b/>
          <w:sz w:val="20"/>
          <w:szCs w:val="20"/>
        </w:rPr>
      </w:pPr>
      <w:r w:rsidRPr="0001748B">
        <w:rPr>
          <w:rFonts w:eastAsia="Verdana" w:cs="Verdana"/>
          <w:sz w:val="20"/>
          <w:szCs w:val="20"/>
        </w:rPr>
        <w:t xml:space="preserve">Las </w:t>
      </w:r>
      <w:r w:rsidRPr="0001748B">
        <w:rPr>
          <w:rFonts w:eastAsia="Verdana" w:cs="Verdana"/>
          <w:b/>
          <w:i/>
          <w:sz w:val="20"/>
          <w:szCs w:val="20"/>
        </w:rPr>
        <w:t>representantes</w:t>
      </w:r>
      <w:r w:rsidRPr="0001748B">
        <w:rPr>
          <w:rFonts w:eastAsia="Verdana" w:cs="Verdana"/>
          <w:sz w:val="20"/>
          <w:szCs w:val="20"/>
        </w:rPr>
        <w:t xml:space="preserve"> solicitaron </w:t>
      </w:r>
      <w:r w:rsidR="00665CDD">
        <w:rPr>
          <w:rFonts w:eastAsia="Verdana" w:cs="Verdana"/>
          <w:sz w:val="20"/>
          <w:szCs w:val="20"/>
        </w:rPr>
        <w:t>a</w:t>
      </w:r>
      <w:r w:rsidR="00665CDD" w:rsidRPr="0001748B">
        <w:rPr>
          <w:rFonts w:eastAsia="Verdana" w:cs="Verdana"/>
          <w:sz w:val="20"/>
          <w:szCs w:val="20"/>
        </w:rPr>
        <w:t xml:space="preserve"> </w:t>
      </w:r>
      <w:r w:rsidRPr="0001748B">
        <w:rPr>
          <w:rFonts w:eastAsia="Verdana" w:cs="Verdana"/>
          <w:sz w:val="20"/>
          <w:szCs w:val="20"/>
        </w:rPr>
        <w:t xml:space="preserve">la Corte </w:t>
      </w:r>
      <w:r w:rsidR="00665CDD">
        <w:rPr>
          <w:rFonts w:eastAsia="Verdana" w:cs="Verdana"/>
          <w:sz w:val="20"/>
          <w:szCs w:val="20"/>
        </w:rPr>
        <w:t xml:space="preserve">que </w:t>
      </w:r>
      <w:r w:rsidRPr="0001748B">
        <w:rPr>
          <w:rFonts w:eastAsia="Verdana" w:cs="Verdana"/>
          <w:sz w:val="20"/>
          <w:szCs w:val="20"/>
        </w:rPr>
        <w:t xml:space="preserve">ordenara al Estado el pago de una suma por </w:t>
      </w:r>
      <w:r w:rsidRPr="0001748B">
        <w:rPr>
          <w:rFonts w:eastAsia="Calibri"/>
          <w:spacing w:val="-2"/>
          <w:sz w:val="20"/>
          <w:szCs w:val="20"/>
          <w:lang w:eastAsia="x-none"/>
        </w:rPr>
        <w:t>concepto</w:t>
      </w:r>
      <w:r w:rsidRPr="0001748B">
        <w:rPr>
          <w:rFonts w:eastAsia="Verdana" w:cs="Verdana"/>
          <w:sz w:val="20"/>
          <w:szCs w:val="20"/>
        </w:rPr>
        <w:t xml:space="preserve"> de daño emergente, en virtud de la afectación patrimonial derivada inmediata y directamente de los hechos del presente caso. En este sentido, las representantes acompañaron</w:t>
      </w:r>
      <w:r w:rsidRPr="0001748B">
        <w:rPr>
          <w:sz w:val="20"/>
          <w:szCs w:val="20"/>
        </w:rPr>
        <w:t xml:space="preserve"> en calidad de prueba sólo algunos documentos que acreditan los gastos realizados, entre ellos gastos funerarios, de transporte, publicaciones en medios de prensa, alojamiento, llamadas telefónicas, gastos por envíos de documentos, entre otros. Las representantes alegaron que el monto cuantificado con comprobantes era de Bs.</w:t>
      </w:r>
      <w:r w:rsidR="00DC48E3" w:rsidRPr="0001748B">
        <w:rPr>
          <w:sz w:val="20"/>
          <w:szCs w:val="20"/>
        </w:rPr>
        <w:t xml:space="preserve"> </w:t>
      </w:r>
      <w:r w:rsidRPr="0001748B">
        <w:rPr>
          <w:sz w:val="20"/>
          <w:szCs w:val="20"/>
        </w:rPr>
        <w:t>1</w:t>
      </w:r>
      <w:r w:rsidR="00DC48E3" w:rsidRPr="0001748B">
        <w:rPr>
          <w:sz w:val="20"/>
          <w:szCs w:val="20"/>
        </w:rPr>
        <w:t>.</w:t>
      </w:r>
      <w:r w:rsidRPr="0001748B">
        <w:rPr>
          <w:sz w:val="20"/>
          <w:szCs w:val="20"/>
        </w:rPr>
        <w:t>329</w:t>
      </w:r>
      <w:r w:rsidR="00DC48E3" w:rsidRPr="0001748B">
        <w:rPr>
          <w:sz w:val="20"/>
          <w:szCs w:val="20"/>
        </w:rPr>
        <w:t>.</w:t>
      </w:r>
      <w:r w:rsidRPr="0001748B">
        <w:rPr>
          <w:sz w:val="20"/>
          <w:szCs w:val="20"/>
        </w:rPr>
        <w:t>249</w:t>
      </w:r>
      <w:r w:rsidR="00DC48E3" w:rsidRPr="0001748B">
        <w:rPr>
          <w:sz w:val="20"/>
          <w:szCs w:val="20"/>
        </w:rPr>
        <w:t>,</w:t>
      </w:r>
      <w:r w:rsidRPr="0001748B">
        <w:rPr>
          <w:sz w:val="20"/>
          <w:szCs w:val="20"/>
        </w:rPr>
        <w:t>21, equivalente a US$</w:t>
      </w:r>
      <w:r w:rsidR="00DC48E3" w:rsidRPr="0001748B">
        <w:rPr>
          <w:sz w:val="20"/>
          <w:szCs w:val="20"/>
        </w:rPr>
        <w:t xml:space="preserve"> </w:t>
      </w:r>
      <w:r w:rsidRPr="0001748B">
        <w:rPr>
          <w:sz w:val="20"/>
          <w:szCs w:val="20"/>
        </w:rPr>
        <w:t>2</w:t>
      </w:r>
      <w:r w:rsidR="00DC48E3" w:rsidRPr="0001748B">
        <w:rPr>
          <w:sz w:val="20"/>
          <w:szCs w:val="20"/>
        </w:rPr>
        <w:t>.</w:t>
      </w:r>
      <w:r w:rsidRPr="0001748B">
        <w:rPr>
          <w:sz w:val="20"/>
          <w:szCs w:val="20"/>
        </w:rPr>
        <w:t>045</w:t>
      </w:r>
      <w:r w:rsidR="00DC48E3" w:rsidRPr="0001748B">
        <w:rPr>
          <w:sz w:val="20"/>
          <w:szCs w:val="20"/>
        </w:rPr>
        <w:t>,</w:t>
      </w:r>
      <w:r w:rsidRPr="0001748B">
        <w:rPr>
          <w:sz w:val="20"/>
          <w:szCs w:val="20"/>
        </w:rPr>
        <w:t xml:space="preserve">00, sobre la base de una tasa de cambio de 650 bolívares por dólar. Sin perjuicio de ello, las representantes señalaron que </w:t>
      </w:r>
      <w:r w:rsidRPr="0001748B">
        <w:rPr>
          <w:rFonts w:eastAsia="Verdana" w:cs="Verdana"/>
          <w:sz w:val="20"/>
          <w:szCs w:val="20"/>
        </w:rPr>
        <w:t xml:space="preserve">“a [ese] monto deb[ía] adicionarse aquellos [...] que </w:t>
      </w:r>
      <w:r w:rsidRPr="0001748B">
        <w:rPr>
          <w:rFonts w:eastAsia="Verdana" w:cs="Verdana"/>
          <w:spacing w:val="1"/>
          <w:sz w:val="20"/>
          <w:szCs w:val="20"/>
        </w:rPr>
        <w:t>p</w:t>
      </w:r>
      <w:r w:rsidRPr="0001748B">
        <w:rPr>
          <w:rFonts w:eastAsia="Verdana" w:cs="Verdana"/>
          <w:spacing w:val="-1"/>
          <w:sz w:val="20"/>
          <w:szCs w:val="20"/>
        </w:rPr>
        <w:t>o</w:t>
      </w:r>
      <w:r w:rsidRPr="0001748B">
        <w:rPr>
          <w:rFonts w:eastAsia="Verdana" w:cs="Verdana"/>
          <w:sz w:val="20"/>
          <w:szCs w:val="20"/>
        </w:rPr>
        <w:t>r</w:t>
      </w:r>
      <w:r w:rsidRPr="0001748B">
        <w:rPr>
          <w:rFonts w:eastAsia="Verdana" w:cs="Verdana"/>
          <w:spacing w:val="11"/>
          <w:sz w:val="20"/>
          <w:szCs w:val="20"/>
        </w:rPr>
        <w:t xml:space="preserve"> </w:t>
      </w:r>
      <w:r w:rsidRPr="0001748B">
        <w:rPr>
          <w:rFonts w:eastAsia="Verdana" w:cs="Verdana"/>
          <w:spacing w:val="-1"/>
          <w:sz w:val="20"/>
          <w:szCs w:val="20"/>
        </w:rPr>
        <w:t>e</w:t>
      </w:r>
      <w:r w:rsidRPr="0001748B">
        <w:rPr>
          <w:rFonts w:eastAsia="Verdana" w:cs="Verdana"/>
          <w:sz w:val="20"/>
          <w:szCs w:val="20"/>
        </w:rPr>
        <w:t>l</w:t>
      </w:r>
      <w:r w:rsidRPr="0001748B">
        <w:rPr>
          <w:rFonts w:eastAsia="Verdana" w:cs="Verdana"/>
          <w:spacing w:val="18"/>
          <w:sz w:val="20"/>
          <w:szCs w:val="20"/>
        </w:rPr>
        <w:t xml:space="preserve"> </w:t>
      </w:r>
      <w:r w:rsidRPr="0001748B">
        <w:rPr>
          <w:rFonts w:eastAsia="Verdana" w:cs="Verdana"/>
          <w:spacing w:val="1"/>
          <w:sz w:val="20"/>
          <w:szCs w:val="20"/>
        </w:rPr>
        <w:t>t</w:t>
      </w:r>
      <w:r w:rsidRPr="0001748B">
        <w:rPr>
          <w:rFonts w:eastAsia="Verdana" w:cs="Verdana"/>
          <w:spacing w:val="-1"/>
          <w:sz w:val="20"/>
          <w:szCs w:val="20"/>
        </w:rPr>
        <w:t>r</w:t>
      </w:r>
      <w:r w:rsidRPr="0001748B">
        <w:rPr>
          <w:rFonts w:eastAsia="Verdana" w:cs="Verdana"/>
          <w:sz w:val="20"/>
          <w:szCs w:val="20"/>
        </w:rPr>
        <w:t>a</w:t>
      </w:r>
      <w:r w:rsidRPr="0001748B">
        <w:rPr>
          <w:rFonts w:eastAsia="Verdana" w:cs="Verdana"/>
          <w:spacing w:val="1"/>
          <w:sz w:val="20"/>
          <w:szCs w:val="20"/>
        </w:rPr>
        <w:t>n</w:t>
      </w:r>
      <w:r w:rsidRPr="0001748B">
        <w:rPr>
          <w:rFonts w:eastAsia="Verdana" w:cs="Verdana"/>
          <w:spacing w:val="-1"/>
          <w:sz w:val="20"/>
          <w:szCs w:val="20"/>
        </w:rPr>
        <w:t>sc</w:t>
      </w:r>
      <w:r w:rsidRPr="0001748B">
        <w:rPr>
          <w:rFonts w:eastAsia="Verdana" w:cs="Verdana"/>
          <w:spacing w:val="1"/>
          <w:sz w:val="20"/>
          <w:szCs w:val="20"/>
        </w:rPr>
        <w:t>u</w:t>
      </w:r>
      <w:r w:rsidRPr="0001748B">
        <w:rPr>
          <w:rFonts w:eastAsia="Verdana" w:cs="Verdana"/>
          <w:spacing w:val="-1"/>
          <w:sz w:val="20"/>
          <w:szCs w:val="20"/>
        </w:rPr>
        <w:t>rr</w:t>
      </w:r>
      <w:r w:rsidRPr="0001748B">
        <w:rPr>
          <w:rFonts w:eastAsia="Verdana" w:cs="Verdana"/>
          <w:spacing w:val="3"/>
          <w:sz w:val="20"/>
          <w:szCs w:val="20"/>
        </w:rPr>
        <w:t>i</w:t>
      </w:r>
      <w:r w:rsidRPr="0001748B">
        <w:rPr>
          <w:rFonts w:eastAsia="Verdana" w:cs="Verdana"/>
          <w:sz w:val="20"/>
          <w:szCs w:val="20"/>
        </w:rPr>
        <w:t>r</w:t>
      </w:r>
      <w:r w:rsidRPr="0001748B">
        <w:rPr>
          <w:rFonts w:eastAsia="Verdana" w:cs="Verdana"/>
          <w:spacing w:val="5"/>
          <w:sz w:val="20"/>
          <w:szCs w:val="20"/>
        </w:rPr>
        <w:t xml:space="preserve"> </w:t>
      </w:r>
      <w:r w:rsidRPr="0001748B">
        <w:rPr>
          <w:rFonts w:eastAsia="Verdana" w:cs="Verdana"/>
          <w:spacing w:val="1"/>
          <w:sz w:val="20"/>
          <w:szCs w:val="20"/>
        </w:rPr>
        <w:t>d</w:t>
      </w:r>
      <w:r w:rsidRPr="0001748B">
        <w:rPr>
          <w:rFonts w:eastAsia="Verdana" w:cs="Verdana"/>
          <w:spacing w:val="-1"/>
          <w:sz w:val="20"/>
          <w:szCs w:val="20"/>
        </w:rPr>
        <w:t>e</w:t>
      </w:r>
      <w:r w:rsidRPr="0001748B">
        <w:rPr>
          <w:rFonts w:eastAsia="Verdana" w:cs="Verdana"/>
          <w:sz w:val="20"/>
          <w:szCs w:val="20"/>
        </w:rPr>
        <w:t>l</w:t>
      </w:r>
      <w:r w:rsidRPr="0001748B">
        <w:rPr>
          <w:rFonts w:eastAsia="Verdana" w:cs="Verdana"/>
          <w:spacing w:val="16"/>
          <w:sz w:val="20"/>
          <w:szCs w:val="20"/>
        </w:rPr>
        <w:t xml:space="preserve"> </w:t>
      </w:r>
      <w:r w:rsidRPr="0001748B">
        <w:rPr>
          <w:rFonts w:eastAsia="Verdana" w:cs="Verdana"/>
          <w:spacing w:val="-2"/>
          <w:sz w:val="20"/>
          <w:szCs w:val="20"/>
        </w:rPr>
        <w:t>t</w:t>
      </w:r>
      <w:r w:rsidRPr="0001748B">
        <w:rPr>
          <w:rFonts w:eastAsia="Verdana" w:cs="Verdana"/>
          <w:spacing w:val="3"/>
          <w:sz w:val="20"/>
          <w:szCs w:val="20"/>
        </w:rPr>
        <w:t>i</w:t>
      </w:r>
      <w:r w:rsidRPr="0001748B">
        <w:rPr>
          <w:rFonts w:eastAsia="Verdana" w:cs="Verdana"/>
          <w:spacing w:val="-4"/>
          <w:sz w:val="20"/>
          <w:szCs w:val="20"/>
        </w:rPr>
        <w:t>e</w:t>
      </w:r>
      <w:r w:rsidRPr="0001748B">
        <w:rPr>
          <w:rFonts w:eastAsia="Verdana" w:cs="Verdana"/>
          <w:spacing w:val="1"/>
          <w:sz w:val="20"/>
          <w:szCs w:val="20"/>
        </w:rPr>
        <w:t>mp</w:t>
      </w:r>
      <w:r w:rsidRPr="0001748B">
        <w:rPr>
          <w:rFonts w:eastAsia="Verdana" w:cs="Verdana"/>
          <w:sz w:val="20"/>
          <w:szCs w:val="20"/>
        </w:rPr>
        <w:t>o</w:t>
      </w:r>
      <w:r w:rsidRPr="0001748B">
        <w:rPr>
          <w:rFonts w:eastAsia="Verdana" w:cs="Verdana"/>
          <w:spacing w:val="8"/>
          <w:sz w:val="20"/>
          <w:szCs w:val="20"/>
        </w:rPr>
        <w:t xml:space="preserve"> </w:t>
      </w:r>
      <w:r w:rsidRPr="0001748B">
        <w:rPr>
          <w:rFonts w:eastAsia="Verdana" w:cs="Verdana"/>
          <w:sz w:val="20"/>
          <w:szCs w:val="20"/>
        </w:rPr>
        <w:t>y</w:t>
      </w:r>
      <w:r w:rsidRPr="0001748B">
        <w:rPr>
          <w:rFonts w:eastAsia="Verdana" w:cs="Verdana"/>
          <w:spacing w:val="12"/>
          <w:sz w:val="20"/>
          <w:szCs w:val="20"/>
        </w:rPr>
        <w:t xml:space="preserve"> </w:t>
      </w:r>
      <w:r w:rsidRPr="0001748B">
        <w:rPr>
          <w:rFonts w:eastAsia="Verdana" w:cs="Verdana"/>
          <w:spacing w:val="3"/>
          <w:sz w:val="20"/>
          <w:szCs w:val="20"/>
        </w:rPr>
        <w:t>l</w:t>
      </w:r>
      <w:r w:rsidRPr="0001748B">
        <w:rPr>
          <w:rFonts w:eastAsia="Verdana" w:cs="Verdana"/>
          <w:sz w:val="20"/>
          <w:szCs w:val="20"/>
        </w:rPr>
        <w:t>a</w:t>
      </w:r>
      <w:r w:rsidRPr="0001748B">
        <w:rPr>
          <w:rFonts w:eastAsia="Verdana" w:cs="Verdana"/>
          <w:spacing w:val="12"/>
          <w:sz w:val="20"/>
          <w:szCs w:val="20"/>
        </w:rPr>
        <w:t xml:space="preserve"> </w:t>
      </w:r>
      <w:r w:rsidRPr="0001748B">
        <w:rPr>
          <w:rFonts w:eastAsia="Verdana" w:cs="Verdana"/>
          <w:spacing w:val="3"/>
          <w:sz w:val="20"/>
          <w:szCs w:val="20"/>
        </w:rPr>
        <w:t>i</w:t>
      </w:r>
      <w:r w:rsidRPr="0001748B">
        <w:rPr>
          <w:rFonts w:eastAsia="Verdana" w:cs="Verdana"/>
          <w:spacing w:val="1"/>
          <w:sz w:val="20"/>
          <w:szCs w:val="20"/>
        </w:rPr>
        <w:t>n</w:t>
      </w:r>
      <w:r w:rsidRPr="0001748B">
        <w:rPr>
          <w:rFonts w:eastAsia="Verdana" w:cs="Verdana"/>
          <w:spacing w:val="-1"/>
          <w:sz w:val="20"/>
          <w:szCs w:val="20"/>
        </w:rPr>
        <w:t>for</w:t>
      </w:r>
      <w:r w:rsidRPr="0001748B">
        <w:rPr>
          <w:rFonts w:eastAsia="Verdana" w:cs="Verdana"/>
          <w:spacing w:val="1"/>
          <w:sz w:val="20"/>
          <w:szCs w:val="20"/>
        </w:rPr>
        <w:t>m</w:t>
      </w:r>
      <w:r w:rsidRPr="0001748B">
        <w:rPr>
          <w:rFonts w:eastAsia="Verdana" w:cs="Verdana"/>
          <w:sz w:val="20"/>
          <w:szCs w:val="20"/>
        </w:rPr>
        <w:t>a</w:t>
      </w:r>
      <w:r w:rsidRPr="0001748B">
        <w:rPr>
          <w:rFonts w:eastAsia="Verdana" w:cs="Verdana"/>
          <w:spacing w:val="1"/>
          <w:sz w:val="20"/>
          <w:szCs w:val="20"/>
        </w:rPr>
        <w:t>l</w:t>
      </w:r>
      <w:r w:rsidRPr="0001748B">
        <w:rPr>
          <w:rFonts w:eastAsia="Verdana" w:cs="Verdana"/>
          <w:spacing w:val="3"/>
          <w:sz w:val="20"/>
          <w:szCs w:val="20"/>
        </w:rPr>
        <w:t>i</w:t>
      </w:r>
      <w:r w:rsidRPr="0001748B">
        <w:rPr>
          <w:rFonts w:eastAsia="Verdana" w:cs="Verdana"/>
          <w:spacing w:val="1"/>
          <w:sz w:val="20"/>
          <w:szCs w:val="20"/>
        </w:rPr>
        <w:t>d</w:t>
      </w:r>
      <w:r w:rsidRPr="0001748B">
        <w:rPr>
          <w:rFonts w:eastAsia="Verdana" w:cs="Verdana"/>
          <w:spacing w:val="-2"/>
          <w:sz w:val="20"/>
          <w:szCs w:val="20"/>
        </w:rPr>
        <w:t>a</w:t>
      </w:r>
      <w:r w:rsidRPr="0001748B">
        <w:rPr>
          <w:rFonts w:eastAsia="Verdana" w:cs="Verdana"/>
          <w:spacing w:val="1"/>
          <w:sz w:val="20"/>
          <w:szCs w:val="20"/>
        </w:rPr>
        <w:t>d</w:t>
      </w:r>
      <w:r w:rsidRPr="0001748B">
        <w:rPr>
          <w:rFonts w:eastAsia="Verdana" w:cs="Verdana"/>
          <w:sz w:val="20"/>
          <w:szCs w:val="20"/>
        </w:rPr>
        <w:t xml:space="preserve">, </w:t>
      </w:r>
      <w:r w:rsidRPr="0001748B">
        <w:rPr>
          <w:rFonts w:eastAsia="Verdana" w:cs="Verdana"/>
          <w:spacing w:val="1"/>
          <w:sz w:val="20"/>
          <w:szCs w:val="20"/>
        </w:rPr>
        <w:t>e</w:t>
      </w:r>
      <w:r w:rsidRPr="0001748B">
        <w:rPr>
          <w:rFonts w:eastAsia="Verdana" w:cs="Verdana"/>
          <w:sz w:val="20"/>
          <w:szCs w:val="20"/>
        </w:rPr>
        <w:t>s</w:t>
      </w:r>
      <w:r w:rsidRPr="0001748B">
        <w:rPr>
          <w:rFonts w:eastAsia="Verdana" w:cs="Verdana"/>
          <w:spacing w:val="11"/>
          <w:sz w:val="20"/>
          <w:szCs w:val="20"/>
        </w:rPr>
        <w:t xml:space="preserve"> </w:t>
      </w:r>
      <w:r w:rsidRPr="0001748B">
        <w:rPr>
          <w:rFonts w:eastAsia="Verdana" w:cs="Verdana"/>
          <w:spacing w:val="3"/>
          <w:sz w:val="20"/>
          <w:szCs w:val="20"/>
        </w:rPr>
        <w:t>i</w:t>
      </w:r>
      <w:r w:rsidRPr="0001748B">
        <w:rPr>
          <w:rFonts w:eastAsia="Verdana" w:cs="Verdana"/>
          <w:spacing w:val="1"/>
          <w:sz w:val="20"/>
          <w:szCs w:val="20"/>
        </w:rPr>
        <w:t>mp</w:t>
      </w:r>
      <w:r w:rsidRPr="0001748B">
        <w:rPr>
          <w:rFonts w:eastAsia="Verdana" w:cs="Verdana"/>
          <w:spacing w:val="-1"/>
          <w:sz w:val="20"/>
          <w:szCs w:val="20"/>
        </w:rPr>
        <w:t>os</w:t>
      </w:r>
      <w:r w:rsidRPr="0001748B">
        <w:rPr>
          <w:rFonts w:eastAsia="Verdana" w:cs="Verdana"/>
          <w:spacing w:val="3"/>
          <w:sz w:val="20"/>
          <w:szCs w:val="20"/>
        </w:rPr>
        <w:t>i</w:t>
      </w:r>
      <w:r w:rsidRPr="0001748B">
        <w:rPr>
          <w:rFonts w:eastAsia="Verdana" w:cs="Verdana"/>
          <w:spacing w:val="1"/>
          <w:sz w:val="20"/>
          <w:szCs w:val="20"/>
        </w:rPr>
        <w:t>b</w:t>
      </w:r>
      <w:r w:rsidRPr="0001748B">
        <w:rPr>
          <w:rFonts w:eastAsia="Verdana" w:cs="Verdana"/>
          <w:spacing w:val="3"/>
          <w:sz w:val="20"/>
          <w:szCs w:val="20"/>
        </w:rPr>
        <w:t>l</w:t>
      </w:r>
      <w:r w:rsidRPr="0001748B">
        <w:rPr>
          <w:rFonts w:eastAsia="Verdana" w:cs="Verdana"/>
          <w:sz w:val="20"/>
          <w:szCs w:val="20"/>
        </w:rPr>
        <w:t>e</w:t>
      </w:r>
      <w:r w:rsidRPr="0001748B">
        <w:rPr>
          <w:rFonts w:eastAsia="Verdana" w:cs="Verdana"/>
          <w:spacing w:val="3"/>
          <w:sz w:val="20"/>
          <w:szCs w:val="20"/>
        </w:rPr>
        <w:t xml:space="preserve"> </w:t>
      </w:r>
      <w:r w:rsidRPr="0001748B">
        <w:rPr>
          <w:rFonts w:eastAsia="Verdana" w:cs="Verdana"/>
          <w:spacing w:val="1"/>
          <w:sz w:val="20"/>
          <w:szCs w:val="20"/>
        </w:rPr>
        <w:t>qu</w:t>
      </w:r>
      <w:r w:rsidRPr="0001748B">
        <w:rPr>
          <w:rFonts w:eastAsia="Verdana" w:cs="Verdana"/>
          <w:sz w:val="20"/>
          <w:szCs w:val="20"/>
        </w:rPr>
        <w:t>e</w:t>
      </w:r>
      <w:r w:rsidRPr="0001748B">
        <w:rPr>
          <w:rFonts w:eastAsia="Verdana" w:cs="Verdana"/>
          <w:spacing w:val="9"/>
          <w:sz w:val="20"/>
          <w:szCs w:val="20"/>
        </w:rPr>
        <w:t xml:space="preserve"> </w:t>
      </w:r>
      <w:r w:rsidRPr="0001748B">
        <w:rPr>
          <w:rFonts w:eastAsia="Verdana" w:cs="Verdana"/>
          <w:spacing w:val="2"/>
          <w:sz w:val="20"/>
          <w:szCs w:val="20"/>
        </w:rPr>
        <w:t>s</w:t>
      </w:r>
      <w:r w:rsidRPr="0001748B">
        <w:rPr>
          <w:rFonts w:eastAsia="Verdana" w:cs="Verdana"/>
          <w:spacing w:val="-1"/>
          <w:sz w:val="20"/>
          <w:szCs w:val="20"/>
        </w:rPr>
        <w:t>e</w:t>
      </w:r>
      <w:r w:rsidRPr="0001748B">
        <w:rPr>
          <w:rFonts w:eastAsia="Verdana" w:cs="Verdana"/>
          <w:sz w:val="20"/>
          <w:szCs w:val="20"/>
        </w:rPr>
        <w:t xml:space="preserve">an </w:t>
      </w:r>
      <w:r w:rsidRPr="0001748B">
        <w:rPr>
          <w:rFonts w:eastAsia="Verdana" w:cs="Verdana"/>
          <w:spacing w:val="1"/>
          <w:sz w:val="20"/>
          <w:szCs w:val="20"/>
        </w:rPr>
        <w:t>d</w:t>
      </w:r>
      <w:r w:rsidRPr="0001748B">
        <w:rPr>
          <w:rFonts w:eastAsia="Verdana" w:cs="Verdana"/>
          <w:spacing w:val="-1"/>
          <w:sz w:val="20"/>
          <w:szCs w:val="20"/>
        </w:rPr>
        <w:t>e</w:t>
      </w:r>
      <w:r w:rsidRPr="0001748B">
        <w:rPr>
          <w:rFonts w:eastAsia="Verdana" w:cs="Verdana"/>
          <w:spacing w:val="1"/>
          <w:sz w:val="20"/>
          <w:szCs w:val="20"/>
        </w:rPr>
        <w:t>t</w:t>
      </w:r>
      <w:r w:rsidRPr="0001748B">
        <w:rPr>
          <w:rFonts w:eastAsia="Verdana" w:cs="Verdana"/>
          <w:sz w:val="20"/>
          <w:szCs w:val="20"/>
        </w:rPr>
        <w:t>a</w:t>
      </w:r>
      <w:r w:rsidRPr="0001748B">
        <w:rPr>
          <w:rFonts w:eastAsia="Verdana" w:cs="Verdana"/>
          <w:spacing w:val="1"/>
          <w:sz w:val="20"/>
          <w:szCs w:val="20"/>
        </w:rPr>
        <w:t>l</w:t>
      </w:r>
      <w:r w:rsidRPr="0001748B">
        <w:rPr>
          <w:rFonts w:eastAsia="Verdana" w:cs="Verdana"/>
          <w:spacing w:val="3"/>
          <w:sz w:val="20"/>
          <w:szCs w:val="20"/>
        </w:rPr>
        <w:t>l</w:t>
      </w:r>
      <w:r w:rsidRPr="0001748B">
        <w:rPr>
          <w:rFonts w:eastAsia="Verdana" w:cs="Verdana"/>
          <w:sz w:val="20"/>
          <w:szCs w:val="20"/>
        </w:rPr>
        <w:t>a</w:t>
      </w:r>
      <w:r w:rsidRPr="0001748B">
        <w:rPr>
          <w:rFonts w:eastAsia="Verdana" w:cs="Verdana"/>
          <w:spacing w:val="1"/>
          <w:sz w:val="20"/>
          <w:szCs w:val="20"/>
        </w:rPr>
        <w:t>d</w:t>
      </w:r>
      <w:r w:rsidRPr="0001748B">
        <w:rPr>
          <w:rFonts w:eastAsia="Verdana" w:cs="Verdana"/>
          <w:sz w:val="20"/>
          <w:szCs w:val="20"/>
        </w:rPr>
        <w:t>a</w:t>
      </w:r>
      <w:r w:rsidRPr="0001748B">
        <w:rPr>
          <w:rFonts w:eastAsia="Verdana" w:cs="Verdana"/>
          <w:spacing w:val="1"/>
          <w:sz w:val="20"/>
          <w:szCs w:val="20"/>
        </w:rPr>
        <w:t>m</w:t>
      </w:r>
      <w:r w:rsidRPr="0001748B">
        <w:rPr>
          <w:rFonts w:eastAsia="Verdana" w:cs="Verdana"/>
          <w:spacing w:val="-1"/>
          <w:sz w:val="20"/>
          <w:szCs w:val="20"/>
        </w:rPr>
        <w:t>e</w:t>
      </w:r>
      <w:r w:rsidRPr="0001748B">
        <w:rPr>
          <w:rFonts w:eastAsia="Verdana" w:cs="Verdana"/>
          <w:spacing w:val="1"/>
          <w:sz w:val="20"/>
          <w:szCs w:val="20"/>
        </w:rPr>
        <w:t>nt</w:t>
      </w:r>
      <w:r w:rsidRPr="0001748B">
        <w:rPr>
          <w:rFonts w:eastAsia="Verdana" w:cs="Verdana"/>
          <w:sz w:val="20"/>
          <w:szCs w:val="20"/>
        </w:rPr>
        <w:t xml:space="preserve">e </w:t>
      </w:r>
      <w:r w:rsidRPr="0001748B">
        <w:rPr>
          <w:rFonts w:eastAsia="Verdana" w:cs="Verdana"/>
          <w:spacing w:val="-1"/>
          <w:sz w:val="20"/>
          <w:szCs w:val="20"/>
        </w:rPr>
        <w:t>c</w:t>
      </w:r>
      <w:r w:rsidRPr="0001748B">
        <w:rPr>
          <w:rFonts w:eastAsia="Verdana" w:cs="Verdana"/>
          <w:spacing w:val="1"/>
          <w:sz w:val="20"/>
          <w:szCs w:val="20"/>
        </w:rPr>
        <w:t>u</w:t>
      </w:r>
      <w:r w:rsidRPr="0001748B">
        <w:rPr>
          <w:rFonts w:eastAsia="Verdana" w:cs="Verdana"/>
          <w:sz w:val="20"/>
          <w:szCs w:val="20"/>
        </w:rPr>
        <w:t>a</w:t>
      </w:r>
      <w:r w:rsidRPr="0001748B">
        <w:rPr>
          <w:rFonts w:eastAsia="Verdana" w:cs="Verdana"/>
          <w:spacing w:val="1"/>
          <w:sz w:val="20"/>
          <w:szCs w:val="20"/>
        </w:rPr>
        <w:t>nt</w:t>
      </w:r>
      <w:r w:rsidRPr="0001748B">
        <w:rPr>
          <w:rFonts w:eastAsia="Verdana" w:cs="Verdana"/>
          <w:spacing w:val="3"/>
          <w:sz w:val="20"/>
          <w:szCs w:val="20"/>
        </w:rPr>
        <w:t>i</w:t>
      </w:r>
      <w:r w:rsidRPr="0001748B">
        <w:rPr>
          <w:rFonts w:eastAsia="Verdana" w:cs="Verdana"/>
          <w:spacing w:val="-3"/>
          <w:sz w:val="20"/>
          <w:szCs w:val="20"/>
        </w:rPr>
        <w:t>f</w:t>
      </w:r>
      <w:r w:rsidRPr="0001748B">
        <w:rPr>
          <w:rFonts w:eastAsia="Verdana" w:cs="Verdana"/>
          <w:spacing w:val="1"/>
          <w:sz w:val="20"/>
          <w:szCs w:val="20"/>
        </w:rPr>
        <w:t>i</w:t>
      </w:r>
      <w:r w:rsidRPr="0001748B">
        <w:rPr>
          <w:rFonts w:eastAsia="Verdana" w:cs="Verdana"/>
          <w:spacing w:val="-1"/>
          <w:sz w:val="20"/>
          <w:szCs w:val="20"/>
        </w:rPr>
        <w:t>c</w:t>
      </w:r>
      <w:r w:rsidRPr="0001748B">
        <w:rPr>
          <w:rFonts w:eastAsia="Verdana" w:cs="Verdana"/>
          <w:sz w:val="20"/>
          <w:szCs w:val="20"/>
        </w:rPr>
        <w:t>a</w:t>
      </w:r>
      <w:r w:rsidRPr="0001748B">
        <w:rPr>
          <w:rFonts w:eastAsia="Verdana" w:cs="Verdana"/>
          <w:spacing w:val="1"/>
          <w:sz w:val="20"/>
          <w:szCs w:val="20"/>
        </w:rPr>
        <w:t>d</w:t>
      </w:r>
      <w:r w:rsidRPr="0001748B">
        <w:rPr>
          <w:rFonts w:eastAsia="Verdana" w:cs="Verdana"/>
          <w:spacing w:val="-1"/>
          <w:sz w:val="20"/>
          <w:szCs w:val="20"/>
        </w:rPr>
        <w:t>o</w:t>
      </w:r>
      <w:r w:rsidRPr="0001748B">
        <w:rPr>
          <w:rFonts w:eastAsia="Verdana" w:cs="Verdana"/>
          <w:spacing w:val="2"/>
          <w:sz w:val="20"/>
          <w:szCs w:val="20"/>
        </w:rPr>
        <w:t>s</w:t>
      </w:r>
      <w:r w:rsidRPr="0001748B">
        <w:rPr>
          <w:rFonts w:eastAsia="Verdana" w:cs="Verdana"/>
          <w:sz w:val="20"/>
          <w:szCs w:val="20"/>
        </w:rPr>
        <w:t>,</w:t>
      </w:r>
      <w:r w:rsidRPr="0001748B">
        <w:rPr>
          <w:rFonts w:eastAsia="Verdana" w:cs="Verdana"/>
          <w:spacing w:val="2"/>
          <w:sz w:val="20"/>
          <w:szCs w:val="20"/>
        </w:rPr>
        <w:t xml:space="preserve"> </w:t>
      </w:r>
      <w:r w:rsidRPr="0001748B">
        <w:rPr>
          <w:rFonts w:eastAsia="Verdana" w:cs="Verdana"/>
          <w:spacing w:val="1"/>
          <w:sz w:val="20"/>
          <w:szCs w:val="20"/>
        </w:rPr>
        <w:t>pe</w:t>
      </w:r>
      <w:r w:rsidRPr="0001748B">
        <w:rPr>
          <w:rFonts w:eastAsia="Verdana" w:cs="Verdana"/>
          <w:spacing w:val="-1"/>
          <w:sz w:val="20"/>
          <w:szCs w:val="20"/>
        </w:rPr>
        <w:t>r</w:t>
      </w:r>
      <w:r w:rsidRPr="0001748B">
        <w:rPr>
          <w:rFonts w:eastAsia="Verdana" w:cs="Verdana"/>
          <w:sz w:val="20"/>
          <w:szCs w:val="20"/>
        </w:rPr>
        <w:t>o</w:t>
      </w:r>
      <w:r w:rsidRPr="0001748B">
        <w:rPr>
          <w:rFonts w:eastAsia="Verdana" w:cs="Verdana"/>
          <w:spacing w:val="11"/>
          <w:sz w:val="20"/>
          <w:szCs w:val="20"/>
        </w:rPr>
        <w:t xml:space="preserve"> </w:t>
      </w:r>
      <w:r w:rsidRPr="0001748B">
        <w:rPr>
          <w:rFonts w:eastAsia="Verdana" w:cs="Verdana"/>
          <w:spacing w:val="-1"/>
          <w:sz w:val="20"/>
          <w:szCs w:val="20"/>
        </w:rPr>
        <w:t>s</w:t>
      </w:r>
      <w:r w:rsidRPr="0001748B">
        <w:rPr>
          <w:rFonts w:eastAsia="Verdana" w:cs="Verdana"/>
          <w:spacing w:val="3"/>
          <w:sz w:val="20"/>
          <w:szCs w:val="20"/>
        </w:rPr>
        <w:t>i</w:t>
      </w:r>
      <w:r w:rsidRPr="0001748B">
        <w:rPr>
          <w:rFonts w:eastAsia="Verdana" w:cs="Verdana"/>
          <w:spacing w:val="1"/>
          <w:sz w:val="20"/>
          <w:szCs w:val="20"/>
        </w:rPr>
        <w:t>gu</w:t>
      </w:r>
      <w:r w:rsidRPr="0001748B">
        <w:rPr>
          <w:rFonts w:eastAsia="Verdana" w:cs="Verdana"/>
          <w:spacing w:val="3"/>
          <w:sz w:val="20"/>
          <w:szCs w:val="20"/>
        </w:rPr>
        <w:t>i</w:t>
      </w:r>
      <w:r w:rsidRPr="0001748B">
        <w:rPr>
          <w:rFonts w:eastAsia="Verdana" w:cs="Verdana"/>
          <w:spacing w:val="-1"/>
          <w:sz w:val="20"/>
          <w:szCs w:val="20"/>
        </w:rPr>
        <w:t>e</w:t>
      </w:r>
      <w:r w:rsidRPr="0001748B">
        <w:rPr>
          <w:rFonts w:eastAsia="Verdana" w:cs="Verdana"/>
          <w:spacing w:val="1"/>
          <w:sz w:val="20"/>
          <w:szCs w:val="20"/>
        </w:rPr>
        <w:t>nd</w:t>
      </w:r>
      <w:r w:rsidRPr="0001748B">
        <w:rPr>
          <w:rFonts w:eastAsia="Verdana" w:cs="Verdana"/>
          <w:sz w:val="20"/>
          <w:szCs w:val="20"/>
        </w:rPr>
        <w:t>o</w:t>
      </w:r>
      <w:r w:rsidRPr="0001748B">
        <w:rPr>
          <w:rFonts w:eastAsia="Verdana" w:cs="Verdana"/>
          <w:spacing w:val="6"/>
          <w:sz w:val="20"/>
          <w:szCs w:val="20"/>
        </w:rPr>
        <w:t xml:space="preserve"> </w:t>
      </w:r>
      <w:r w:rsidRPr="0001748B">
        <w:rPr>
          <w:rFonts w:eastAsia="Verdana" w:cs="Verdana"/>
          <w:spacing w:val="3"/>
          <w:sz w:val="20"/>
          <w:szCs w:val="20"/>
        </w:rPr>
        <w:t>l</w:t>
      </w:r>
      <w:r w:rsidRPr="0001748B">
        <w:rPr>
          <w:rFonts w:eastAsia="Verdana" w:cs="Verdana"/>
          <w:sz w:val="20"/>
          <w:szCs w:val="20"/>
        </w:rPr>
        <w:t>a</w:t>
      </w:r>
      <w:r w:rsidRPr="0001748B">
        <w:rPr>
          <w:rFonts w:eastAsia="Verdana" w:cs="Verdana"/>
          <w:spacing w:val="10"/>
          <w:sz w:val="20"/>
          <w:szCs w:val="20"/>
        </w:rPr>
        <w:t xml:space="preserve"> </w:t>
      </w:r>
      <w:r w:rsidRPr="0001748B">
        <w:rPr>
          <w:rFonts w:eastAsia="Verdana" w:cs="Verdana"/>
          <w:spacing w:val="1"/>
          <w:sz w:val="20"/>
          <w:szCs w:val="20"/>
        </w:rPr>
        <w:t>l</w:t>
      </w:r>
      <w:r w:rsidRPr="0001748B">
        <w:rPr>
          <w:rFonts w:eastAsia="Verdana" w:cs="Verdana"/>
          <w:spacing w:val="3"/>
          <w:sz w:val="20"/>
          <w:szCs w:val="20"/>
        </w:rPr>
        <w:t>í</w:t>
      </w:r>
      <w:r w:rsidRPr="0001748B">
        <w:rPr>
          <w:rFonts w:eastAsia="Verdana" w:cs="Verdana"/>
          <w:spacing w:val="1"/>
          <w:sz w:val="20"/>
          <w:szCs w:val="20"/>
        </w:rPr>
        <w:t>n</w:t>
      </w:r>
      <w:r w:rsidRPr="0001748B">
        <w:rPr>
          <w:rFonts w:eastAsia="Verdana" w:cs="Verdana"/>
          <w:spacing w:val="-1"/>
          <w:sz w:val="20"/>
          <w:szCs w:val="20"/>
        </w:rPr>
        <w:t>e</w:t>
      </w:r>
      <w:r w:rsidRPr="0001748B">
        <w:rPr>
          <w:rFonts w:eastAsia="Verdana" w:cs="Verdana"/>
          <w:sz w:val="20"/>
          <w:szCs w:val="20"/>
        </w:rPr>
        <w:t>a</w:t>
      </w:r>
      <w:r w:rsidRPr="0001748B">
        <w:rPr>
          <w:rFonts w:eastAsia="Verdana" w:cs="Verdana"/>
          <w:spacing w:val="12"/>
          <w:sz w:val="20"/>
          <w:szCs w:val="20"/>
        </w:rPr>
        <w:t xml:space="preserve"> </w:t>
      </w:r>
      <w:r w:rsidRPr="0001748B">
        <w:rPr>
          <w:rFonts w:eastAsia="Verdana" w:cs="Verdana"/>
          <w:spacing w:val="1"/>
          <w:sz w:val="20"/>
          <w:szCs w:val="20"/>
        </w:rPr>
        <w:t>ju</w:t>
      </w:r>
      <w:r w:rsidRPr="0001748B">
        <w:rPr>
          <w:rFonts w:eastAsia="Verdana" w:cs="Verdana"/>
          <w:spacing w:val="-3"/>
          <w:sz w:val="20"/>
          <w:szCs w:val="20"/>
        </w:rPr>
        <w:t>r</w:t>
      </w:r>
      <w:r w:rsidRPr="0001748B">
        <w:rPr>
          <w:rFonts w:eastAsia="Verdana" w:cs="Verdana"/>
          <w:spacing w:val="3"/>
          <w:sz w:val="20"/>
          <w:szCs w:val="20"/>
        </w:rPr>
        <w:t>i</w:t>
      </w:r>
      <w:r w:rsidRPr="0001748B">
        <w:rPr>
          <w:rFonts w:eastAsia="Verdana" w:cs="Verdana"/>
          <w:spacing w:val="-1"/>
          <w:sz w:val="20"/>
          <w:szCs w:val="20"/>
        </w:rPr>
        <w:t>s</w:t>
      </w:r>
      <w:r w:rsidRPr="0001748B">
        <w:rPr>
          <w:rFonts w:eastAsia="Verdana" w:cs="Verdana"/>
          <w:spacing w:val="1"/>
          <w:sz w:val="20"/>
          <w:szCs w:val="20"/>
        </w:rPr>
        <w:t>p</w:t>
      </w:r>
      <w:r w:rsidRPr="0001748B">
        <w:rPr>
          <w:rFonts w:eastAsia="Verdana" w:cs="Verdana"/>
          <w:spacing w:val="-1"/>
          <w:sz w:val="20"/>
          <w:szCs w:val="20"/>
        </w:rPr>
        <w:t>r</w:t>
      </w:r>
      <w:r w:rsidRPr="0001748B">
        <w:rPr>
          <w:rFonts w:eastAsia="Verdana" w:cs="Verdana"/>
          <w:spacing w:val="1"/>
          <w:sz w:val="20"/>
          <w:szCs w:val="20"/>
        </w:rPr>
        <w:t>ud</w:t>
      </w:r>
      <w:r w:rsidRPr="0001748B">
        <w:rPr>
          <w:rFonts w:eastAsia="Verdana" w:cs="Verdana"/>
          <w:spacing w:val="-1"/>
          <w:sz w:val="20"/>
          <w:szCs w:val="20"/>
        </w:rPr>
        <w:t>e</w:t>
      </w:r>
      <w:r w:rsidRPr="0001748B">
        <w:rPr>
          <w:rFonts w:eastAsia="Verdana" w:cs="Verdana"/>
          <w:spacing w:val="1"/>
          <w:sz w:val="20"/>
          <w:szCs w:val="20"/>
        </w:rPr>
        <w:t>n</w:t>
      </w:r>
      <w:r w:rsidRPr="0001748B">
        <w:rPr>
          <w:rFonts w:eastAsia="Verdana" w:cs="Verdana"/>
          <w:spacing w:val="-1"/>
          <w:sz w:val="20"/>
          <w:szCs w:val="20"/>
        </w:rPr>
        <w:t>c</w:t>
      </w:r>
      <w:r w:rsidRPr="0001748B">
        <w:rPr>
          <w:rFonts w:eastAsia="Verdana" w:cs="Verdana"/>
          <w:spacing w:val="1"/>
          <w:sz w:val="20"/>
          <w:szCs w:val="20"/>
        </w:rPr>
        <w:t>i</w:t>
      </w:r>
      <w:r w:rsidRPr="0001748B">
        <w:rPr>
          <w:rFonts w:eastAsia="Verdana" w:cs="Verdana"/>
          <w:sz w:val="20"/>
          <w:szCs w:val="20"/>
        </w:rPr>
        <w:t>al</w:t>
      </w:r>
      <w:r w:rsidRPr="0001748B">
        <w:rPr>
          <w:rFonts w:eastAsia="Verdana" w:cs="Verdana"/>
          <w:spacing w:val="5"/>
          <w:sz w:val="20"/>
          <w:szCs w:val="20"/>
        </w:rPr>
        <w:t xml:space="preserve"> </w:t>
      </w:r>
      <w:r w:rsidRPr="0001748B">
        <w:rPr>
          <w:rFonts w:eastAsia="Verdana" w:cs="Verdana"/>
          <w:spacing w:val="1"/>
          <w:sz w:val="20"/>
          <w:szCs w:val="20"/>
        </w:rPr>
        <w:t>d</w:t>
      </w:r>
      <w:r w:rsidRPr="0001748B">
        <w:rPr>
          <w:rFonts w:eastAsia="Verdana" w:cs="Verdana"/>
          <w:sz w:val="20"/>
          <w:szCs w:val="20"/>
        </w:rPr>
        <w:t>e</w:t>
      </w:r>
      <w:r w:rsidRPr="0001748B">
        <w:rPr>
          <w:rFonts w:eastAsia="Verdana" w:cs="Verdana"/>
          <w:spacing w:val="13"/>
          <w:sz w:val="20"/>
          <w:szCs w:val="20"/>
        </w:rPr>
        <w:t xml:space="preserve"> </w:t>
      </w:r>
      <w:r w:rsidRPr="0001748B">
        <w:rPr>
          <w:rFonts w:eastAsia="Verdana" w:cs="Verdana"/>
          <w:spacing w:val="-1"/>
          <w:sz w:val="20"/>
          <w:szCs w:val="20"/>
        </w:rPr>
        <w:t>es</w:t>
      </w:r>
      <w:r w:rsidRPr="0001748B">
        <w:rPr>
          <w:rFonts w:eastAsia="Verdana" w:cs="Verdana"/>
          <w:spacing w:val="1"/>
          <w:sz w:val="20"/>
          <w:szCs w:val="20"/>
        </w:rPr>
        <w:t>t</w:t>
      </w:r>
      <w:r w:rsidRPr="0001748B">
        <w:rPr>
          <w:rFonts w:eastAsia="Verdana" w:cs="Verdana"/>
          <w:sz w:val="20"/>
          <w:szCs w:val="20"/>
        </w:rPr>
        <w:t>a</w:t>
      </w:r>
      <w:r w:rsidRPr="0001748B">
        <w:rPr>
          <w:rFonts w:eastAsia="Verdana" w:cs="Verdana"/>
          <w:spacing w:val="12"/>
          <w:sz w:val="20"/>
          <w:szCs w:val="20"/>
        </w:rPr>
        <w:t xml:space="preserve"> </w:t>
      </w:r>
      <w:r w:rsidRPr="0001748B">
        <w:rPr>
          <w:rFonts w:eastAsia="Verdana" w:cs="Verdana"/>
          <w:sz w:val="20"/>
          <w:szCs w:val="20"/>
        </w:rPr>
        <w:t>C</w:t>
      </w:r>
      <w:r w:rsidRPr="0001748B">
        <w:rPr>
          <w:rFonts w:eastAsia="Verdana" w:cs="Verdana"/>
          <w:spacing w:val="-1"/>
          <w:sz w:val="20"/>
          <w:szCs w:val="20"/>
        </w:rPr>
        <w:t>or</w:t>
      </w:r>
      <w:r w:rsidRPr="0001748B">
        <w:rPr>
          <w:rFonts w:eastAsia="Verdana" w:cs="Verdana"/>
          <w:spacing w:val="1"/>
          <w:sz w:val="20"/>
          <w:szCs w:val="20"/>
        </w:rPr>
        <w:t>te</w:t>
      </w:r>
      <w:r w:rsidRPr="0001748B">
        <w:rPr>
          <w:rFonts w:eastAsia="Verdana" w:cs="Verdana"/>
          <w:sz w:val="20"/>
          <w:szCs w:val="20"/>
        </w:rPr>
        <w:t>,</w:t>
      </w:r>
      <w:r w:rsidRPr="0001748B">
        <w:rPr>
          <w:rFonts w:eastAsia="Verdana" w:cs="Verdana"/>
          <w:spacing w:val="9"/>
          <w:sz w:val="20"/>
          <w:szCs w:val="20"/>
        </w:rPr>
        <w:t xml:space="preserve"> </w:t>
      </w:r>
      <w:r w:rsidRPr="0001748B">
        <w:rPr>
          <w:rFonts w:eastAsia="Verdana" w:cs="Verdana"/>
          <w:spacing w:val="1"/>
          <w:sz w:val="20"/>
          <w:szCs w:val="20"/>
        </w:rPr>
        <w:t>p</w:t>
      </w:r>
      <w:r w:rsidRPr="0001748B">
        <w:rPr>
          <w:rFonts w:eastAsia="Verdana" w:cs="Verdana"/>
          <w:spacing w:val="-1"/>
          <w:sz w:val="20"/>
          <w:szCs w:val="20"/>
        </w:rPr>
        <w:t>o</w:t>
      </w:r>
      <w:r w:rsidRPr="0001748B">
        <w:rPr>
          <w:rFonts w:eastAsia="Verdana" w:cs="Verdana"/>
          <w:spacing w:val="3"/>
          <w:sz w:val="20"/>
          <w:szCs w:val="20"/>
        </w:rPr>
        <w:t>d</w:t>
      </w:r>
      <w:r w:rsidRPr="0001748B">
        <w:rPr>
          <w:rFonts w:eastAsia="Verdana" w:cs="Verdana"/>
          <w:spacing w:val="-1"/>
          <w:sz w:val="20"/>
          <w:szCs w:val="20"/>
        </w:rPr>
        <w:t>[ían]</w:t>
      </w:r>
      <w:r w:rsidRPr="0001748B">
        <w:rPr>
          <w:rFonts w:eastAsia="Verdana" w:cs="Verdana"/>
          <w:sz w:val="20"/>
          <w:szCs w:val="20"/>
        </w:rPr>
        <w:t xml:space="preserve"> a</w:t>
      </w:r>
      <w:r w:rsidRPr="0001748B">
        <w:rPr>
          <w:rFonts w:eastAsia="Verdana" w:cs="Verdana"/>
          <w:spacing w:val="-1"/>
          <w:sz w:val="20"/>
          <w:szCs w:val="20"/>
        </w:rPr>
        <w:t>f</w:t>
      </w:r>
      <w:r w:rsidRPr="0001748B">
        <w:rPr>
          <w:rFonts w:eastAsia="Verdana" w:cs="Verdana"/>
          <w:spacing w:val="3"/>
          <w:sz w:val="20"/>
          <w:szCs w:val="20"/>
        </w:rPr>
        <w:t>i</w:t>
      </w:r>
      <w:r w:rsidRPr="0001748B">
        <w:rPr>
          <w:rFonts w:eastAsia="Verdana" w:cs="Verdana"/>
          <w:spacing w:val="-1"/>
          <w:sz w:val="20"/>
          <w:szCs w:val="20"/>
        </w:rPr>
        <w:t>r</w:t>
      </w:r>
      <w:r w:rsidRPr="0001748B">
        <w:rPr>
          <w:rFonts w:eastAsia="Verdana" w:cs="Verdana"/>
          <w:spacing w:val="1"/>
          <w:sz w:val="20"/>
          <w:szCs w:val="20"/>
        </w:rPr>
        <w:t>m</w:t>
      </w:r>
      <w:r w:rsidRPr="0001748B">
        <w:rPr>
          <w:rFonts w:eastAsia="Verdana" w:cs="Verdana"/>
          <w:sz w:val="20"/>
          <w:szCs w:val="20"/>
        </w:rPr>
        <w:t>ar</w:t>
      </w:r>
      <w:r w:rsidRPr="0001748B">
        <w:rPr>
          <w:rFonts w:eastAsia="Verdana" w:cs="Verdana"/>
          <w:spacing w:val="7"/>
          <w:sz w:val="20"/>
          <w:szCs w:val="20"/>
        </w:rPr>
        <w:t xml:space="preserve"> </w:t>
      </w:r>
      <w:r w:rsidRPr="0001748B">
        <w:rPr>
          <w:rFonts w:eastAsia="Verdana" w:cs="Verdana"/>
          <w:spacing w:val="1"/>
          <w:sz w:val="20"/>
          <w:szCs w:val="20"/>
        </w:rPr>
        <w:t>qu</w:t>
      </w:r>
      <w:r w:rsidRPr="0001748B">
        <w:rPr>
          <w:rFonts w:eastAsia="Verdana" w:cs="Verdana"/>
          <w:sz w:val="20"/>
          <w:szCs w:val="20"/>
        </w:rPr>
        <w:t>e</w:t>
      </w:r>
      <w:r w:rsidRPr="0001748B">
        <w:rPr>
          <w:rFonts w:eastAsia="Verdana" w:cs="Verdana"/>
          <w:spacing w:val="10"/>
          <w:sz w:val="20"/>
          <w:szCs w:val="20"/>
        </w:rPr>
        <w:t xml:space="preserve"> </w:t>
      </w:r>
      <w:r w:rsidRPr="0001748B">
        <w:rPr>
          <w:rFonts w:eastAsia="Verdana" w:cs="Verdana"/>
          <w:spacing w:val="3"/>
          <w:sz w:val="20"/>
          <w:szCs w:val="20"/>
        </w:rPr>
        <w:t>l</w:t>
      </w:r>
      <w:r w:rsidRPr="0001748B">
        <w:rPr>
          <w:rFonts w:eastAsia="Verdana" w:cs="Verdana"/>
          <w:sz w:val="20"/>
          <w:szCs w:val="20"/>
        </w:rPr>
        <w:t>a</w:t>
      </w:r>
      <w:r w:rsidRPr="0001748B">
        <w:rPr>
          <w:rFonts w:eastAsia="Verdana" w:cs="Verdana"/>
          <w:spacing w:val="13"/>
          <w:sz w:val="20"/>
          <w:szCs w:val="20"/>
        </w:rPr>
        <w:t xml:space="preserve"> </w:t>
      </w:r>
      <w:r w:rsidRPr="0001748B">
        <w:rPr>
          <w:rFonts w:eastAsia="Verdana" w:cs="Verdana"/>
          <w:spacing w:val="-1"/>
          <w:sz w:val="20"/>
          <w:szCs w:val="20"/>
        </w:rPr>
        <w:t>f</w:t>
      </w:r>
      <w:r w:rsidRPr="0001748B">
        <w:rPr>
          <w:rFonts w:eastAsia="Verdana" w:cs="Verdana"/>
          <w:sz w:val="20"/>
          <w:szCs w:val="20"/>
        </w:rPr>
        <w:t>a</w:t>
      </w:r>
      <w:r w:rsidRPr="0001748B">
        <w:rPr>
          <w:rFonts w:eastAsia="Verdana" w:cs="Verdana"/>
          <w:spacing w:val="3"/>
          <w:sz w:val="20"/>
          <w:szCs w:val="20"/>
        </w:rPr>
        <w:t>l</w:t>
      </w:r>
      <w:r w:rsidRPr="0001748B">
        <w:rPr>
          <w:rFonts w:eastAsia="Verdana" w:cs="Verdana"/>
          <w:spacing w:val="1"/>
          <w:sz w:val="20"/>
          <w:szCs w:val="20"/>
        </w:rPr>
        <w:t>t</w:t>
      </w:r>
      <w:r w:rsidRPr="0001748B">
        <w:rPr>
          <w:rFonts w:eastAsia="Verdana" w:cs="Verdana"/>
          <w:sz w:val="20"/>
          <w:szCs w:val="20"/>
        </w:rPr>
        <w:t>a</w:t>
      </w:r>
      <w:r w:rsidRPr="0001748B">
        <w:rPr>
          <w:rFonts w:eastAsia="Verdana" w:cs="Verdana"/>
          <w:spacing w:val="11"/>
          <w:sz w:val="20"/>
          <w:szCs w:val="20"/>
        </w:rPr>
        <w:t xml:space="preserve"> </w:t>
      </w:r>
      <w:r w:rsidRPr="0001748B">
        <w:rPr>
          <w:rFonts w:eastAsia="Verdana" w:cs="Verdana"/>
          <w:spacing w:val="1"/>
          <w:sz w:val="20"/>
          <w:szCs w:val="20"/>
        </w:rPr>
        <w:t>d</w:t>
      </w:r>
      <w:r w:rsidRPr="0001748B">
        <w:rPr>
          <w:rFonts w:eastAsia="Verdana" w:cs="Verdana"/>
          <w:sz w:val="20"/>
          <w:szCs w:val="20"/>
        </w:rPr>
        <w:t>e</w:t>
      </w:r>
      <w:r w:rsidRPr="0001748B">
        <w:rPr>
          <w:rFonts w:eastAsia="Verdana" w:cs="Verdana"/>
          <w:spacing w:val="11"/>
          <w:sz w:val="20"/>
          <w:szCs w:val="20"/>
        </w:rPr>
        <w:t xml:space="preserve"> </w:t>
      </w:r>
      <w:r w:rsidRPr="0001748B">
        <w:rPr>
          <w:rFonts w:eastAsia="Verdana" w:cs="Verdana"/>
          <w:spacing w:val="-1"/>
          <w:sz w:val="20"/>
          <w:szCs w:val="20"/>
        </w:rPr>
        <w:t>co</w:t>
      </w:r>
      <w:r w:rsidRPr="0001748B">
        <w:rPr>
          <w:rFonts w:eastAsia="Verdana" w:cs="Verdana"/>
          <w:spacing w:val="1"/>
          <w:sz w:val="20"/>
          <w:szCs w:val="20"/>
        </w:rPr>
        <w:t>m</w:t>
      </w:r>
      <w:r w:rsidRPr="0001748B">
        <w:rPr>
          <w:rFonts w:eastAsia="Verdana" w:cs="Verdana"/>
          <w:spacing w:val="3"/>
          <w:sz w:val="20"/>
          <w:szCs w:val="20"/>
        </w:rPr>
        <w:t>p</w:t>
      </w:r>
      <w:r w:rsidRPr="0001748B">
        <w:rPr>
          <w:rFonts w:eastAsia="Verdana" w:cs="Verdana"/>
          <w:spacing w:val="-1"/>
          <w:sz w:val="20"/>
          <w:szCs w:val="20"/>
        </w:rPr>
        <w:t>ro</w:t>
      </w:r>
      <w:r w:rsidRPr="0001748B">
        <w:rPr>
          <w:rFonts w:eastAsia="Verdana" w:cs="Verdana"/>
          <w:spacing w:val="1"/>
          <w:sz w:val="20"/>
          <w:szCs w:val="20"/>
        </w:rPr>
        <w:t>b</w:t>
      </w:r>
      <w:r w:rsidRPr="0001748B">
        <w:rPr>
          <w:rFonts w:eastAsia="Verdana" w:cs="Verdana"/>
          <w:sz w:val="20"/>
          <w:szCs w:val="20"/>
        </w:rPr>
        <w:t>a</w:t>
      </w:r>
      <w:r w:rsidRPr="0001748B">
        <w:rPr>
          <w:rFonts w:eastAsia="Verdana" w:cs="Verdana"/>
          <w:spacing w:val="1"/>
          <w:sz w:val="20"/>
          <w:szCs w:val="20"/>
        </w:rPr>
        <w:t>nte</w:t>
      </w:r>
      <w:r w:rsidRPr="0001748B">
        <w:rPr>
          <w:rFonts w:eastAsia="Verdana" w:cs="Verdana"/>
          <w:sz w:val="20"/>
          <w:szCs w:val="20"/>
        </w:rPr>
        <w:t xml:space="preserve">s </w:t>
      </w:r>
      <w:r w:rsidRPr="0001748B">
        <w:rPr>
          <w:rFonts w:eastAsia="Verdana" w:cs="Verdana"/>
          <w:spacing w:val="3"/>
          <w:sz w:val="20"/>
          <w:szCs w:val="20"/>
        </w:rPr>
        <w:t>d</w:t>
      </w:r>
      <w:r w:rsidRPr="0001748B">
        <w:rPr>
          <w:rFonts w:eastAsia="Verdana" w:cs="Verdana"/>
          <w:sz w:val="20"/>
          <w:szCs w:val="20"/>
        </w:rPr>
        <w:t>e</w:t>
      </w:r>
      <w:r w:rsidRPr="0001748B">
        <w:rPr>
          <w:rFonts w:eastAsia="Verdana" w:cs="Verdana"/>
          <w:spacing w:val="11"/>
          <w:sz w:val="20"/>
          <w:szCs w:val="20"/>
        </w:rPr>
        <w:t xml:space="preserve"> </w:t>
      </w:r>
      <w:r w:rsidRPr="0001748B">
        <w:rPr>
          <w:rFonts w:eastAsia="Verdana" w:cs="Verdana"/>
          <w:spacing w:val="1"/>
          <w:sz w:val="20"/>
          <w:szCs w:val="20"/>
        </w:rPr>
        <w:t>g</w:t>
      </w:r>
      <w:r w:rsidRPr="0001748B">
        <w:rPr>
          <w:rFonts w:eastAsia="Verdana" w:cs="Verdana"/>
          <w:sz w:val="20"/>
          <w:szCs w:val="20"/>
        </w:rPr>
        <w:t>a</w:t>
      </w:r>
      <w:r w:rsidRPr="0001748B">
        <w:rPr>
          <w:rFonts w:eastAsia="Verdana" w:cs="Verdana"/>
          <w:spacing w:val="2"/>
          <w:sz w:val="20"/>
          <w:szCs w:val="20"/>
        </w:rPr>
        <w:t>s</w:t>
      </w:r>
      <w:r w:rsidRPr="0001748B">
        <w:rPr>
          <w:rFonts w:eastAsia="Verdana" w:cs="Verdana"/>
          <w:spacing w:val="1"/>
          <w:sz w:val="20"/>
          <w:szCs w:val="20"/>
        </w:rPr>
        <w:t>t</w:t>
      </w:r>
      <w:r w:rsidRPr="0001748B">
        <w:rPr>
          <w:rFonts w:eastAsia="Verdana" w:cs="Verdana"/>
          <w:spacing w:val="-1"/>
          <w:sz w:val="20"/>
          <w:szCs w:val="20"/>
        </w:rPr>
        <w:t>o</w:t>
      </w:r>
      <w:r w:rsidRPr="0001748B">
        <w:rPr>
          <w:rFonts w:eastAsia="Verdana" w:cs="Verdana"/>
          <w:sz w:val="20"/>
          <w:szCs w:val="20"/>
        </w:rPr>
        <w:t>s</w:t>
      </w:r>
      <w:r w:rsidRPr="0001748B">
        <w:rPr>
          <w:rFonts w:eastAsia="Verdana" w:cs="Verdana"/>
          <w:spacing w:val="8"/>
          <w:sz w:val="20"/>
          <w:szCs w:val="20"/>
        </w:rPr>
        <w:t xml:space="preserve"> </w:t>
      </w:r>
      <w:r w:rsidRPr="0001748B">
        <w:rPr>
          <w:rFonts w:eastAsia="Verdana" w:cs="Verdana"/>
          <w:spacing w:val="3"/>
          <w:sz w:val="20"/>
          <w:szCs w:val="20"/>
        </w:rPr>
        <w:t>d</w:t>
      </w:r>
      <w:r w:rsidRPr="0001748B">
        <w:rPr>
          <w:rFonts w:eastAsia="Verdana" w:cs="Verdana"/>
          <w:sz w:val="20"/>
          <w:szCs w:val="20"/>
        </w:rPr>
        <w:t>e</w:t>
      </w:r>
      <w:r w:rsidRPr="0001748B">
        <w:rPr>
          <w:rFonts w:eastAsia="Verdana" w:cs="Verdana"/>
          <w:spacing w:val="11"/>
          <w:sz w:val="20"/>
          <w:szCs w:val="20"/>
        </w:rPr>
        <w:t xml:space="preserve"> </w:t>
      </w:r>
      <w:r w:rsidRPr="0001748B">
        <w:rPr>
          <w:rFonts w:eastAsia="Verdana" w:cs="Verdana"/>
          <w:spacing w:val="1"/>
          <w:sz w:val="20"/>
          <w:szCs w:val="20"/>
        </w:rPr>
        <w:t>e</w:t>
      </w:r>
      <w:r w:rsidRPr="0001748B">
        <w:rPr>
          <w:rFonts w:eastAsia="Verdana" w:cs="Verdana"/>
          <w:spacing w:val="-1"/>
          <w:sz w:val="20"/>
          <w:szCs w:val="20"/>
        </w:rPr>
        <w:t>s</w:t>
      </w:r>
      <w:r w:rsidRPr="0001748B">
        <w:rPr>
          <w:rFonts w:eastAsia="Verdana" w:cs="Verdana"/>
          <w:spacing w:val="1"/>
          <w:sz w:val="20"/>
          <w:szCs w:val="20"/>
        </w:rPr>
        <w:t>t</w:t>
      </w:r>
      <w:r w:rsidRPr="0001748B">
        <w:rPr>
          <w:rFonts w:eastAsia="Verdana" w:cs="Verdana"/>
          <w:sz w:val="20"/>
          <w:szCs w:val="20"/>
        </w:rPr>
        <w:t>a</w:t>
      </w:r>
      <w:r w:rsidRPr="0001748B">
        <w:rPr>
          <w:rFonts w:eastAsia="Verdana" w:cs="Verdana"/>
          <w:spacing w:val="11"/>
          <w:sz w:val="20"/>
          <w:szCs w:val="20"/>
        </w:rPr>
        <w:t xml:space="preserve"> </w:t>
      </w:r>
      <w:r w:rsidRPr="0001748B">
        <w:rPr>
          <w:rFonts w:eastAsia="Verdana" w:cs="Verdana"/>
          <w:spacing w:val="1"/>
          <w:sz w:val="20"/>
          <w:szCs w:val="20"/>
        </w:rPr>
        <w:t>n</w:t>
      </w:r>
      <w:r w:rsidRPr="0001748B">
        <w:rPr>
          <w:rFonts w:eastAsia="Verdana" w:cs="Verdana"/>
          <w:sz w:val="20"/>
          <w:szCs w:val="20"/>
        </w:rPr>
        <w:t>a</w:t>
      </w:r>
      <w:r w:rsidRPr="0001748B">
        <w:rPr>
          <w:rFonts w:eastAsia="Verdana" w:cs="Verdana"/>
          <w:spacing w:val="1"/>
          <w:sz w:val="20"/>
          <w:szCs w:val="20"/>
        </w:rPr>
        <w:t>tu</w:t>
      </w:r>
      <w:r w:rsidRPr="0001748B">
        <w:rPr>
          <w:rFonts w:eastAsia="Verdana" w:cs="Verdana"/>
          <w:spacing w:val="-1"/>
          <w:sz w:val="20"/>
          <w:szCs w:val="20"/>
        </w:rPr>
        <w:t>r</w:t>
      </w:r>
      <w:r w:rsidRPr="0001748B">
        <w:rPr>
          <w:rFonts w:eastAsia="Verdana" w:cs="Verdana"/>
          <w:sz w:val="20"/>
          <w:szCs w:val="20"/>
        </w:rPr>
        <w:t>a</w:t>
      </w:r>
      <w:r w:rsidRPr="0001748B">
        <w:rPr>
          <w:rFonts w:eastAsia="Verdana" w:cs="Verdana"/>
          <w:spacing w:val="3"/>
          <w:sz w:val="20"/>
          <w:szCs w:val="20"/>
        </w:rPr>
        <w:t>l</w:t>
      </w:r>
      <w:r w:rsidRPr="0001748B">
        <w:rPr>
          <w:rFonts w:eastAsia="Verdana" w:cs="Verdana"/>
          <w:spacing w:val="-1"/>
          <w:sz w:val="20"/>
          <w:szCs w:val="20"/>
        </w:rPr>
        <w:t>e</w:t>
      </w:r>
      <w:r w:rsidRPr="0001748B">
        <w:rPr>
          <w:rFonts w:eastAsia="Verdana" w:cs="Verdana"/>
          <w:spacing w:val="1"/>
          <w:sz w:val="20"/>
          <w:szCs w:val="20"/>
        </w:rPr>
        <w:t>z</w:t>
      </w:r>
      <w:r w:rsidRPr="0001748B">
        <w:rPr>
          <w:rFonts w:eastAsia="Verdana" w:cs="Verdana"/>
          <w:sz w:val="20"/>
          <w:szCs w:val="20"/>
        </w:rPr>
        <w:t>a</w:t>
      </w:r>
      <w:r w:rsidRPr="0001748B">
        <w:rPr>
          <w:rFonts w:eastAsia="Verdana" w:cs="Verdana"/>
          <w:spacing w:val="5"/>
          <w:sz w:val="20"/>
          <w:szCs w:val="20"/>
        </w:rPr>
        <w:t xml:space="preserve"> </w:t>
      </w:r>
      <w:r w:rsidRPr="0001748B">
        <w:rPr>
          <w:rFonts w:eastAsia="Verdana" w:cs="Verdana"/>
          <w:spacing w:val="1"/>
          <w:sz w:val="20"/>
          <w:szCs w:val="20"/>
        </w:rPr>
        <w:t>n</w:t>
      </w:r>
      <w:r w:rsidRPr="0001748B">
        <w:rPr>
          <w:rFonts w:eastAsia="Verdana" w:cs="Verdana"/>
          <w:sz w:val="20"/>
          <w:szCs w:val="20"/>
        </w:rPr>
        <w:t>o</w:t>
      </w:r>
      <w:r w:rsidRPr="0001748B">
        <w:rPr>
          <w:rFonts w:eastAsia="Verdana" w:cs="Verdana"/>
          <w:spacing w:val="12"/>
          <w:sz w:val="20"/>
          <w:szCs w:val="20"/>
        </w:rPr>
        <w:t xml:space="preserve"> </w:t>
      </w:r>
      <w:r w:rsidRPr="0001748B">
        <w:rPr>
          <w:rFonts w:eastAsia="Verdana" w:cs="Verdana"/>
          <w:spacing w:val="1"/>
          <w:sz w:val="20"/>
          <w:szCs w:val="20"/>
        </w:rPr>
        <w:t>[podían]</w:t>
      </w:r>
      <w:r w:rsidRPr="0001748B">
        <w:rPr>
          <w:rFonts w:eastAsia="Verdana" w:cs="Verdana"/>
          <w:spacing w:val="11"/>
          <w:sz w:val="20"/>
          <w:szCs w:val="20"/>
        </w:rPr>
        <w:t xml:space="preserve"> </w:t>
      </w:r>
      <w:r w:rsidRPr="0001748B">
        <w:rPr>
          <w:rFonts w:eastAsia="Verdana" w:cs="Verdana"/>
          <w:spacing w:val="-1"/>
          <w:sz w:val="20"/>
          <w:szCs w:val="20"/>
        </w:rPr>
        <w:t>s</w:t>
      </w:r>
      <w:r w:rsidRPr="0001748B">
        <w:rPr>
          <w:rFonts w:eastAsia="Verdana" w:cs="Verdana"/>
          <w:spacing w:val="1"/>
          <w:sz w:val="20"/>
          <w:szCs w:val="20"/>
        </w:rPr>
        <w:t>e</w:t>
      </w:r>
      <w:r w:rsidRPr="0001748B">
        <w:rPr>
          <w:rFonts w:eastAsia="Verdana" w:cs="Verdana"/>
          <w:sz w:val="20"/>
          <w:szCs w:val="20"/>
        </w:rPr>
        <w:t>r</w:t>
      </w:r>
      <w:r w:rsidRPr="0001748B">
        <w:rPr>
          <w:rFonts w:eastAsia="Verdana" w:cs="Verdana"/>
          <w:spacing w:val="11"/>
          <w:sz w:val="20"/>
          <w:szCs w:val="20"/>
        </w:rPr>
        <w:t xml:space="preserve"> </w:t>
      </w:r>
      <w:r w:rsidRPr="0001748B">
        <w:rPr>
          <w:rFonts w:eastAsia="Verdana" w:cs="Verdana"/>
          <w:spacing w:val="3"/>
          <w:sz w:val="20"/>
          <w:szCs w:val="20"/>
        </w:rPr>
        <w:t>m</w:t>
      </w:r>
      <w:r w:rsidRPr="0001748B">
        <w:rPr>
          <w:rFonts w:eastAsia="Verdana" w:cs="Verdana"/>
          <w:spacing w:val="-1"/>
          <w:sz w:val="20"/>
          <w:szCs w:val="20"/>
        </w:rPr>
        <w:t>o</w:t>
      </w:r>
      <w:r w:rsidRPr="0001748B">
        <w:rPr>
          <w:rFonts w:eastAsia="Verdana" w:cs="Verdana"/>
          <w:spacing w:val="1"/>
          <w:sz w:val="20"/>
          <w:szCs w:val="20"/>
        </w:rPr>
        <w:t>t</w:t>
      </w:r>
      <w:r w:rsidRPr="0001748B">
        <w:rPr>
          <w:rFonts w:eastAsia="Verdana" w:cs="Verdana"/>
          <w:spacing w:val="3"/>
          <w:sz w:val="20"/>
          <w:szCs w:val="20"/>
        </w:rPr>
        <w:t>i</w:t>
      </w:r>
      <w:r w:rsidRPr="0001748B">
        <w:rPr>
          <w:rFonts w:eastAsia="Verdana" w:cs="Verdana"/>
          <w:sz w:val="20"/>
          <w:szCs w:val="20"/>
        </w:rPr>
        <w:t>vo</w:t>
      </w:r>
      <w:r w:rsidRPr="0001748B">
        <w:rPr>
          <w:rFonts w:eastAsia="Verdana" w:cs="Verdana"/>
          <w:spacing w:val="7"/>
          <w:sz w:val="20"/>
          <w:szCs w:val="20"/>
        </w:rPr>
        <w:t xml:space="preserve"> </w:t>
      </w:r>
      <w:r w:rsidRPr="0001748B">
        <w:rPr>
          <w:rFonts w:eastAsia="Verdana" w:cs="Verdana"/>
          <w:spacing w:val="1"/>
          <w:sz w:val="20"/>
          <w:szCs w:val="20"/>
        </w:rPr>
        <w:t>d</w:t>
      </w:r>
      <w:r w:rsidRPr="0001748B">
        <w:rPr>
          <w:rFonts w:eastAsia="Verdana" w:cs="Verdana"/>
          <w:sz w:val="20"/>
          <w:szCs w:val="20"/>
        </w:rPr>
        <w:t xml:space="preserve">e </w:t>
      </w:r>
      <w:r w:rsidRPr="0001748B">
        <w:rPr>
          <w:rFonts w:eastAsia="Verdana" w:cs="Verdana"/>
          <w:spacing w:val="-1"/>
          <w:sz w:val="20"/>
          <w:szCs w:val="20"/>
        </w:rPr>
        <w:t>r</w:t>
      </w:r>
      <w:r w:rsidRPr="0001748B">
        <w:rPr>
          <w:rFonts w:eastAsia="Verdana" w:cs="Verdana"/>
          <w:spacing w:val="1"/>
          <w:sz w:val="20"/>
          <w:szCs w:val="20"/>
        </w:rPr>
        <w:t>e</w:t>
      </w:r>
      <w:r w:rsidRPr="0001748B">
        <w:rPr>
          <w:rFonts w:eastAsia="Verdana" w:cs="Verdana"/>
          <w:spacing w:val="-1"/>
          <w:sz w:val="20"/>
          <w:szCs w:val="20"/>
        </w:rPr>
        <w:t>c</w:t>
      </w:r>
      <w:r w:rsidRPr="0001748B">
        <w:rPr>
          <w:rFonts w:eastAsia="Verdana" w:cs="Verdana"/>
          <w:spacing w:val="1"/>
          <w:sz w:val="20"/>
          <w:szCs w:val="20"/>
        </w:rPr>
        <w:t>h</w:t>
      </w:r>
      <w:r w:rsidRPr="0001748B">
        <w:rPr>
          <w:rFonts w:eastAsia="Verdana" w:cs="Verdana"/>
          <w:sz w:val="20"/>
          <w:szCs w:val="20"/>
        </w:rPr>
        <w:t>a</w:t>
      </w:r>
      <w:r w:rsidRPr="0001748B">
        <w:rPr>
          <w:rFonts w:eastAsia="Verdana" w:cs="Verdana"/>
          <w:spacing w:val="1"/>
          <w:sz w:val="20"/>
          <w:szCs w:val="20"/>
        </w:rPr>
        <w:t>z</w:t>
      </w:r>
      <w:r w:rsidRPr="0001748B">
        <w:rPr>
          <w:rFonts w:eastAsia="Verdana" w:cs="Verdana"/>
          <w:sz w:val="20"/>
          <w:szCs w:val="20"/>
        </w:rPr>
        <w:t>o</w:t>
      </w:r>
      <w:r w:rsidRPr="0001748B">
        <w:rPr>
          <w:rFonts w:eastAsia="Verdana" w:cs="Verdana"/>
          <w:spacing w:val="-10"/>
          <w:sz w:val="20"/>
          <w:szCs w:val="20"/>
        </w:rPr>
        <w:t xml:space="preserve"> </w:t>
      </w:r>
      <w:r w:rsidRPr="0001748B">
        <w:rPr>
          <w:rFonts w:eastAsia="Verdana" w:cs="Verdana"/>
          <w:spacing w:val="3"/>
          <w:sz w:val="20"/>
          <w:szCs w:val="20"/>
        </w:rPr>
        <w:t>d</w:t>
      </w:r>
      <w:r w:rsidRPr="0001748B">
        <w:rPr>
          <w:rFonts w:eastAsia="Verdana" w:cs="Verdana"/>
          <w:sz w:val="20"/>
          <w:szCs w:val="20"/>
        </w:rPr>
        <w:t>e</w:t>
      </w:r>
      <w:r w:rsidRPr="0001748B">
        <w:rPr>
          <w:rFonts w:eastAsia="Verdana" w:cs="Verdana"/>
          <w:spacing w:val="-4"/>
          <w:sz w:val="20"/>
          <w:szCs w:val="20"/>
        </w:rPr>
        <w:t xml:space="preserve"> </w:t>
      </w:r>
      <w:r w:rsidRPr="0001748B">
        <w:rPr>
          <w:rFonts w:eastAsia="Verdana" w:cs="Verdana"/>
          <w:spacing w:val="1"/>
          <w:sz w:val="20"/>
          <w:szCs w:val="20"/>
        </w:rPr>
        <w:t>u</w:t>
      </w:r>
      <w:r w:rsidRPr="0001748B">
        <w:rPr>
          <w:rFonts w:eastAsia="Verdana" w:cs="Verdana"/>
          <w:sz w:val="20"/>
          <w:szCs w:val="20"/>
        </w:rPr>
        <w:t>n</w:t>
      </w:r>
      <w:r w:rsidRPr="0001748B">
        <w:rPr>
          <w:rFonts w:eastAsia="Verdana" w:cs="Verdana"/>
          <w:spacing w:val="-3"/>
          <w:sz w:val="20"/>
          <w:szCs w:val="20"/>
        </w:rPr>
        <w:t xml:space="preserve"> </w:t>
      </w:r>
      <w:r w:rsidRPr="0001748B">
        <w:rPr>
          <w:rFonts w:eastAsia="Verdana" w:cs="Verdana"/>
          <w:spacing w:val="1"/>
          <w:sz w:val="20"/>
          <w:szCs w:val="20"/>
        </w:rPr>
        <w:t>ju</w:t>
      </w:r>
      <w:r w:rsidRPr="0001748B">
        <w:rPr>
          <w:rFonts w:eastAsia="Verdana" w:cs="Verdana"/>
          <w:spacing w:val="-1"/>
          <w:sz w:val="20"/>
          <w:szCs w:val="20"/>
        </w:rPr>
        <w:t>s</w:t>
      </w:r>
      <w:r w:rsidRPr="0001748B">
        <w:rPr>
          <w:rFonts w:eastAsia="Verdana" w:cs="Verdana"/>
          <w:spacing w:val="1"/>
          <w:sz w:val="20"/>
          <w:szCs w:val="20"/>
        </w:rPr>
        <w:t>t</w:t>
      </w:r>
      <w:r w:rsidRPr="0001748B">
        <w:rPr>
          <w:rFonts w:eastAsia="Verdana" w:cs="Verdana"/>
          <w:sz w:val="20"/>
          <w:szCs w:val="20"/>
        </w:rPr>
        <w:t>o</w:t>
      </w:r>
      <w:r w:rsidRPr="0001748B">
        <w:rPr>
          <w:rFonts w:eastAsia="Verdana" w:cs="Verdana"/>
          <w:spacing w:val="-5"/>
          <w:sz w:val="20"/>
          <w:szCs w:val="20"/>
        </w:rPr>
        <w:t xml:space="preserve"> </w:t>
      </w:r>
      <w:r w:rsidRPr="0001748B">
        <w:rPr>
          <w:rFonts w:eastAsia="Verdana" w:cs="Verdana"/>
          <w:spacing w:val="1"/>
          <w:sz w:val="20"/>
          <w:szCs w:val="20"/>
        </w:rPr>
        <w:t>r</w:t>
      </w:r>
      <w:r w:rsidRPr="0001748B">
        <w:rPr>
          <w:rFonts w:eastAsia="Verdana" w:cs="Verdana"/>
          <w:spacing w:val="-1"/>
          <w:sz w:val="20"/>
          <w:szCs w:val="20"/>
        </w:rPr>
        <w:t>e</w:t>
      </w:r>
      <w:r w:rsidRPr="0001748B">
        <w:rPr>
          <w:rFonts w:eastAsia="Verdana" w:cs="Verdana"/>
          <w:spacing w:val="2"/>
          <w:sz w:val="20"/>
          <w:szCs w:val="20"/>
        </w:rPr>
        <w:t>s</w:t>
      </w:r>
      <w:r w:rsidRPr="0001748B">
        <w:rPr>
          <w:rFonts w:eastAsia="Verdana" w:cs="Verdana"/>
          <w:sz w:val="20"/>
          <w:szCs w:val="20"/>
        </w:rPr>
        <w:t>a</w:t>
      </w:r>
      <w:r w:rsidRPr="0001748B">
        <w:rPr>
          <w:rFonts w:eastAsia="Verdana" w:cs="Verdana"/>
          <w:spacing w:val="-1"/>
          <w:sz w:val="20"/>
          <w:szCs w:val="20"/>
        </w:rPr>
        <w:t>rc</w:t>
      </w:r>
      <w:r w:rsidRPr="0001748B">
        <w:rPr>
          <w:rFonts w:eastAsia="Verdana" w:cs="Verdana"/>
          <w:spacing w:val="3"/>
          <w:sz w:val="20"/>
          <w:szCs w:val="20"/>
        </w:rPr>
        <w:t>i</w:t>
      </w:r>
      <w:r w:rsidRPr="0001748B">
        <w:rPr>
          <w:rFonts w:eastAsia="Verdana" w:cs="Verdana"/>
          <w:spacing w:val="1"/>
          <w:sz w:val="20"/>
          <w:szCs w:val="20"/>
        </w:rPr>
        <w:t>m</w:t>
      </w:r>
      <w:r w:rsidRPr="0001748B">
        <w:rPr>
          <w:rFonts w:eastAsia="Verdana" w:cs="Verdana"/>
          <w:spacing w:val="3"/>
          <w:sz w:val="20"/>
          <w:szCs w:val="20"/>
        </w:rPr>
        <w:t>i</w:t>
      </w:r>
      <w:r w:rsidRPr="0001748B">
        <w:rPr>
          <w:rFonts w:eastAsia="Verdana" w:cs="Verdana"/>
          <w:spacing w:val="-1"/>
          <w:sz w:val="20"/>
          <w:szCs w:val="20"/>
        </w:rPr>
        <w:t>e</w:t>
      </w:r>
      <w:r w:rsidRPr="0001748B">
        <w:rPr>
          <w:rFonts w:eastAsia="Verdana" w:cs="Verdana"/>
          <w:spacing w:val="1"/>
          <w:sz w:val="20"/>
          <w:szCs w:val="20"/>
        </w:rPr>
        <w:t>nt</w:t>
      </w:r>
      <w:r w:rsidRPr="0001748B">
        <w:rPr>
          <w:rFonts w:eastAsia="Verdana" w:cs="Verdana"/>
          <w:spacing w:val="-1"/>
          <w:sz w:val="20"/>
          <w:szCs w:val="20"/>
        </w:rPr>
        <w:t>o</w:t>
      </w:r>
      <w:r w:rsidRPr="0001748B">
        <w:rPr>
          <w:rFonts w:eastAsia="Verdana" w:cs="Verdana"/>
          <w:sz w:val="20"/>
          <w:szCs w:val="20"/>
        </w:rPr>
        <w:t>”. En ese sentido, las representantes solicitaron: i) por los gastos de honorarios profesionales de asistencia legal a nivel nacional e internacional, pagados por los padres de Johan Alexis Ortiz Hernández, el pago de la suma de US$</w:t>
      </w:r>
      <w:r w:rsidR="00DC48E3" w:rsidRPr="0001748B">
        <w:rPr>
          <w:rFonts w:eastAsia="Verdana" w:cs="Verdana"/>
          <w:sz w:val="20"/>
          <w:szCs w:val="20"/>
        </w:rPr>
        <w:t xml:space="preserve"> </w:t>
      </w:r>
      <w:r w:rsidRPr="0001748B">
        <w:rPr>
          <w:rFonts w:eastAsia="Verdana" w:cs="Verdana"/>
          <w:sz w:val="20"/>
          <w:szCs w:val="20"/>
        </w:rPr>
        <w:t>15</w:t>
      </w:r>
      <w:r w:rsidR="00DC48E3" w:rsidRPr="0001748B">
        <w:rPr>
          <w:rFonts w:eastAsia="Verdana" w:cs="Verdana"/>
          <w:sz w:val="20"/>
          <w:szCs w:val="20"/>
        </w:rPr>
        <w:t>.</w:t>
      </w:r>
      <w:r w:rsidRPr="0001748B">
        <w:rPr>
          <w:rFonts w:eastAsia="Verdana" w:cs="Verdana"/>
          <w:sz w:val="20"/>
          <w:szCs w:val="20"/>
        </w:rPr>
        <w:t>000; ii) por los gastos derivados de traslados, hospedaje y alimentos para asistir a las audiencias en la jurisdicción militar y ordinaria, así como a otras instituciones, el pago de la suma de US$</w:t>
      </w:r>
      <w:r w:rsidR="00DC48E3" w:rsidRPr="0001748B">
        <w:rPr>
          <w:rFonts w:eastAsia="Verdana" w:cs="Verdana"/>
          <w:sz w:val="20"/>
          <w:szCs w:val="20"/>
        </w:rPr>
        <w:t xml:space="preserve"> </w:t>
      </w:r>
      <w:r w:rsidRPr="0001748B">
        <w:rPr>
          <w:rFonts w:eastAsia="Verdana" w:cs="Verdana"/>
          <w:sz w:val="20"/>
          <w:szCs w:val="20"/>
        </w:rPr>
        <w:t>20</w:t>
      </w:r>
      <w:r w:rsidR="00DC48E3" w:rsidRPr="0001748B">
        <w:rPr>
          <w:rFonts w:eastAsia="Verdana" w:cs="Verdana"/>
          <w:sz w:val="20"/>
          <w:szCs w:val="20"/>
        </w:rPr>
        <w:t>.</w:t>
      </w:r>
      <w:r w:rsidRPr="0001748B">
        <w:rPr>
          <w:rFonts w:eastAsia="Verdana" w:cs="Verdana"/>
          <w:sz w:val="20"/>
          <w:szCs w:val="20"/>
        </w:rPr>
        <w:t xml:space="preserve">000; </w:t>
      </w:r>
      <w:r w:rsidR="00B92DFF">
        <w:rPr>
          <w:rFonts w:eastAsia="Verdana" w:cs="Verdana"/>
          <w:sz w:val="20"/>
          <w:szCs w:val="20"/>
        </w:rPr>
        <w:t>iii</w:t>
      </w:r>
      <w:r w:rsidRPr="0001748B">
        <w:rPr>
          <w:rFonts w:eastAsia="Verdana" w:cs="Verdana"/>
          <w:sz w:val="20"/>
          <w:szCs w:val="20"/>
        </w:rPr>
        <w:t>) por los gastos incurridos en virtud de la solicitud de certificaciones y copias de legajos de documentos del expediente, el monto de US$</w:t>
      </w:r>
      <w:r w:rsidR="00DC48E3" w:rsidRPr="0001748B">
        <w:rPr>
          <w:rFonts w:eastAsia="Verdana" w:cs="Verdana"/>
          <w:sz w:val="20"/>
          <w:szCs w:val="20"/>
        </w:rPr>
        <w:t xml:space="preserve"> </w:t>
      </w:r>
      <w:r w:rsidRPr="0001748B">
        <w:rPr>
          <w:rFonts w:eastAsia="Verdana" w:cs="Verdana"/>
          <w:sz w:val="20"/>
          <w:szCs w:val="20"/>
        </w:rPr>
        <w:t>3</w:t>
      </w:r>
      <w:r w:rsidR="00DC48E3" w:rsidRPr="0001748B">
        <w:rPr>
          <w:rFonts w:eastAsia="Verdana" w:cs="Verdana"/>
          <w:sz w:val="20"/>
          <w:szCs w:val="20"/>
        </w:rPr>
        <w:t>.</w:t>
      </w:r>
      <w:r w:rsidRPr="0001748B">
        <w:rPr>
          <w:rFonts w:eastAsia="Verdana" w:cs="Verdana"/>
          <w:sz w:val="20"/>
          <w:szCs w:val="20"/>
        </w:rPr>
        <w:t xml:space="preserve">000, </w:t>
      </w:r>
      <w:r w:rsidR="00DC48E3" w:rsidRPr="0001748B">
        <w:rPr>
          <w:rFonts w:eastAsia="Verdana" w:cs="Verdana"/>
          <w:sz w:val="20"/>
          <w:szCs w:val="20"/>
        </w:rPr>
        <w:t>y</w:t>
      </w:r>
      <w:r w:rsidRPr="0001748B">
        <w:rPr>
          <w:rFonts w:eastAsia="Verdana" w:cs="Verdana"/>
          <w:sz w:val="20"/>
          <w:szCs w:val="20"/>
        </w:rPr>
        <w:t xml:space="preserve"> iv) por el envío de documentos hacia la Comisión, así como los pagos de reseñas periodísticas por más de 17 años, el monto de US$</w:t>
      </w:r>
      <w:r w:rsidR="00DC48E3" w:rsidRPr="0001748B">
        <w:rPr>
          <w:rFonts w:eastAsia="Verdana" w:cs="Verdana"/>
          <w:sz w:val="20"/>
          <w:szCs w:val="20"/>
        </w:rPr>
        <w:t xml:space="preserve"> </w:t>
      </w:r>
      <w:r w:rsidRPr="0001748B">
        <w:rPr>
          <w:rFonts w:eastAsia="Verdana" w:cs="Verdana"/>
          <w:sz w:val="20"/>
          <w:szCs w:val="20"/>
        </w:rPr>
        <w:t>7</w:t>
      </w:r>
      <w:r w:rsidR="00DC48E3" w:rsidRPr="0001748B">
        <w:rPr>
          <w:rFonts w:eastAsia="Verdana" w:cs="Verdana"/>
          <w:sz w:val="20"/>
          <w:szCs w:val="20"/>
        </w:rPr>
        <w:t>.</w:t>
      </w:r>
      <w:r w:rsidRPr="0001748B">
        <w:rPr>
          <w:rFonts w:eastAsia="Verdana" w:cs="Verdana"/>
          <w:sz w:val="20"/>
          <w:szCs w:val="20"/>
        </w:rPr>
        <w:t>000. En consecuencia, las representantes solicitaron, por concepto de daño emergente, el pago de la suma de US$</w:t>
      </w:r>
      <w:r w:rsidR="00DC48E3" w:rsidRPr="0001748B">
        <w:rPr>
          <w:rFonts w:eastAsia="Verdana" w:cs="Verdana"/>
          <w:sz w:val="20"/>
          <w:szCs w:val="20"/>
        </w:rPr>
        <w:t xml:space="preserve"> </w:t>
      </w:r>
      <w:r w:rsidRPr="0001748B">
        <w:rPr>
          <w:rFonts w:eastAsia="Verdana" w:cs="Verdana"/>
          <w:sz w:val="20"/>
          <w:szCs w:val="20"/>
        </w:rPr>
        <w:t>47</w:t>
      </w:r>
      <w:r w:rsidR="00DC48E3" w:rsidRPr="0001748B">
        <w:rPr>
          <w:rFonts w:eastAsia="Verdana" w:cs="Verdana"/>
          <w:sz w:val="20"/>
          <w:szCs w:val="20"/>
        </w:rPr>
        <w:t>.</w:t>
      </w:r>
      <w:r w:rsidRPr="0001748B">
        <w:rPr>
          <w:rFonts w:eastAsia="Verdana" w:cs="Verdana"/>
          <w:sz w:val="20"/>
          <w:szCs w:val="20"/>
        </w:rPr>
        <w:t>045</w:t>
      </w:r>
      <w:r w:rsidR="00BE228A">
        <w:rPr>
          <w:rFonts w:eastAsia="Verdana" w:cs="Verdana"/>
          <w:sz w:val="20"/>
          <w:szCs w:val="20"/>
        </w:rPr>
        <w:t>,00</w:t>
      </w:r>
      <w:r w:rsidRPr="0001748B">
        <w:rPr>
          <w:rFonts w:eastAsia="Verdana" w:cs="Verdana"/>
          <w:sz w:val="20"/>
          <w:szCs w:val="20"/>
        </w:rPr>
        <w:t xml:space="preserve"> (cuarenta y siete mil cuarenta cinco dólares </w:t>
      </w:r>
      <w:r w:rsidR="002555E3">
        <w:rPr>
          <w:rFonts w:eastAsia="Verdana" w:cs="Verdana"/>
          <w:sz w:val="20"/>
          <w:szCs w:val="20"/>
        </w:rPr>
        <w:t xml:space="preserve">de </w:t>
      </w:r>
      <w:r w:rsidR="002555E3">
        <w:rPr>
          <w:rFonts w:eastAsia="Verdana" w:cs="Verdana"/>
          <w:sz w:val="20"/>
          <w:szCs w:val="20"/>
        </w:rPr>
        <w:lastRenderedPageBreak/>
        <w:t>los Estados Unidos</w:t>
      </w:r>
      <w:r w:rsidRPr="0001748B">
        <w:rPr>
          <w:rFonts w:eastAsia="Verdana" w:cs="Verdana"/>
          <w:sz w:val="20"/>
          <w:szCs w:val="20"/>
        </w:rPr>
        <w:t xml:space="preserve"> </w:t>
      </w:r>
      <w:r w:rsidR="002555E3">
        <w:rPr>
          <w:rFonts w:eastAsia="Verdana" w:cs="Verdana"/>
          <w:sz w:val="20"/>
          <w:szCs w:val="20"/>
        </w:rPr>
        <w:t>de América</w:t>
      </w:r>
      <w:r w:rsidRPr="0001748B">
        <w:rPr>
          <w:rFonts w:eastAsia="Verdana" w:cs="Verdana"/>
          <w:sz w:val="20"/>
          <w:szCs w:val="20"/>
        </w:rPr>
        <w:t>), de los cuales US$</w:t>
      </w:r>
      <w:r w:rsidR="00DC48E3" w:rsidRPr="0001748B">
        <w:rPr>
          <w:rFonts w:eastAsia="Verdana" w:cs="Verdana"/>
          <w:sz w:val="20"/>
          <w:szCs w:val="20"/>
        </w:rPr>
        <w:t xml:space="preserve"> </w:t>
      </w:r>
      <w:r w:rsidRPr="0001748B">
        <w:rPr>
          <w:rFonts w:eastAsia="Verdana" w:cs="Verdana"/>
          <w:sz w:val="20"/>
          <w:szCs w:val="20"/>
        </w:rPr>
        <w:t>27</w:t>
      </w:r>
      <w:r w:rsidR="00DC48E3" w:rsidRPr="0001748B">
        <w:rPr>
          <w:rFonts w:eastAsia="Verdana" w:cs="Verdana"/>
          <w:sz w:val="20"/>
          <w:szCs w:val="20"/>
        </w:rPr>
        <w:t>.</w:t>
      </w:r>
      <w:r w:rsidRPr="0001748B">
        <w:rPr>
          <w:rFonts w:eastAsia="Verdana" w:cs="Verdana"/>
          <w:sz w:val="20"/>
          <w:szCs w:val="20"/>
        </w:rPr>
        <w:t>045 deberán ser pagados en beneficio de Edgar Humberto Ortiz Ruiz y US$</w:t>
      </w:r>
      <w:r w:rsidR="00DC48E3" w:rsidRPr="0001748B">
        <w:rPr>
          <w:rFonts w:eastAsia="Verdana" w:cs="Verdana"/>
          <w:sz w:val="20"/>
          <w:szCs w:val="20"/>
        </w:rPr>
        <w:t xml:space="preserve"> </w:t>
      </w:r>
      <w:r w:rsidRPr="0001748B">
        <w:rPr>
          <w:rFonts w:eastAsia="Verdana" w:cs="Verdana"/>
          <w:sz w:val="20"/>
          <w:szCs w:val="20"/>
        </w:rPr>
        <w:t>20</w:t>
      </w:r>
      <w:r w:rsidR="00DC48E3" w:rsidRPr="0001748B">
        <w:rPr>
          <w:rFonts w:eastAsia="Verdana" w:cs="Verdana"/>
          <w:sz w:val="20"/>
          <w:szCs w:val="20"/>
        </w:rPr>
        <w:t>.</w:t>
      </w:r>
      <w:r w:rsidRPr="0001748B">
        <w:rPr>
          <w:rFonts w:eastAsia="Verdana" w:cs="Verdana"/>
          <w:sz w:val="20"/>
          <w:szCs w:val="20"/>
        </w:rPr>
        <w:t>000 para Zaida Hernández de Arellano.</w:t>
      </w:r>
    </w:p>
    <w:p w:rsidR="001B626E" w:rsidRDefault="001B626E" w:rsidP="001B626E">
      <w:pPr>
        <w:tabs>
          <w:tab w:val="left" w:pos="0"/>
          <w:tab w:val="num" w:pos="11028"/>
        </w:tabs>
        <w:spacing w:line="240" w:lineRule="auto"/>
        <w:ind w:right="-90"/>
        <w:rPr>
          <w:rFonts w:eastAsia="MS Mincho" w:cs="Tahoma"/>
          <w:b/>
          <w:sz w:val="20"/>
          <w:szCs w:val="20"/>
        </w:rPr>
      </w:pPr>
    </w:p>
    <w:p w:rsidR="004B4735" w:rsidRDefault="004B4735" w:rsidP="00125C44">
      <w:pPr>
        <w:numPr>
          <w:ilvl w:val="0"/>
          <w:numId w:val="1"/>
        </w:numPr>
        <w:tabs>
          <w:tab w:val="left" w:pos="567"/>
          <w:tab w:val="num" w:pos="5057"/>
        </w:tabs>
        <w:spacing w:line="240" w:lineRule="auto"/>
        <w:ind w:left="0" w:firstLine="0"/>
        <w:rPr>
          <w:rFonts w:eastAsia="MS Mincho"/>
          <w:sz w:val="20"/>
          <w:szCs w:val="20"/>
          <w:lang w:bidi="en-US"/>
        </w:rPr>
      </w:pPr>
      <w:r>
        <w:rPr>
          <w:rFonts w:eastAsia="MS Mincho"/>
          <w:sz w:val="20"/>
          <w:szCs w:val="20"/>
          <w:lang w:bidi="en-US"/>
        </w:rPr>
        <w:t>El</w:t>
      </w:r>
      <w:r w:rsidRPr="0001748B">
        <w:rPr>
          <w:rFonts w:eastAsia="MS Mincho"/>
          <w:sz w:val="20"/>
          <w:szCs w:val="20"/>
          <w:lang w:bidi="en-US"/>
        </w:rPr>
        <w:t xml:space="preserve"> </w:t>
      </w:r>
      <w:r w:rsidRPr="0001748B">
        <w:rPr>
          <w:rFonts w:eastAsia="MS Mincho"/>
          <w:b/>
          <w:i/>
          <w:sz w:val="20"/>
          <w:szCs w:val="20"/>
          <w:lang w:bidi="en-US"/>
        </w:rPr>
        <w:t xml:space="preserve">Estado </w:t>
      </w:r>
      <w:r>
        <w:rPr>
          <w:rFonts w:eastAsia="MS Mincho"/>
          <w:sz w:val="20"/>
          <w:szCs w:val="20"/>
          <w:lang w:bidi="en-US"/>
        </w:rPr>
        <w:t>no</w:t>
      </w:r>
      <w:r w:rsidRPr="0001748B">
        <w:rPr>
          <w:rFonts w:eastAsia="MS Mincho"/>
          <w:sz w:val="20"/>
          <w:szCs w:val="20"/>
          <w:lang w:bidi="en-US"/>
        </w:rPr>
        <w:t xml:space="preserve"> present</w:t>
      </w:r>
      <w:r>
        <w:rPr>
          <w:rFonts w:eastAsia="MS Mincho"/>
          <w:sz w:val="20"/>
          <w:szCs w:val="20"/>
          <w:lang w:bidi="en-US"/>
        </w:rPr>
        <w:t>ó</w:t>
      </w:r>
      <w:r w:rsidRPr="0001748B">
        <w:rPr>
          <w:rFonts w:eastAsia="MS Mincho"/>
          <w:sz w:val="20"/>
          <w:szCs w:val="20"/>
          <w:lang w:bidi="en-US"/>
        </w:rPr>
        <w:t xml:space="preserve"> alegatos específicos sobre este punto.</w:t>
      </w:r>
    </w:p>
    <w:p w:rsidR="004B4735" w:rsidRPr="0001748B" w:rsidRDefault="004B4735" w:rsidP="001B626E">
      <w:pPr>
        <w:tabs>
          <w:tab w:val="left" w:pos="0"/>
          <w:tab w:val="num" w:pos="11028"/>
        </w:tabs>
        <w:spacing w:line="240" w:lineRule="auto"/>
        <w:ind w:right="-90"/>
        <w:rPr>
          <w:rFonts w:eastAsia="MS Mincho" w:cs="Tahoma"/>
          <w:b/>
          <w:sz w:val="20"/>
          <w:szCs w:val="20"/>
        </w:rPr>
      </w:pPr>
    </w:p>
    <w:p w:rsidR="00F66CFB" w:rsidRPr="0001748B" w:rsidRDefault="00F66CFB" w:rsidP="00F66CFB">
      <w:pPr>
        <w:numPr>
          <w:ilvl w:val="0"/>
          <w:numId w:val="1"/>
        </w:numPr>
        <w:tabs>
          <w:tab w:val="left" w:pos="567"/>
          <w:tab w:val="num" w:pos="5057"/>
        </w:tabs>
        <w:spacing w:line="240" w:lineRule="auto"/>
        <w:ind w:left="0" w:firstLine="0"/>
        <w:rPr>
          <w:rFonts w:eastAsia="MS Mincho" w:cs="Verdana"/>
          <w:sz w:val="20"/>
          <w:szCs w:val="20"/>
          <w:lang w:bidi="en-US"/>
        </w:rPr>
      </w:pPr>
      <w:r w:rsidRPr="00D44A7B">
        <w:rPr>
          <w:rFonts w:eastAsia="Verdana" w:cs="Verdana"/>
          <w:sz w:val="20"/>
          <w:szCs w:val="20"/>
        </w:rPr>
        <w:t>En</w:t>
      </w:r>
      <w:r w:rsidRPr="0001748B">
        <w:rPr>
          <w:sz w:val="20"/>
        </w:rPr>
        <w:t xml:space="preserve"> </w:t>
      </w:r>
      <w:r w:rsidRPr="0001748B">
        <w:rPr>
          <w:rFonts w:eastAsia="Calibri"/>
          <w:spacing w:val="-2"/>
          <w:sz w:val="20"/>
          <w:szCs w:val="20"/>
          <w:lang w:eastAsia="x-none"/>
        </w:rPr>
        <w:t>relación</w:t>
      </w:r>
      <w:r w:rsidRPr="0001748B">
        <w:rPr>
          <w:rFonts w:eastAsia="MS Mincho" w:cs="Arial"/>
          <w:sz w:val="20"/>
          <w:szCs w:val="20"/>
          <w:lang w:bidi="en-US"/>
        </w:rPr>
        <w:t xml:space="preserve"> con el daño emergente, la Corte advierte que las representantes </w:t>
      </w:r>
      <w:r w:rsidR="002555E3">
        <w:rPr>
          <w:rFonts w:eastAsia="MS Mincho" w:cs="Arial"/>
          <w:sz w:val="20"/>
          <w:szCs w:val="20"/>
          <w:lang w:bidi="en-US"/>
        </w:rPr>
        <w:t>basaron el monto solicitado en</w:t>
      </w:r>
      <w:r w:rsidRPr="0001748B">
        <w:rPr>
          <w:rFonts w:eastAsia="MS Mincho" w:cs="Verdana"/>
          <w:sz w:val="20"/>
          <w:szCs w:val="20"/>
          <w:lang w:bidi="en-US"/>
        </w:rPr>
        <w:t xml:space="preserve"> una serie de gastos derivados de la muerte de </w:t>
      </w:r>
      <w:r>
        <w:rPr>
          <w:rFonts w:eastAsia="MS Mincho" w:cs="Verdana"/>
          <w:sz w:val="20"/>
          <w:szCs w:val="20"/>
          <w:lang w:bidi="en-US"/>
        </w:rPr>
        <w:t>Johan Alexis Ortiz Hernández</w:t>
      </w:r>
      <w:r w:rsidRPr="0001748B">
        <w:rPr>
          <w:rFonts w:eastAsia="MS Mincho" w:cs="Verdana"/>
          <w:sz w:val="20"/>
          <w:szCs w:val="20"/>
          <w:lang w:bidi="en-US"/>
        </w:rPr>
        <w:t xml:space="preserve">, entre los que se encuentran gastos funerarios, tramitación del expediente judicial, obtención de copias, traslados en búsqueda de información, llamadas y envío de documentación, tramitación del caso ante el sistema interamericano </w:t>
      </w:r>
      <w:r w:rsidRPr="0001748B">
        <w:rPr>
          <w:rFonts w:eastAsia="MS Mincho" w:cs="Arial"/>
          <w:sz w:val="20"/>
          <w:szCs w:val="20"/>
          <w:lang w:bidi="en-US"/>
        </w:rPr>
        <w:t xml:space="preserve">y honorarios profesionales de abogados privados. </w:t>
      </w:r>
      <w:r>
        <w:rPr>
          <w:rFonts w:eastAsia="MS Mincho" w:cs="Arial"/>
          <w:sz w:val="20"/>
          <w:szCs w:val="20"/>
          <w:lang w:bidi="en-US"/>
        </w:rPr>
        <w:t>La Corte considerará bajo el rubro de daño emergente los gastos funerarios, las publicaciones en periódicos, así como los gastos en llamadas y transporte, mientras que los gastos relativos a la tramitación del caso serán analizados bajo el concepto de costas y gastos (</w:t>
      </w:r>
      <w:r>
        <w:rPr>
          <w:rFonts w:eastAsia="MS Mincho" w:cs="Arial"/>
          <w:i/>
          <w:sz w:val="20"/>
          <w:szCs w:val="20"/>
          <w:lang w:bidi="en-US"/>
        </w:rPr>
        <w:t>infra</w:t>
      </w:r>
      <w:r>
        <w:rPr>
          <w:rFonts w:eastAsia="MS Mincho" w:cs="Arial"/>
          <w:sz w:val="20"/>
          <w:szCs w:val="20"/>
          <w:lang w:bidi="en-US"/>
        </w:rPr>
        <w:t xml:space="preserve"> párr. </w:t>
      </w:r>
      <w:r w:rsidR="00C475DA">
        <w:rPr>
          <w:rFonts w:eastAsia="MS Mincho" w:cs="Arial"/>
          <w:sz w:val="20"/>
          <w:szCs w:val="20"/>
          <w:lang w:bidi="en-US"/>
        </w:rPr>
        <w:t>254</w:t>
      </w:r>
      <w:r>
        <w:rPr>
          <w:rFonts w:eastAsia="MS Mincho" w:cs="Arial"/>
          <w:sz w:val="20"/>
          <w:szCs w:val="20"/>
          <w:lang w:bidi="en-US"/>
        </w:rPr>
        <w:t>).</w:t>
      </w:r>
    </w:p>
    <w:p w:rsidR="00F66CFB" w:rsidRDefault="00F66CFB" w:rsidP="00F66CFB">
      <w:pPr>
        <w:tabs>
          <w:tab w:val="left" w:pos="567"/>
        </w:tabs>
        <w:spacing w:line="240" w:lineRule="auto"/>
        <w:rPr>
          <w:rFonts w:eastAsia="MS Mincho" w:cs="Verdana"/>
          <w:sz w:val="20"/>
          <w:szCs w:val="20"/>
          <w:lang w:bidi="en-US"/>
        </w:rPr>
      </w:pPr>
    </w:p>
    <w:p w:rsidR="00F66CFB" w:rsidRPr="000D60B7" w:rsidRDefault="00F66CFB" w:rsidP="00B5639C">
      <w:pPr>
        <w:numPr>
          <w:ilvl w:val="0"/>
          <w:numId w:val="1"/>
        </w:numPr>
        <w:tabs>
          <w:tab w:val="left" w:pos="567"/>
          <w:tab w:val="num" w:pos="5057"/>
        </w:tabs>
        <w:spacing w:line="240" w:lineRule="auto"/>
        <w:ind w:left="0" w:firstLine="0"/>
        <w:rPr>
          <w:rFonts w:eastAsia="MS Mincho" w:cs="Verdana"/>
          <w:sz w:val="20"/>
          <w:szCs w:val="20"/>
          <w:lang w:bidi="en-US"/>
        </w:rPr>
      </w:pPr>
      <w:r w:rsidRPr="0001748B">
        <w:rPr>
          <w:rFonts w:eastAsia="MS Mincho" w:cs="Verdana"/>
          <w:sz w:val="20"/>
          <w:szCs w:val="20"/>
          <w:lang w:bidi="en-US"/>
        </w:rPr>
        <w:t xml:space="preserve">En atención al monto comprobado en el expediente ante esta Corte, la Corte estima pertinente ordenar </w:t>
      </w:r>
      <w:r w:rsidRPr="008031E5">
        <w:rPr>
          <w:rFonts w:eastAsia="MS Mincho" w:cs="Verdana"/>
          <w:sz w:val="20"/>
          <w:szCs w:val="20"/>
          <w:lang w:bidi="en-US"/>
        </w:rPr>
        <w:t xml:space="preserve">el pago de la </w:t>
      </w:r>
      <w:r w:rsidR="00207E1E">
        <w:rPr>
          <w:rFonts w:eastAsia="MS Mincho" w:cs="Verdana"/>
          <w:sz w:val="20"/>
          <w:szCs w:val="20"/>
          <w:lang w:bidi="en-US"/>
        </w:rPr>
        <w:t>suma</w:t>
      </w:r>
      <w:r w:rsidRPr="008031E5">
        <w:rPr>
          <w:rFonts w:eastAsia="MS Mincho" w:cs="Verdana"/>
          <w:sz w:val="20"/>
          <w:szCs w:val="20"/>
          <w:lang w:bidi="en-US"/>
        </w:rPr>
        <w:t xml:space="preserve"> de US$ 535</w:t>
      </w:r>
      <w:r w:rsidR="00AD5C0B">
        <w:rPr>
          <w:rFonts w:eastAsia="MS Mincho" w:cs="Verdana"/>
          <w:sz w:val="20"/>
          <w:szCs w:val="20"/>
          <w:lang w:bidi="en-US"/>
        </w:rPr>
        <w:t>,00</w:t>
      </w:r>
      <w:r w:rsidR="00060962" w:rsidRPr="008031E5">
        <w:rPr>
          <w:rFonts w:eastAsia="MS Mincho" w:cs="Verdana"/>
          <w:sz w:val="20"/>
          <w:szCs w:val="20"/>
          <w:lang w:bidi="en-US"/>
        </w:rPr>
        <w:t xml:space="preserve"> (quinientos treinta y cinco dólares de los Estados Unidos de América)</w:t>
      </w:r>
      <w:r w:rsidRPr="00F65506">
        <w:rPr>
          <w:rFonts w:eastAsia="MS Mincho" w:cs="Verdana"/>
          <w:sz w:val="20"/>
          <w:szCs w:val="20"/>
          <w:lang w:bidi="en-US"/>
        </w:rPr>
        <w:t xml:space="preserve"> </w:t>
      </w:r>
      <w:r w:rsidRPr="00F65506">
        <w:rPr>
          <w:rFonts w:eastAsia="MS Mincho"/>
          <w:bCs/>
          <w:sz w:val="20"/>
          <w:szCs w:val="20"/>
          <w:lang w:eastAsia="en-US" w:bidi="en-US"/>
        </w:rPr>
        <w:t>en concepto</w:t>
      </w:r>
      <w:r w:rsidRPr="0001748B">
        <w:rPr>
          <w:rFonts w:eastAsia="MS Mincho"/>
          <w:bCs/>
          <w:sz w:val="20"/>
          <w:szCs w:val="20"/>
          <w:lang w:eastAsia="en-US" w:bidi="en-US"/>
        </w:rPr>
        <w:t xml:space="preserve"> de daño emergente, </w:t>
      </w:r>
      <w:r w:rsidR="00F65506">
        <w:rPr>
          <w:sz w:val="20"/>
        </w:rPr>
        <w:t>la</w:t>
      </w:r>
      <w:r w:rsidRPr="0001748B">
        <w:rPr>
          <w:sz w:val="20"/>
        </w:rPr>
        <w:t xml:space="preserve"> que deberá ser distribuid</w:t>
      </w:r>
      <w:r w:rsidR="00F65506">
        <w:rPr>
          <w:sz w:val="20"/>
        </w:rPr>
        <w:t>a</w:t>
      </w:r>
      <w:r w:rsidRPr="0001748B">
        <w:rPr>
          <w:sz w:val="20"/>
        </w:rPr>
        <w:t xml:space="preserve"> en partes iguales entre Zaida Hernández de Arellano</w:t>
      </w:r>
      <w:r w:rsidR="00CD4B59" w:rsidRPr="00CD4B59">
        <w:rPr>
          <w:sz w:val="20"/>
        </w:rPr>
        <w:t xml:space="preserve"> </w:t>
      </w:r>
      <w:r w:rsidR="00CD4B59">
        <w:rPr>
          <w:sz w:val="20"/>
        </w:rPr>
        <w:t>y Edgar Humberto Ortiz Ruiz</w:t>
      </w:r>
      <w:r w:rsidRPr="0001748B">
        <w:rPr>
          <w:sz w:val="20"/>
        </w:rPr>
        <w:t>.</w:t>
      </w:r>
    </w:p>
    <w:p w:rsidR="000D60B7" w:rsidRDefault="000D60B7" w:rsidP="000D60B7">
      <w:pPr>
        <w:tabs>
          <w:tab w:val="left" w:pos="567"/>
        </w:tabs>
        <w:spacing w:line="240" w:lineRule="auto"/>
        <w:rPr>
          <w:rFonts w:eastAsia="MS Mincho" w:cs="Verdana"/>
          <w:sz w:val="20"/>
          <w:szCs w:val="20"/>
          <w:lang w:bidi="en-US"/>
        </w:rPr>
      </w:pPr>
    </w:p>
    <w:p w:rsidR="001B626E" w:rsidRPr="00B14590" w:rsidRDefault="001B626E" w:rsidP="00B14590">
      <w:pPr>
        <w:pStyle w:val="Heading2"/>
        <w:tabs>
          <w:tab w:val="left" w:pos="1843"/>
        </w:tabs>
        <w:spacing w:before="0" w:line="240" w:lineRule="auto"/>
        <w:ind w:left="1134"/>
        <w:rPr>
          <w:rFonts w:ascii="Verdana" w:hAnsi="Verdana"/>
          <w:b w:val="0"/>
          <w:i/>
          <w:color w:val="auto"/>
          <w:sz w:val="20"/>
          <w:szCs w:val="20"/>
        </w:rPr>
      </w:pPr>
      <w:bookmarkStart w:id="132" w:name="_Toc476390744"/>
      <w:bookmarkStart w:id="133" w:name="_Toc495658703"/>
      <w:r w:rsidRPr="00B14590">
        <w:rPr>
          <w:rFonts w:ascii="Verdana" w:hAnsi="Verdana"/>
          <w:b w:val="0"/>
          <w:i/>
          <w:color w:val="auto"/>
          <w:sz w:val="20"/>
          <w:szCs w:val="20"/>
        </w:rPr>
        <w:t>D.2</w:t>
      </w:r>
      <w:r w:rsidR="00067EAA" w:rsidRPr="00B14590">
        <w:rPr>
          <w:rFonts w:ascii="Verdana" w:hAnsi="Verdana"/>
          <w:b w:val="0"/>
          <w:i/>
          <w:color w:val="auto"/>
          <w:sz w:val="20"/>
          <w:szCs w:val="20"/>
        </w:rPr>
        <w:tab/>
      </w:r>
      <w:r w:rsidRPr="00B14590">
        <w:rPr>
          <w:rFonts w:ascii="Verdana" w:hAnsi="Verdana"/>
          <w:b w:val="0"/>
          <w:i/>
          <w:color w:val="auto"/>
          <w:sz w:val="20"/>
          <w:szCs w:val="20"/>
        </w:rPr>
        <w:t>Daño inmaterial</w:t>
      </w:r>
      <w:bookmarkEnd w:id="132"/>
      <w:bookmarkEnd w:id="133"/>
    </w:p>
    <w:p w:rsidR="001B626E" w:rsidRDefault="001B626E" w:rsidP="001B626E">
      <w:pPr>
        <w:spacing w:line="240" w:lineRule="auto"/>
        <w:rPr>
          <w:sz w:val="20"/>
          <w:szCs w:val="20"/>
        </w:rPr>
      </w:pPr>
    </w:p>
    <w:p w:rsidR="00B80B74" w:rsidRPr="0001748B" w:rsidRDefault="00B80B74" w:rsidP="00B80B74">
      <w:pPr>
        <w:numPr>
          <w:ilvl w:val="0"/>
          <w:numId w:val="1"/>
        </w:numPr>
        <w:tabs>
          <w:tab w:val="left" w:pos="567"/>
          <w:tab w:val="num" w:pos="5057"/>
        </w:tabs>
        <w:spacing w:line="240" w:lineRule="auto"/>
        <w:ind w:left="0" w:firstLine="0"/>
        <w:rPr>
          <w:rFonts w:eastAsia="Calibri"/>
          <w:b/>
          <w:i/>
          <w:spacing w:val="-2"/>
          <w:sz w:val="20"/>
          <w:szCs w:val="20"/>
          <w:lang w:eastAsia="x-none"/>
        </w:rPr>
      </w:pPr>
      <w:r w:rsidRPr="0001748B">
        <w:rPr>
          <w:rFonts w:eastAsia="Verdana" w:cs="Verdana"/>
          <w:sz w:val="20"/>
          <w:szCs w:val="20"/>
        </w:rPr>
        <w:t xml:space="preserve">La </w:t>
      </w:r>
      <w:r w:rsidRPr="0001748B">
        <w:rPr>
          <w:rFonts w:eastAsia="Verdana" w:cs="Verdana"/>
          <w:b/>
          <w:i/>
          <w:sz w:val="20"/>
          <w:szCs w:val="20"/>
        </w:rPr>
        <w:t>Comisión</w:t>
      </w:r>
      <w:r w:rsidRPr="0001748B">
        <w:rPr>
          <w:rFonts w:eastAsia="Verdana" w:cs="Verdana"/>
          <w:sz w:val="20"/>
          <w:szCs w:val="20"/>
        </w:rPr>
        <w:t xml:space="preserve"> solicitó </w:t>
      </w:r>
      <w:r>
        <w:rPr>
          <w:rFonts w:eastAsia="Verdana" w:cs="Verdana"/>
          <w:sz w:val="20"/>
          <w:szCs w:val="20"/>
        </w:rPr>
        <w:t>a</w:t>
      </w:r>
      <w:r w:rsidRPr="0001748B">
        <w:rPr>
          <w:rFonts w:eastAsia="Verdana" w:cs="Verdana"/>
          <w:sz w:val="20"/>
          <w:szCs w:val="20"/>
        </w:rPr>
        <w:t xml:space="preserve"> la Corte</w:t>
      </w:r>
      <w:r>
        <w:rPr>
          <w:rFonts w:eastAsia="Verdana" w:cs="Verdana"/>
          <w:sz w:val="20"/>
          <w:szCs w:val="20"/>
        </w:rPr>
        <w:t xml:space="preserve"> que</w:t>
      </w:r>
      <w:r w:rsidRPr="0001748B">
        <w:rPr>
          <w:rFonts w:eastAsia="Verdana" w:cs="Verdana"/>
          <w:sz w:val="20"/>
          <w:szCs w:val="20"/>
        </w:rPr>
        <w:t xml:space="preserve"> ordenara al Estado reparar adecuadamente las violaciones de derechos humanos declaradas en el informe de fondo, tanto en el aspecto material como moral.</w:t>
      </w:r>
    </w:p>
    <w:p w:rsidR="00B80B74" w:rsidRPr="0001748B" w:rsidRDefault="00B80B74" w:rsidP="001B626E">
      <w:pPr>
        <w:spacing w:line="240" w:lineRule="auto"/>
        <w:rPr>
          <w:sz w:val="20"/>
          <w:szCs w:val="20"/>
        </w:rPr>
      </w:pPr>
    </w:p>
    <w:p w:rsidR="001B626E" w:rsidRPr="0001748B" w:rsidRDefault="001B626E" w:rsidP="001B626E">
      <w:pPr>
        <w:numPr>
          <w:ilvl w:val="0"/>
          <w:numId w:val="1"/>
        </w:numPr>
        <w:tabs>
          <w:tab w:val="left" w:pos="567"/>
          <w:tab w:val="num" w:pos="5057"/>
        </w:tabs>
        <w:spacing w:line="240" w:lineRule="auto"/>
        <w:ind w:left="0" w:firstLine="0"/>
        <w:rPr>
          <w:sz w:val="20"/>
          <w:szCs w:val="20"/>
        </w:rPr>
      </w:pPr>
      <w:r w:rsidRPr="0001748B">
        <w:rPr>
          <w:rFonts w:eastAsia="Calibri"/>
          <w:spacing w:val="-2"/>
          <w:sz w:val="20"/>
          <w:szCs w:val="20"/>
          <w:lang w:eastAsia="x-none"/>
        </w:rPr>
        <w:t>Las</w:t>
      </w:r>
      <w:r w:rsidRPr="0001748B">
        <w:rPr>
          <w:sz w:val="20"/>
          <w:szCs w:val="20"/>
        </w:rPr>
        <w:t xml:space="preserve"> </w:t>
      </w:r>
      <w:r w:rsidRPr="0001748B">
        <w:rPr>
          <w:b/>
          <w:i/>
          <w:sz w:val="20"/>
          <w:szCs w:val="20"/>
        </w:rPr>
        <w:t xml:space="preserve">representantes </w:t>
      </w:r>
      <w:r w:rsidRPr="0001748B">
        <w:rPr>
          <w:sz w:val="20"/>
          <w:szCs w:val="20"/>
        </w:rPr>
        <w:t xml:space="preserve">señalaron que “[l]a falta de acceso a la justicia, así como su denegación, conjuntamente con las amenazas por vía telefónica recibidas y el atentado contra la vida e integridad de los familiares de la presunta víctima directa de este caso, en razón de la exigencia estatal de que no continuaran con sus investigaciones, generaron [en las víctimas] continuos sufrimientos por las violaciones cometidas, todo lo cual esta Corte ha visualizado al momento de fijar reparación por este concepto de daño inmaterial”. En este sentido, las representantes solicitaron que </w:t>
      </w:r>
      <w:r w:rsidR="00D24AF2">
        <w:rPr>
          <w:sz w:val="20"/>
          <w:szCs w:val="20"/>
        </w:rPr>
        <w:t>se ordene el pago de</w:t>
      </w:r>
      <w:r w:rsidRPr="0001748B">
        <w:rPr>
          <w:sz w:val="20"/>
          <w:szCs w:val="20"/>
        </w:rPr>
        <w:t xml:space="preserve"> una suma por daño inmaterial de US$</w:t>
      </w:r>
      <w:r w:rsidR="005F1425" w:rsidRPr="0001748B">
        <w:rPr>
          <w:sz w:val="20"/>
          <w:szCs w:val="20"/>
        </w:rPr>
        <w:t xml:space="preserve"> </w:t>
      </w:r>
      <w:r w:rsidRPr="0001748B">
        <w:rPr>
          <w:sz w:val="20"/>
          <w:szCs w:val="20"/>
        </w:rPr>
        <w:t>150</w:t>
      </w:r>
      <w:r w:rsidR="005F1425" w:rsidRPr="0001748B">
        <w:rPr>
          <w:sz w:val="20"/>
          <w:szCs w:val="20"/>
        </w:rPr>
        <w:t>.</w:t>
      </w:r>
      <w:r w:rsidRPr="0001748B">
        <w:rPr>
          <w:sz w:val="20"/>
          <w:szCs w:val="20"/>
        </w:rPr>
        <w:t>000</w:t>
      </w:r>
      <w:r w:rsidR="00D24AF2">
        <w:rPr>
          <w:sz w:val="20"/>
          <w:szCs w:val="20"/>
        </w:rPr>
        <w:t>,00</w:t>
      </w:r>
      <w:r w:rsidRPr="0001748B">
        <w:rPr>
          <w:sz w:val="20"/>
          <w:szCs w:val="20"/>
        </w:rPr>
        <w:t xml:space="preserve"> para cada uno de los padres de Johan Alexis Ortiz Hernández, es decir para los señores Zaida Hernández de Arellano</w:t>
      </w:r>
      <w:r w:rsidR="00CD4B59" w:rsidRPr="00CD4B59">
        <w:rPr>
          <w:sz w:val="20"/>
          <w:szCs w:val="20"/>
        </w:rPr>
        <w:t xml:space="preserve"> </w:t>
      </w:r>
      <w:r w:rsidR="00CD4B59">
        <w:rPr>
          <w:sz w:val="20"/>
          <w:szCs w:val="20"/>
        </w:rPr>
        <w:t xml:space="preserve">y </w:t>
      </w:r>
      <w:r w:rsidR="00CD4B59" w:rsidRPr="0001748B">
        <w:rPr>
          <w:sz w:val="20"/>
          <w:szCs w:val="20"/>
        </w:rPr>
        <w:t>Edgar Humberto Ortiz Ruiz</w:t>
      </w:r>
      <w:r w:rsidRPr="0001748B">
        <w:rPr>
          <w:sz w:val="20"/>
          <w:szCs w:val="20"/>
        </w:rPr>
        <w:t>; así como US$</w:t>
      </w:r>
      <w:r w:rsidR="005F1425" w:rsidRPr="0001748B">
        <w:rPr>
          <w:sz w:val="20"/>
          <w:szCs w:val="20"/>
        </w:rPr>
        <w:t xml:space="preserve"> </w:t>
      </w:r>
      <w:r w:rsidRPr="0001748B">
        <w:rPr>
          <w:sz w:val="20"/>
          <w:szCs w:val="20"/>
        </w:rPr>
        <w:t>30</w:t>
      </w:r>
      <w:r w:rsidR="005F1425" w:rsidRPr="0001748B">
        <w:rPr>
          <w:sz w:val="20"/>
          <w:szCs w:val="20"/>
        </w:rPr>
        <w:t>.</w:t>
      </w:r>
      <w:r w:rsidRPr="0001748B">
        <w:rPr>
          <w:sz w:val="20"/>
          <w:szCs w:val="20"/>
        </w:rPr>
        <w:t>000</w:t>
      </w:r>
      <w:r w:rsidR="00D24AF2">
        <w:rPr>
          <w:sz w:val="20"/>
          <w:szCs w:val="20"/>
        </w:rPr>
        <w:t>,00</w:t>
      </w:r>
      <w:r w:rsidRPr="0001748B">
        <w:rPr>
          <w:sz w:val="20"/>
          <w:szCs w:val="20"/>
        </w:rPr>
        <w:t xml:space="preserve"> para cada uno de sus hermanos Jeckson Edgardo Ortiz González y Zaida Dariana Arellano Hernández; la suma de US$</w:t>
      </w:r>
      <w:r w:rsidR="005F1425" w:rsidRPr="0001748B">
        <w:rPr>
          <w:sz w:val="20"/>
          <w:szCs w:val="20"/>
        </w:rPr>
        <w:t xml:space="preserve"> </w:t>
      </w:r>
      <w:r w:rsidRPr="0001748B">
        <w:rPr>
          <w:sz w:val="20"/>
          <w:szCs w:val="20"/>
        </w:rPr>
        <w:t>2</w:t>
      </w:r>
      <w:r w:rsidR="005F1425" w:rsidRPr="0001748B">
        <w:rPr>
          <w:sz w:val="20"/>
          <w:szCs w:val="20"/>
        </w:rPr>
        <w:t>0.</w:t>
      </w:r>
      <w:r w:rsidRPr="0001748B">
        <w:rPr>
          <w:sz w:val="20"/>
          <w:szCs w:val="20"/>
        </w:rPr>
        <w:t>000</w:t>
      </w:r>
      <w:r w:rsidR="00D24AF2">
        <w:rPr>
          <w:sz w:val="20"/>
          <w:szCs w:val="20"/>
        </w:rPr>
        <w:t>,00</w:t>
      </w:r>
      <w:r w:rsidRPr="0001748B">
        <w:rPr>
          <w:sz w:val="20"/>
          <w:szCs w:val="20"/>
        </w:rPr>
        <w:t xml:space="preserve"> para cada uno de sus otros tres hermanos Gre</w:t>
      </w:r>
      <w:r w:rsidR="004E7CE9" w:rsidRPr="0001748B">
        <w:rPr>
          <w:sz w:val="20"/>
          <w:szCs w:val="20"/>
        </w:rPr>
        <w:t>y</w:t>
      </w:r>
      <w:r w:rsidRPr="0001748B">
        <w:rPr>
          <w:sz w:val="20"/>
          <w:szCs w:val="20"/>
        </w:rPr>
        <w:t>s</w:t>
      </w:r>
      <w:r w:rsidR="004E7CE9" w:rsidRPr="0001748B">
        <w:rPr>
          <w:sz w:val="20"/>
          <w:szCs w:val="20"/>
        </w:rPr>
        <w:t>si</w:t>
      </w:r>
      <w:r w:rsidRPr="0001748B">
        <w:rPr>
          <w:sz w:val="20"/>
          <w:szCs w:val="20"/>
        </w:rPr>
        <w:t xml:space="preserve"> Maried Ortiz González, Gregory Leonardo Ortiz González y Saúl Johan Arellano Hernández, y finalmente, la cantidad de US$</w:t>
      </w:r>
      <w:r w:rsidR="005F1425" w:rsidRPr="0001748B">
        <w:rPr>
          <w:sz w:val="20"/>
          <w:szCs w:val="20"/>
        </w:rPr>
        <w:t xml:space="preserve"> </w:t>
      </w:r>
      <w:r w:rsidRPr="0001748B">
        <w:rPr>
          <w:sz w:val="20"/>
          <w:szCs w:val="20"/>
        </w:rPr>
        <w:t>40</w:t>
      </w:r>
      <w:r w:rsidR="005F1425" w:rsidRPr="0001748B">
        <w:rPr>
          <w:sz w:val="20"/>
          <w:szCs w:val="20"/>
        </w:rPr>
        <w:t>.</w:t>
      </w:r>
      <w:r w:rsidRPr="0001748B">
        <w:rPr>
          <w:sz w:val="20"/>
          <w:szCs w:val="20"/>
        </w:rPr>
        <w:t>000</w:t>
      </w:r>
      <w:r w:rsidR="00D24AF2">
        <w:rPr>
          <w:sz w:val="20"/>
          <w:szCs w:val="20"/>
        </w:rPr>
        <w:t>,00</w:t>
      </w:r>
      <w:r w:rsidRPr="0001748B">
        <w:rPr>
          <w:sz w:val="20"/>
          <w:szCs w:val="20"/>
        </w:rPr>
        <w:t xml:space="preserve"> a favor de Maritza González Cordero</w:t>
      </w:r>
      <w:r w:rsidR="00E32E0D">
        <w:rPr>
          <w:sz w:val="20"/>
          <w:szCs w:val="20"/>
        </w:rPr>
        <w:t xml:space="preserve"> </w:t>
      </w:r>
      <w:r w:rsidRPr="0001748B">
        <w:rPr>
          <w:sz w:val="20"/>
          <w:szCs w:val="20"/>
        </w:rPr>
        <w:t>y Saúl Arellano</w:t>
      </w:r>
      <w:r w:rsidR="00CD4B59">
        <w:rPr>
          <w:sz w:val="20"/>
          <w:szCs w:val="20"/>
        </w:rPr>
        <w:t xml:space="preserve"> Mora</w:t>
      </w:r>
      <w:r w:rsidRPr="0001748B">
        <w:rPr>
          <w:sz w:val="20"/>
          <w:szCs w:val="20"/>
        </w:rPr>
        <w:t>. El monto total solicitado por concepto de daño inmaterial asciende a US$</w:t>
      </w:r>
      <w:r w:rsidR="005F1425" w:rsidRPr="0001748B">
        <w:rPr>
          <w:sz w:val="20"/>
          <w:szCs w:val="20"/>
        </w:rPr>
        <w:t xml:space="preserve"> </w:t>
      </w:r>
      <w:r w:rsidRPr="0001748B">
        <w:rPr>
          <w:sz w:val="20"/>
          <w:szCs w:val="20"/>
        </w:rPr>
        <w:t>500</w:t>
      </w:r>
      <w:r w:rsidR="005F1425" w:rsidRPr="0001748B">
        <w:rPr>
          <w:sz w:val="20"/>
          <w:szCs w:val="20"/>
        </w:rPr>
        <w:t>.</w:t>
      </w:r>
      <w:r w:rsidRPr="0001748B">
        <w:rPr>
          <w:sz w:val="20"/>
          <w:szCs w:val="20"/>
        </w:rPr>
        <w:t>000</w:t>
      </w:r>
      <w:r w:rsidR="00D24AF2">
        <w:rPr>
          <w:sz w:val="20"/>
          <w:szCs w:val="20"/>
        </w:rPr>
        <w:t>,00</w:t>
      </w:r>
      <w:r w:rsidR="00746547">
        <w:rPr>
          <w:sz w:val="20"/>
          <w:szCs w:val="20"/>
        </w:rPr>
        <w:t xml:space="preserve"> (quinientos mil dólares de los Estados Unidos de América)</w:t>
      </w:r>
      <w:r w:rsidRPr="0001748B">
        <w:rPr>
          <w:sz w:val="20"/>
          <w:szCs w:val="20"/>
        </w:rPr>
        <w:t>.</w:t>
      </w:r>
    </w:p>
    <w:p w:rsidR="001B626E" w:rsidRPr="0001748B" w:rsidRDefault="001B626E" w:rsidP="001B626E">
      <w:pPr>
        <w:tabs>
          <w:tab w:val="left" w:pos="567"/>
        </w:tabs>
        <w:spacing w:line="240" w:lineRule="auto"/>
        <w:rPr>
          <w:sz w:val="20"/>
          <w:szCs w:val="20"/>
        </w:rPr>
      </w:pPr>
    </w:p>
    <w:p w:rsidR="001B626E" w:rsidRPr="0001748B" w:rsidRDefault="001B626E" w:rsidP="001B626E">
      <w:pPr>
        <w:numPr>
          <w:ilvl w:val="0"/>
          <w:numId w:val="1"/>
        </w:numPr>
        <w:tabs>
          <w:tab w:val="left" w:pos="567"/>
          <w:tab w:val="num" w:pos="5057"/>
        </w:tabs>
        <w:spacing w:line="240" w:lineRule="auto"/>
        <w:ind w:left="0" w:firstLine="0"/>
        <w:rPr>
          <w:sz w:val="20"/>
          <w:szCs w:val="20"/>
        </w:rPr>
      </w:pPr>
      <w:r w:rsidRPr="0001748B">
        <w:rPr>
          <w:rFonts w:eastAsia="Calibri"/>
          <w:spacing w:val="-2"/>
          <w:sz w:val="20"/>
          <w:szCs w:val="20"/>
          <w:lang w:eastAsia="x-none"/>
        </w:rPr>
        <w:t>Asimismo</w:t>
      </w:r>
      <w:r w:rsidRPr="0001748B">
        <w:rPr>
          <w:sz w:val="20"/>
          <w:szCs w:val="20"/>
        </w:rPr>
        <w:t xml:space="preserve">, las representantes alegaron que el Estado ocasionó un daño al proyecto de vida del joven Johan Alexis Ortiz Hernández, quien como consecuencia de su muerte en manos de agentes del Estado, se vio impedido de realizar “sus expectativas de desarrollo personal y vocacional, existiendo en Venezuela una esperanza de vida en hombres de 71 años, lo cual se comprueba con el hecho de que producto de su muerte no pudo continuar con su formación como Guardia Nacional, […] siendo la obtención del título de Guardia Nacional al momento de la ocurrencia de los hechos su expectativa más evidente, no obstante encontrarse inscrito en la Universidad Católica del Táchira en la Carrera de Derecho”. Asimismo, las representantes señalaron que también se le ocasionó un daño al proyecto de vida, en razón de que no pudo realizar y gozar de relaciones afectivas íntimas, en virtud de que al momento de su fallecimiento, conforme a las informaciones suministradas por sus padres, tenía un noviazgo de seis meses, teniendo las intenciones de profundizar en dicha relación una vez concluidos sus estudios, por lo que tampoco </w:t>
      </w:r>
      <w:r w:rsidRPr="0001748B">
        <w:rPr>
          <w:sz w:val="20"/>
          <w:szCs w:val="20"/>
        </w:rPr>
        <w:lastRenderedPageBreak/>
        <w:t>pudo convertirse en esposo ni en padre. En ese mismo orden, las representantes indicaron que la muerte de Johan Alexis Ortiz Hernández impidió continuar consolidando los lazos afectivos con sus familiares, no solo con sus padres, sino también con sus hermanos. Con base en lo expuesto, las representantes solicitaron a la Corte que ordenara al Estado el pago de un monto indemnizatorio por concepto de daño al proyecto de vida en perjuicio de Johan Alexis Ortiz Hernández, que en ningún caso sea inferior a la suma de US$</w:t>
      </w:r>
      <w:r w:rsidR="005F1425" w:rsidRPr="0001748B">
        <w:rPr>
          <w:sz w:val="20"/>
          <w:szCs w:val="20"/>
        </w:rPr>
        <w:t xml:space="preserve"> </w:t>
      </w:r>
      <w:r w:rsidRPr="0001748B">
        <w:rPr>
          <w:sz w:val="20"/>
          <w:szCs w:val="20"/>
        </w:rPr>
        <w:t>50</w:t>
      </w:r>
      <w:r w:rsidR="005F1425" w:rsidRPr="0001748B">
        <w:rPr>
          <w:sz w:val="20"/>
          <w:szCs w:val="20"/>
        </w:rPr>
        <w:t>.</w:t>
      </w:r>
      <w:r w:rsidRPr="0001748B">
        <w:rPr>
          <w:sz w:val="20"/>
          <w:szCs w:val="20"/>
        </w:rPr>
        <w:t>000, la cual deberá ser distribuida en partes iguales entre sus padres.</w:t>
      </w:r>
    </w:p>
    <w:p w:rsidR="001B626E" w:rsidRPr="0001748B" w:rsidRDefault="001B626E" w:rsidP="001B626E">
      <w:pPr>
        <w:tabs>
          <w:tab w:val="left" w:pos="0"/>
          <w:tab w:val="num" w:pos="11028"/>
        </w:tabs>
        <w:spacing w:line="240" w:lineRule="auto"/>
        <w:ind w:right="-90"/>
        <w:rPr>
          <w:sz w:val="20"/>
          <w:szCs w:val="20"/>
        </w:rPr>
      </w:pPr>
    </w:p>
    <w:p w:rsidR="001B626E" w:rsidRPr="0001748B" w:rsidRDefault="001B626E" w:rsidP="001B626E">
      <w:pPr>
        <w:numPr>
          <w:ilvl w:val="0"/>
          <w:numId w:val="1"/>
        </w:numPr>
        <w:tabs>
          <w:tab w:val="left" w:pos="567"/>
          <w:tab w:val="num" w:pos="5057"/>
        </w:tabs>
        <w:spacing w:line="240" w:lineRule="auto"/>
        <w:ind w:left="0" w:firstLine="0"/>
        <w:rPr>
          <w:rFonts w:eastAsia="Calibri"/>
          <w:b/>
          <w:i/>
          <w:spacing w:val="-2"/>
          <w:sz w:val="16"/>
          <w:szCs w:val="16"/>
          <w:lang w:eastAsia="x-none"/>
        </w:rPr>
      </w:pPr>
      <w:r w:rsidRPr="0001748B">
        <w:rPr>
          <w:rFonts w:eastAsia="MS Mincho"/>
          <w:sz w:val="20"/>
          <w:szCs w:val="20"/>
          <w:lang w:bidi="en-US"/>
        </w:rPr>
        <w:t xml:space="preserve">El </w:t>
      </w:r>
      <w:r w:rsidRPr="0001748B">
        <w:rPr>
          <w:rFonts w:eastAsia="MS Mincho"/>
          <w:b/>
          <w:i/>
          <w:sz w:val="20"/>
          <w:szCs w:val="20"/>
          <w:lang w:bidi="en-US"/>
        </w:rPr>
        <w:t>Estado</w:t>
      </w:r>
      <w:r w:rsidRPr="0001748B">
        <w:rPr>
          <w:rFonts w:eastAsia="Verdana" w:cs="Verdana"/>
          <w:sz w:val="20"/>
          <w:szCs w:val="20"/>
        </w:rPr>
        <w:t xml:space="preserve"> a</w:t>
      </w:r>
      <w:r w:rsidRPr="0001748B">
        <w:rPr>
          <w:rFonts w:eastAsia="Verdana" w:cs="Verdana"/>
          <w:spacing w:val="3"/>
          <w:sz w:val="20"/>
          <w:szCs w:val="20"/>
        </w:rPr>
        <w:t>l</w:t>
      </w:r>
      <w:r w:rsidRPr="0001748B">
        <w:rPr>
          <w:rFonts w:eastAsia="Verdana" w:cs="Verdana"/>
          <w:spacing w:val="-1"/>
          <w:sz w:val="20"/>
          <w:szCs w:val="20"/>
        </w:rPr>
        <w:t>e</w:t>
      </w:r>
      <w:r w:rsidRPr="0001748B">
        <w:rPr>
          <w:rFonts w:eastAsia="Verdana" w:cs="Verdana"/>
          <w:spacing w:val="1"/>
          <w:sz w:val="20"/>
          <w:szCs w:val="20"/>
        </w:rPr>
        <w:t>g</w:t>
      </w:r>
      <w:r w:rsidRPr="0001748B">
        <w:rPr>
          <w:rFonts w:eastAsia="Verdana" w:cs="Verdana"/>
          <w:sz w:val="20"/>
          <w:szCs w:val="20"/>
        </w:rPr>
        <w:t xml:space="preserve">ó </w:t>
      </w:r>
      <w:r w:rsidRPr="0001748B">
        <w:rPr>
          <w:rFonts w:eastAsia="Verdana" w:cs="Verdana"/>
          <w:spacing w:val="1"/>
          <w:sz w:val="20"/>
          <w:szCs w:val="20"/>
        </w:rPr>
        <w:t>qu</w:t>
      </w:r>
      <w:r w:rsidRPr="0001748B">
        <w:rPr>
          <w:rFonts w:eastAsia="Verdana" w:cs="Verdana"/>
          <w:sz w:val="20"/>
          <w:szCs w:val="20"/>
        </w:rPr>
        <w:t>e las indemnizaciones por daño inmaterial solicitadas se alejaban ampliamente de los criterios sostenidos por la Corte en su jurisprudencia, en aplicación razonable del arbitrio judicial y términos de equidad.</w:t>
      </w:r>
    </w:p>
    <w:p w:rsidR="001B626E" w:rsidRPr="0001748B" w:rsidRDefault="001B626E" w:rsidP="001B626E">
      <w:pPr>
        <w:tabs>
          <w:tab w:val="left" w:pos="0"/>
          <w:tab w:val="num" w:pos="11028"/>
        </w:tabs>
        <w:spacing w:line="240" w:lineRule="auto"/>
        <w:ind w:right="-90"/>
        <w:rPr>
          <w:rFonts w:eastAsia="Calibri"/>
          <w:b/>
          <w:i/>
          <w:spacing w:val="-2"/>
          <w:sz w:val="20"/>
          <w:szCs w:val="20"/>
          <w:lang w:eastAsia="x-none"/>
        </w:rPr>
      </w:pPr>
    </w:p>
    <w:p w:rsidR="001B626E" w:rsidRPr="0001748B" w:rsidRDefault="001B626E" w:rsidP="001B626E">
      <w:pPr>
        <w:numPr>
          <w:ilvl w:val="0"/>
          <w:numId w:val="1"/>
        </w:numPr>
        <w:tabs>
          <w:tab w:val="left" w:pos="567"/>
          <w:tab w:val="num" w:pos="5057"/>
        </w:tabs>
        <w:spacing w:line="240" w:lineRule="auto"/>
        <w:ind w:left="0" w:firstLine="0"/>
        <w:rPr>
          <w:rFonts w:eastAsia="MS Mincho" w:cs="Verdana"/>
          <w:sz w:val="20"/>
          <w:szCs w:val="20"/>
          <w:lang w:bidi="en-US"/>
        </w:rPr>
      </w:pPr>
      <w:r w:rsidRPr="0001748B">
        <w:rPr>
          <w:rFonts w:eastAsia="MS Mincho" w:cs="Verdana"/>
          <w:sz w:val="20"/>
          <w:szCs w:val="20"/>
          <w:lang w:bidi="en-US"/>
        </w:rPr>
        <w:t xml:space="preserve">La </w:t>
      </w:r>
      <w:r w:rsidRPr="0001748B">
        <w:rPr>
          <w:rFonts w:eastAsia="MS Mincho"/>
          <w:sz w:val="20"/>
          <w:szCs w:val="20"/>
          <w:lang w:bidi="en-US"/>
        </w:rPr>
        <w:t>jurisprudencia</w:t>
      </w:r>
      <w:r w:rsidRPr="0001748B">
        <w:rPr>
          <w:rFonts w:eastAsia="MS Mincho" w:cs="Verdana"/>
          <w:sz w:val="20"/>
          <w:szCs w:val="20"/>
          <w:lang w:bidi="en-US"/>
        </w:rPr>
        <w:t xml:space="preserve"> internacional ha establecido reiteradamente que la sentencia puede constituir </w:t>
      </w:r>
      <w:r w:rsidRPr="0001748B">
        <w:rPr>
          <w:rFonts w:eastAsia="MS Mincho" w:cs="Verdana"/>
          <w:i/>
          <w:iCs/>
          <w:sz w:val="20"/>
          <w:szCs w:val="20"/>
          <w:lang w:bidi="en-US"/>
        </w:rPr>
        <w:t xml:space="preserve">per se </w:t>
      </w:r>
      <w:r w:rsidRPr="0001748B">
        <w:rPr>
          <w:rFonts w:eastAsia="MS Mincho" w:cs="Verdana"/>
          <w:sz w:val="20"/>
          <w:szCs w:val="20"/>
          <w:lang w:bidi="en-US"/>
        </w:rPr>
        <w:t>una forma de reparación</w:t>
      </w:r>
      <w:r w:rsidRPr="0001748B">
        <w:rPr>
          <w:rFonts w:eastAsia="MS Mincho" w:cs="Verdana"/>
          <w:sz w:val="20"/>
          <w:szCs w:val="20"/>
          <w:vertAlign w:val="superscript"/>
          <w:lang w:bidi="en-US"/>
        </w:rPr>
        <w:footnoteReference w:id="245"/>
      </w:r>
      <w:r w:rsidRPr="0001748B">
        <w:rPr>
          <w:rFonts w:eastAsia="MS Mincho" w:cs="Verdana"/>
          <w:sz w:val="20"/>
          <w:szCs w:val="20"/>
          <w:lang w:bidi="en-US"/>
        </w:rPr>
        <w:t xml:space="preserve">. No obstante, la Corte ha desarrollado en su jurisprudencia el concepto de daño inmaterial y </w:t>
      </w:r>
      <w:r w:rsidRPr="0001748B">
        <w:rPr>
          <w:rFonts w:eastAsia="MS Mincho"/>
          <w:sz w:val="20"/>
          <w:szCs w:val="20"/>
          <w:lang w:bidi="en-US"/>
        </w:rPr>
        <w:t>ha establecido que éste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01748B">
        <w:rPr>
          <w:rFonts w:eastAsia="MS Mincho"/>
          <w:sz w:val="20"/>
          <w:szCs w:val="20"/>
          <w:vertAlign w:val="superscript"/>
          <w:lang w:bidi="en-US"/>
        </w:rPr>
        <w:footnoteReference w:id="246"/>
      </w:r>
      <w:r w:rsidRPr="0001748B">
        <w:rPr>
          <w:rFonts w:eastAsia="MS Mincho" w:cs="Verdana"/>
          <w:sz w:val="20"/>
          <w:szCs w:val="20"/>
          <w:lang w:bidi="en-US"/>
        </w:rPr>
        <w:t>.</w:t>
      </w:r>
    </w:p>
    <w:p w:rsidR="001B626E" w:rsidRPr="0001748B" w:rsidRDefault="001B626E" w:rsidP="001B626E">
      <w:pPr>
        <w:pStyle w:val="ListParagraph"/>
        <w:spacing w:line="240" w:lineRule="auto"/>
        <w:rPr>
          <w:rFonts w:eastAsia="MS Mincho" w:cs="Verdana"/>
          <w:sz w:val="20"/>
          <w:szCs w:val="20"/>
          <w:lang w:bidi="en-US"/>
        </w:rPr>
      </w:pPr>
    </w:p>
    <w:p w:rsidR="001B626E" w:rsidRPr="0001748B" w:rsidRDefault="001B626E" w:rsidP="001B626E">
      <w:pPr>
        <w:numPr>
          <w:ilvl w:val="0"/>
          <w:numId w:val="1"/>
        </w:numPr>
        <w:tabs>
          <w:tab w:val="left" w:pos="567"/>
          <w:tab w:val="num" w:pos="5057"/>
          <w:tab w:val="num" w:pos="12305"/>
        </w:tabs>
        <w:spacing w:line="240" w:lineRule="auto"/>
        <w:ind w:left="0" w:firstLine="0"/>
        <w:rPr>
          <w:rFonts w:eastAsia="MS Mincho" w:cs="Verdana"/>
          <w:sz w:val="20"/>
          <w:szCs w:val="20"/>
          <w:lang w:bidi="en-US"/>
        </w:rPr>
      </w:pPr>
      <w:r w:rsidRPr="0001748B">
        <w:rPr>
          <w:sz w:val="20"/>
          <w:szCs w:val="20"/>
        </w:rPr>
        <w:t xml:space="preserve">El Estado </w:t>
      </w:r>
      <w:r w:rsidR="004A3CE6">
        <w:rPr>
          <w:sz w:val="20"/>
          <w:szCs w:val="20"/>
        </w:rPr>
        <w:t>realizó un</w:t>
      </w:r>
      <w:r w:rsidRPr="0001748B">
        <w:rPr>
          <w:sz w:val="20"/>
          <w:szCs w:val="20"/>
        </w:rPr>
        <w:t xml:space="preserve"> reconocimiento parcial de responsabilidad internacional en el presente caso y la Corte precisó dichas violaciones de derechos humanos en </w:t>
      </w:r>
      <w:r w:rsidR="00EC65F2">
        <w:rPr>
          <w:sz w:val="20"/>
          <w:szCs w:val="20"/>
        </w:rPr>
        <w:t>e</w:t>
      </w:r>
      <w:r w:rsidRPr="0001748B">
        <w:rPr>
          <w:sz w:val="20"/>
          <w:szCs w:val="20"/>
        </w:rPr>
        <w:t xml:space="preserve">l </w:t>
      </w:r>
      <w:r w:rsidR="00DE0A8A">
        <w:rPr>
          <w:sz w:val="20"/>
          <w:szCs w:val="20"/>
        </w:rPr>
        <w:t>C</w:t>
      </w:r>
      <w:r w:rsidRPr="0001748B">
        <w:rPr>
          <w:sz w:val="20"/>
          <w:szCs w:val="20"/>
        </w:rPr>
        <w:t>apítulo</w:t>
      </w:r>
      <w:r w:rsidR="00DE0A8A">
        <w:rPr>
          <w:sz w:val="20"/>
          <w:szCs w:val="20"/>
        </w:rPr>
        <w:t xml:space="preserve"> VII</w:t>
      </w:r>
      <w:r w:rsidR="00DE0A8A" w:rsidRPr="0001748B">
        <w:rPr>
          <w:sz w:val="20"/>
          <w:szCs w:val="20"/>
        </w:rPr>
        <w:t xml:space="preserve">, </w:t>
      </w:r>
      <w:r w:rsidRPr="0001748B">
        <w:rPr>
          <w:sz w:val="20"/>
          <w:szCs w:val="20"/>
        </w:rPr>
        <w:t>como consecuencia de la falta de atención médica adecuada y oportuna y por la muerte de Johan Alexis Ortiz</w:t>
      </w:r>
      <w:r w:rsidR="00DE0A8A">
        <w:rPr>
          <w:sz w:val="20"/>
          <w:szCs w:val="20"/>
        </w:rPr>
        <w:t xml:space="preserve"> Hernández</w:t>
      </w:r>
      <w:r w:rsidRPr="0001748B">
        <w:rPr>
          <w:sz w:val="20"/>
          <w:szCs w:val="20"/>
        </w:rPr>
        <w:t xml:space="preserve">, así como por denegación de justicia, lo cual causó, a su vez, profundos sentimientos de angustia y sufrimiento en sus familiares. </w:t>
      </w:r>
      <w:r w:rsidRPr="0001748B">
        <w:rPr>
          <w:rFonts w:eastAsia="MS Mincho"/>
          <w:sz w:val="20"/>
          <w:szCs w:val="20"/>
          <w:lang w:bidi="en-US"/>
        </w:rPr>
        <w:t>En consideración de las circunstancias del presente caso, las violaciones cometidas, los sufrimientos ocasionados y experimentados en diferentes grados, el tiempo transcurrido, la denegación de justicia, así como el cambio en las condiciones de vida de algunos familiares, las comprobadas afectaciones a la integridad personal y las restantes consecuencias de orden inmaterial que sufrieron, el Tribunal pasa a fijar en equidad las indemnizaciones por daño inmaterial a favor de las víctimas, las cuales deberán ser pagadas directamente a cada una de ellas.</w:t>
      </w:r>
    </w:p>
    <w:p w:rsidR="001B626E" w:rsidRPr="0001748B" w:rsidRDefault="001B626E" w:rsidP="001B626E">
      <w:pPr>
        <w:pStyle w:val="ListParagraph"/>
        <w:spacing w:line="240" w:lineRule="auto"/>
        <w:rPr>
          <w:rFonts w:eastAsia="MS Mincho" w:cs="Verdana"/>
          <w:sz w:val="20"/>
          <w:szCs w:val="20"/>
          <w:lang w:bidi="en-US"/>
        </w:rPr>
      </w:pPr>
    </w:p>
    <w:p w:rsidR="001B626E" w:rsidRPr="00517FB0" w:rsidRDefault="001B626E" w:rsidP="00B5639C">
      <w:pPr>
        <w:numPr>
          <w:ilvl w:val="0"/>
          <w:numId w:val="1"/>
        </w:numPr>
        <w:tabs>
          <w:tab w:val="left" w:pos="567"/>
          <w:tab w:val="num" w:pos="5057"/>
          <w:tab w:val="num" w:pos="12305"/>
        </w:tabs>
        <w:spacing w:line="240" w:lineRule="auto"/>
        <w:ind w:left="0" w:firstLine="0"/>
        <w:rPr>
          <w:rFonts w:cs="Verdana"/>
          <w:sz w:val="20"/>
          <w:szCs w:val="20"/>
        </w:rPr>
      </w:pPr>
      <w:r w:rsidRPr="0001748B">
        <w:rPr>
          <w:rFonts w:cs="Verdana"/>
          <w:sz w:val="20"/>
          <w:szCs w:val="20"/>
        </w:rPr>
        <w:t xml:space="preserve">En primer término, la Corte considera que las circunstancias que rodearon la muerte de </w:t>
      </w:r>
      <w:r w:rsidR="00DF510B">
        <w:rPr>
          <w:rFonts w:cs="Verdana"/>
          <w:sz w:val="20"/>
          <w:szCs w:val="20"/>
        </w:rPr>
        <w:t>Johan Alexis Ortiz Hernández</w:t>
      </w:r>
      <w:r w:rsidRPr="0001748B">
        <w:rPr>
          <w:rFonts w:cs="Verdana"/>
          <w:sz w:val="20"/>
          <w:szCs w:val="20"/>
        </w:rPr>
        <w:t xml:space="preserve"> fueron de una naturaleza tal que le causaron profundo temor y angustia, por lo que debe ser compensado</w:t>
      </w:r>
      <w:r w:rsidR="00AA2D1A">
        <w:rPr>
          <w:rFonts w:cs="Verdana"/>
          <w:sz w:val="20"/>
          <w:szCs w:val="20"/>
        </w:rPr>
        <w:t>. En virtud de ello, la Corte</w:t>
      </w:r>
      <w:r w:rsidRPr="0001748B">
        <w:rPr>
          <w:rFonts w:cs="Verdana"/>
          <w:sz w:val="20"/>
          <w:szCs w:val="20"/>
        </w:rPr>
        <w:t xml:space="preserve"> ordena</w:t>
      </w:r>
      <w:r w:rsidR="00AA2D1A">
        <w:rPr>
          <w:rFonts w:cs="Verdana"/>
          <w:sz w:val="20"/>
          <w:szCs w:val="20"/>
        </w:rPr>
        <w:t>,</w:t>
      </w:r>
      <w:r w:rsidRPr="0001748B">
        <w:rPr>
          <w:rFonts w:cs="Verdana"/>
          <w:sz w:val="20"/>
          <w:szCs w:val="20"/>
        </w:rPr>
        <w:t xml:space="preserve"> </w:t>
      </w:r>
      <w:r w:rsidRPr="008031E5">
        <w:rPr>
          <w:rFonts w:cs="Verdana"/>
          <w:sz w:val="20"/>
          <w:szCs w:val="20"/>
        </w:rPr>
        <w:t>en equidad</w:t>
      </w:r>
      <w:r w:rsidR="00AA2D1A">
        <w:rPr>
          <w:rFonts w:cs="Verdana"/>
          <w:sz w:val="20"/>
          <w:szCs w:val="20"/>
        </w:rPr>
        <w:t>,</w:t>
      </w:r>
      <w:r w:rsidRPr="008031E5">
        <w:rPr>
          <w:rFonts w:cs="Verdana"/>
          <w:sz w:val="20"/>
          <w:szCs w:val="20"/>
        </w:rPr>
        <w:t xml:space="preserve"> el pago de</w:t>
      </w:r>
      <w:r w:rsidR="00B5639C" w:rsidRPr="008031E5">
        <w:rPr>
          <w:rFonts w:cs="Verdana"/>
          <w:sz w:val="20"/>
          <w:szCs w:val="20"/>
        </w:rPr>
        <w:t xml:space="preserve"> </w:t>
      </w:r>
      <w:r w:rsidR="00F70436" w:rsidRPr="008031E5">
        <w:rPr>
          <w:rFonts w:cs="Verdana"/>
          <w:sz w:val="20"/>
          <w:szCs w:val="20"/>
        </w:rPr>
        <w:t xml:space="preserve">la </w:t>
      </w:r>
      <w:r w:rsidR="00AA2D1A">
        <w:rPr>
          <w:rFonts w:cs="Verdana"/>
          <w:sz w:val="20"/>
          <w:szCs w:val="20"/>
        </w:rPr>
        <w:t>suma</w:t>
      </w:r>
      <w:r w:rsidR="00AA2D1A" w:rsidRPr="008031E5">
        <w:rPr>
          <w:rFonts w:cs="Verdana"/>
          <w:sz w:val="20"/>
          <w:szCs w:val="20"/>
        </w:rPr>
        <w:t xml:space="preserve"> </w:t>
      </w:r>
      <w:r w:rsidR="00F70436" w:rsidRPr="008031E5">
        <w:rPr>
          <w:rFonts w:cs="Verdana"/>
          <w:sz w:val="20"/>
          <w:szCs w:val="20"/>
        </w:rPr>
        <w:t xml:space="preserve">de </w:t>
      </w:r>
      <w:r w:rsidRPr="008031E5">
        <w:rPr>
          <w:rFonts w:cs="Verdana"/>
          <w:sz w:val="20"/>
          <w:szCs w:val="20"/>
        </w:rPr>
        <w:t xml:space="preserve">US$ </w:t>
      </w:r>
      <w:r w:rsidR="00B5639C" w:rsidRPr="008031E5">
        <w:rPr>
          <w:rFonts w:cs="Verdana"/>
          <w:sz w:val="20"/>
          <w:szCs w:val="20"/>
        </w:rPr>
        <w:t>6</w:t>
      </w:r>
      <w:r w:rsidRPr="008031E5">
        <w:rPr>
          <w:rFonts w:cs="Verdana"/>
          <w:sz w:val="20"/>
          <w:szCs w:val="20"/>
        </w:rPr>
        <w:t>5.000,00</w:t>
      </w:r>
      <w:r w:rsidR="00F70436" w:rsidRPr="008031E5">
        <w:rPr>
          <w:rFonts w:cs="Verdana"/>
          <w:sz w:val="20"/>
          <w:szCs w:val="20"/>
        </w:rPr>
        <w:t xml:space="preserve"> (sesenta y cinco mil dólares de los Estados Unidos de América)</w:t>
      </w:r>
      <w:r w:rsidR="00AA2D1A" w:rsidRPr="00AA2D1A">
        <w:rPr>
          <w:rFonts w:cs="Verdana"/>
          <w:sz w:val="20"/>
          <w:szCs w:val="20"/>
        </w:rPr>
        <w:t xml:space="preserve"> </w:t>
      </w:r>
      <w:r w:rsidR="00AA2D1A" w:rsidRPr="0001748B">
        <w:rPr>
          <w:rFonts w:cs="Verdana"/>
          <w:sz w:val="20"/>
          <w:szCs w:val="20"/>
        </w:rPr>
        <w:t xml:space="preserve">por concepto de </w:t>
      </w:r>
      <w:r w:rsidR="00AA2D1A" w:rsidRPr="00B5639C">
        <w:rPr>
          <w:rFonts w:eastAsia="MS Mincho"/>
          <w:sz w:val="20"/>
          <w:szCs w:val="20"/>
          <w:lang w:bidi="en-US"/>
        </w:rPr>
        <w:t>daño</w:t>
      </w:r>
      <w:r w:rsidR="00AA2D1A" w:rsidRPr="0001748B">
        <w:rPr>
          <w:rFonts w:cs="Verdana"/>
          <w:sz w:val="20"/>
          <w:szCs w:val="20"/>
        </w:rPr>
        <w:t xml:space="preserve"> inmaterial</w:t>
      </w:r>
      <w:r w:rsidRPr="00517FB0">
        <w:rPr>
          <w:rFonts w:cs="Verdana"/>
          <w:sz w:val="20"/>
          <w:szCs w:val="20"/>
        </w:rPr>
        <w:t xml:space="preserve">. </w:t>
      </w:r>
      <w:r w:rsidR="00323A40" w:rsidRPr="00517FB0">
        <w:rPr>
          <w:rFonts w:cs="Verdana"/>
          <w:sz w:val="20"/>
          <w:szCs w:val="20"/>
        </w:rPr>
        <w:t xml:space="preserve">Este </w:t>
      </w:r>
      <w:r w:rsidR="00323A40" w:rsidRPr="00517FB0">
        <w:rPr>
          <w:sz w:val="20"/>
        </w:rPr>
        <w:t>monto deberá ser distribuido en partes iguales entre su padre y madre, Edgar Humberto Ortiz Ruiz y Zaida Hernández de Arellano</w:t>
      </w:r>
      <w:r w:rsidRPr="00517FB0">
        <w:rPr>
          <w:rFonts w:cs="Verdana"/>
          <w:sz w:val="20"/>
          <w:szCs w:val="20"/>
        </w:rPr>
        <w:t xml:space="preserve">. </w:t>
      </w:r>
    </w:p>
    <w:p w:rsidR="001B626E" w:rsidRPr="00517FB0" w:rsidRDefault="001B626E" w:rsidP="0045779B">
      <w:pPr>
        <w:pStyle w:val="ListParagraph"/>
        <w:spacing w:line="240" w:lineRule="auto"/>
        <w:rPr>
          <w:rFonts w:cs="Verdana"/>
          <w:sz w:val="20"/>
          <w:szCs w:val="20"/>
        </w:rPr>
      </w:pPr>
    </w:p>
    <w:p w:rsidR="001B626E" w:rsidRPr="003C7EEF" w:rsidRDefault="001B626E" w:rsidP="000D462E">
      <w:pPr>
        <w:widowControl/>
        <w:numPr>
          <w:ilvl w:val="0"/>
          <w:numId w:val="1"/>
        </w:numPr>
        <w:tabs>
          <w:tab w:val="left" w:pos="567"/>
          <w:tab w:val="num" w:pos="5057"/>
          <w:tab w:val="num" w:pos="12305"/>
        </w:tabs>
        <w:adjustRightInd/>
        <w:spacing w:line="240" w:lineRule="auto"/>
        <w:ind w:left="0" w:right="-90" w:firstLine="0"/>
        <w:contextualSpacing/>
        <w:textAlignment w:val="auto"/>
        <w:rPr>
          <w:b/>
          <w:sz w:val="20"/>
          <w:szCs w:val="20"/>
        </w:rPr>
      </w:pPr>
      <w:r w:rsidRPr="00517FB0">
        <w:rPr>
          <w:rFonts w:cs="Verdana"/>
          <w:sz w:val="20"/>
          <w:szCs w:val="20"/>
        </w:rPr>
        <w:t>En segundo término, la Corte estima que Zaida Hernández de Arellano y Edgar Humberto Ortiz Ruiz se vieron afectados</w:t>
      </w:r>
      <w:r w:rsidRPr="00517FB0">
        <w:rPr>
          <w:sz w:val="20"/>
          <w:szCs w:val="20"/>
        </w:rPr>
        <w:t xml:space="preserve"> </w:t>
      </w:r>
      <w:r w:rsidRPr="00517FB0">
        <w:rPr>
          <w:rFonts w:cs="Verdana"/>
          <w:sz w:val="20"/>
          <w:szCs w:val="20"/>
        </w:rPr>
        <w:t>como consecuencia de la muerte de su hijo y la constante denegación de justicia, así como las amenazas y hostigamientos sufridos en su lucha por conocer la verdad de los hechos. Todo ello se ha traducido en la experimentación de grandes sufrimientos que repercutieron en su dinámica familiar y condición socioeconómica. Por lo anterior, la Corte fija</w:t>
      </w:r>
      <w:r w:rsidRPr="00517FB0">
        <w:rPr>
          <w:sz w:val="20"/>
          <w:szCs w:val="20"/>
        </w:rPr>
        <w:t xml:space="preserve"> </w:t>
      </w:r>
      <w:r w:rsidRPr="008031E5">
        <w:rPr>
          <w:rFonts w:cs="Verdana"/>
          <w:sz w:val="20"/>
          <w:szCs w:val="20"/>
        </w:rPr>
        <w:t xml:space="preserve">en equidad la </w:t>
      </w:r>
      <w:r w:rsidR="009D5EE1">
        <w:rPr>
          <w:rFonts w:cs="Verdana"/>
          <w:sz w:val="20"/>
          <w:szCs w:val="20"/>
        </w:rPr>
        <w:t>suma</w:t>
      </w:r>
      <w:r w:rsidRPr="008031E5">
        <w:rPr>
          <w:rFonts w:cs="Verdana"/>
          <w:sz w:val="20"/>
          <w:szCs w:val="20"/>
        </w:rPr>
        <w:t xml:space="preserve"> de US$ 35.000,00</w:t>
      </w:r>
      <w:r w:rsidR="00F70436" w:rsidRPr="008031E5">
        <w:rPr>
          <w:rFonts w:cs="Verdana"/>
          <w:sz w:val="20"/>
          <w:szCs w:val="20"/>
        </w:rPr>
        <w:t xml:space="preserve"> (treinta y cinco mil dólares de los Estados Unidos de América)</w:t>
      </w:r>
      <w:r w:rsidR="00415586" w:rsidRPr="008031E5">
        <w:rPr>
          <w:rFonts w:cs="Verdana"/>
          <w:sz w:val="20"/>
          <w:szCs w:val="20"/>
        </w:rPr>
        <w:t xml:space="preserve"> para cada uno</w:t>
      </w:r>
      <w:r w:rsidRPr="00517FB0">
        <w:rPr>
          <w:rFonts w:cs="Verdana"/>
          <w:sz w:val="20"/>
          <w:szCs w:val="20"/>
        </w:rPr>
        <w:t xml:space="preserve">, por concepto de daño </w:t>
      </w:r>
      <w:r w:rsidRPr="00B6365F">
        <w:rPr>
          <w:rFonts w:cs="Verdana"/>
          <w:sz w:val="20"/>
          <w:szCs w:val="20"/>
        </w:rPr>
        <w:t xml:space="preserve">inmaterial, a favor </w:t>
      </w:r>
      <w:r w:rsidR="00323A40" w:rsidRPr="00B6365F">
        <w:rPr>
          <w:rFonts w:cs="Verdana"/>
          <w:sz w:val="20"/>
          <w:szCs w:val="20"/>
        </w:rPr>
        <w:t xml:space="preserve">de la señora </w:t>
      </w:r>
      <w:r w:rsidRPr="00B6365F">
        <w:rPr>
          <w:rFonts w:cs="Verdana"/>
          <w:sz w:val="20"/>
          <w:szCs w:val="20"/>
        </w:rPr>
        <w:t>Zaida Hernández de Arellano y</w:t>
      </w:r>
      <w:r w:rsidR="00323A40" w:rsidRPr="00B6365F">
        <w:rPr>
          <w:rFonts w:cs="Verdana"/>
          <w:sz w:val="20"/>
          <w:szCs w:val="20"/>
        </w:rPr>
        <w:t xml:space="preserve"> del señor</w:t>
      </w:r>
      <w:r w:rsidRPr="00B6365F">
        <w:rPr>
          <w:rFonts w:cs="Verdana"/>
          <w:sz w:val="20"/>
          <w:szCs w:val="20"/>
        </w:rPr>
        <w:t xml:space="preserve"> Edgar Humberto Ortiz Ruiz.</w:t>
      </w:r>
    </w:p>
    <w:p w:rsidR="001B626E" w:rsidRPr="00FA0CCD" w:rsidRDefault="001B626E" w:rsidP="00323A40">
      <w:pPr>
        <w:pStyle w:val="ListParagraph"/>
        <w:spacing w:line="240" w:lineRule="auto"/>
        <w:rPr>
          <w:b/>
          <w:sz w:val="20"/>
          <w:szCs w:val="20"/>
        </w:rPr>
      </w:pPr>
    </w:p>
    <w:p w:rsidR="001B626E" w:rsidRPr="00517FB0" w:rsidRDefault="001B626E" w:rsidP="0079311D">
      <w:pPr>
        <w:widowControl/>
        <w:numPr>
          <w:ilvl w:val="0"/>
          <w:numId w:val="1"/>
        </w:numPr>
        <w:tabs>
          <w:tab w:val="left" w:pos="567"/>
          <w:tab w:val="num" w:pos="5057"/>
          <w:tab w:val="num" w:pos="12305"/>
        </w:tabs>
        <w:adjustRightInd/>
        <w:spacing w:line="240" w:lineRule="auto"/>
        <w:ind w:left="0" w:right="-90" w:firstLine="0"/>
        <w:contextualSpacing/>
        <w:textAlignment w:val="auto"/>
        <w:rPr>
          <w:b/>
          <w:sz w:val="20"/>
          <w:szCs w:val="20"/>
        </w:rPr>
      </w:pPr>
      <w:r w:rsidRPr="00FA0CCD">
        <w:rPr>
          <w:rFonts w:cs="Verdana"/>
          <w:sz w:val="20"/>
          <w:szCs w:val="20"/>
        </w:rPr>
        <w:lastRenderedPageBreak/>
        <w:t>Finalmente</w:t>
      </w:r>
      <w:r w:rsidRPr="00741501">
        <w:rPr>
          <w:sz w:val="20"/>
          <w:szCs w:val="20"/>
        </w:rPr>
        <w:t>, en atenció</w:t>
      </w:r>
      <w:r w:rsidRPr="00517FB0">
        <w:rPr>
          <w:sz w:val="20"/>
          <w:szCs w:val="20"/>
        </w:rPr>
        <w:t xml:space="preserve">n a las afectaciones a la integridad personal sufridas en diferentes grados a consecuencia de los hechos del presente caso, la Corte fija en equidad </w:t>
      </w:r>
      <w:r w:rsidRPr="008031E5">
        <w:rPr>
          <w:sz w:val="20"/>
          <w:szCs w:val="20"/>
        </w:rPr>
        <w:t xml:space="preserve">la </w:t>
      </w:r>
      <w:r w:rsidR="00EB5650">
        <w:rPr>
          <w:sz w:val="20"/>
          <w:szCs w:val="20"/>
        </w:rPr>
        <w:t>suma</w:t>
      </w:r>
      <w:r w:rsidRPr="008031E5">
        <w:rPr>
          <w:sz w:val="20"/>
          <w:szCs w:val="20"/>
        </w:rPr>
        <w:t xml:space="preserve"> de US$ </w:t>
      </w:r>
      <w:r w:rsidRPr="008031E5">
        <w:rPr>
          <w:rFonts w:cs="Verdana"/>
          <w:sz w:val="20"/>
          <w:szCs w:val="20"/>
        </w:rPr>
        <w:t>20.000,00</w:t>
      </w:r>
      <w:r w:rsidR="00F70436" w:rsidRPr="008031E5">
        <w:rPr>
          <w:rFonts w:cs="Verdana"/>
          <w:sz w:val="20"/>
          <w:szCs w:val="20"/>
        </w:rPr>
        <w:t xml:space="preserve"> (veinte mil dólares de los Estados Unidos de América)</w:t>
      </w:r>
      <w:r w:rsidRPr="008031E5">
        <w:rPr>
          <w:rFonts w:cs="Verdana"/>
          <w:sz w:val="20"/>
          <w:szCs w:val="20"/>
        </w:rPr>
        <w:t xml:space="preserve"> </w:t>
      </w:r>
      <w:r w:rsidR="00A03C11" w:rsidRPr="008031E5">
        <w:rPr>
          <w:rFonts w:cs="Verdana"/>
          <w:sz w:val="20"/>
          <w:szCs w:val="20"/>
        </w:rPr>
        <w:t>para cada uno</w:t>
      </w:r>
      <w:r w:rsidR="00A03C11">
        <w:rPr>
          <w:rFonts w:cs="Verdana"/>
          <w:sz w:val="20"/>
          <w:szCs w:val="20"/>
        </w:rPr>
        <w:t>,</w:t>
      </w:r>
      <w:r w:rsidR="00A03C11" w:rsidRPr="008031E5">
        <w:rPr>
          <w:sz w:val="20"/>
          <w:szCs w:val="20"/>
        </w:rPr>
        <w:t xml:space="preserve"> </w:t>
      </w:r>
      <w:r w:rsidRPr="008031E5">
        <w:rPr>
          <w:sz w:val="20"/>
          <w:szCs w:val="20"/>
        </w:rPr>
        <w:t xml:space="preserve">a favor de </w:t>
      </w:r>
      <w:r w:rsidRPr="008031E5">
        <w:rPr>
          <w:rFonts w:eastAsia="Verdana" w:cs="Verdana"/>
          <w:sz w:val="20"/>
          <w:szCs w:val="20"/>
        </w:rPr>
        <w:t>M</w:t>
      </w:r>
      <w:r w:rsidRPr="008031E5">
        <w:rPr>
          <w:rFonts w:eastAsia="Verdana" w:cs="Verdana"/>
          <w:spacing w:val="3"/>
          <w:sz w:val="20"/>
          <w:szCs w:val="20"/>
        </w:rPr>
        <w:t>a</w:t>
      </w:r>
      <w:r w:rsidRPr="008031E5">
        <w:rPr>
          <w:rFonts w:eastAsia="Verdana" w:cs="Verdana"/>
          <w:spacing w:val="-1"/>
          <w:sz w:val="20"/>
          <w:szCs w:val="20"/>
        </w:rPr>
        <w:t>r</w:t>
      </w:r>
      <w:r w:rsidRPr="008031E5">
        <w:rPr>
          <w:rFonts w:eastAsia="Verdana" w:cs="Verdana"/>
          <w:spacing w:val="3"/>
          <w:sz w:val="20"/>
          <w:szCs w:val="20"/>
        </w:rPr>
        <w:t>i</w:t>
      </w:r>
      <w:r w:rsidRPr="008031E5">
        <w:rPr>
          <w:rFonts w:eastAsia="Verdana" w:cs="Verdana"/>
          <w:spacing w:val="1"/>
          <w:sz w:val="20"/>
          <w:szCs w:val="20"/>
        </w:rPr>
        <w:t>tz</w:t>
      </w:r>
      <w:r w:rsidRPr="008031E5">
        <w:rPr>
          <w:rFonts w:eastAsia="Verdana" w:cs="Verdana"/>
          <w:sz w:val="20"/>
          <w:szCs w:val="20"/>
        </w:rPr>
        <w:t>a</w:t>
      </w:r>
      <w:r w:rsidRPr="008031E5">
        <w:rPr>
          <w:rFonts w:eastAsia="Verdana" w:cs="Verdana"/>
          <w:spacing w:val="30"/>
          <w:sz w:val="20"/>
          <w:szCs w:val="20"/>
        </w:rPr>
        <w:t xml:space="preserve"> </w:t>
      </w:r>
      <w:r w:rsidRPr="008031E5">
        <w:rPr>
          <w:rFonts w:eastAsia="Verdana" w:cs="Verdana"/>
          <w:spacing w:val="-1"/>
          <w:sz w:val="20"/>
          <w:szCs w:val="20"/>
        </w:rPr>
        <w:t>Go</w:t>
      </w:r>
      <w:r w:rsidRPr="008031E5">
        <w:rPr>
          <w:rFonts w:eastAsia="Verdana" w:cs="Verdana"/>
          <w:spacing w:val="1"/>
          <w:sz w:val="20"/>
          <w:szCs w:val="20"/>
        </w:rPr>
        <w:t>nz</w:t>
      </w:r>
      <w:r w:rsidRPr="008031E5">
        <w:rPr>
          <w:rFonts w:eastAsia="Verdana" w:cs="Verdana"/>
          <w:sz w:val="20"/>
          <w:szCs w:val="20"/>
        </w:rPr>
        <w:t>á</w:t>
      </w:r>
      <w:r w:rsidRPr="008031E5">
        <w:rPr>
          <w:rFonts w:eastAsia="Verdana" w:cs="Verdana"/>
          <w:spacing w:val="3"/>
          <w:sz w:val="20"/>
          <w:szCs w:val="20"/>
        </w:rPr>
        <w:t>l</w:t>
      </w:r>
      <w:r w:rsidRPr="008031E5">
        <w:rPr>
          <w:rFonts w:eastAsia="Verdana" w:cs="Verdana"/>
          <w:spacing w:val="-1"/>
          <w:sz w:val="20"/>
          <w:szCs w:val="20"/>
        </w:rPr>
        <w:t>e</w:t>
      </w:r>
      <w:r w:rsidRPr="008031E5">
        <w:rPr>
          <w:rFonts w:eastAsia="Verdana" w:cs="Verdana"/>
          <w:sz w:val="20"/>
          <w:szCs w:val="20"/>
        </w:rPr>
        <w:t>z</w:t>
      </w:r>
      <w:r w:rsidRPr="008031E5">
        <w:rPr>
          <w:rFonts w:eastAsia="Verdana" w:cs="Verdana"/>
          <w:spacing w:val="29"/>
          <w:sz w:val="20"/>
          <w:szCs w:val="20"/>
        </w:rPr>
        <w:t xml:space="preserve"> </w:t>
      </w:r>
      <w:r w:rsidRPr="008031E5">
        <w:rPr>
          <w:rFonts w:cs="Verdana"/>
          <w:sz w:val="20"/>
          <w:szCs w:val="20"/>
        </w:rPr>
        <w:t>C</w:t>
      </w:r>
      <w:r w:rsidRPr="008031E5">
        <w:rPr>
          <w:rFonts w:cs="Verdana"/>
          <w:spacing w:val="1"/>
          <w:sz w:val="20"/>
          <w:szCs w:val="20"/>
        </w:rPr>
        <w:t>o</w:t>
      </w:r>
      <w:r w:rsidRPr="008031E5">
        <w:rPr>
          <w:rFonts w:cs="Verdana"/>
          <w:spacing w:val="-1"/>
          <w:sz w:val="20"/>
          <w:szCs w:val="20"/>
        </w:rPr>
        <w:t>r</w:t>
      </w:r>
      <w:r w:rsidRPr="008031E5">
        <w:rPr>
          <w:rFonts w:cs="Verdana"/>
          <w:spacing w:val="1"/>
          <w:sz w:val="20"/>
          <w:szCs w:val="20"/>
        </w:rPr>
        <w:t>de</w:t>
      </w:r>
      <w:r w:rsidRPr="008031E5">
        <w:rPr>
          <w:rFonts w:cs="Verdana"/>
          <w:spacing w:val="-1"/>
          <w:sz w:val="20"/>
          <w:szCs w:val="20"/>
        </w:rPr>
        <w:t>r</w:t>
      </w:r>
      <w:r w:rsidRPr="008031E5">
        <w:rPr>
          <w:rFonts w:cs="Verdana"/>
          <w:sz w:val="20"/>
          <w:szCs w:val="20"/>
        </w:rPr>
        <w:t>o</w:t>
      </w:r>
      <w:r w:rsidR="00E32E0D">
        <w:rPr>
          <w:rFonts w:eastAsia="Verdana" w:cs="Verdana"/>
          <w:spacing w:val="32"/>
          <w:sz w:val="20"/>
          <w:szCs w:val="20"/>
        </w:rPr>
        <w:t xml:space="preserve"> </w:t>
      </w:r>
      <w:r w:rsidRPr="008031E5">
        <w:rPr>
          <w:rFonts w:eastAsia="Verdana" w:cs="Verdana"/>
          <w:sz w:val="20"/>
          <w:szCs w:val="20"/>
        </w:rPr>
        <w:t xml:space="preserve">y </w:t>
      </w:r>
      <w:r w:rsidRPr="008031E5">
        <w:rPr>
          <w:rFonts w:eastAsia="Verdana" w:cs="Verdana"/>
          <w:spacing w:val="1"/>
          <w:sz w:val="20"/>
          <w:szCs w:val="20"/>
        </w:rPr>
        <w:t>S</w:t>
      </w:r>
      <w:r w:rsidRPr="008031E5">
        <w:rPr>
          <w:rFonts w:eastAsia="Verdana" w:cs="Verdana"/>
          <w:sz w:val="20"/>
          <w:szCs w:val="20"/>
        </w:rPr>
        <w:t>a</w:t>
      </w:r>
      <w:r w:rsidRPr="008031E5">
        <w:rPr>
          <w:rFonts w:eastAsia="Verdana" w:cs="Verdana"/>
          <w:spacing w:val="1"/>
          <w:sz w:val="20"/>
          <w:szCs w:val="20"/>
        </w:rPr>
        <w:t>ú</w:t>
      </w:r>
      <w:r w:rsidRPr="008031E5">
        <w:rPr>
          <w:rFonts w:eastAsia="Verdana" w:cs="Verdana"/>
          <w:sz w:val="20"/>
          <w:szCs w:val="20"/>
        </w:rPr>
        <w:t>l</w:t>
      </w:r>
      <w:r w:rsidRPr="008031E5">
        <w:rPr>
          <w:rFonts w:eastAsia="Verdana" w:cs="Verdana"/>
          <w:spacing w:val="36"/>
          <w:sz w:val="20"/>
          <w:szCs w:val="20"/>
        </w:rPr>
        <w:t xml:space="preserve"> </w:t>
      </w:r>
      <w:r w:rsidRPr="008031E5">
        <w:rPr>
          <w:rFonts w:eastAsia="Verdana" w:cs="Verdana"/>
          <w:spacing w:val="1"/>
          <w:sz w:val="20"/>
          <w:szCs w:val="20"/>
        </w:rPr>
        <w:t>A</w:t>
      </w:r>
      <w:r w:rsidRPr="008031E5">
        <w:rPr>
          <w:rFonts w:eastAsia="Verdana" w:cs="Verdana"/>
          <w:spacing w:val="-1"/>
          <w:sz w:val="20"/>
          <w:szCs w:val="20"/>
        </w:rPr>
        <w:t>re</w:t>
      </w:r>
      <w:r w:rsidRPr="008031E5">
        <w:rPr>
          <w:rFonts w:eastAsia="Verdana" w:cs="Verdana"/>
          <w:spacing w:val="1"/>
          <w:sz w:val="20"/>
          <w:szCs w:val="20"/>
        </w:rPr>
        <w:t>l</w:t>
      </w:r>
      <w:r w:rsidRPr="008031E5">
        <w:rPr>
          <w:rFonts w:eastAsia="Verdana" w:cs="Verdana"/>
          <w:spacing w:val="3"/>
          <w:sz w:val="20"/>
          <w:szCs w:val="20"/>
        </w:rPr>
        <w:t>l</w:t>
      </w:r>
      <w:r w:rsidRPr="008031E5">
        <w:rPr>
          <w:rFonts w:eastAsia="Verdana" w:cs="Verdana"/>
          <w:sz w:val="20"/>
          <w:szCs w:val="20"/>
        </w:rPr>
        <w:t>a</w:t>
      </w:r>
      <w:r w:rsidRPr="008031E5">
        <w:rPr>
          <w:rFonts w:eastAsia="Verdana" w:cs="Verdana"/>
          <w:spacing w:val="1"/>
          <w:sz w:val="20"/>
          <w:szCs w:val="20"/>
        </w:rPr>
        <w:t>n</w:t>
      </w:r>
      <w:r w:rsidRPr="008031E5">
        <w:rPr>
          <w:rFonts w:eastAsia="Verdana" w:cs="Verdana"/>
          <w:sz w:val="20"/>
          <w:szCs w:val="20"/>
        </w:rPr>
        <w:t>o M</w:t>
      </w:r>
      <w:r w:rsidRPr="008031E5">
        <w:rPr>
          <w:rFonts w:eastAsia="Verdana" w:cs="Verdana"/>
          <w:spacing w:val="-1"/>
          <w:sz w:val="20"/>
          <w:szCs w:val="20"/>
        </w:rPr>
        <w:t>or</w:t>
      </w:r>
      <w:r w:rsidRPr="008031E5">
        <w:rPr>
          <w:rFonts w:eastAsia="Verdana" w:cs="Verdana"/>
          <w:sz w:val="20"/>
          <w:szCs w:val="20"/>
        </w:rPr>
        <w:t xml:space="preserve">a. De igual forma, </w:t>
      </w:r>
      <w:r w:rsidRPr="008031E5">
        <w:rPr>
          <w:sz w:val="20"/>
          <w:szCs w:val="20"/>
        </w:rPr>
        <w:t xml:space="preserve">la Corte fija en equidad la </w:t>
      </w:r>
      <w:r w:rsidR="00EB5650">
        <w:rPr>
          <w:sz w:val="20"/>
          <w:szCs w:val="20"/>
        </w:rPr>
        <w:t>suma</w:t>
      </w:r>
      <w:r w:rsidRPr="008031E5">
        <w:rPr>
          <w:sz w:val="20"/>
          <w:szCs w:val="20"/>
        </w:rPr>
        <w:t xml:space="preserve"> de</w:t>
      </w:r>
      <w:r w:rsidR="0079311D" w:rsidRPr="008031E5">
        <w:rPr>
          <w:sz w:val="20"/>
          <w:szCs w:val="20"/>
        </w:rPr>
        <w:t xml:space="preserve"> US$ </w:t>
      </w:r>
      <w:r w:rsidR="0079311D" w:rsidRPr="008031E5">
        <w:rPr>
          <w:rFonts w:cs="Verdana"/>
          <w:sz w:val="20"/>
          <w:szCs w:val="20"/>
        </w:rPr>
        <w:t>20.000,00</w:t>
      </w:r>
      <w:r w:rsidR="00F70436" w:rsidRPr="008031E5">
        <w:rPr>
          <w:rFonts w:cs="Verdana"/>
          <w:sz w:val="20"/>
          <w:szCs w:val="20"/>
        </w:rPr>
        <w:t xml:space="preserve"> (veinte mil dólares de los Estados Unidos de América)</w:t>
      </w:r>
      <w:r w:rsidRPr="008031E5">
        <w:rPr>
          <w:rFonts w:cs="Verdana"/>
          <w:sz w:val="20"/>
          <w:szCs w:val="20"/>
        </w:rPr>
        <w:t xml:space="preserve"> </w:t>
      </w:r>
      <w:r w:rsidRPr="008031E5">
        <w:rPr>
          <w:sz w:val="20"/>
          <w:szCs w:val="20"/>
        </w:rPr>
        <w:t xml:space="preserve">a favor de </w:t>
      </w:r>
      <w:r w:rsidR="0079311D" w:rsidRPr="008031E5">
        <w:rPr>
          <w:sz w:val="20"/>
          <w:szCs w:val="20"/>
        </w:rPr>
        <w:t xml:space="preserve">cada una de las siguientes víctimas: </w:t>
      </w:r>
      <w:r w:rsidRPr="008031E5">
        <w:rPr>
          <w:rFonts w:eastAsia="Verdana" w:cs="Verdana"/>
          <w:spacing w:val="3"/>
          <w:sz w:val="20"/>
          <w:szCs w:val="20"/>
        </w:rPr>
        <w:t>J</w:t>
      </w:r>
      <w:r w:rsidRPr="008031E5">
        <w:rPr>
          <w:rFonts w:eastAsia="Verdana" w:cs="Verdana"/>
          <w:spacing w:val="-1"/>
          <w:sz w:val="20"/>
          <w:szCs w:val="20"/>
        </w:rPr>
        <w:t>ec</w:t>
      </w:r>
      <w:r w:rsidRPr="008031E5">
        <w:rPr>
          <w:rFonts w:eastAsia="Verdana" w:cs="Verdana"/>
          <w:spacing w:val="2"/>
          <w:sz w:val="20"/>
          <w:szCs w:val="20"/>
        </w:rPr>
        <w:t>k</w:t>
      </w:r>
      <w:r w:rsidRPr="008031E5">
        <w:rPr>
          <w:rFonts w:eastAsia="Verdana" w:cs="Verdana"/>
          <w:spacing w:val="-1"/>
          <w:sz w:val="20"/>
          <w:szCs w:val="20"/>
        </w:rPr>
        <w:t>so</w:t>
      </w:r>
      <w:r w:rsidRPr="008031E5">
        <w:rPr>
          <w:rFonts w:eastAsia="Verdana" w:cs="Verdana"/>
          <w:sz w:val="20"/>
          <w:szCs w:val="20"/>
        </w:rPr>
        <w:t>n</w:t>
      </w:r>
      <w:r w:rsidRPr="008031E5">
        <w:rPr>
          <w:rFonts w:eastAsia="Verdana" w:cs="Verdana"/>
          <w:spacing w:val="9"/>
          <w:sz w:val="20"/>
          <w:szCs w:val="20"/>
        </w:rPr>
        <w:t xml:space="preserve"> </w:t>
      </w:r>
      <w:r w:rsidRPr="008031E5">
        <w:rPr>
          <w:rFonts w:eastAsia="Verdana" w:cs="Verdana"/>
          <w:spacing w:val="-1"/>
          <w:sz w:val="20"/>
          <w:szCs w:val="20"/>
        </w:rPr>
        <w:t>E</w:t>
      </w:r>
      <w:r w:rsidRPr="008031E5">
        <w:rPr>
          <w:rFonts w:eastAsia="Verdana" w:cs="Verdana"/>
          <w:spacing w:val="1"/>
          <w:sz w:val="20"/>
          <w:szCs w:val="20"/>
        </w:rPr>
        <w:t>dg</w:t>
      </w:r>
      <w:r w:rsidRPr="008031E5">
        <w:rPr>
          <w:rFonts w:eastAsia="Verdana" w:cs="Verdana"/>
          <w:sz w:val="20"/>
          <w:szCs w:val="20"/>
        </w:rPr>
        <w:t>a</w:t>
      </w:r>
      <w:r w:rsidRPr="008031E5">
        <w:rPr>
          <w:rFonts w:eastAsia="Verdana" w:cs="Verdana"/>
          <w:spacing w:val="-1"/>
          <w:sz w:val="20"/>
          <w:szCs w:val="20"/>
        </w:rPr>
        <w:t>r</w:t>
      </w:r>
      <w:r w:rsidRPr="008031E5">
        <w:rPr>
          <w:rFonts w:eastAsia="Verdana" w:cs="Verdana"/>
          <w:spacing w:val="3"/>
          <w:sz w:val="20"/>
          <w:szCs w:val="20"/>
        </w:rPr>
        <w:t>d</w:t>
      </w:r>
      <w:r w:rsidRPr="008031E5">
        <w:rPr>
          <w:rFonts w:eastAsia="Verdana" w:cs="Verdana"/>
          <w:sz w:val="20"/>
          <w:szCs w:val="20"/>
        </w:rPr>
        <w:t>o</w:t>
      </w:r>
      <w:r w:rsidRPr="008031E5">
        <w:rPr>
          <w:rFonts w:eastAsia="Verdana" w:cs="Verdana"/>
          <w:spacing w:val="3"/>
          <w:sz w:val="20"/>
          <w:szCs w:val="20"/>
        </w:rPr>
        <w:t xml:space="preserve"> </w:t>
      </w:r>
      <w:r w:rsidRPr="008031E5">
        <w:rPr>
          <w:rFonts w:eastAsia="Verdana" w:cs="Verdana"/>
          <w:spacing w:val="2"/>
          <w:sz w:val="20"/>
          <w:szCs w:val="20"/>
        </w:rPr>
        <w:t>O</w:t>
      </w:r>
      <w:r w:rsidRPr="008031E5">
        <w:rPr>
          <w:rFonts w:eastAsia="Verdana" w:cs="Verdana"/>
          <w:spacing w:val="-1"/>
          <w:sz w:val="20"/>
          <w:szCs w:val="20"/>
        </w:rPr>
        <w:t>r</w:t>
      </w:r>
      <w:r w:rsidRPr="008031E5">
        <w:rPr>
          <w:rFonts w:eastAsia="Verdana" w:cs="Verdana"/>
          <w:spacing w:val="1"/>
          <w:sz w:val="20"/>
          <w:szCs w:val="20"/>
        </w:rPr>
        <w:t>t</w:t>
      </w:r>
      <w:r w:rsidRPr="008031E5">
        <w:rPr>
          <w:rFonts w:eastAsia="Verdana" w:cs="Verdana"/>
          <w:spacing w:val="3"/>
          <w:sz w:val="20"/>
          <w:szCs w:val="20"/>
        </w:rPr>
        <w:t>i</w:t>
      </w:r>
      <w:r w:rsidRPr="008031E5">
        <w:rPr>
          <w:rFonts w:eastAsia="Verdana" w:cs="Verdana"/>
          <w:sz w:val="20"/>
          <w:szCs w:val="20"/>
        </w:rPr>
        <w:t>z</w:t>
      </w:r>
      <w:r w:rsidRPr="008031E5">
        <w:rPr>
          <w:rFonts w:eastAsia="Verdana" w:cs="Verdana"/>
          <w:spacing w:val="9"/>
          <w:sz w:val="20"/>
          <w:szCs w:val="20"/>
        </w:rPr>
        <w:t xml:space="preserve"> </w:t>
      </w:r>
      <w:r w:rsidRPr="008031E5">
        <w:rPr>
          <w:rFonts w:eastAsia="Verdana" w:cs="Verdana"/>
          <w:spacing w:val="-1"/>
          <w:sz w:val="20"/>
          <w:szCs w:val="20"/>
        </w:rPr>
        <w:t>Go</w:t>
      </w:r>
      <w:r w:rsidRPr="008031E5">
        <w:rPr>
          <w:rFonts w:eastAsia="Verdana" w:cs="Verdana"/>
          <w:spacing w:val="1"/>
          <w:sz w:val="20"/>
          <w:szCs w:val="20"/>
        </w:rPr>
        <w:t>nz</w:t>
      </w:r>
      <w:r w:rsidRPr="008031E5">
        <w:rPr>
          <w:rFonts w:eastAsia="Verdana" w:cs="Verdana"/>
          <w:spacing w:val="-2"/>
          <w:sz w:val="20"/>
          <w:szCs w:val="20"/>
        </w:rPr>
        <w:t>á</w:t>
      </w:r>
      <w:r w:rsidRPr="008031E5">
        <w:rPr>
          <w:rFonts w:eastAsia="Verdana" w:cs="Verdana"/>
          <w:spacing w:val="3"/>
          <w:sz w:val="20"/>
          <w:szCs w:val="20"/>
        </w:rPr>
        <w:t>l</w:t>
      </w:r>
      <w:r w:rsidRPr="008031E5">
        <w:rPr>
          <w:rFonts w:eastAsia="Verdana" w:cs="Verdana"/>
          <w:spacing w:val="-1"/>
          <w:sz w:val="20"/>
          <w:szCs w:val="20"/>
        </w:rPr>
        <w:t>e</w:t>
      </w:r>
      <w:r w:rsidRPr="008031E5">
        <w:rPr>
          <w:rFonts w:eastAsia="Verdana" w:cs="Verdana"/>
          <w:sz w:val="20"/>
          <w:szCs w:val="20"/>
        </w:rPr>
        <w:t>z</w:t>
      </w:r>
      <w:r w:rsidR="0079311D" w:rsidRPr="008031E5">
        <w:rPr>
          <w:rFonts w:eastAsia="Verdana" w:cs="Verdana"/>
          <w:sz w:val="20"/>
          <w:szCs w:val="20"/>
        </w:rPr>
        <w:t>,</w:t>
      </w:r>
      <w:r w:rsidRPr="008031E5">
        <w:rPr>
          <w:rFonts w:eastAsia="Verdana" w:cs="Verdana"/>
          <w:sz w:val="20"/>
          <w:szCs w:val="20"/>
        </w:rPr>
        <w:t xml:space="preserve"> Za</w:t>
      </w:r>
      <w:r w:rsidRPr="008031E5">
        <w:rPr>
          <w:rFonts w:eastAsia="Verdana" w:cs="Verdana"/>
          <w:spacing w:val="3"/>
          <w:sz w:val="20"/>
          <w:szCs w:val="20"/>
        </w:rPr>
        <w:t>i</w:t>
      </w:r>
      <w:r w:rsidRPr="008031E5">
        <w:rPr>
          <w:rFonts w:eastAsia="Verdana" w:cs="Verdana"/>
          <w:spacing w:val="1"/>
          <w:sz w:val="20"/>
          <w:szCs w:val="20"/>
        </w:rPr>
        <w:t>d</w:t>
      </w:r>
      <w:r w:rsidRPr="008031E5">
        <w:rPr>
          <w:rFonts w:eastAsia="Verdana" w:cs="Verdana"/>
          <w:sz w:val="20"/>
          <w:szCs w:val="20"/>
        </w:rPr>
        <w:t>a</w:t>
      </w:r>
      <w:r w:rsidRPr="008031E5">
        <w:rPr>
          <w:rFonts w:eastAsia="Verdana" w:cs="Verdana"/>
          <w:spacing w:val="7"/>
          <w:sz w:val="20"/>
          <w:szCs w:val="20"/>
        </w:rPr>
        <w:t xml:space="preserve"> </w:t>
      </w:r>
      <w:r w:rsidRPr="008031E5">
        <w:rPr>
          <w:rFonts w:eastAsia="Verdana" w:cs="Verdana"/>
          <w:sz w:val="20"/>
          <w:szCs w:val="20"/>
        </w:rPr>
        <w:t>Da</w:t>
      </w:r>
      <w:r w:rsidRPr="008031E5">
        <w:rPr>
          <w:rFonts w:eastAsia="Verdana" w:cs="Verdana"/>
          <w:spacing w:val="-3"/>
          <w:sz w:val="20"/>
          <w:szCs w:val="20"/>
        </w:rPr>
        <w:t>r</w:t>
      </w:r>
      <w:r w:rsidRPr="008031E5">
        <w:rPr>
          <w:rFonts w:eastAsia="Verdana" w:cs="Verdana"/>
          <w:spacing w:val="3"/>
          <w:sz w:val="20"/>
          <w:szCs w:val="20"/>
        </w:rPr>
        <w:t>i</w:t>
      </w:r>
      <w:r w:rsidRPr="008031E5">
        <w:rPr>
          <w:rFonts w:eastAsia="Verdana" w:cs="Verdana"/>
          <w:sz w:val="20"/>
          <w:szCs w:val="20"/>
        </w:rPr>
        <w:t>a</w:t>
      </w:r>
      <w:r w:rsidRPr="008031E5">
        <w:rPr>
          <w:rFonts w:eastAsia="Verdana" w:cs="Verdana"/>
          <w:spacing w:val="1"/>
          <w:sz w:val="20"/>
          <w:szCs w:val="20"/>
        </w:rPr>
        <w:t>n</w:t>
      </w:r>
      <w:r w:rsidRPr="008031E5">
        <w:rPr>
          <w:rFonts w:eastAsia="Verdana" w:cs="Verdana"/>
          <w:sz w:val="20"/>
          <w:szCs w:val="20"/>
        </w:rPr>
        <w:t>a</w:t>
      </w:r>
      <w:r w:rsidRPr="008031E5">
        <w:rPr>
          <w:rFonts w:eastAsia="Verdana" w:cs="Verdana"/>
          <w:spacing w:val="5"/>
          <w:sz w:val="20"/>
          <w:szCs w:val="20"/>
        </w:rPr>
        <w:t xml:space="preserve"> </w:t>
      </w:r>
      <w:r w:rsidRPr="008031E5">
        <w:rPr>
          <w:rFonts w:eastAsia="Verdana" w:cs="Verdana"/>
          <w:spacing w:val="1"/>
          <w:sz w:val="20"/>
          <w:szCs w:val="20"/>
        </w:rPr>
        <w:t>A</w:t>
      </w:r>
      <w:r w:rsidRPr="008031E5">
        <w:rPr>
          <w:rFonts w:eastAsia="Verdana" w:cs="Verdana"/>
          <w:spacing w:val="-1"/>
          <w:sz w:val="20"/>
          <w:szCs w:val="20"/>
        </w:rPr>
        <w:t>re</w:t>
      </w:r>
      <w:r w:rsidRPr="008031E5">
        <w:rPr>
          <w:rFonts w:eastAsia="Verdana" w:cs="Verdana"/>
          <w:spacing w:val="1"/>
          <w:sz w:val="20"/>
          <w:szCs w:val="20"/>
        </w:rPr>
        <w:t>l</w:t>
      </w:r>
      <w:r w:rsidRPr="008031E5">
        <w:rPr>
          <w:rFonts w:eastAsia="Verdana" w:cs="Verdana"/>
          <w:spacing w:val="3"/>
          <w:sz w:val="20"/>
          <w:szCs w:val="20"/>
        </w:rPr>
        <w:t>l</w:t>
      </w:r>
      <w:r w:rsidRPr="008031E5">
        <w:rPr>
          <w:rFonts w:eastAsia="Verdana" w:cs="Verdana"/>
          <w:sz w:val="20"/>
          <w:szCs w:val="20"/>
        </w:rPr>
        <w:t>a</w:t>
      </w:r>
      <w:r w:rsidRPr="008031E5">
        <w:rPr>
          <w:rFonts w:eastAsia="Verdana" w:cs="Verdana"/>
          <w:spacing w:val="1"/>
          <w:sz w:val="20"/>
          <w:szCs w:val="20"/>
        </w:rPr>
        <w:t>n</w:t>
      </w:r>
      <w:r w:rsidRPr="008031E5">
        <w:rPr>
          <w:rFonts w:eastAsia="Verdana" w:cs="Verdana"/>
          <w:sz w:val="20"/>
          <w:szCs w:val="20"/>
        </w:rPr>
        <w:t xml:space="preserve">o </w:t>
      </w:r>
      <w:r w:rsidRPr="008031E5">
        <w:rPr>
          <w:rFonts w:eastAsia="Verdana" w:cs="Verdana"/>
          <w:spacing w:val="-1"/>
          <w:sz w:val="20"/>
          <w:szCs w:val="20"/>
        </w:rPr>
        <w:t>H</w:t>
      </w:r>
      <w:r w:rsidRPr="008031E5">
        <w:rPr>
          <w:rFonts w:eastAsia="Verdana" w:cs="Verdana"/>
          <w:spacing w:val="1"/>
          <w:sz w:val="20"/>
          <w:szCs w:val="20"/>
        </w:rPr>
        <w:t>e</w:t>
      </w:r>
      <w:r w:rsidRPr="008031E5">
        <w:rPr>
          <w:rFonts w:eastAsia="Verdana" w:cs="Verdana"/>
          <w:spacing w:val="-1"/>
          <w:sz w:val="20"/>
          <w:szCs w:val="20"/>
        </w:rPr>
        <w:t>r</w:t>
      </w:r>
      <w:r w:rsidRPr="008031E5">
        <w:rPr>
          <w:rFonts w:eastAsia="Verdana" w:cs="Verdana"/>
          <w:spacing w:val="1"/>
          <w:sz w:val="20"/>
          <w:szCs w:val="20"/>
        </w:rPr>
        <w:t>n</w:t>
      </w:r>
      <w:r w:rsidRPr="008031E5">
        <w:rPr>
          <w:rFonts w:eastAsia="Verdana" w:cs="Verdana"/>
          <w:sz w:val="20"/>
          <w:szCs w:val="20"/>
        </w:rPr>
        <w:t>á</w:t>
      </w:r>
      <w:r w:rsidRPr="008031E5">
        <w:rPr>
          <w:rFonts w:eastAsia="Verdana" w:cs="Verdana"/>
          <w:spacing w:val="1"/>
          <w:sz w:val="20"/>
          <w:szCs w:val="20"/>
        </w:rPr>
        <w:t>nd</w:t>
      </w:r>
      <w:r w:rsidRPr="008031E5">
        <w:rPr>
          <w:rFonts w:eastAsia="Verdana" w:cs="Verdana"/>
          <w:spacing w:val="-1"/>
          <w:sz w:val="20"/>
          <w:szCs w:val="20"/>
        </w:rPr>
        <w:t>e</w:t>
      </w:r>
      <w:r w:rsidRPr="008031E5">
        <w:rPr>
          <w:rFonts w:eastAsia="Verdana" w:cs="Verdana"/>
          <w:sz w:val="20"/>
          <w:szCs w:val="20"/>
        </w:rPr>
        <w:t>z</w:t>
      </w:r>
      <w:r w:rsidRPr="008031E5">
        <w:rPr>
          <w:rFonts w:eastAsia="Verdana" w:cs="Verdana"/>
          <w:spacing w:val="-11"/>
          <w:sz w:val="20"/>
          <w:szCs w:val="20"/>
        </w:rPr>
        <w:t xml:space="preserve">, </w:t>
      </w:r>
      <w:r w:rsidRPr="008031E5">
        <w:rPr>
          <w:rFonts w:eastAsia="Verdana" w:cs="Verdana"/>
          <w:spacing w:val="2"/>
          <w:sz w:val="20"/>
          <w:szCs w:val="20"/>
        </w:rPr>
        <w:t>G</w:t>
      </w:r>
      <w:r w:rsidRPr="008031E5">
        <w:rPr>
          <w:rFonts w:eastAsia="Verdana" w:cs="Verdana"/>
          <w:spacing w:val="-1"/>
          <w:sz w:val="20"/>
          <w:szCs w:val="20"/>
        </w:rPr>
        <w:t>re</w:t>
      </w:r>
      <w:r w:rsidR="004E7CE9" w:rsidRPr="008031E5">
        <w:rPr>
          <w:rFonts w:eastAsia="Verdana" w:cs="Verdana"/>
          <w:spacing w:val="3"/>
          <w:sz w:val="20"/>
          <w:szCs w:val="20"/>
        </w:rPr>
        <w:t>ys</w:t>
      </w:r>
      <w:r w:rsidRPr="008031E5">
        <w:rPr>
          <w:rFonts w:eastAsia="Verdana" w:cs="Verdana"/>
          <w:spacing w:val="-1"/>
          <w:sz w:val="20"/>
          <w:szCs w:val="20"/>
        </w:rPr>
        <w:t>s</w:t>
      </w:r>
      <w:r w:rsidR="004E7CE9" w:rsidRPr="008031E5">
        <w:rPr>
          <w:rFonts w:eastAsia="Verdana" w:cs="Verdana"/>
          <w:sz w:val="20"/>
          <w:szCs w:val="20"/>
        </w:rPr>
        <w:t>i</w:t>
      </w:r>
      <w:r w:rsidRPr="008031E5">
        <w:rPr>
          <w:rFonts w:eastAsia="Verdana" w:cs="Verdana"/>
          <w:spacing w:val="6"/>
          <w:sz w:val="20"/>
          <w:szCs w:val="20"/>
        </w:rPr>
        <w:t xml:space="preserve"> </w:t>
      </w:r>
      <w:r w:rsidRPr="008031E5">
        <w:rPr>
          <w:rFonts w:eastAsia="Verdana" w:cs="Verdana"/>
          <w:sz w:val="20"/>
          <w:szCs w:val="20"/>
        </w:rPr>
        <w:t>Ma</w:t>
      </w:r>
      <w:r w:rsidRPr="008031E5">
        <w:rPr>
          <w:rFonts w:eastAsia="Verdana" w:cs="Verdana"/>
          <w:spacing w:val="-1"/>
          <w:sz w:val="20"/>
          <w:szCs w:val="20"/>
        </w:rPr>
        <w:t>r</w:t>
      </w:r>
      <w:r w:rsidRPr="008031E5">
        <w:rPr>
          <w:rFonts w:eastAsia="Verdana" w:cs="Verdana"/>
          <w:spacing w:val="3"/>
          <w:sz w:val="20"/>
          <w:szCs w:val="20"/>
        </w:rPr>
        <w:t>i</w:t>
      </w:r>
      <w:r w:rsidRPr="008031E5">
        <w:rPr>
          <w:rFonts w:eastAsia="Verdana" w:cs="Verdana"/>
          <w:spacing w:val="-1"/>
          <w:sz w:val="20"/>
          <w:szCs w:val="20"/>
        </w:rPr>
        <w:t>e</w:t>
      </w:r>
      <w:r w:rsidRPr="008031E5">
        <w:rPr>
          <w:rFonts w:eastAsia="Verdana" w:cs="Verdana"/>
          <w:sz w:val="20"/>
          <w:szCs w:val="20"/>
        </w:rPr>
        <w:t>d</w:t>
      </w:r>
      <w:r w:rsidRPr="008031E5">
        <w:rPr>
          <w:rFonts w:eastAsia="Verdana" w:cs="Verdana"/>
          <w:spacing w:val="9"/>
          <w:sz w:val="20"/>
          <w:szCs w:val="20"/>
        </w:rPr>
        <w:t xml:space="preserve"> </w:t>
      </w:r>
      <w:r w:rsidRPr="008031E5">
        <w:rPr>
          <w:rFonts w:eastAsia="Verdana" w:cs="Verdana"/>
          <w:spacing w:val="-1"/>
          <w:sz w:val="20"/>
          <w:szCs w:val="20"/>
        </w:rPr>
        <w:t>Or</w:t>
      </w:r>
      <w:r w:rsidRPr="008031E5">
        <w:rPr>
          <w:rFonts w:eastAsia="Verdana" w:cs="Verdana"/>
          <w:spacing w:val="1"/>
          <w:sz w:val="20"/>
          <w:szCs w:val="20"/>
        </w:rPr>
        <w:t>t</w:t>
      </w:r>
      <w:r w:rsidRPr="008031E5">
        <w:rPr>
          <w:rFonts w:eastAsia="Verdana" w:cs="Verdana"/>
          <w:spacing w:val="3"/>
          <w:sz w:val="20"/>
          <w:szCs w:val="20"/>
        </w:rPr>
        <w:t>i</w:t>
      </w:r>
      <w:r w:rsidRPr="008031E5">
        <w:rPr>
          <w:rFonts w:eastAsia="Verdana" w:cs="Verdana"/>
          <w:sz w:val="20"/>
          <w:szCs w:val="20"/>
        </w:rPr>
        <w:t xml:space="preserve">z </w:t>
      </w:r>
      <w:r w:rsidRPr="008031E5">
        <w:rPr>
          <w:rFonts w:eastAsia="Verdana" w:cs="Verdana"/>
          <w:spacing w:val="-1"/>
          <w:sz w:val="20"/>
          <w:szCs w:val="20"/>
        </w:rPr>
        <w:t>Go</w:t>
      </w:r>
      <w:r w:rsidRPr="008031E5">
        <w:rPr>
          <w:rFonts w:eastAsia="Verdana" w:cs="Verdana"/>
          <w:spacing w:val="1"/>
          <w:sz w:val="20"/>
          <w:szCs w:val="20"/>
        </w:rPr>
        <w:t>nz</w:t>
      </w:r>
      <w:r w:rsidRPr="008031E5">
        <w:rPr>
          <w:rFonts w:eastAsia="Verdana" w:cs="Verdana"/>
          <w:sz w:val="20"/>
          <w:szCs w:val="20"/>
        </w:rPr>
        <w:t>á</w:t>
      </w:r>
      <w:r w:rsidRPr="008031E5">
        <w:rPr>
          <w:rFonts w:eastAsia="Verdana" w:cs="Verdana"/>
          <w:spacing w:val="3"/>
          <w:sz w:val="20"/>
          <w:szCs w:val="20"/>
        </w:rPr>
        <w:t>l</w:t>
      </w:r>
      <w:r w:rsidRPr="008031E5">
        <w:rPr>
          <w:rFonts w:eastAsia="Verdana" w:cs="Verdana"/>
          <w:spacing w:val="-1"/>
          <w:sz w:val="20"/>
          <w:szCs w:val="20"/>
        </w:rPr>
        <w:t>e</w:t>
      </w:r>
      <w:r w:rsidRPr="008031E5">
        <w:rPr>
          <w:rFonts w:eastAsia="Verdana" w:cs="Verdana"/>
          <w:sz w:val="20"/>
          <w:szCs w:val="20"/>
        </w:rPr>
        <w:t>z,</w:t>
      </w:r>
      <w:r w:rsidRPr="008031E5">
        <w:rPr>
          <w:rFonts w:eastAsia="Verdana" w:cs="Verdana"/>
          <w:spacing w:val="2"/>
          <w:sz w:val="20"/>
          <w:szCs w:val="20"/>
        </w:rPr>
        <w:t xml:space="preserve"> </w:t>
      </w:r>
      <w:r w:rsidRPr="008031E5">
        <w:rPr>
          <w:rFonts w:eastAsia="Verdana" w:cs="Verdana"/>
          <w:spacing w:val="-1"/>
          <w:sz w:val="20"/>
          <w:szCs w:val="20"/>
        </w:rPr>
        <w:t>G</w:t>
      </w:r>
      <w:r w:rsidRPr="008031E5">
        <w:rPr>
          <w:rFonts w:eastAsia="Verdana" w:cs="Verdana"/>
          <w:spacing w:val="1"/>
          <w:sz w:val="20"/>
          <w:szCs w:val="20"/>
        </w:rPr>
        <w:t>r</w:t>
      </w:r>
      <w:r w:rsidRPr="008031E5">
        <w:rPr>
          <w:rFonts w:eastAsia="Verdana" w:cs="Verdana"/>
          <w:spacing w:val="-1"/>
          <w:sz w:val="20"/>
          <w:szCs w:val="20"/>
        </w:rPr>
        <w:t>e</w:t>
      </w:r>
      <w:r w:rsidRPr="008031E5">
        <w:rPr>
          <w:rFonts w:eastAsia="Verdana" w:cs="Verdana"/>
          <w:spacing w:val="1"/>
          <w:sz w:val="20"/>
          <w:szCs w:val="20"/>
        </w:rPr>
        <w:t>go</w:t>
      </w:r>
      <w:r w:rsidRPr="008031E5">
        <w:rPr>
          <w:rFonts w:eastAsia="Verdana" w:cs="Verdana"/>
          <w:spacing w:val="-1"/>
          <w:sz w:val="20"/>
          <w:szCs w:val="20"/>
        </w:rPr>
        <w:t>r</w:t>
      </w:r>
      <w:r w:rsidRPr="008031E5">
        <w:rPr>
          <w:rFonts w:eastAsia="Verdana" w:cs="Verdana"/>
          <w:sz w:val="20"/>
          <w:szCs w:val="20"/>
        </w:rPr>
        <w:t>y</w:t>
      </w:r>
      <w:r w:rsidRPr="008031E5">
        <w:rPr>
          <w:rFonts w:eastAsia="Verdana" w:cs="Verdana"/>
          <w:spacing w:val="3"/>
          <w:sz w:val="20"/>
          <w:szCs w:val="20"/>
        </w:rPr>
        <w:t xml:space="preserve"> </w:t>
      </w:r>
      <w:r w:rsidRPr="008031E5">
        <w:rPr>
          <w:rFonts w:eastAsia="Verdana" w:cs="Verdana"/>
          <w:spacing w:val="2"/>
          <w:sz w:val="20"/>
          <w:szCs w:val="20"/>
        </w:rPr>
        <w:t>L</w:t>
      </w:r>
      <w:r w:rsidRPr="008031E5">
        <w:rPr>
          <w:rFonts w:eastAsia="Verdana" w:cs="Verdana"/>
          <w:spacing w:val="1"/>
          <w:sz w:val="20"/>
          <w:szCs w:val="20"/>
        </w:rPr>
        <w:t>e</w:t>
      </w:r>
      <w:r w:rsidRPr="008031E5">
        <w:rPr>
          <w:rFonts w:eastAsia="Verdana" w:cs="Verdana"/>
          <w:spacing w:val="-1"/>
          <w:sz w:val="20"/>
          <w:szCs w:val="20"/>
        </w:rPr>
        <w:t>o</w:t>
      </w:r>
      <w:r w:rsidRPr="008031E5">
        <w:rPr>
          <w:rFonts w:eastAsia="Verdana" w:cs="Verdana"/>
          <w:spacing w:val="1"/>
          <w:sz w:val="20"/>
          <w:szCs w:val="20"/>
        </w:rPr>
        <w:t>n</w:t>
      </w:r>
      <w:r w:rsidRPr="008031E5">
        <w:rPr>
          <w:rFonts w:eastAsia="Verdana" w:cs="Verdana"/>
          <w:sz w:val="20"/>
          <w:szCs w:val="20"/>
        </w:rPr>
        <w:t>a</w:t>
      </w:r>
      <w:r w:rsidRPr="008031E5">
        <w:rPr>
          <w:rFonts w:eastAsia="Verdana" w:cs="Verdana"/>
          <w:spacing w:val="-1"/>
          <w:sz w:val="20"/>
          <w:szCs w:val="20"/>
        </w:rPr>
        <w:t>r</w:t>
      </w:r>
      <w:r w:rsidRPr="008031E5">
        <w:rPr>
          <w:rFonts w:eastAsia="Verdana" w:cs="Verdana"/>
          <w:spacing w:val="1"/>
          <w:sz w:val="20"/>
          <w:szCs w:val="20"/>
        </w:rPr>
        <w:t>d</w:t>
      </w:r>
      <w:r w:rsidRPr="008031E5">
        <w:rPr>
          <w:rFonts w:eastAsia="Verdana" w:cs="Verdana"/>
          <w:sz w:val="20"/>
          <w:szCs w:val="20"/>
        </w:rPr>
        <w:t>o</w:t>
      </w:r>
      <w:r w:rsidRPr="008031E5">
        <w:rPr>
          <w:rFonts w:eastAsia="Verdana" w:cs="Verdana"/>
          <w:spacing w:val="4"/>
          <w:sz w:val="20"/>
          <w:szCs w:val="20"/>
        </w:rPr>
        <w:t xml:space="preserve"> </w:t>
      </w:r>
      <w:r w:rsidRPr="008031E5">
        <w:rPr>
          <w:rFonts w:eastAsia="Verdana" w:cs="Verdana"/>
          <w:spacing w:val="-1"/>
          <w:sz w:val="20"/>
          <w:szCs w:val="20"/>
        </w:rPr>
        <w:t>Or</w:t>
      </w:r>
      <w:r w:rsidRPr="008031E5">
        <w:rPr>
          <w:rFonts w:eastAsia="Verdana" w:cs="Verdana"/>
          <w:spacing w:val="3"/>
          <w:sz w:val="20"/>
          <w:szCs w:val="20"/>
        </w:rPr>
        <w:t>ti</w:t>
      </w:r>
      <w:r w:rsidRPr="008031E5">
        <w:rPr>
          <w:rFonts w:eastAsia="Verdana" w:cs="Verdana"/>
          <w:sz w:val="20"/>
          <w:szCs w:val="20"/>
        </w:rPr>
        <w:t>z</w:t>
      </w:r>
      <w:r w:rsidRPr="008031E5">
        <w:rPr>
          <w:rFonts w:eastAsia="Verdana" w:cs="Verdana"/>
          <w:spacing w:val="6"/>
          <w:sz w:val="20"/>
          <w:szCs w:val="20"/>
        </w:rPr>
        <w:t xml:space="preserve"> </w:t>
      </w:r>
      <w:r w:rsidRPr="008031E5">
        <w:rPr>
          <w:rFonts w:eastAsia="Verdana" w:cs="Verdana"/>
          <w:spacing w:val="-1"/>
          <w:sz w:val="20"/>
          <w:szCs w:val="20"/>
        </w:rPr>
        <w:t>Go</w:t>
      </w:r>
      <w:r w:rsidRPr="008031E5">
        <w:rPr>
          <w:rFonts w:eastAsia="Verdana" w:cs="Verdana"/>
          <w:spacing w:val="1"/>
          <w:sz w:val="20"/>
          <w:szCs w:val="20"/>
        </w:rPr>
        <w:t>nz</w:t>
      </w:r>
      <w:r w:rsidRPr="008031E5">
        <w:rPr>
          <w:rFonts w:eastAsia="Verdana" w:cs="Verdana"/>
          <w:sz w:val="20"/>
          <w:szCs w:val="20"/>
        </w:rPr>
        <w:t>á</w:t>
      </w:r>
      <w:r w:rsidRPr="008031E5">
        <w:rPr>
          <w:rFonts w:eastAsia="Verdana" w:cs="Verdana"/>
          <w:spacing w:val="3"/>
          <w:sz w:val="20"/>
          <w:szCs w:val="20"/>
        </w:rPr>
        <w:t>l</w:t>
      </w:r>
      <w:r w:rsidRPr="008031E5">
        <w:rPr>
          <w:rFonts w:eastAsia="Verdana" w:cs="Verdana"/>
          <w:spacing w:val="-1"/>
          <w:sz w:val="20"/>
          <w:szCs w:val="20"/>
        </w:rPr>
        <w:t>e</w:t>
      </w:r>
      <w:r w:rsidR="004E7CE9" w:rsidRPr="008031E5">
        <w:rPr>
          <w:rFonts w:eastAsia="Verdana" w:cs="Verdana"/>
          <w:sz w:val="20"/>
          <w:szCs w:val="20"/>
        </w:rPr>
        <w:t>z</w:t>
      </w:r>
      <w:r w:rsidRPr="008031E5">
        <w:rPr>
          <w:rFonts w:eastAsia="Verdana" w:cs="Verdana"/>
          <w:sz w:val="20"/>
          <w:szCs w:val="20"/>
        </w:rPr>
        <w:t xml:space="preserve"> y </w:t>
      </w:r>
      <w:r w:rsidRPr="008031E5">
        <w:rPr>
          <w:rFonts w:eastAsia="Verdana" w:cs="Verdana"/>
          <w:spacing w:val="1"/>
          <w:sz w:val="20"/>
          <w:szCs w:val="20"/>
        </w:rPr>
        <w:t>S</w:t>
      </w:r>
      <w:r w:rsidRPr="008031E5">
        <w:rPr>
          <w:rFonts w:eastAsia="Verdana" w:cs="Verdana"/>
          <w:sz w:val="20"/>
          <w:szCs w:val="20"/>
        </w:rPr>
        <w:t>a</w:t>
      </w:r>
      <w:r w:rsidRPr="008031E5">
        <w:rPr>
          <w:rFonts w:eastAsia="Verdana" w:cs="Verdana"/>
          <w:spacing w:val="1"/>
          <w:sz w:val="20"/>
          <w:szCs w:val="20"/>
        </w:rPr>
        <w:t>ú</w:t>
      </w:r>
      <w:r w:rsidRPr="008031E5">
        <w:rPr>
          <w:rFonts w:eastAsia="Verdana" w:cs="Verdana"/>
          <w:sz w:val="20"/>
          <w:szCs w:val="20"/>
        </w:rPr>
        <w:t>l</w:t>
      </w:r>
      <w:r w:rsidRPr="008031E5">
        <w:rPr>
          <w:rFonts w:eastAsia="Verdana" w:cs="Verdana"/>
          <w:spacing w:val="-2"/>
          <w:sz w:val="20"/>
          <w:szCs w:val="20"/>
        </w:rPr>
        <w:t xml:space="preserve"> </w:t>
      </w:r>
      <w:r w:rsidRPr="008031E5">
        <w:rPr>
          <w:rFonts w:eastAsia="Verdana" w:cs="Verdana"/>
          <w:spacing w:val="1"/>
          <w:sz w:val="20"/>
          <w:szCs w:val="20"/>
        </w:rPr>
        <w:t>J</w:t>
      </w:r>
      <w:r w:rsidRPr="008031E5">
        <w:rPr>
          <w:rFonts w:eastAsia="Verdana" w:cs="Verdana"/>
          <w:spacing w:val="-1"/>
          <w:sz w:val="20"/>
          <w:szCs w:val="20"/>
        </w:rPr>
        <w:t>o</w:t>
      </w:r>
      <w:r w:rsidRPr="008031E5">
        <w:rPr>
          <w:rFonts w:eastAsia="Verdana" w:cs="Verdana"/>
          <w:spacing w:val="1"/>
          <w:sz w:val="20"/>
          <w:szCs w:val="20"/>
        </w:rPr>
        <w:t>h</w:t>
      </w:r>
      <w:r w:rsidRPr="008031E5">
        <w:rPr>
          <w:rFonts w:eastAsia="Verdana" w:cs="Verdana"/>
          <w:sz w:val="20"/>
          <w:szCs w:val="20"/>
        </w:rPr>
        <w:t>an</w:t>
      </w:r>
      <w:r w:rsidRPr="008031E5">
        <w:rPr>
          <w:rFonts w:eastAsia="Verdana" w:cs="Verdana"/>
          <w:spacing w:val="-6"/>
          <w:sz w:val="20"/>
          <w:szCs w:val="20"/>
        </w:rPr>
        <w:t xml:space="preserve"> </w:t>
      </w:r>
      <w:r w:rsidRPr="008031E5">
        <w:rPr>
          <w:rFonts w:eastAsia="Verdana" w:cs="Verdana"/>
          <w:spacing w:val="1"/>
          <w:sz w:val="20"/>
          <w:szCs w:val="20"/>
        </w:rPr>
        <w:t>A</w:t>
      </w:r>
      <w:r w:rsidRPr="008031E5">
        <w:rPr>
          <w:rFonts w:eastAsia="Verdana" w:cs="Verdana"/>
          <w:spacing w:val="-1"/>
          <w:sz w:val="20"/>
          <w:szCs w:val="20"/>
        </w:rPr>
        <w:t>re</w:t>
      </w:r>
      <w:r w:rsidRPr="008031E5">
        <w:rPr>
          <w:rFonts w:eastAsia="Verdana" w:cs="Verdana"/>
          <w:spacing w:val="1"/>
          <w:sz w:val="20"/>
          <w:szCs w:val="20"/>
        </w:rPr>
        <w:t>l</w:t>
      </w:r>
      <w:r w:rsidRPr="008031E5">
        <w:rPr>
          <w:rFonts w:eastAsia="Verdana" w:cs="Verdana"/>
          <w:spacing w:val="3"/>
          <w:sz w:val="20"/>
          <w:szCs w:val="20"/>
        </w:rPr>
        <w:t>l</w:t>
      </w:r>
      <w:r w:rsidRPr="008031E5">
        <w:rPr>
          <w:rFonts w:eastAsia="Verdana" w:cs="Verdana"/>
          <w:sz w:val="20"/>
          <w:szCs w:val="20"/>
        </w:rPr>
        <w:t>a</w:t>
      </w:r>
      <w:r w:rsidRPr="008031E5">
        <w:rPr>
          <w:rFonts w:eastAsia="Verdana" w:cs="Verdana"/>
          <w:spacing w:val="1"/>
          <w:sz w:val="20"/>
          <w:szCs w:val="20"/>
        </w:rPr>
        <w:t>n</w:t>
      </w:r>
      <w:r w:rsidRPr="008031E5">
        <w:rPr>
          <w:rFonts w:eastAsia="Verdana" w:cs="Verdana"/>
          <w:sz w:val="20"/>
          <w:szCs w:val="20"/>
        </w:rPr>
        <w:t>o</w:t>
      </w:r>
      <w:r w:rsidRPr="008031E5">
        <w:rPr>
          <w:rFonts w:eastAsia="Verdana" w:cs="Verdana"/>
          <w:spacing w:val="-10"/>
          <w:sz w:val="20"/>
          <w:szCs w:val="20"/>
        </w:rPr>
        <w:t xml:space="preserve"> </w:t>
      </w:r>
      <w:r w:rsidRPr="008031E5">
        <w:rPr>
          <w:rFonts w:eastAsia="Verdana" w:cs="Verdana"/>
          <w:spacing w:val="-1"/>
          <w:sz w:val="20"/>
          <w:szCs w:val="20"/>
        </w:rPr>
        <w:t>H</w:t>
      </w:r>
      <w:r w:rsidRPr="008031E5">
        <w:rPr>
          <w:rFonts w:eastAsia="Verdana" w:cs="Verdana"/>
          <w:spacing w:val="1"/>
          <w:sz w:val="20"/>
          <w:szCs w:val="20"/>
        </w:rPr>
        <w:t>e</w:t>
      </w:r>
      <w:r w:rsidRPr="008031E5">
        <w:rPr>
          <w:rFonts w:eastAsia="Verdana" w:cs="Verdana"/>
          <w:spacing w:val="-1"/>
          <w:sz w:val="20"/>
          <w:szCs w:val="20"/>
        </w:rPr>
        <w:t>r</w:t>
      </w:r>
      <w:r w:rsidRPr="008031E5">
        <w:rPr>
          <w:rFonts w:eastAsia="Verdana" w:cs="Verdana"/>
          <w:spacing w:val="1"/>
          <w:sz w:val="20"/>
          <w:szCs w:val="20"/>
        </w:rPr>
        <w:t>n</w:t>
      </w:r>
      <w:r w:rsidRPr="008031E5">
        <w:rPr>
          <w:rFonts w:eastAsia="Verdana" w:cs="Verdana"/>
          <w:sz w:val="20"/>
          <w:szCs w:val="20"/>
        </w:rPr>
        <w:t>á</w:t>
      </w:r>
      <w:r w:rsidRPr="008031E5">
        <w:rPr>
          <w:rFonts w:eastAsia="Verdana" w:cs="Verdana"/>
          <w:spacing w:val="1"/>
          <w:sz w:val="20"/>
          <w:szCs w:val="20"/>
        </w:rPr>
        <w:t>nd</w:t>
      </w:r>
      <w:r w:rsidRPr="008031E5">
        <w:rPr>
          <w:rFonts w:eastAsia="Verdana" w:cs="Verdana"/>
          <w:spacing w:val="-1"/>
          <w:sz w:val="20"/>
          <w:szCs w:val="20"/>
        </w:rPr>
        <w:t>e</w:t>
      </w:r>
      <w:r w:rsidRPr="008031E5">
        <w:rPr>
          <w:rFonts w:eastAsia="Verdana" w:cs="Verdana"/>
          <w:sz w:val="20"/>
          <w:szCs w:val="20"/>
        </w:rPr>
        <w:t>z, hermana</w:t>
      </w:r>
      <w:r w:rsidR="0079311D" w:rsidRPr="008031E5">
        <w:rPr>
          <w:rFonts w:eastAsia="Verdana" w:cs="Verdana"/>
          <w:sz w:val="20"/>
          <w:szCs w:val="20"/>
        </w:rPr>
        <w:t>s</w:t>
      </w:r>
      <w:r w:rsidRPr="008031E5">
        <w:rPr>
          <w:rFonts w:eastAsia="Verdana" w:cs="Verdana"/>
          <w:sz w:val="20"/>
          <w:szCs w:val="20"/>
        </w:rPr>
        <w:t xml:space="preserve"> y hermanos de </w:t>
      </w:r>
      <w:r w:rsidR="00DF510B" w:rsidRPr="008031E5">
        <w:rPr>
          <w:rFonts w:eastAsia="Verdana" w:cs="Verdana"/>
          <w:sz w:val="20"/>
          <w:szCs w:val="20"/>
        </w:rPr>
        <w:t>Johan Alexis Ortiz Hernández</w:t>
      </w:r>
      <w:r w:rsidRPr="008031E5">
        <w:rPr>
          <w:rFonts w:eastAsia="Verdana" w:cs="Verdana"/>
          <w:sz w:val="20"/>
          <w:szCs w:val="20"/>
        </w:rPr>
        <w:t>.</w:t>
      </w:r>
    </w:p>
    <w:p w:rsidR="001B626E" w:rsidRPr="00517FB0" w:rsidRDefault="001B626E" w:rsidP="001B626E">
      <w:pPr>
        <w:spacing w:line="240" w:lineRule="auto"/>
        <w:rPr>
          <w:rFonts w:eastAsia="MS Mincho"/>
          <w:sz w:val="20"/>
          <w:szCs w:val="20"/>
          <w:lang w:bidi="en-US"/>
        </w:rPr>
      </w:pPr>
    </w:p>
    <w:p w:rsidR="001B626E" w:rsidRPr="0001748B" w:rsidRDefault="001B626E" w:rsidP="001B626E">
      <w:pPr>
        <w:numPr>
          <w:ilvl w:val="0"/>
          <w:numId w:val="1"/>
        </w:numPr>
        <w:tabs>
          <w:tab w:val="left" w:pos="567"/>
          <w:tab w:val="num" w:pos="5057"/>
        </w:tabs>
        <w:spacing w:line="240" w:lineRule="auto"/>
        <w:ind w:left="0" w:firstLine="0"/>
        <w:rPr>
          <w:rFonts w:eastAsia="MS Mincho"/>
          <w:sz w:val="20"/>
          <w:szCs w:val="20"/>
          <w:lang w:bidi="en-US"/>
        </w:rPr>
      </w:pPr>
      <w:r w:rsidRPr="00517FB0">
        <w:rPr>
          <w:rFonts w:eastAsia="MS Mincho"/>
          <w:sz w:val="20"/>
          <w:szCs w:val="20"/>
          <w:lang w:bidi="en-US"/>
        </w:rPr>
        <w:t>Por otro lado, en relación con el monto solicitado por concepto de daño al proyecto de vida,</w:t>
      </w:r>
      <w:r w:rsidRPr="00517FB0">
        <w:rPr>
          <w:sz w:val="20"/>
          <w:szCs w:val="20"/>
        </w:rPr>
        <w:t xml:space="preserve"> la Corte sostiene, como lo ha hecho en otro caso</w:t>
      </w:r>
      <w:r w:rsidRPr="00517FB0">
        <w:rPr>
          <w:rStyle w:val="FootnoteReference"/>
          <w:sz w:val="20"/>
          <w:szCs w:val="20"/>
        </w:rPr>
        <w:footnoteReference w:id="247"/>
      </w:r>
      <w:r w:rsidRPr="00517FB0">
        <w:rPr>
          <w:sz w:val="20"/>
          <w:szCs w:val="20"/>
        </w:rPr>
        <w:t xml:space="preserve">, que dicha </w:t>
      </w:r>
      <w:r w:rsidR="00B6365F">
        <w:rPr>
          <w:sz w:val="20"/>
          <w:szCs w:val="20"/>
        </w:rPr>
        <w:t xml:space="preserve">reparación </w:t>
      </w:r>
      <w:r w:rsidRPr="00517FB0">
        <w:rPr>
          <w:sz w:val="20"/>
          <w:szCs w:val="20"/>
        </w:rPr>
        <w:t>no procede cuando la víctima falleció, al ser imposible reponer las expectativas de reali</w:t>
      </w:r>
      <w:r w:rsidRPr="0001748B">
        <w:rPr>
          <w:sz w:val="20"/>
          <w:szCs w:val="20"/>
        </w:rPr>
        <w:t>zación que razonablemente toda persona tiene. Por tal razón, el Tribunal se abstiene de realizar mayores consideraciones al respecto.</w:t>
      </w:r>
    </w:p>
    <w:p w:rsidR="009B4EDC" w:rsidRPr="0001748B" w:rsidRDefault="009B4EDC" w:rsidP="001B626E">
      <w:pPr>
        <w:tabs>
          <w:tab w:val="left" w:pos="709"/>
          <w:tab w:val="left" w:pos="1134"/>
        </w:tabs>
        <w:spacing w:line="240" w:lineRule="auto"/>
        <w:rPr>
          <w:sz w:val="20"/>
          <w:szCs w:val="20"/>
          <w:lang w:eastAsia="x-none"/>
        </w:rPr>
      </w:pPr>
    </w:p>
    <w:p w:rsidR="001B626E" w:rsidRPr="0001748B" w:rsidRDefault="001B626E" w:rsidP="008031E5">
      <w:pPr>
        <w:keepNext/>
        <w:keepLines/>
        <w:numPr>
          <w:ilvl w:val="0"/>
          <w:numId w:val="13"/>
        </w:numPr>
        <w:tabs>
          <w:tab w:val="left" w:pos="567"/>
          <w:tab w:val="left" w:pos="1134"/>
        </w:tabs>
        <w:spacing w:line="240" w:lineRule="auto"/>
        <w:ind w:left="567" w:firstLine="0"/>
        <w:outlineLvl w:val="1"/>
        <w:rPr>
          <w:rFonts w:eastAsia="MS Mincho"/>
          <w:b/>
          <w:bCs/>
          <w:i/>
          <w:sz w:val="20"/>
          <w:szCs w:val="20"/>
        </w:rPr>
      </w:pPr>
      <w:bookmarkStart w:id="134" w:name="_Toc476390746"/>
      <w:bookmarkStart w:id="135" w:name="_Toc495658704"/>
      <w:r w:rsidRPr="0001748B">
        <w:rPr>
          <w:rFonts w:eastAsia="MS Mincho"/>
          <w:b/>
          <w:bCs/>
          <w:i/>
          <w:sz w:val="20"/>
          <w:szCs w:val="20"/>
        </w:rPr>
        <w:t>Costas y Gastos</w:t>
      </w:r>
      <w:bookmarkEnd w:id="134"/>
      <w:bookmarkEnd w:id="135"/>
    </w:p>
    <w:p w:rsidR="001B626E" w:rsidRPr="0001748B" w:rsidRDefault="001B626E" w:rsidP="001B626E">
      <w:pPr>
        <w:tabs>
          <w:tab w:val="left" w:pos="1995"/>
        </w:tabs>
        <w:spacing w:line="240" w:lineRule="auto"/>
        <w:ind w:left="142"/>
        <w:rPr>
          <w:sz w:val="20"/>
          <w:szCs w:val="20"/>
          <w:lang w:eastAsia="x-none"/>
        </w:rPr>
      </w:pPr>
    </w:p>
    <w:p w:rsidR="001B626E" w:rsidRPr="0001748B" w:rsidRDefault="001B626E" w:rsidP="001B626E">
      <w:pPr>
        <w:numPr>
          <w:ilvl w:val="0"/>
          <w:numId w:val="1"/>
        </w:numPr>
        <w:tabs>
          <w:tab w:val="left" w:pos="567"/>
          <w:tab w:val="num" w:pos="5057"/>
        </w:tabs>
        <w:spacing w:line="240" w:lineRule="auto"/>
        <w:ind w:left="0" w:firstLine="0"/>
        <w:rPr>
          <w:sz w:val="20"/>
          <w:szCs w:val="20"/>
        </w:rPr>
      </w:pPr>
      <w:r w:rsidRPr="0001748B">
        <w:rPr>
          <w:rFonts w:eastAsia="MS Mincho"/>
          <w:sz w:val="20"/>
          <w:szCs w:val="20"/>
          <w:lang w:bidi="en-US"/>
        </w:rPr>
        <w:t xml:space="preserve">Las </w:t>
      </w:r>
      <w:r w:rsidRPr="0001748B">
        <w:rPr>
          <w:rFonts w:eastAsia="MS Mincho"/>
          <w:b/>
          <w:i/>
          <w:sz w:val="20"/>
          <w:szCs w:val="20"/>
          <w:lang w:bidi="en-US"/>
        </w:rPr>
        <w:t>representantes</w:t>
      </w:r>
      <w:r w:rsidRPr="0001748B">
        <w:rPr>
          <w:rFonts w:eastAsia="MS Mincho"/>
          <w:sz w:val="20"/>
          <w:szCs w:val="20"/>
          <w:lang w:bidi="en-US"/>
        </w:rPr>
        <w:t xml:space="preserve"> </w:t>
      </w:r>
      <w:r w:rsidRPr="0001748B">
        <w:rPr>
          <w:sz w:val="20"/>
          <w:szCs w:val="20"/>
        </w:rPr>
        <w:t>s</w:t>
      </w:r>
      <w:r w:rsidRPr="0001748B">
        <w:rPr>
          <w:rFonts w:eastAsia="Verdana" w:cs="Verdana"/>
          <w:spacing w:val="-1"/>
          <w:sz w:val="20"/>
          <w:szCs w:val="20"/>
        </w:rPr>
        <w:t>o</w:t>
      </w:r>
      <w:r w:rsidRPr="0001748B">
        <w:rPr>
          <w:rFonts w:eastAsia="Verdana" w:cs="Verdana"/>
          <w:spacing w:val="1"/>
          <w:sz w:val="20"/>
          <w:szCs w:val="20"/>
        </w:rPr>
        <w:t>l</w:t>
      </w:r>
      <w:r w:rsidRPr="0001748B">
        <w:rPr>
          <w:rFonts w:eastAsia="Verdana" w:cs="Verdana"/>
          <w:spacing w:val="3"/>
          <w:sz w:val="20"/>
          <w:szCs w:val="20"/>
        </w:rPr>
        <w:t>i</w:t>
      </w:r>
      <w:r w:rsidRPr="0001748B">
        <w:rPr>
          <w:rFonts w:eastAsia="Verdana" w:cs="Verdana"/>
          <w:spacing w:val="-1"/>
          <w:sz w:val="20"/>
          <w:szCs w:val="20"/>
        </w:rPr>
        <w:t>c</w:t>
      </w:r>
      <w:r w:rsidRPr="0001748B">
        <w:rPr>
          <w:rFonts w:eastAsia="Verdana" w:cs="Verdana"/>
          <w:spacing w:val="1"/>
          <w:sz w:val="20"/>
          <w:szCs w:val="20"/>
        </w:rPr>
        <w:t>it</w:t>
      </w:r>
      <w:r w:rsidRPr="0001748B">
        <w:rPr>
          <w:rFonts w:eastAsia="Verdana" w:cs="Verdana"/>
          <w:sz w:val="20"/>
          <w:szCs w:val="20"/>
        </w:rPr>
        <w:t>a</w:t>
      </w:r>
      <w:r w:rsidRPr="0001748B">
        <w:rPr>
          <w:rFonts w:eastAsia="Verdana" w:cs="Verdana"/>
          <w:spacing w:val="-1"/>
          <w:sz w:val="20"/>
          <w:szCs w:val="20"/>
        </w:rPr>
        <w:t>ro</w:t>
      </w:r>
      <w:r w:rsidRPr="0001748B">
        <w:rPr>
          <w:rFonts w:eastAsia="Verdana" w:cs="Verdana"/>
          <w:sz w:val="20"/>
          <w:szCs w:val="20"/>
        </w:rPr>
        <w:t>n</w:t>
      </w:r>
      <w:r w:rsidRPr="0001748B">
        <w:rPr>
          <w:rFonts w:eastAsia="Verdana" w:cs="Verdana"/>
          <w:spacing w:val="-6"/>
          <w:sz w:val="20"/>
          <w:szCs w:val="20"/>
        </w:rPr>
        <w:t xml:space="preserve"> </w:t>
      </w:r>
      <w:r w:rsidRPr="0001748B">
        <w:rPr>
          <w:rFonts w:eastAsia="Verdana" w:cs="Verdana"/>
          <w:sz w:val="20"/>
          <w:szCs w:val="20"/>
        </w:rPr>
        <w:t>a</w:t>
      </w:r>
      <w:r w:rsidRPr="0001748B">
        <w:rPr>
          <w:rFonts w:eastAsia="Verdana" w:cs="Verdana"/>
          <w:spacing w:val="3"/>
          <w:sz w:val="20"/>
          <w:szCs w:val="20"/>
        </w:rPr>
        <w:t xml:space="preserve"> l</w:t>
      </w:r>
      <w:r w:rsidRPr="0001748B">
        <w:rPr>
          <w:rFonts w:eastAsia="Verdana" w:cs="Verdana"/>
          <w:sz w:val="20"/>
          <w:szCs w:val="20"/>
        </w:rPr>
        <w:t>a C</w:t>
      </w:r>
      <w:r w:rsidRPr="0001748B">
        <w:rPr>
          <w:rFonts w:eastAsia="Verdana" w:cs="Verdana"/>
          <w:spacing w:val="-1"/>
          <w:sz w:val="20"/>
          <w:szCs w:val="20"/>
        </w:rPr>
        <w:t>or</w:t>
      </w:r>
      <w:r w:rsidRPr="0001748B">
        <w:rPr>
          <w:rFonts w:eastAsia="Verdana" w:cs="Verdana"/>
          <w:spacing w:val="1"/>
          <w:sz w:val="20"/>
          <w:szCs w:val="20"/>
        </w:rPr>
        <w:t>t</w:t>
      </w:r>
      <w:r w:rsidRPr="0001748B">
        <w:rPr>
          <w:rFonts w:eastAsia="Verdana" w:cs="Verdana"/>
          <w:sz w:val="20"/>
          <w:szCs w:val="20"/>
        </w:rPr>
        <w:t>e</w:t>
      </w:r>
      <w:r w:rsidRPr="0001748B">
        <w:rPr>
          <w:rFonts w:eastAsia="Verdana" w:cs="Verdana"/>
          <w:spacing w:val="-2"/>
          <w:sz w:val="20"/>
          <w:szCs w:val="20"/>
        </w:rPr>
        <w:t xml:space="preserve"> </w:t>
      </w:r>
      <w:r w:rsidRPr="0001748B">
        <w:rPr>
          <w:rFonts w:eastAsia="Verdana" w:cs="Verdana"/>
          <w:spacing w:val="1"/>
          <w:sz w:val="20"/>
          <w:szCs w:val="20"/>
        </w:rPr>
        <w:t>q</w:t>
      </w:r>
      <w:r w:rsidRPr="0001748B">
        <w:rPr>
          <w:rFonts w:eastAsia="Verdana" w:cs="Verdana"/>
          <w:spacing w:val="4"/>
          <w:sz w:val="20"/>
          <w:szCs w:val="20"/>
        </w:rPr>
        <w:t>u</w:t>
      </w:r>
      <w:r w:rsidRPr="0001748B">
        <w:rPr>
          <w:rFonts w:eastAsia="Verdana" w:cs="Verdana"/>
          <w:sz w:val="20"/>
          <w:szCs w:val="20"/>
        </w:rPr>
        <w:t>e</w:t>
      </w:r>
      <w:r w:rsidRPr="0001748B">
        <w:rPr>
          <w:rFonts w:eastAsia="Verdana" w:cs="Verdana"/>
          <w:spacing w:val="-1"/>
          <w:sz w:val="20"/>
          <w:szCs w:val="20"/>
        </w:rPr>
        <w:t xml:space="preserve"> </w:t>
      </w:r>
      <w:r w:rsidRPr="0001748B">
        <w:rPr>
          <w:rFonts w:eastAsia="Verdana" w:cs="Verdana"/>
          <w:spacing w:val="1"/>
          <w:sz w:val="20"/>
          <w:szCs w:val="20"/>
        </w:rPr>
        <w:t>o</w:t>
      </w:r>
      <w:r w:rsidRPr="0001748B">
        <w:rPr>
          <w:rFonts w:eastAsia="Verdana" w:cs="Verdana"/>
          <w:spacing w:val="-1"/>
          <w:sz w:val="20"/>
          <w:szCs w:val="20"/>
        </w:rPr>
        <w:t>r</w:t>
      </w:r>
      <w:r w:rsidRPr="0001748B">
        <w:rPr>
          <w:rFonts w:eastAsia="Verdana" w:cs="Verdana"/>
          <w:spacing w:val="1"/>
          <w:sz w:val="20"/>
          <w:szCs w:val="20"/>
        </w:rPr>
        <w:t>d</w:t>
      </w:r>
      <w:r w:rsidRPr="0001748B">
        <w:rPr>
          <w:rFonts w:eastAsia="Verdana" w:cs="Verdana"/>
          <w:spacing w:val="-1"/>
          <w:sz w:val="20"/>
          <w:szCs w:val="20"/>
        </w:rPr>
        <w:t>e</w:t>
      </w:r>
      <w:r w:rsidRPr="0001748B">
        <w:rPr>
          <w:rFonts w:eastAsia="Verdana" w:cs="Verdana"/>
          <w:spacing w:val="2"/>
          <w:sz w:val="20"/>
          <w:szCs w:val="20"/>
        </w:rPr>
        <w:t>n</w:t>
      </w:r>
      <w:r w:rsidRPr="0001748B">
        <w:rPr>
          <w:rFonts w:eastAsia="Verdana" w:cs="Verdana"/>
          <w:sz w:val="20"/>
          <w:szCs w:val="20"/>
        </w:rPr>
        <w:t>a</w:t>
      </w:r>
      <w:r w:rsidRPr="0001748B">
        <w:rPr>
          <w:rFonts w:eastAsia="Verdana" w:cs="Verdana"/>
          <w:spacing w:val="-1"/>
          <w:sz w:val="20"/>
          <w:szCs w:val="20"/>
        </w:rPr>
        <w:t>r</w:t>
      </w:r>
      <w:r w:rsidRPr="0001748B">
        <w:rPr>
          <w:rFonts w:eastAsia="Verdana" w:cs="Verdana"/>
          <w:sz w:val="20"/>
          <w:szCs w:val="20"/>
        </w:rPr>
        <w:t>a</w:t>
      </w:r>
      <w:r w:rsidRPr="0001748B">
        <w:rPr>
          <w:rFonts w:eastAsia="Verdana" w:cs="Verdana"/>
          <w:spacing w:val="-5"/>
          <w:sz w:val="20"/>
          <w:szCs w:val="20"/>
        </w:rPr>
        <w:t xml:space="preserve"> </w:t>
      </w:r>
      <w:r w:rsidRPr="0001748B">
        <w:rPr>
          <w:rFonts w:eastAsia="Verdana" w:cs="Verdana"/>
          <w:sz w:val="20"/>
          <w:szCs w:val="20"/>
        </w:rPr>
        <w:t>al</w:t>
      </w:r>
      <w:r w:rsidRPr="0001748B">
        <w:rPr>
          <w:rFonts w:eastAsia="Verdana" w:cs="Verdana"/>
          <w:spacing w:val="5"/>
          <w:sz w:val="20"/>
          <w:szCs w:val="20"/>
        </w:rPr>
        <w:t xml:space="preserve"> </w:t>
      </w:r>
      <w:r w:rsidRPr="0001748B">
        <w:rPr>
          <w:rFonts w:eastAsia="Verdana" w:cs="Verdana"/>
          <w:spacing w:val="-1"/>
          <w:sz w:val="20"/>
          <w:szCs w:val="20"/>
        </w:rPr>
        <w:t>Es</w:t>
      </w:r>
      <w:r w:rsidRPr="0001748B">
        <w:rPr>
          <w:rFonts w:eastAsia="Verdana" w:cs="Verdana"/>
          <w:spacing w:val="1"/>
          <w:sz w:val="20"/>
          <w:szCs w:val="20"/>
        </w:rPr>
        <w:t>t</w:t>
      </w:r>
      <w:r w:rsidRPr="0001748B">
        <w:rPr>
          <w:rFonts w:eastAsia="Verdana" w:cs="Verdana"/>
          <w:sz w:val="20"/>
          <w:szCs w:val="20"/>
        </w:rPr>
        <w:t>a</w:t>
      </w:r>
      <w:r w:rsidRPr="0001748B">
        <w:rPr>
          <w:rFonts w:eastAsia="Verdana" w:cs="Verdana"/>
          <w:spacing w:val="1"/>
          <w:sz w:val="20"/>
          <w:szCs w:val="20"/>
        </w:rPr>
        <w:t>d</w:t>
      </w:r>
      <w:r w:rsidRPr="0001748B">
        <w:rPr>
          <w:rFonts w:eastAsia="Verdana" w:cs="Verdana"/>
          <w:sz w:val="20"/>
          <w:szCs w:val="20"/>
        </w:rPr>
        <w:t>o</w:t>
      </w:r>
      <w:r w:rsidRPr="0001748B">
        <w:rPr>
          <w:rFonts w:eastAsia="Verdana" w:cs="Verdana"/>
          <w:spacing w:val="-2"/>
          <w:sz w:val="20"/>
          <w:szCs w:val="20"/>
        </w:rPr>
        <w:t xml:space="preserve"> </w:t>
      </w:r>
      <w:r w:rsidRPr="0001748B">
        <w:rPr>
          <w:rFonts w:eastAsia="Verdana" w:cs="Verdana"/>
          <w:spacing w:val="-1"/>
          <w:sz w:val="20"/>
          <w:szCs w:val="20"/>
        </w:rPr>
        <w:t>e</w:t>
      </w:r>
      <w:r w:rsidRPr="0001748B">
        <w:rPr>
          <w:rFonts w:eastAsia="Verdana" w:cs="Verdana"/>
          <w:sz w:val="20"/>
          <w:szCs w:val="20"/>
        </w:rPr>
        <w:t>l</w:t>
      </w:r>
      <w:r w:rsidRPr="0001748B">
        <w:rPr>
          <w:rFonts w:eastAsia="Verdana" w:cs="Verdana"/>
          <w:spacing w:val="2"/>
          <w:sz w:val="20"/>
          <w:szCs w:val="20"/>
        </w:rPr>
        <w:t xml:space="preserve"> </w:t>
      </w:r>
      <w:r w:rsidRPr="0001748B">
        <w:rPr>
          <w:rFonts w:eastAsia="Verdana" w:cs="Verdana"/>
          <w:spacing w:val="1"/>
          <w:sz w:val="20"/>
          <w:szCs w:val="20"/>
        </w:rPr>
        <w:t>p</w:t>
      </w:r>
      <w:r w:rsidRPr="0001748B">
        <w:rPr>
          <w:rFonts w:eastAsia="Verdana" w:cs="Verdana"/>
          <w:sz w:val="20"/>
          <w:szCs w:val="20"/>
        </w:rPr>
        <w:t>a</w:t>
      </w:r>
      <w:r w:rsidRPr="0001748B">
        <w:rPr>
          <w:rFonts w:eastAsia="Verdana" w:cs="Verdana"/>
          <w:spacing w:val="1"/>
          <w:sz w:val="20"/>
          <w:szCs w:val="20"/>
        </w:rPr>
        <w:t>g</w:t>
      </w:r>
      <w:r w:rsidRPr="0001748B">
        <w:rPr>
          <w:rFonts w:eastAsia="Verdana" w:cs="Verdana"/>
          <w:sz w:val="20"/>
          <w:szCs w:val="20"/>
        </w:rPr>
        <w:t>o</w:t>
      </w:r>
      <w:r w:rsidRPr="0001748B">
        <w:rPr>
          <w:rFonts w:eastAsia="Verdana" w:cs="Verdana"/>
          <w:spacing w:val="-2"/>
          <w:sz w:val="20"/>
          <w:szCs w:val="20"/>
        </w:rPr>
        <w:t xml:space="preserve"> </w:t>
      </w:r>
      <w:r w:rsidRPr="0001748B">
        <w:rPr>
          <w:rFonts w:eastAsia="Verdana" w:cs="Verdana"/>
          <w:spacing w:val="1"/>
          <w:sz w:val="20"/>
          <w:szCs w:val="20"/>
        </w:rPr>
        <w:t>d</w:t>
      </w:r>
      <w:r w:rsidRPr="0001748B">
        <w:rPr>
          <w:rFonts w:eastAsia="Verdana" w:cs="Verdana"/>
          <w:sz w:val="20"/>
          <w:szCs w:val="20"/>
        </w:rPr>
        <w:t>e</w:t>
      </w:r>
      <w:r w:rsidRPr="0001748B">
        <w:rPr>
          <w:rFonts w:eastAsia="Verdana" w:cs="Verdana"/>
          <w:spacing w:val="1"/>
          <w:sz w:val="20"/>
          <w:szCs w:val="20"/>
        </w:rPr>
        <w:t xml:space="preserve"> </w:t>
      </w:r>
      <w:r w:rsidRPr="0001748B">
        <w:rPr>
          <w:rFonts w:eastAsia="Verdana" w:cs="Verdana"/>
          <w:spacing w:val="3"/>
          <w:sz w:val="20"/>
          <w:szCs w:val="20"/>
        </w:rPr>
        <w:t>l</w:t>
      </w:r>
      <w:r w:rsidRPr="0001748B">
        <w:rPr>
          <w:rFonts w:eastAsia="Verdana" w:cs="Verdana"/>
          <w:sz w:val="20"/>
          <w:szCs w:val="20"/>
        </w:rPr>
        <w:t xml:space="preserve">as </w:t>
      </w:r>
      <w:r w:rsidRPr="0001748B">
        <w:rPr>
          <w:rFonts w:eastAsia="Verdana" w:cs="Verdana"/>
          <w:spacing w:val="-1"/>
          <w:sz w:val="20"/>
          <w:szCs w:val="20"/>
        </w:rPr>
        <w:t>cos</w:t>
      </w:r>
      <w:r w:rsidRPr="0001748B">
        <w:rPr>
          <w:rFonts w:eastAsia="Verdana" w:cs="Verdana"/>
          <w:spacing w:val="1"/>
          <w:sz w:val="20"/>
          <w:szCs w:val="20"/>
        </w:rPr>
        <w:t>t</w:t>
      </w:r>
      <w:r w:rsidRPr="0001748B">
        <w:rPr>
          <w:rFonts w:eastAsia="Verdana" w:cs="Verdana"/>
          <w:sz w:val="20"/>
          <w:szCs w:val="20"/>
        </w:rPr>
        <w:t>as</w:t>
      </w:r>
      <w:r w:rsidRPr="0001748B">
        <w:rPr>
          <w:rFonts w:eastAsia="Verdana" w:cs="Verdana"/>
          <w:spacing w:val="-3"/>
          <w:sz w:val="20"/>
          <w:szCs w:val="20"/>
        </w:rPr>
        <w:t xml:space="preserve"> </w:t>
      </w:r>
      <w:r w:rsidRPr="0001748B">
        <w:rPr>
          <w:rFonts w:eastAsia="Verdana" w:cs="Verdana"/>
          <w:sz w:val="20"/>
          <w:szCs w:val="20"/>
        </w:rPr>
        <w:t>y</w:t>
      </w:r>
      <w:r w:rsidRPr="0001748B">
        <w:rPr>
          <w:rFonts w:eastAsia="Verdana" w:cs="Verdana"/>
          <w:spacing w:val="3"/>
          <w:sz w:val="20"/>
          <w:szCs w:val="20"/>
        </w:rPr>
        <w:t xml:space="preserve"> </w:t>
      </w:r>
      <w:r w:rsidRPr="0001748B">
        <w:rPr>
          <w:rFonts w:eastAsia="Verdana" w:cs="Verdana"/>
          <w:spacing w:val="1"/>
          <w:sz w:val="20"/>
          <w:szCs w:val="20"/>
        </w:rPr>
        <w:t>g</w:t>
      </w:r>
      <w:r w:rsidRPr="0001748B">
        <w:rPr>
          <w:rFonts w:eastAsia="Verdana" w:cs="Verdana"/>
          <w:spacing w:val="3"/>
          <w:sz w:val="20"/>
          <w:szCs w:val="20"/>
        </w:rPr>
        <w:t>a</w:t>
      </w:r>
      <w:r w:rsidRPr="0001748B">
        <w:rPr>
          <w:rFonts w:eastAsia="Verdana" w:cs="Verdana"/>
          <w:spacing w:val="-1"/>
          <w:sz w:val="20"/>
          <w:szCs w:val="20"/>
        </w:rPr>
        <w:t>s</w:t>
      </w:r>
      <w:r w:rsidRPr="0001748B">
        <w:rPr>
          <w:rFonts w:eastAsia="Verdana" w:cs="Verdana"/>
          <w:spacing w:val="1"/>
          <w:sz w:val="20"/>
          <w:szCs w:val="20"/>
        </w:rPr>
        <w:t>t</w:t>
      </w:r>
      <w:r w:rsidRPr="0001748B">
        <w:rPr>
          <w:rFonts w:eastAsia="Verdana" w:cs="Verdana"/>
          <w:spacing w:val="-1"/>
          <w:sz w:val="20"/>
          <w:szCs w:val="20"/>
        </w:rPr>
        <w:t>o</w:t>
      </w:r>
      <w:r w:rsidRPr="0001748B">
        <w:rPr>
          <w:rFonts w:eastAsia="Verdana" w:cs="Verdana"/>
          <w:sz w:val="20"/>
          <w:szCs w:val="20"/>
        </w:rPr>
        <w:t>s</w:t>
      </w:r>
      <w:r w:rsidRPr="0001748B">
        <w:rPr>
          <w:rFonts w:eastAsia="Verdana" w:cs="Verdana"/>
          <w:spacing w:val="-4"/>
          <w:sz w:val="20"/>
          <w:szCs w:val="20"/>
        </w:rPr>
        <w:t xml:space="preserve"> </w:t>
      </w:r>
      <w:r w:rsidRPr="0001748B">
        <w:rPr>
          <w:rFonts w:eastAsia="Verdana" w:cs="Verdana"/>
          <w:spacing w:val="1"/>
          <w:sz w:val="20"/>
          <w:szCs w:val="20"/>
        </w:rPr>
        <w:t>qu</w:t>
      </w:r>
      <w:r w:rsidRPr="0001748B">
        <w:rPr>
          <w:rFonts w:eastAsia="Verdana" w:cs="Verdana"/>
          <w:sz w:val="20"/>
          <w:szCs w:val="20"/>
        </w:rPr>
        <w:t>e</w:t>
      </w:r>
      <w:r w:rsidRPr="0001748B">
        <w:rPr>
          <w:rFonts w:eastAsia="Verdana" w:cs="Verdana"/>
          <w:spacing w:val="-1"/>
          <w:sz w:val="20"/>
          <w:szCs w:val="20"/>
        </w:rPr>
        <w:t xml:space="preserve"> </w:t>
      </w:r>
      <w:r w:rsidRPr="0001748B">
        <w:rPr>
          <w:rFonts w:eastAsia="Verdana" w:cs="Verdana"/>
          <w:spacing w:val="2"/>
          <w:sz w:val="20"/>
          <w:szCs w:val="20"/>
        </w:rPr>
        <w:t>s</w:t>
      </w:r>
      <w:r w:rsidRPr="0001748B">
        <w:rPr>
          <w:rFonts w:eastAsia="Verdana" w:cs="Verdana"/>
          <w:sz w:val="20"/>
          <w:szCs w:val="20"/>
        </w:rPr>
        <w:t>e</w:t>
      </w:r>
      <w:r w:rsidRPr="0001748B">
        <w:rPr>
          <w:rFonts w:eastAsia="Verdana" w:cs="Verdana"/>
          <w:spacing w:val="1"/>
          <w:sz w:val="20"/>
          <w:szCs w:val="20"/>
        </w:rPr>
        <w:t xml:space="preserve"> h</w:t>
      </w:r>
      <w:r w:rsidRPr="0001748B">
        <w:rPr>
          <w:rFonts w:eastAsia="Verdana" w:cs="Verdana"/>
          <w:sz w:val="20"/>
          <w:szCs w:val="20"/>
        </w:rPr>
        <w:t>ayan</w:t>
      </w:r>
      <w:r w:rsidRPr="0001748B">
        <w:rPr>
          <w:rFonts w:eastAsia="Verdana" w:cs="Verdana"/>
          <w:spacing w:val="-1"/>
          <w:sz w:val="20"/>
          <w:szCs w:val="20"/>
        </w:rPr>
        <w:t xml:space="preserve"> </w:t>
      </w:r>
      <w:r w:rsidRPr="0001748B">
        <w:rPr>
          <w:rFonts w:eastAsia="Verdana" w:cs="Verdana"/>
          <w:spacing w:val="1"/>
          <w:sz w:val="20"/>
          <w:szCs w:val="20"/>
        </w:rPr>
        <w:t>o</w:t>
      </w:r>
      <w:r w:rsidRPr="0001748B">
        <w:rPr>
          <w:rFonts w:eastAsia="Verdana" w:cs="Verdana"/>
          <w:spacing w:val="-1"/>
          <w:sz w:val="20"/>
          <w:szCs w:val="20"/>
        </w:rPr>
        <w:t>r</w:t>
      </w:r>
      <w:r w:rsidRPr="0001748B">
        <w:rPr>
          <w:rFonts w:eastAsia="Verdana" w:cs="Verdana"/>
          <w:spacing w:val="3"/>
          <w:sz w:val="20"/>
          <w:szCs w:val="20"/>
        </w:rPr>
        <w:t>i</w:t>
      </w:r>
      <w:r w:rsidRPr="0001748B">
        <w:rPr>
          <w:rFonts w:eastAsia="Verdana" w:cs="Verdana"/>
          <w:spacing w:val="-2"/>
          <w:sz w:val="20"/>
          <w:szCs w:val="20"/>
        </w:rPr>
        <w:t>g</w:t>
      </w:r>
      <w:r w:rsidRPr="0001748B">
        <w:rPr>
          <w:rFonts w:eastAsia="Verdana" w:cs="Verdana"/>
          <w:spacing w:val="1"/>
          <w:sz w:val="20"/>
          <w:szCs w:val="20"/>
        </w:rPr>
        <w:t>in</w:t>
      </w:r>
      <w:r w:rsidRPr="0001748B">
        <w:rPr>
          <w:rFonts w:eastAsia="Verdana" w:cs="Verdana"/>
          <w:sz w:val="20"/>
          <w:szCs w:val="20"/>
        </w:rPr>
        <w:t>a</w:t>
      </w:r>
      <w:r w:rsidRPr="0001748B">
        <w:rPr>
          <w:rFonts w:eastAsia="Verdana" w:cs="Verdana"/>
          <w:spacing w:val="1"/>
          <w:sz w:val="20"/>
          <w:szCs w:val="20"/>
        </w:rPr>
        <w:t>d</w:t>
      </w:r>
      <w:r w:rsidRPr="0001748B">
        <w:rPr>
          <w:rFonts w:eastAsia="Verdana" w:cs="Verdana"/>
          <w:sz w:val="20"/>
          <w:szCs w:val="20"/>
        </w:rPr>
        <w:t>o y</w:t>
      </w:r>
      <w:r w:rsidRPr="0001748B">
        <w:rPr>
          <w:rFonts w:eastAsia="Verdana" w:cs="Verdana"/>
          <w:spacing w:val="8"/>
          <w:sz w:val="20"/>
          <w:szCs w:val="20"/>
        </w:rPr>
        <w:t xml:space="preserve"> </w:t>
      </w:r>
      <w:r w:rsidRPr="0001748B">
        <w:rPr>
          <w:rFonts w:eastAsia="Verdana" w:cs="Verdana"/>
          <w:spacing w:val="-1"/>
          <w:sz w:val="20"/>
          <w:szCs w:val="20"/>
        </w:rPr>
        <w:t>or</w:t>
      </w:r>
      <w:r w:rsidRPr="0001748B">
        <w:rPr>
          <w:rFonts w:eastAsia="Verdana" w:cs="Verdana"/>
          <w:spacing w:val="3"/>
          <w:sz w:val="20"/>
          <w:szCs w:val="20"/>
        </w:rPr>
        <w:t>i</w:t>
      </w:r>
      <w:r w:rsidRPr="0001748B">
        <w:rPr>
          <w:rFonts w:eastAsia="Verdana" w:cs="Verdana"/>
          <w:spacing w:val="1"/>
          <w:sz w:val="20"/>
          <w:szCs w:val="20"/>
        </w:rPr>
        <w:t>g</w:t>
      </w:r>
      <w:r w:rsidRPr="0001748B">
        <w:rPr>
          <w:rFonts w:eastAsia="Verdana" w:cs="Verdana"/>
          <w:spacing w:val="3"/>
          <w:sz w:val="20"/>
          <w:szCs w:val="20"/>
        </w:rPr>
        <w:t>i</w:t>
      </w:r>
      <w:r w:rsidRPr="0001748B">
        <w:rPr>
          <w:rFonts w:eastAsia="Verdana" w:cs="Verdana"/>
          <w:spacing w:val="1"/>
          <w:sz w:val="20"/>
          <w:szCs w:val="20"/>
        </w:rPr>
        <w:t>n</w:t>
      </w:r>
      <w:r w:rsidRPr="0001748B">
        <w:rPr>
          <w:rFonts w:eastAsia="Verdana" w:cs="Verdana"/>
          <w:spacing w:val="-1"/>
          <w:sz w:val="20"/>
          <w:szCs w:val="20"/>
        </w:rPr>
        <w:t>e</w:t>
      </w:r>
      <w:r w:rsidRPr="0001748B">
        <w:rPr>
          <w:rFonts w:eastAsia="Verdana" w:cs="Verdana"/>
          <w:sz w:val="20"/>
          <w:szCs w:val="20"/>
        </w:rPr>
        <w:t>n</w:t>
      </w:r>
      <w:r w:rsidRPr="0001748B">
        <w:rPr>
          <w:rFonts w:eastAsia="Verdana" w:cs="Verdana"/>
          <w:spacing w:val="3"/>
          <w:sz w:val="20"/>
          <w:szCs w:val="20"/>
        </w:rPr>
        <w:t xml:space="preserve"> </w:t>
      </w:r>
      <w:r w:rsidRPr="0001748B">
        <w:rPr>
          <w:rFonts w:eastAsia="Verdana" w:cs="Verdana"/>
          <w:spacing w:val="-1"/>
          <w:sz w:val="20"/>
          <w:szCs w:val="20"/>
        </w:rPr>
        <w:t>e</w:t>
      </w:r>
      <w:r w:rsidRPr="0001748B">
        <w:rPr>
          <w:rFonts w:eastAsia="Verdana" w:cs="Verdana"/>
          <w:sz w:val="20"/>
          <w:szCs w:val="20"/>
        </w:rPr>
        <w:t>n</w:t>
      </w:r>
      <w:r w:rsidRPr="0001748B">
        <w:rPr>
          <w:rFonts w:eastAsia="Verdana" w:cs="Verdana"/>
          <w:spacing w:val="7"/>
          <w:sz w:val="20"/>
          <w:szCs w:val="20"/>
        </w:rPr>
        <w:t xml:space="preserve"> </w:t>
      </w:r>
      <w:r w:rsidRPr="0001748B">
        <w:rPr>
          <w:rFonts w:eastAsia="Verdana" w:cs="Verdana"/>
          <w:spacing w:val="3"/>
          <w:sz w:val="20"/>
          <w:szCs w:val="20"/>
        </w:rPr>
        <w:t>l</w:t>
      </w:r>
      <w:r w:rsidRPr="0001748B">
        <w:rPr>
          <w:rFonts w:eastAsia="Verdana" w:cs="Verdana"/>
          <w:sz w:val="20"/>
          <w:szCs w:val="20"/>
        </w:rPr>
        <w:t>a</w:t>
      </w:r>
      <w:r w:rsidRPr="0001748B">
        <w:rPr>
          <w:rFonts w:eastAsia="Verdana" w:cs="Verdana"/>
          <w:spacing w:val="9"/>
          <w:sz w:val="20"/>
          <w:szCs w:val="20"/>
        </w:rPr>
        <w:t xml:space="preserve"> </w:t>
      </w:r>
      <w:r w:rsidRPr="0001748B">
        <w:rPr>
          <w:rFonts w:eastAsia="Verdana" w:cs="Verdana"/>
          <w:spacing w:val="1"/>
          <w:sz w:val="20"/>
          <w:szCs w:val="20"/>
        </w:rPr>
        <w:t>t</w:t>
      </w:r>
      <w:r w:rsidRPr="0001748B">
        <w:rPr>
          <w:rFonts w:eastAsia="Verdana" w:cs="Verdana"/>
          <w:spacing w:val="-1"/>
          <w:sz w:val="20"/>
          <w:szCs w:val="20"/>
        </w:rPr>
        <w:t>r</w:t>
      </w:r>
      <w:r w:rsidRPr="0001748B">
        <w:rPr>
          <w:rFonts w:eastAsia="Verdana" w:cs="Verdana"/>
          <w:spacing w:val="-2"/>
          <w:sz w:val="20"/>
          <w:szCs w:val="20"/>
        </w:rPr>
        <w:t>a</w:t>
      </w:r>
      <w:r w:rsidRPr="0001748B">
        <w:rPr>
          <w:rFonts w:eastAsia="Verdana" w:cs="Verdana"/>
          <w:spacing w:val="1"/>
          <w:sz w:val="20"/>
          <w:szCs w:val="20"/>
        </w:rPr>
        <w:t>m</w:t>
      </w:r>
      <w:r w:rsidRPr="0001748B">
        <w:rPr>
          <w:rFonts w:eastAsia="Verdana" w:cs="Verdana"/>
          <w:spacing w:val="3"/>
          <w:sz w:val="20"/>
          <w:szCs w:val="20"/>
        </w:rPr>
        <w:t>i</w:t>
      </w:r>
      <w:r w:rsidRPr="0001748B">
        <w:rPr>
          <w:rFonts w:eastAsia="Verdana" w:cs="Verdana"/>
          <w:spacing w:val="1"/>
          <w:sz w:val="20"/>
          <w:szCs w:val="20"/>
        </w:rPr>
        <w:t>t</w:t>
      </w:r>
      <w:r w:rsidRPr="0001748B">
        <w:rPr>
          <w:rFonts w:eastAsia="Verdana" w:cs="Verdana"/>
          <w:sz w:val="20"/>
          <w:szCs w:val="20"/>
        </w:rPr>
        <w:t>a</w:t>
      </w:r>
      <w:r w:rsidRPr="0001748B">
        <w:rPr>
          <w:rFonts w:eastAsia="Verdana" w:cs="Verdana"/>
          <w:spacing w:val="-3"/>
          <w:sz w:val="20"/>
          <w:szCs w:val="20"/>
        </w:rPr>
        <w:t>c</w:t>
      </w:r>
      <w:r w:rsidRPr="0001748B">
        <w:rPr>
          <w:rFonts w:eastAsia="Verdana" w:cs="Verdana"/>
          <w:spacing w:val="3"/>
          <w:sz w:val="20"/>
          <w:szCs w:val="20"/>
        </w:rPr>
        <w:t>i</w:t>
      </w:r>
      <w:r w:rsidRPr="0001748B">
        <w:rPr>
          <w:rFonts w:eastAsia="Verdana" w:cs="Verdana"/>
          <w:spacing w:val="-1"/>
          <w:sz w:val="20"/>
          <w:szCs w:val="20"/>
        </w:rPr>
        <w:t>ó</w:t>
      </w:r>
      <w:r w:rsidRPr="0001748B">
        <w:rPr>
          <w:rFonts w:eastAsia="Verdana" w:cs="Verdana"/>
          <w:sz w:val="20"/>
          <w:szCs w:val="20"/>
        </w:rPr>
        <w:t xml:space="preserve">n </w:t>
      </w:r>
      <w:r w:rsidRPr="0001748B">
        <w:rPr>
          <w:rFonts w:eastAsia="Verdana" w:cs="Verdana"/>
          <w:spacing w:val="1"/>
          <w:sz w:val="20"/>
          <w:szCs w:val="20"/>
        </w:rPr>
        <w:t>d</w:t>
      </w:r>
      <w:r w:rsidRPr="0001748B">
        <w:rPr>
          <w:rFonts w:eastAsia="Verdana" w:cs="Verdana"/>
          <w:spacing w:val="-1"/>
          <w:sz w:val="20"/>
          <w:szCs w:val="20"/>
        </w:rPr>
        <w:t>e</w:t>
      </w:r>
      <w:r w:rsidRPr="0001748B">
        <w:rPr>
          <w:rFonts w:eastAsia="Verdana" w:cs="Verdana"/>
          <w:sz w:val="20"/>
          <w:szCs w:val="20"/>
        </w:rPr>
        <w:t>l</w:t>
      </w:r>
      <w:r w:rsidRPr="0001748B">
        <w:rPr>
          <w:rFonts w:eastAsia="Verdana" w:cs="Verdana"/>
          <w:spacing w:val="10"/>
          <w:sz w:val="20"/>
          <w:szCs w:val="20"/>
        </w:rPr>
        <w:t xml:space="preserve"> </w:t>
      </w:r>
      <w:r w:rsidRPr="0001748B">
        <w:rPr>
          <w:rFonts w:eastAsia="Verdana" w:cs="Verdana"/>
          <w:spacing w:val="-1"/>
          <w:sz w:val="20"/>
          <w:szCs w:val="20"/>
        </w:rPr>
        <w:t>c</w:t>
      </w:r>
      <w:r w:rsidRPr="0001748B">
        <w:rPr>
          <w:rFonts w:eastAsia="Verdana" w:cs="Verdana"/>
          <w:sz w:val="20"/>
          <w:szCs w:val="20"/>
        </w:rPr>
        <w:t>a</w:t>
      </w:r>
      <w:r w:rsidRPr="0001748B">
        <w:rPr>
          <w:rFonts w:eastAsia="Verdana" w:cs="Verdana"/>
          <w:spacing w:val="-1"/>
          <w:sz w:val="20"/>
          <w:szCs w:val="20"/>
        </w:rPr>
        <w:t>so</w:t>
      </w:r>
      <w:r w:rsidRPr="0001748B">
        <w:rPr>
          <w:rFonts w:eastAsia="Verdana" w:cs="Verdana"/>
          <w:sz w:val="20"/>
          <w:szCs w:val="20"/>
        </w:rPr>
        <w:t>,</w:t>
      </w:r>
      <w:r w:rsidRPr="0001748B">
        <w:rPr>
          <w:rFonts w:eastAsia="Verdana" w:cs="Verdana"/>
          <w:spacing w:val="4"/>
          <w:sz w:val="20"/>
          <w:szCs w:val="20"/>
        </w:rPr>
        <w:t xml:space="preserve"> </w:t>
      </w:r>
      <w:r w:rsidRPr="0001748B">
        <w:rPr>
          <w:rFonts w:eastAsia="Verdana" w:cs="Verdana"/>
          <w:spacing w:val="1"/>
          <w:sz w:val="20"/>
          <w:szCs w:val="20"/>
        </w:rPr>
        <w:t>t</w:t>
      </w:r>
      <w:r w:rsidRPr="0001748B">
        <w:rPr>
          <w:rFonts w:eastAsia="Verdana" w:cs="Verdana"/>
          <w:sz w:val="20"/>
          <w:szCs w:val="20"/>
        </w:rPr>
        <w:t>a</w:t>
      </w:r>
      <w:r w:rsidRPr="0001748B">
        <w:rPr>
          <w:rFonts w:eastAsia="Verdana" w:cs="Verdana"/>
          <w:spacing w:val="1"/>
          <w:sz w:val="20"/>
          <w:szCs w:val="20"/>
        </w:rPr>
        <w:t>nt</w:t>
      </w:r>
      <w:r w:rsidRPr="0001748B">
        <w:rPr>
          <w:rFonts w:eastAsia="Verdana" w:cs="Verdana"/>
          <w:sz w:val="20"/>
          <w:szCs w:val="20"/>
        </w:rPr>
        <w:t>o</w:t>
      </w:r>
      <w:r w:rsidRPr="0001748B">
        <w:rPr>
          <w:rFonts w:eastAsia="Verdana" w:cs="Verdana"/>
          <w:spacing w:val="4"/>
          <w:sz w:val="20"/>
          <w:szCs w:val="20"/>
        </w:rPr>
        <w:t xml:space="preserve"> </w:t>
      </w:r>
      <w:r w:rsidRPr="0001748B">
        <w:rPr>
          <w:rFonts w:eastAsia="Verdana" w:cs="Verdana"/>
          <w:spacing w:val="-1"/>
          <w:sz w:val="20"/>
          <w:szCs w:val="20"/>
        </w:rPr>
        <w:t>e</w:t>
      </w:r>
      <w:r w:rsidRPr="0001748B">
        <w:rPr>
          <w:rFonts w:eastAsia="Verdana" w:cs="Verdana"/>
          <w:sz w:val="20"/>
          <w:szCs w:val="20"/>
        </w:rPr>
        <w:t>n</w:t>
      </w:r>
      <w:r w:rsidRPr="0001748B">
        <w:rPr>
          <w:rFonts w:eastAsia="Verdana" w:cs="Verdana"/>
          <w:spacing w:val="9"/>
          <w:sz w:val="20"/>
          <w:szCs w:val="20"/>
        </w:rPr>
        <w:t xml:space="preserve"> </w:t>
      </w:r>
      <w:r w:rsidRPr="0001748B">
        <w:rPr>
          <w:rFonts w:eastAsia="Verdana" w:cs="Verdana"/>
          <w:spacing w:val="-1"/>
          <w:sz w:val="20"/>
          <w:szCs w:val="20"/>
        </w:rPr>
        <w:t>e</w:t>
      </w:r>
      <w:r w:rsidRPr="0001748B">
        <w:rPr>
          <w:rFonts w:eastAsia="Verdana" w:cs="Verdana"/>
          <w:sz w:val="20"/>
          <w:szCs w:val="20"/>
        </w:rPr>
        <w:t>l</w:t>
      </w:r>
      <w:r w:rsidRPr="0001748B">
        <w:rPr>
          <w:rFonts w:eastAsia="Verdana" w:cs="Verdana"/>
          <w:spacing w:val="12"/>
          <w:sz w:val="20"/>
          <w:szCs w:val="20"/>
        </w:rPr>
        <w:t xml:space="preserve"> </w:t>
      </w:r>
      <w:r w:rsidRPr="0001748B">
        <w:rPr>
          <w:rFonts w:eastAsia="Verdana" w:cs="Verdana"/>
          <w:sz w:val="20"/>
          <w:szCs w:val="20"/>
        </w:rPr>
        <w:t>á</w:t>
      </w:r>
      <w:r w:rsidRPr="0001748B">
        <w:rPr>
          <w:rFonts w:eastAsia="Verdana" w:cs="Verdana"/>
          <w:spacing w:val="1"/>
          <w:sz w:val="20"/>
          <w:szCs w:val="20"/>
        </w:rPr>
        <w:t>m</w:t>
      </w:r>
      <w:r w:rsidRPr="0001748B">
        <w:rPr>
          <w:rFonts w:eastAsia="Verdana" w:cs="Verdana"/>
          <w:spacing w:val="-2"/>
          <w:sz w:val="20"/>
          <w:szCs w:val="20"/>
        </w:rPr>
        <w:t>b</w:t>
      </w:r>
      <w:r w:rsidRPr="0001748B">
        <w:rPr>
          <w:rFonts w:eastAsia="Verdana" w:cs="Verdana"/>
          <w:spacing w:val="3"/>
          <w:sz w:val="20"/>
          <w:szCs w:val="20"/>
        </w:rPr>
        <w:t>i</w:t>
      </w:r>
      <w:r w:rsidRPr="0001748B">
        <w:rPr>
          <w:rFonts w:eastAsia="Verdana" w:cs="Verdana"/>
          <w:spacing w:val="1"/>
          <w:sz w:val="20"/>
          <w:szCs w:val="20"/>
        </w:rPr>
        <w:t>t</w:t>
      </w:r>
      <w:r w:rsidRPr="0001748B">
        <w:rPr>
          <w:rFonts w:eastAsia="Verdana" w:cs="Verdana"/>
          <w:sz w:val="20"/>
          <w:szCs w:val="20"/>
        </w:rPr>
        <w:t>o</w:t>
      </w:r>
      <w:r w:rsidRPr="0001748B">
        <w:rPr>
          <w:rFonts w:eastAsia="Verdana" w:cs="Verdana"/>
          <w:spacing w:val="2"/>
          <w:sz w:val="20"/>
          <w:szCs w:val="20"/>
        </w:rPr>
        <w:t xml:space="preserve"> </w:t>
      </w:r>
      <w:r w:rsidRPr="0001748B">
        <w:rPr>
          <w:rFonts w:eastAsia="Verdana" w:cs="Verdana"/>
          <w:spacing w:val="1"/>
          <w:sz w:val="20"/>
          <w:szCs w:val="20"/>
        </w:rPr>
        <w:t>in</w:t>
      </w:r>
      <w:r w:rsidRPr="0001748B">
        <w:rPr>
          <w:rFonts w:eastAsia="Verdana" w:cs="Verdana"/>
          <w:spacing w:val="-2"/>
          <w:sz w:val="20"/>
          <w:szCs w:val="20"/>
        </w:rPr>
        <w:t>t</w:t>
      </w:r>
      <w:r w:rsidRPr="0001748B">
        <w:rPr>
          <w:rFonts w:eastAsia="Verdana" w:cs="Verdana"/>
          <w:spacing w:val="-1"/>
          <w:sz w:val="20"/>
          <w:szCs w:val="20"/>
        </w:rPr>
        <w:t>er</w:t>
      </w:r>
      <w:r w:rsidRPr="0001748B">
        <w:rPr>
          <w:rFonts w:eastAsia="Verdana" w:cs="Verdana"/>
          <w:spacing w:val="4"/>
          <w:sz w:val="20"/>
          <w:szCs w:val="20"/>
        </w:rPr>
        <w:t>n</w:t>
      </w:r>
      <w:r w:rsidRPr="0001748B">
        <w:rPr>
          <w:rFonts w:eastAsia="Verdana" w:cs="Verdana"/>
          <w:sz w:val="20"/>
          <w:szCs w:val="20"/>
        </w:rPr>
        <w:t>o</w:t>
      </w:r>
      <w:r w:rsidRPr="0001748B">
        <w:rPr>
          <w:rFonts w:eastAsia="Verdana" w:cs="Verdana"/>
          <w:spacing w:val="2"/>
          <w:sz w:val="20"/>
          <w:szCs w:val="20"/>
        </w:rPr>
        <w:t xml:space="preserve"> </w:t>
      </w:r>
      <w:r w:rsidRPr="0001748B">
        <w:rPr>
          <w:rFonts w:eastAsia="Verdana" w:cs="Verdana"/>
          <w:spacing w:val="-1"/>
          <w:sz w:val="20"/>
          <w:szCs w:val="20"/>
        </w:rPr>
        <w:t>co</w:t>
      </w:r>
      <w:r w:rsidRPr="0001748B">
        <w:rPr>
          <w:rFonts w:eastAsia="Verdana" w:cs="Verdana"/>
          <w:spacing w:val="3"/>
          <w:sz w:val="20"/>
          <w:szCs w:val="20"/>
        </w:rPr>
        <w:t>m</w:t>
      </w:r>
      <w:r w:rsidRPr="0001748B">
        <w:rPr>
          <w:rFonts w:eastAsia="Verdana" w:cs="Verdana"/>
          <w:sz w:val="20"/>
          <w:szCs w:val="20"/>
        </w:rPr>
        <w:t>o</w:t>
      </w:r>
      <w:r w:rsidRPr="0001748B">
        <w:rPr>
          <w:rFonts w:eastAsia="Verdana" w:cs="Verdana"/>
          <w:spacing w:val="4"/>
          <w:sz w:val="20"/>
          <w:szCs w:val="20"/>
        </w:rPr>
        <w:t xml:space="preserve"> </w:t>
      </w:r>
      <w:r w:rsidRPr="0001748B">
        <w:rPr>
          <w:rFonts w:eastAsia="Verdana" w:cs="Verdana"/>
          <w:sz w:val="20"/>
          <w:szCs w:val="20"/>
        </w:rPr>
        <w:t>a</w:t>
      </w:r>
      <w:r w:rsidRPr="0001748B">
        <w:rPr>
          <w:rFonts w:eastAsia="Verdana" w:cs="Verdana"/>
          <w:spacing w:val="1"/>
          <w:sz w:val="20"/>
          <w:szCs w:val="20"/>
        </w:rPr>
        <w:t>nt</w:t>
      </w:r>
      <w:r w:rsidRPr="0001748B">
        <w:rPr>
          <w:rFonts w:eastAsia="Verdana" w:cs="Verdana"/>
          <w:sz w:val="20"/>
          <w:szCs w:val="20"/>
        </w:rPr>
        <w:t>e</w:t>
      </w:r>
      <w:r w:rsidRPr="0001748B">
        <w:rPr>
          <w:rFonts w:eastAsia="Verdana" w:cs="Verdana"/>
          <w:spacing w:val="7"/>
          <w:sz w:val="20"/>
          <w:szCs w:val="20"/>
        </w:rPr>
        <w:t xml:space="preserve"> </w:t>
      </w:r>
      <w:r w:rsidRPr="0001748B">
        <w:rPr>
          <w:rFonts w:eastAsia="Verdana" w:cs="Verdana"/>
          <w:spacing w:val="-1"/>
          <w:sz w:val="20"/>
          <w:szCs w:val="20"/>
        </w:rPr>
        <w:t>e</w:t>
      </w:r>
      <w:r w:rsidRPr="0001748B">
        <w:rPr>
          <w:rFonts w:eastAsia="Verdana" w:cs="Verdana"/>
          <w:sz w:val="20"/>
          <w:szCs w:val="20"/>
        </w:rPr>
        <w:t>l</w:t>
      </w:r>
      <w:r w:rsidRPr="0001748B">
        <w:rPr>
          <w:rFonts w:eastAsia="Verdana" w:cs="Verdana"/>
          <w:spacing w:val="12"/>
          <w:sz w:val="20"/>
          <w:szCs w:val="20"/>
        </w:rPr>
        <w:t xml:space="preserve"> </w:t>
      </w:r>
      <w:r w:rsidRPr="0001748B">
        <w:rPr>
          <w:rFonts w:eastAsia="Verdana" w:cs="Verdana"/>
          <w:spacing w:val="-1"/>
          <w:sz w:val="20"/>
          <w:szCs w:val="20"/>
        </w:rPr>
        <w:t>s</w:t>
      </w:r>
      <w:r w:rsidRPr="0001748B">
        <w:rPr>
          <w:rFonts w:eastAsia="Verdana" w:cs="Verdana"/>
          <w:spacing w:val="1"/>
          <w:sz w:val="20"/>
          <w:szCs w:val="20"/>
        </w:rPr>
        <w:t>i</w:t>
      </w:r>
      <w:r w:rsidRPr="0001748B">
        <w:rPr>
          <w:rFonts w:eastAsia="Verdana" w:cs="Verdana"/>
          <w:spacing w:val="-1"/>
          <w:sz w:val="20"/>
          <w:szCs w:val="20"/>
        </w:rPr>
        <w:t>s</w:t>
      </w:r>
      <w:r w:rsidRPr="0001748B">
        <w:rPr>
          <w:rFonts w:eastAsia="Verdana" w:cs="Verdana"/>
          <w:spacing w:val="1"/>
          <w:sz w:val="20"/>
          <w:szCs w:val="20"/>
        </w:rPr>
        <w:t>t</w:t>
      </w:r>
      <w:r w:rsidRPr="0001748B">
        <w:rPr>
          <w:rFonts w:eastAsia="Verdana" w:cs="Verdana"/>
          <w:spacing w:val="-1"/>
          <w:sz w:val="20"/>
          <w:szCs w:val="20"/>
        </w:rPr>
        <w:t>e</w:t>
      </w:r>
      <w:r w:rsidRPr="0001748B">
        <w:rPr>
          <w:rFonts w:eastAsia="Verdana" w:cs="Verdana"/>
          <w:spacing w:val="1"/>
          <w:sz w:val="20"/>
          <w:szCs w:val="20"/>
        </w:rPr>
        <w:t>m</w:t>
      </w:r>
      <w:r w:rsidRPr="0001748B">
        <w:rPr>
          <w:rFonts w:eastAsia="Verdana" w:cs="Verdana"/>
          <w:sz w:val="20"/>
          <w:szCs w:val="20"/>
        </w:rPr>
        <w:t xml:space="preserve">a </w:t>
      </w:r>
      <w:r w:rsidRPr="0001748B">
        <w:rPr>
          <w:rFonts w:eastAsia="Verdana" w:cs="Verdana"/>
          <w:spacing w:val="3"/>
          <w:sz w:val="20"/>
          <w:szCs w:val="20"/>
        </w:rPr>
        <w:t>i</w:t>
      </w:r>
      <w:r w:rsidRPr="0001748B">
        <w:rPr>
          <w:rFonts w:eastAsia="Verdana" w:cs="Verdana"/>
          <w:spacing w:val="-1"/>
          <w:sz w:val="20"/>
          <w:szCs w:val="20"/>
        </w:rPr>
        <w:t>n</w:t>
      </w:r>
      <w:r w:rsidRPr="0001748B">
        <w:rPr>
          <w:rFonts w:eastAsia="Verdana" w:cs="Verdana"/>
          <w:spacing w:val="1"/>
          <w:sz w:val="20"/>
          <w:szCs w:val="20"/>
        </w:rPr>
        <w:t>t</w:t>
      </w:r>
      <w:r w:rsidRPr="0001748B">
        <w:rPr>
          <w:rFonts w:eastAsia="Verdana" w:cs="Verdana"/>
          <w:spacing w:val="-1"/>
          <w:sz w:val="20"/>
          <w:szCs w:val="20"/>
        </w:rPr>
        <w:t>er</w:t>
      </w:r>
      <w:r w:rsidRPr="0001748B">
        <w:rPr>
          <w:rFonts w:eastAsia="Verdana" w:cs="Verdana"/>
          <w:sz w:val="20"/>
          <w:szCs w:val="20"/>
        </w:rPr>
        <w:t>a</w:t>
      </w:r>
      <w:r w:rsidRPr="0001748B">
        <w:rPr>
          <w:rFonts w:eastAsia="Verdana" w:cs="Verdana"/>
          <w:spacing w:val="1"/>
          <w:sz w:val="20"/>
          <w:szCs w:val="20"/>
        </w:rPr>
        <w:t>me</w:t>
      </w:r>
      <w:r w:rsidRPr="0001748B">
        <w:rPr>
          <w:rFonts w:eastAsia="Verdana" w:cs="Verdana"/>
          <w:spacing w:val="-1"/>
          <w:sz w:val="20"/>
          <w:szCs w:val="20"/>
        </w:rPr>
        <w:t>r</w:t>
      </w:r>
      <w:r w:rsidRPr="0001748B">
        <w:rPr>
          <w:rFonts w:eastAsia="Verdana" w:cs="Verdana"/>
          <w:spacing w:val="3"/>
          <w:sz w:val="20"/>
          <w:szCs w:val="20"/>
        </w:rPr>
        <w:t>i</w:t>
      </w:r>
      <w:r w:rsidRPr="0001748B">
        <w:rPr>
          <w:rFonts w:eastAsia="Verdana" w:cs="Verdana"/>
          <w:spacing w:val="-1"/>
          <w:sz w:val="20"/>
          <w:szCs w:val="20"/>
        </w:rPr>
        <w:t>c</w:t>
      </w:r>
      <w:r w:rsidRPr="0001748B">
        <w:rPr>
          <w:rFonts w:eastAsia="Verdana" w:cs="Verdana"/>
          <w:sz w:val="20"/>
          <w:szCs w:val="20"/>
        </w:rPr>
        <w:t>a</w:t>
      </w:r>
      <w:r w:rsidRPr="0001748B">
        <w:rPr>
          <w:rFonts w:eastAsia="Verdana" w:cs="Verdana"/>
          <w:spacing w:val="1"/>
          <w:sz w:val="20"/>
          <w:szCs w:val="20"/>
        </w:rPr>
        <w:t>n</w:t>
      </w:r>
      <w:r w:rsidRPr="0001748B">
        <w:rPr>
          <w:rFonts w:eastAsia="Verdana" w:cs="Verdana"/>
          <w:spacing w:val="-1"/>
          <w:sz w:val="20"/>
          <w:szCs w:val="20"/>
        </w:rPr>
        <w:t>o</w:t>
      </w:r>
      <w:r w:rsidRPr="0001748B">
        <w:rPr>
          <w:rFonts w:eastAsia="Verdana" w:cs="Verdana"/>
          <w:sz w:val="20"/>
          <w:szCs w:val="20"/>
        </w:rPr>
        <w:t>.</w:t>
      </w:r>
      <w:r w:rsidRPr="0001748B">
        <w:rPr>
          <w:rFonts w:eastAsia="Verdana" w:cs="Verdana"/>
          <w:spacing w:val="-17"/>
          <w:sz w:val="20"/>
          <w:szCs w:val="20"/>
        </w:rPr>
        <w:t xml:space="preserve"> </w:t>
      </w:r>
      <w:r w:rsidRPr="0001748B">
        <w:rPr>
          <w:rFonts w:eastAsia="Verdana" w:cs="Verdana"/>
          <w:bCs/>
          <w:sz w:val="20"/>
          <w:szCs w:val="20"/>
        </w:rPr>
        <w:t>En este sentido, solicitaron el pago de US$</w:t>
      </w:r>
      <w:r w:rsidR="0094013B">
        <w:rPr>
          <w:rFonts w:eastAsia="Verdana" w:cs="Verdana"/>
          <w:bCs/>
          <w:sz w:val="20"/>
          <w:szCs w:val="20"/>
        </w:rPr>
        <w:t xml:space="preserve"> </w:t>
      </w:r>
      <w:r w:rsidRPr="0001748B">
        <w:rPr>
          <w:rFonts w:eastAsia="Verdana" w:cs="Verdana"/>
          <w:bCs/>
          <w:sz w:val="20"/>
          <w:szCs w:val="20"/>
        </w:rPr>
        <w:t>2</w:t>
      </w:r>
      <w:r w:rsidR="0094013B">
        <w:rPr>
          <w:rFonts w:eastAsia="Verdana" w:cs="Verdana"/>
          <w:bCs/>
          <w:sz w:val="20"/>
          <w:szCs w:val="20"/>
        </w:rPr>
        <w:t>.</w:t>
      </w:r>
      <w:r w:rsidRPr="0001748B">
        <w:rPr>
          <w:rFonts w:eastAsia="Verdana" w:cs="Verdana"/>
          <w:bCs/>
          <w:sz w:val="20"/>
          <w:szCs w:val="20"/>
        </w:rPr>
        <w:t>500</w:t>
      </w:r>
      <w:r w:rsidR="0094013B">
        <w:rPr>
          <w:rFonts w:eastAsia="Verdana" w:cs="Verdana"/>
          <w:bCs/>
          <w:sz w:val="20"/>
          <w:szCs w:val="20"/>
        </w:rPr>
        <w:t>,</w:t>
      </w:r>
      <w:r w:rsidRPr="0001748B">
        <w:rPr>
          <w:rFonts w:eastAsia="Verdana" w:cs="Verdana"/>
          <w:bCs/>
          <w:sz w:val="20"/>
          <w:szCs w:val="20"/>
        </w:rPr>
        <w:t xml:space="preserve">00 por el concepto de costas y gastos a favor de cada uno de los </w:t>
      </w:r>
      <w:r w:rsidR="002570B0">
        <w:rPr>
          <w:rFonts w:eastAsia="Verdana" w:cs="Verdana"/>
          <w:bCs/>
          <w:sz w:val="20"/>
          <w:szCs w:val="20"/>
        </w:rPr>
        <w:t>progenitores</w:t>
      </w:r>
      <w:r w:rsidR="002570B0" w:rsidRPr="0001748B">
        <w:rPr>
          <w:rFonts w:eastAsia="Verdana" w:cs="Verdana"/>
          <w:bCs/>
          <w:sz w:val="20"/>
          <w:szCs w:val="20"/>
        </w:rPr>
        <w:t xml:space="preserve"> </w:t>
      </w:r>
      <w:r w:rsidRPr="0001748B">
        <w:rPr>
          <w:rFonts w:eastAsia="Verdana" w:cs="Verdana"/>
          <w:bCs/>
          <w:sz w:val="20"/>
          <w:szCs w:val="20"/>
        </w:rPr>
        <w:t xml:space="preserve">de </w:t>
      </w:r>
      <w:r w:rsidR="00DF510B">
        <w:rPr>
          <w:rFonts w:eastAsia="Verdana" w:cs="Verdana"/>
          <w:bCs/>
          <w:sz w:val="20"/>
          <w:szCs w:val="20"/>
        </w:rPr>
        <w:t>Johan Alexis Ortiz Hernández</w:t>
      </w:r>
      <w:r w:rsidRPr="0001748B">
        <w:rPr>
          <w:rFonts w:eastAsia="Verdana" w:cs="Verdana"/>
          <w:bCs/>
          <w:sz w:val="20"/>
          <w:szCs w:val="20"/>
        </w:rPr>
        <w:t>.</w:t>
      </w:r>
    </w:p>
    <w:p w:rsidR="001B626E" w:rsidRPr="0001748B" w:rsidRDefault="001B626E" w:rsidP="001B626E">
      <w:pPr>
        <w:spacing w:line="240" w:lineRule="auto"/>
        <w:rPr>
          <w:sz w:val="20"/>
          <w:szCs w:val="20"/>
        </w:rPr>
      </w:pPr>
    </w:p>
    <w:p w:rsidR="001B626E" w:rsidRPr="0001748B" w:rsidRDefault="001B626E" w:rsidP="001B626E">
      <w:pPr>
        <w:numPr>
          <w:ilvl w:val="0"/>
          <w:numId w:val="1"/>
        </w:numPr>
        <w:tabs>
          <w:tab w:val="left" w:pos="567"/>
          <w:tab w:val="num" w:pos="5057"/>
        </w:tabs>
        <w:spacing w:line="240" w:lineRule="auto"/>
        <w:ind w:left="0" w:firstLine="0"/>
        <w:rPr>
          <w:rFonts w:eastAsia="MS Mincho"/>
          <w:sz w:val="20"/>
          <w:szCs w:val="20"/>
          <w:lang w:bidi="en-US"/>
        </w:rPr>
      </w:pPr>
      <w:r w:rsidRPr="0001748B">
        <w:rPr>
          <w:rFonts w:eastAsia="MS Mincho"/>
          <w:sz w:val="20"/>
          <w:szCs w:val="20"/>
          <w:lang w:bidi="en-US"/>
        </w:rPr>
        <w:t>Ni</w:t>
      </w:r>
      <w:r w:rsidR="002570B0">
        <w:rPr>
          <w:rFonts w:eastAsia="MS Mincho"/>
          <w:sz w:val="20"/>
          <w:szCs w:val="20"/>
          <w:lang w:bidi="en-US"/>
        </w:rPr>
        <w:t xml:space="preserve"> el</w:t>
      </w:r>
      <w:r w:rsidRPr="0001748B">
        <w:rPr>
          <w:rFonts w:eastAsia="MS Mincho"/>
          <w:sz w:val="20"/>
          <w:szCs w:val="20"/>
          <w:lang w:bidi="en-US"/>
        </w:rPr>
        <w:t xml:space="preserve"> </w:t>
      </w:r>
      <w:r w:rsidRPr="0001748B">
        <w:rPr>
          <w:rFonts w:eastAsia="MS Mincho"/>
          <w:b/>
          <w:i/>
          <w:sz w:val="20"/>
          <w:szCs w:val="20"/>
          <w:lang w:bidi="en-US"/>
        </w:rPr>
        <w:t xml:space="preserve">Estado </w:t>
      </w:r>
      <w:r w:rsidRPr="0001748B">
        <w:rPr>
          <w:rFonts w:eastAsia="MS Mincho"/>
          <w:sz w:val="20"/>
          <w:szCs w:val="20"/>
          <w:lang w:bidi="en-US"/>
        </w:rPr>
        <w:t>ni la</w:t>
      </w:r>
      <w:r w:rsidRPr="0001748B">
        <w:rPr>
          <w:rFonts w:eastAsia="MS Mincho"/>
          <w:b/>
          <w:i/>
          <w:sz w:val="20"/>
          <w:szCs w:val="20"/>
          <w:lang w:bidi="en-US"/>
        </w:rPr>
        <w:t xml:space="preserve"> Comisión</w:t>
      </w:r>
      <w:r w:rsidRPr="0001748B">
        <w:rPr>
          <w:rFonts w:eastAsia="MS Mincho"/>
          <w:b/>
          <w:sz w:val="20"/>
          <w:szCs w:val="20"/>
          <w:lang w:bidi="en-US"/>
        </w:rPr>
        <w:t xml:space="preserve"> </w:t>
      </w:r>
      <w:r w:rsidRPr="0001748B">
        <w:rPr>
          <w:rFonts w:eastAsia="MS Mincho"/>
          <w:sz w:val="20"/>
          <w:szCs w:val="20"/>
          <w:lang w:bidi="en-US"/>
        </w:rPr>
        <w:t>presentaron alegatos específicos sobre este punto.</w:t>
      </w:r>
    </w:p>
    <w:p w:rsidR="001B626E" w:rsidRPr="0001748B" w:rsidRDefault="001B626E" w:rsidP="001B626E">
      <w:pPr>
        <w:tabs>
          <w:tab w:val="left" w:pos="709"/>
          <w:tab w:val="left" w:pos="1134"/>
        </w:tabs>
        <w:spacing w:line="240" w:lineRule="auto"/>
        <w:rPr>
          <w:sz w:val="20"/>
          <w:szCs w:val="20"/>
          <w:lang w:eastAsia="x-none"/>
        </w:rPr>
      </w:pPr>
    </w:p>
    <w:p w:rsidR="001B626E" w:rsidRPr="0001748B" w:rsidRDefault="001B626E" w:rsidP="001B626E">
      <w:pPr>
        <w:numPr>
          <w:ilvl w:val="0"/>
          <w:numId w:val="1"/>
        </w:numPr>
        <w:tabs>
          <w:tab w:val="left" w:pos="567"/>
          <w:tab w:val="num" w:pos="5057"/>
        </w:tabs>
        <w:spacing w:line="240" w:lineRule="auto"/>
        <w:ind w:left="0" w:firstLine="0"/>
        <w:rPr>
          <w:rFonts w:eastAsia="MS Mincho"/>
          <w:sz w:val="20"/>
          <w:szCs w:val="20"/>
          <w:lang w:bidi="en-US"/>
        </w:rPr>
      </w:pPr>
      <w:r w:rsidRPr="0001748B">
        <w:rPr>
          <w:rFonts w:eastAsia="MS Mincho"/>
          <w:sz w:val="20"/>
          <w:szCs w:val="20"/>
          <w:lang w:bidi="en-US"/>
        </w:rPr>
        <w:t>La Corte reitera que, conforme a su jurisprudencia</w:t>
      </w:r>
      <w:r w:rsidRPr="0001748B">
        <w:rPr>
          <w:rFonts w:eastAsia="MS Mincho"/>
          <w:sz w:val="20"/>
          <w:szCs w:val="20"/>
          <w:vertAlign w:val="superscript"/>
          <w:lang w:bidi="en-US"/>
        </w:rPr>
        <w:footnoteReference w:id="248"/>
      </w:r>
      <w:r w:rsidRPr="0001748B">
        <w:rPr>
          <w:rFonts w:eastAsia="MS Mincho"/>
          <w:sz w:val="20"/>
          <w:szCs w:val="20"/>
          <w:lang w:bidi="en-US"/>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w:t>
      </w:r>
      <w:r w:rsidRPr="0001748B">
        <w:rPr>
          <w:rFonts w:eastAsia="MS Mincho" w:cs="Verdana"/>
          <w:sz w:val="20"/>
          <w:szCs w:val="20"/>
          <w:lang w:bidi="en-US"/>
        </w:rPr>
        <w:t xml:space="preserve">En cuanto al reembolso de las costas y gastos, corresponde al Tribunal apreciar </w:t>
      </w:r>
      <w:r w:rsidRPr="0001748B">
        <w:rPr>
          <w:rFonts w:eastAsia="MS Mincho"/>
          <w:sz w:val="20"/>
          <w:szCs w:val="20"/>
          <w:lang w:bidi="en-US"/>
        </w:rPr>
        <w:t>prudentemente</w:t>
      </w:r>
      <w:r w:rsidRPr="0001748B">
        <w:rPr>
          <w:rFonts w:eastAsia="MS Mincho" w:cs="Verdana"/>
          <w:sz w:val="20"/>
          <w:szCs w:val="20"/>
          <w:lang w:bidi="en-US"/>
        </w:rPr>
        <w:t xml:space="preserve"> su alcance, el cual comprende los gastos generados ante las autoridades de la jurisdicción interna, así como los </w:t>
      </w:r>
      <w:r w:rsidR="00B6365F">
        <w:rPr>
          <w:rFonts w:eastAsia="MS Mincho" w:cs="Verdana"/>
          <w:sz w:val="20"/>
          <w:szCs w:val="20"/>
          <w:lang w:bidi="en-US"/>
        </w:rPr>
        <w:t>ocasionados</w:t>
      </w:r>
      <w:r w:rsidR="00B6365F" w:rsidRPr="0001748B">
        <w:rPr>
          <w:rFonts w:eastAsia="MS Mincho" w:cs="Verdana"/>
          <w:sz w:val="20"/>
          <w:szCs w:val="20"/>
          <w:lang w:bidi="en-US"/>
        </w:rPr>
        <w:t xml:space="preserve"> </w:t>
      </w:r>
      <w:r w:rsidRPr="0001748B">
        <w:rPr>
          <w:rFonts w:eastAsia="MS Mincho" w:cs="Verdana"/>
          <w:sz w:val="20"/>
          <w:szCs w:val="20"/>
          <w:lang w:bidi="en-US"/>
        </w:rPr>
        <w:t xml:space="preserve">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01748B">
        <w:rPr>
          <w:rFonts w:eastAsia="MS Mincho" w:cs="Verdana"/>
          <w:i/>
          <w:iCs/>
          <w:sz w:val="20"/>
          <w:szCs w:val="20"/>
          <w:lang w:bidi="en-US"/>
        </w:rPr>
        <w:t xml:space="preserve">quantum </w:t>
      </w:r>
      <w:r w:rsidRPr="0001748B">
        <w:rPr>
          <w:rFonts w:eastAsia="MS Mincho" w:cs="Verdana"/>
          <w:sz w:val="20"/>
          <w:szCs w:val="20"/>
          <w:lang w:bidi="en-US"/>
        </w:rPr>
        <w:t>sea razonable</w:t>
      </w:r>
      <w:r w:rsidRPr="0001748B">
        <w:rPr>
          <w:rFonts w:eastAsia="MS Mincho"/>
          <w:sz w:val="20"/>
          <w:szCs w:val="20"/>
          <w:vertAlign w:val="superscript"/>
          <w:lang w:bidi="en-US"/>
        </w:rPr>
        <w:footnoteReference w:id="249"/>
      </w:r>
      <w:r w:rsidRPr="0001748B">
        <w:rPr>
          <w:rFonts w:eastAsia="MS Mincho"/>
          <w:sz w:val="20"/>
          <w:szCs w:val="20"/>
          <w:lang w:bidi="en-US"/>
        </w:rPr>
        <w:t>.</w:t>
      </w:r>
    </w:p>
    <w:p w:rsidR="001B626E" w:rsidRPr="0001748B" w:rsidRDefault="001B626E" w:rsidP="001B626E">
      <w:pPr>
        <w:tabs>
          <w:tab w:val="left" w:pos="720"/>
        </w:tabs>
        <w:spacing w:line="240" w:lineRule="auto"/>
        <w:rPr>
          <w:rFonts w:eastAsia="Times"/>
          <w:sz w:val="20"/>
          <w:szCs w:val="20"/>
        </w:rPr>
      </w:pPr>
    </w:p>
    <w:p w:rsidR="001B626E" w:rsidRPr="0001748B" w:rsidRDefault="001B626E" w:rsidP="001B626E">
      <w:pPr>
        <w:numPr>
          <w:ilvl w:val="0"/>
          <w:numId w:val="1"/>
        </w:numPr>
        <w:tabs>
          <w:tab w:val="left" w:pos="567"/>
          <w:tab w:val="num" w:pos="5057"/>
        </w:tabs>
        <w:spacing w:line="240" w:lineRule="auto"/>
        <w:ind w:left="0" w:firstLine="0"/>
        <w:rPr>
          <w:rFonts w:eastAsia="MS Mincho"/>
          <w:sz w:val="20"/>
          <w:szCs w:val="20"/>
          <w:lang w:bidi="en-US"/>
        </w:rPr>
      </w:pPr>
      <w:r w:rsidRPr="0001748B">
        <w:rPr>
          <w:rFonts w:eastAsia="MS Mincho"/>
          <w:sz w:val="20"/>
          <w:szCs w:val="20"/>
          <w:lang w:bidi="en-US"/>
        </w:rPr>
        <w:t>El Tribunal ha señalado que “las pretensiones de las víctimas o sus representantes en materia de costas y gastos, y las pruebas que las sustentan, deben presentarse a la Corte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w:t>
      </w:r>
      <w:r w:rsidRPr="0001748B">
        <w:rPr>
          <w:rFonts w:eastAsia="MS Mincho"/>
          <w:sz w:val="20"/>
          <w:szCs w:val="20"/>
          <w:vertAlign w:val="superscript"/>
          <w:lang w:bidi="en-US"/>
        </w:rPr>
        <w:footnoteReference w:id="250"/>
      </w:r>
      <w:r w:rsidRPr="0001748B">
        <w:rPr>
          <w:rFonts w:eastAsia="MS Mincho"/>
          <w:sz w:val="20"/>
          <w:szCs w:val="20"/>
          <w:lang w:bidi="en-US"/>
        </w:rPr>
        <w:t xml:space="preserve">. Asimismo, la Corte reitera que no es suficiente la remisión de documentos probatorios, sino que se requiere que las partes hagan una argumentación que relacione la prueba con el hecho que se </w:t>
      </w:r>
      <w:r w:rsidRPr="0001748B">
        <w:rPr>
          <w:rFonts w:eastAsia="MS Mincho"/>
          <w:sz w:val="20"/>
          <w:szCs w:val="20"/>
          <w:lang w:bidi="en-US"/>
        </w:rPr>
        <w:lastRenderedPageBreak/>
        <w:t>considera representado, y que, al tratarse de alegados desembolsos económicos, se establezcan con claridad los rubros y la justificación de los mismos</w:t>
      </w:r>
      <w:r w:rsidRPr="0001748B">
        <w:rPr>
          <w:rFonts w:eastAsia="MS Mincho"/>
          <w:sz w:val="20"/>
          <w:szCs w:val="20"/>
          <w:vertAlign w:val="superscript"/>
          <w:lang w:bidi="en-US"/>
        </w:rPr>
        <w:footnoteReference w:id="251"/>
      </w:r>
      <w:r w:rsidRPr="0001748B">
        <w:rPr>
          <w:rFonts w:eastAsia="MS Mincho"/>
          <w:sz w:val="20"/>
          <w:szCs w:val="20"/>
          <w:lang w:bidi="en-US"/>
        </w:rPr>
        <w:t>.</w:t>
      </w:r>
    </w:p>
    <w:p w:rsidR="001B626E" w:rsidRPr="0001748B" w:rsidRDefault="001B626E" w:rsidP="001B626E">
      <w:pPr>
        <w:tabs>
          <w:tab w:val="left" w:pos="720"/>
        </w:tabs>
        <w:spacing w:line="240" w:lineRule="auto"/>
        <w:rPr>
          <w:rFonts w:eastAsia="Times"/>
          <w:sz w:val="20"/>
          <w:szCs w:val="20"/>
        </w:rPr>
      </w:pPr>
    </w:p>
    <w:p w:rsidR="009D170A" w:rsidRPr="005634FF" w:rsidRDefault="005634FF" w:rsidP="00125C44">
      <w:pPr>
        <w:numPr>
          <w:ilvl w:val="0"/>
          <w:numId w:val="1"/>
        </w:numPr>
        <w:tabs>
          <w:tab w:val="left" w:pos="567"/>
          <w:tab w:val="num" w:pos="5057"/>
        </w:tabs>
        <w:spacing w:line="240" w:lineRule="auto"/>
        <w:ind w:left="0" w:firstLine="0"/>
        <w:rPr>
          <w:rFonts w:eastAsia="MS Mincho" w:cs="Verdana"/>
          <w:sz w:val="20"/>
          <w:szCs w:val="20"/>
          <w:lang w:bidi="en-US"/>
        </w:rPr>
      </w:pPr>
      <w:r>
        <w:rPr>
          <w:sz w:val="20"/>
          <w:szCs w:val="20"/>
        </w:rPr>
        <w:t>La Corte</w:t>
      </w:r>
      <w:r w:rsidR="009D170A" w:rsidRPr="0001748B">
        <w:rPr>
          <w:sz w:val="20"/>
          <w:szCs w:val="20"/>
        </w:rPr>
        <w:t xml:space="preserve"> nota que las representantes </w:t>
      </w:r>
      <w:r w:rsidRPr="0001748B">
        <w:rPr>
          <w:rFonts w:eastAsia="MS Mincho" w:cs="Verdana"/>
          <w:sz w:val="20"/>
          <w:szCs w:val="20"/>
          <w:lang w:bidi="en-US"/>
        </w:rPr>
        <w:t>remitieron solo algunos comprobantes de los gastos incurridos</w:t>
      </w:r>
      <w:r w:rsidRPr="005634FF">
        <w:rPr>
          <w:rFonts w:eastAsia="MS Mincho" w:cs="Verdana"/>
          <w:sz w:val="20"/>
          <w:szCs w:val="20"/>
          <w:lang w:val="es-ES" w:bidi="en-US"/>
        </w:rPr>
        <w:t xml:space="preserve"> </w:t>
      </w:r>
      <w:r>
        <w:rPr>
          <w:rFonts w:eastAsia="MS Mincho" w:cs="Verdana"/>
          <w:sz w:val="20"/>
          <w:szCs w:val="20"/>
          <w:lang w:val="es-ES" w:bidi="en-US"/>
        </w:rPr>
        <w:t xml:space="preserve">referentes a </w:t>
      </w:r>
      <w:r w:rsidRPr="00EC3F5C">
        <w:rPr>
          <w:rFonts w:eastAsia="MS Mincho" w:cs="Verdana"/>
          <w:sz w:val="20"/>
          <w:szCs w:val="20"/>
          <w:lang w:val="es-ES" w:bidi="en-US"/>
        </w:rPr>
        <w:t>honorarios profesionales de asistencia legal</w:t>
      </w:r>
      <w:r>
        <w:rPr>
          <w:rFonts w:eastAsia="MS Mincho" w:cs="Verdana"/>
          <w:sz w:val="20"/>
          <w:szCs w:val="20"/>
          <w:lang w:val="es-ES" w:bidi="en-US"/>
        </w:rPr>
        <w:t xml:space="preserve"> en la tramitación del caso a nivel interno en los años 1999 y 2000, </w:t>
      </w:r>
      <w:r w:rsidRPr="00EC3F5C">
        <w:rPr>
          <w:rFonts w:eastAsia="MS Mincho" w:cs="Verdana"/>
          <w:sz w:val="20"/>
          <w:szCs w:val="20"/>
          <w:lang w:val="es-ES" w:bidi="en-US"/>
        </w:rPr>
        <w:t>envíos de documentos a la Comisión, así como copias del expediente, entre otros</w:t>
      </w:r>
      <w:r w:rsidRPr="0001748B">
        <w:rPr>
          <w:rFonts w:eastAsia="MS Mincho" w:cs="Verdana"/>
          <w:sz w:val="20"/>
          <w:szCs w:val="20"/>
          <w:lang w:bidi="en-US"/>
        </w:rPr>
        <w:t>. P</w:t>
      </w:r>
      <w:r w:rsidRPr="0001748B">
        <w:rPr>
          <w:rFonts w:eastAsia="MS Mincho" w:cs="Arial"/>
          <w:sz w:val="20"/>
          <w:szCs w:val="20"/>
          <w:lang w:bidi="en-US"/>
        </w:rPr>
        <w:t xml:space="preserve">ese a que no fueron aportados comprobantes de todos los gastos alegados, es de presumir que los familiares de </w:t>
      </w:r>
      <w:r>
        <w:rPr>
          <w:rFonts w:eastAsia="MS Mincho" w:cs="Arial"/>
          <w:sz w:val="20"/>
          <w:szCs w:val="20"/>
          <w:lang w:bidi="en-US"/>
        </w:rPr>
        <w:t>Johan Alexis Ortiz Hernández</w:t>
      </w:r>
      <w:r w:rsidRPr="0001748B">
        <w:rPr>
          <w:rFonts w:eastAsia="MS Mincho" w:cs="Arial"/>
          <w:sz w:val="20"/>
          <w:szCs w:val="20"/>
          <w:lang w:bidi="en-US"/>
        </w:rPr>
        <w:t xml:space="preserve"> incurrieron en gastos adicionales </w:t>
      </w:r>
      <w:r w:rsidR="00AC1502" w:rsidRPr="008031E5">
        <w:rPr>
          <w:rFonts w:eastAsia="MS Mincho" w:cs="Arial"/>
          <w:sz w:val="20"/>
          <w:szCs w:val="20"/>
          <w:lang w:bidi="en-US"/>
        </w:rPr>
        <w:t xml:space="preserve">a los comprobados </w:t>
      </w:r>
      <w:r w:rsidRPr="0001748B">
        <w:rPr>
          <w:rFonts w:eastAsia="MS Mincho" w:cs="Arial"/>
          <w:sz w:val="20"/>
          <w:szCs w:val="20"/>
          <w:lang w:bidi="en-US"/>
        </w:rPr>
        <w:t>derivados de la búsqueda de justicia</w:t>
      </w:r>
      <w:r>
        <w:rPr>
          <w:rFonts w:eastAsia="MS Mincho" w:cs="Arial"/>
          <w:sz w:val="20"/>
          <w:szCs w:val="20"/>
          <w:lang w:bidi="en-US"/>
        </w:rPr>
        <w:t xml:space="preserve"> a nivel interno y ante el sistema interamericano</w:t>
      </w:r>
      <w:r w:rsidR="00E33C3F">
        <w:rPr>
          <w:rFonts w:eastAsia="MS Mincho" w:cs="Arial"/>
          <w:sz w:val="20"/>
          <w:szCs w:val="20"/>
          <w:lang w:bidi="en-US"/>
        </w:rPr>
        <w:t xml:space="preserve"> por más de 19 años</w:t>
      </w:r>
      <w:r w:rsidR="001F0A5E" w:rsidRPr="0001748B">
        <w:rPr>
          <w:sz w:val="20"/>
          <w:szCs w:val="20"/>
        </w:rPr>
        <w:t xml:space="preserve">, como por </w:t>
      </w:r>
      <w:r w:rsidR="001F0A5E" w:rsidRPr="005634FF">
        <w:rPr>
          <w:sz w:val="20"/>
          <w:szCs w:val="20"/>
        </w:rPr>
        <w:t>ejemplo</w:t>
      </w:r>
      <w:r w:rsidR="009D170A" w:rsidRPr="00125C44">
        <w:rPr>
          <w:rFonts w:eastAsia="MS Mincho" w:cs="Verdana"/>
          <w:sz w:val="20"/>
          <w:szCs w:val="20"/>
          <w:lang w:bidi="en-US"/>
        </w:rPr>
        <w:t xml:space="preserve"> el monto por la legalización de tres affidávits, que no pudo ser reembolsado a través del Fondo de Asistencia Legal de Víctimas ante la imposibilidad de la presentación del recibo original, que asciende a la suma de Bs. 360</w:t>
      </w:r>
      <w:r w:rsidR="00E55AB7" w:rsidRPr="00125C44">
        <w:rPr>
          <w:rFonts w:eastAsia="MS Mincho" w:cs="Verdana"/>
          <w:sz w:val="20"/>
          <w:szCs w:val="20"/>
          <w:lang w:bidi="en-US"/>
        </w:rPr>
        <w:t>.</w:t>
      </w:r>
      <w:r w:rsidR="009D170A" w:rsidRPr="00125C44">
        <w:rPr>
          <w:rFonts w:eastAsia="MS Mincho" w:cs="Verdana"/>
          <w:sz w:val="20"/>
          <w:szCs w:val="20"/>
          <w:lang w:bidi="en-US"/>
        </w:rPr>
        <w:t>000</w:t>
      </w:r>
      <w:r w:rsidR="00E55AB7" w:rsidRPr="00125C44">
        <w:rPr>
          <w:rFonts w:eastAsia="MS Mincho" w:cs="Verdana"/>
          <w:sz w:val="20"/>
          <w:szCs w:val="20"/>
          <w:lang w:bidi="en-US"/>
        </w:rPr>
        <w:t>,</w:t>
      </w:r>
      <w:r w:rsidR="009D170A" w:rsidRPr="00125C44">
        <w:rPr>
          <w:rFonts w:eastAsia="MS Mincho" w:cs="Verdana"/>
          <w:sz w:val="20"/>
          <w:szCs w:val="20"/>
          <w:lang w:bidi="en-US"/>
        </w:rPr>
        <w:t>00.</w:t>
      </w:r>
    </w:p>
    <w:p w:rsidR="00492F7C" w:rsidRPr="0001748B" w:rsidRDefault="00492F7C" w:rsidP="009D170A">
      <w:pPr>
        <w:tabs>
          <w:tab w:val="left" w:pos="567"/>
        </w:tabs>
        <w:spacing w:line="240" w:lineRule="auto"/>
        <w:rPr>
          <w:rFonts w:eastAsia="Batang"/>
          <w:sz w:val="20"/>
          <w:szCs w:val="20"/>
        </w:rPr>
      </w:pPr>
    </w:p>
    <w:p w:rsidR="009D170A" w:rsidRPr="00B93ADB" w:rsidRDefault="009D170A" w:rsidP="009D170A">
      <w:pPr>
        <w:numPr>
          <w:ilvl w:val="0"/>
          <w:numId w:val="1"/>
        </w:numPr>
        <w:tabs>
          <w:tab w:val="left" w:pos="567"/>
          <w:tab w:val="num" w:pos="5057"/>
          <w:tab w:val="num" w:pos="11028"/>
        </w:tabs>
        <w:spacing w:line="240" w:lineRule="auto"/>
        <w:ind w:left="0" w:right="-90" w:firstLine="0"/>
        <w:rPr>
          <w:sz w:val="20"/>
          <w:szCs w:val="20"/>
        </w:rPr>
      </w:pPr>
      <w:bookmarkStart w:id="136" w:name="_Ref455680884"/>
      <w:r w:rsidRPr="008031E5">
        <w:rPr>
          <w:rFonts w:eastAsia="MS Mincho"/>
          <w:sz w:val="20"/>
          <w:szCs w:val="20"/>
          <w:lang w:bidi="en-US"/>
        </w:rPr>
        <w:t>En consecuencia, la Corte decide fijar</w:t>
      </w:r>
      <w:r w:rsidR="00E33C3F" w:rsidRPr="008031E5">
        <w:rPr>
          <w:rFonts w:eastAsia="MS Mincho"/>
          <w:sz w:val="20"/>
          <w:szCs w:val="20"/>
          <w:lang w:bidi="en-US"/>
        </w:rPr>
        <w:t>,</w:t>
      </w:r>
      <w:r w:rsidRPr="008031E5">
        <w:rPr>
          <w:rFonts w:eastAsia="MS Mincho"/>
          <w:sz w:val="20"/>
          <w:szCs w:val="20"/>
          <w:lang w:bidi="en-US"/>
        </w:rPr>
        <w:t xml:space="preserve"> en equidad, </w:t>
      </w:r>
      <w:r w:rsidRPr="008031E5">
        <w:rPr>
          <w:rFonts w:eastAsia="MS Mincho" w:cs="Verdana"/>
          <w:sz w:val="20"/>
          <w:szCs w:val="20"/>
          <w:lang w:bidi="en-US"/>
        </w:rPr>
        <w:t xml:space="preserve">el pago de </w:t>
      </w:r>
      <w:r w:rsidR="00AB3C70">
        <w:rPr>
          <w:rFonts w:eastAsia="MS Mincho" w:cs="Verdana"/>
          <w:sz w:val="20"/>
          <w:szCs w:val="20"/>
          <w:lang w:bidi="en-US"/>
        </w:rPr>
        <w:t xml:space="preserve">un monto total </w:t>
      </w:r>
      <w:r w:rsidRPr="008031E5">
        <w:rPr>
          <w:rFonts w:eastAsia="MS Mincho" w:cs="Verdana"/>
          <w:sz w:val="20"/>
          <w:szCs w:val="20"/>
          <w:lang w:bidi="en-US"/>
        </w:rPr>
        <w:t>de</w:t>
      </w:r>
      <w:r w:rsidR="00453F10" w:rsidRPr="008031E5">
        <w:rPr>
          <w:rFonts w:eastAsia="MS Mincho" w:cs="Verdana"/>
          <w:sz w:val="20"/>
          <w:szCs w:val="20"/>
          <w:lang w:bidi="en-US"/>
        </w:rPr>
        <w:t xml:space="preserve"> </w:t>
      </w:r>
      <w:r w:rsidR="00453F10" w:rsidRPr="008031E5">
        <w:rPr>
          <w:sz w:val="20"/>
          <w:szCs w:val="20"/>
        </w:rPr>
        <w:t xml:space="preserve">US$ </w:t>
      </w:r>
      <w:r w:rsidR="00453F10" w:rsidRPr="008031E5">
        <w:rPr>
          <w:rFonts w:cs="Verdana"/>
          <w:sz w:val="20"/>
          <w:szCs w:val="20"/>
        </w:rPr>
        <w:t>40.000,00</w:t>
      </w:r>
      <w:r w:rsidR="000317F5" w:rsidRPr="008031E5">
        <w:rPr>
          <w:rFonts w:cs="Verdana"/>
          <w:sz w:val="20"/>
          <w:szCs w:val="20"/>
        </w:rPr>
        <w:t xml:space="preserve"> (cuarenta mil dólares de los Estados Unidos de América)</w:t>
      </w:r>
      <w:r w:rsidRPr="008031E5">
        <w:rPr>
          <w:rFonts w:eastAsia="MS Mincho" w:cs="Verdana"/>
          <w:sz w:val="20"/>
          <w:szCs w:val="20"/>
          <w:lang w:bidi="en-US"/>
        </w:rPr>
        <w:t xml:space="preserve"> por</w:t>
      </w:r>
      <w:r w:rsidRPr="008031E5">
        <w:rPr>
          <w:rFonts w:eastAsia="MS Mincho"/>
          <w:bCs/>
          <w:sz w:val="20"/>
          <w:szCs w:val="20"/>
          <w:lang w:eastAsia="en-US" w:bidi="en-US"/>
        </w:rPr>
        <w:t xml:space="preserve"> concepto de costas y gastos. </w:t>
      </w:r>
      <w:r w:rsidRPr="008031E5">
        <w:rPr>
          <w:rFonts w:eastAsia="MS Mincho" w:cs="Verdana"/>
          <w:sz w:val="20"/>
          <w:szCs w:val="20"/>
          <w:lang w:bidi="en-US"/>
        </w:rPr>
        <w:t>D</w:t>
      </w:r>
      <w:r w:rsidR="00453F10" w:rsidRPr="008031E5">
        <w:rPr>
          <w:rFonts w:eastAsia="MS Mincho" w:cs="Verdana"/>
          <w:sz w:val="20"/>
          <w:szCs w:val="20"/>
          <w:lang w:bidi="en-US"/>
        </w:rPr>
        <w:t xml:space="preserve">icha cantidad será entregada en partes iguales </w:t>
      </w:r>
      <w:r w:rsidR="00AB3C70" w:rsidRPr="00B93ADB">
        <w:rPr>
          <w:rFonts w:eastAsia="MS Mincho" w:cs="Verdana"/>
          <w:sz w:val="20"/>
          <w:szCs w:val="20"/>
          <w:lang w:bidi="en-US"/>
        </w:rPr>
        <w:t xml:space="preserve">directamente </w:t>
      </w:r>
      <w:r w:rsidRPr="008031E5">
        <w:rPr>
          <w:rFonts w:eastAsia="MS Mincho" w:cs="Verdana"/>
          <w:sz w:val="20"/>
          <w:szCs w:val="20"/>
          <w:lang w:bidi="en-US"/>
        </w:rPr>
        <w:t>a la señora Zaida Hernández de Arellano y al señor Edgar Humberto Ortiz Ruiz</w:t>
      </w:r>
      <w:r w:rsidRPr="00B93ADB">
        <w:rPr>
          <w:sz w:val="20"/>
          <w:szCs w:val="20"/>
        </w:rPr>
        <w:t>. En el procedimiento de supervisión de cumplimiento de la presente Sentencia, el Tribunal podrá disponer el reembolso por parte del Estado a las víctimas o sus representantes de los gastos razonables debidamente comprobados en dicha etapa procesal.</w:t>
      </w:r>
      <w:bookmarkEnd w:id="136"/>
    </w:p>
    <w:p w:rsidR="00AC04CD" w:rsidRPr="0001748B" w:rsidRDefault="00AC04CD" w:rsidP="0045779B">
      <w:pPr>
        <w:tabs>
          <w:tab w:val="left" w:pos="567"/>
        </w:tabs>
        <w:spacing w:line="240" w:lineRule="auto"/>
        <w:ind w:right="-90"/>
        <w:rPr>
          <w:sz w:val="20"/>
          <w:szCs w:val="20"/>
          <w:lang w:eastAsia="x-none"/>
        </w:rPr>
      </w:pPr>
    </w:p>
    <w:p w:rsidR="001B626E" w:rsidRPr="0001748B" w:rsidRDefault="001B626E" w:rsidP="008031E5">
      <w:pPr>
        <w:keepNext/>
        <w:keepLines/>
        <w:numPr>
          <w:ilvl w:val="0"/>
          <w:numId w:val="13"/>
        </w:numPr>
        <w:tabs>
          <w:tab w:val="left" w:pos="567"/>
          <w:tab w:val="left" w:pos="1134"/>
        </w:tabs>
        <w:spacing w:line="240" w:lineRule="auto"/>
        <w:ind w:left="567" w:firstLine="0"/>
        <w:outlineLvl w:val="1"/>
        <w:rPr>
          <w:rFonts w:eastAsia="MS Mincho"/>
          <w:b/>
          <w:bCs/>
          <w:i/>
          <w:sz w:val="20"/>
          <w:szCs w:val="20"/>
        </w:rPr>
      </w:pPr>
      <w:bookmarkStart w:id="137" w:name="_Toc476390747"/>
      <w:bookmarkStart w:id="138" w:name="_Toc495658705"/>
      <w:r w:rsidRPr="0001748B">
        <w:rPr>
          <w:rFonts w:eastAsia="MS Mincho"/>
          <w:b/>
          <w:bCs/>
          <w:i/>
          <w:sz w:val="20"/>
          <w:szCs w:val="20"/>
        </w:rPr>
        <w:t>Reintegro de los gastos al Fondo de Asistencia Legal de Víctimas</w:t>
      </w:r>
      <w:bookmarkEnd w:id="137"/>
      <w:bookmarkEnd w:id="138"/>
    </w:p>
    <w:p w:rsidR="001B626E" w:rsidRPr="0001748B" w:rsidRDefault="001B626E" w:rsidP="001B626E">
      <w:pPr>
        <w:tabs>
          <w:tab w:val="left" w:pos="720"/>
        </w:tabs>
        <w:spacing w:line="240" w:lineRule="auto"/>
        <w:ind w:left="142"/>
        <w:rPr>
          <w:sz w:val="20"/>
          <w:szCs w:val="20"/>
          <w:lang w:bidi="en-US"/>
        </w:rPr>
      </w:pPr>
    </w:p>
    <w:p w:rsidR="001B626E" w:rsidRPr="0001748B" w:rsidRDefault="001B626E" w:rsidP="001B626E">
      <w:pPr>
        <w:numPr>
          <w:ilvl w:val="0"/>
          <w:numId w:val="1"/>
        </w:numPr>
        <w:tabs>
          <w:tab w:val="left" w:pos="567"/>
          <w:tab w:val="num" w:pos="5057"/>
        </w:tabs>
        <w:spacing w:line="240" w:lineRule="auto"/>
        <w:ind w:left="0" w:firstLine="0"/>
        <w:rPr>
          <w:rFonts w:eastAsia="MS Mincho" w:cs="Verdana"/>
          <w:snapToGrid w:val="0"/>
          <w:sz w:val="20"/>
          <w:szCs w:val="20"/>
          <w:lang w:eastAsia="es-ES" w:bidi="en-US"/>
        </w:rPr>
      </w:pPr>
      <w:r w:rsidRPr="0001748B">
        <w:rPr>
          <w:rFonts w:eastAsia="MS Mincho" w:cs="Verdana"/>
          <w:snapToGrid w:val="0"/>
          <w:sz w:val="20"/>
          <w:szCs w:val="20"/>
          <w:lang w:eastAsia="es-ES" w:bidi="en-US"/>
        </w:rPr>
        <w:t xml:space="preserve">En el 2008 la Asamblea General de la Organización de Estados Americanos creó el Fondo de </w:t>
      </w:r>
      <w:r w:rsidRPr="0001748B">
        <w:rPr>
          <w:rFonts w:eastAsia="MS Mincho"/>
          <w:sz w:val="20"/>
          <w:szCs w:val="20"/>
          <w:lang w:bidi="en-US"/>
        </w:rPr>
        <w:t>Asistencia</w:t>
      </w:r>
      <w:r w:rsidRPr="0001748B">
        <w:rPr>
          <w:rFonts w:eastAsia="MS Mincho" w:cs="Verdana"/>
          <w:snapToGrid w:val="0"/>
          <w:sz w:val="20"/>
          <w:szCs w:val="20"/>
          <w:lang w:eastAsia="es-ES" w:bidi="en-US"/>
        </w:rPr>
        <w:t xml:space="preserve"> Legal del Sistema Interamericano de Derechos Humanos, el cual fue creado con el “objeto [de] facilitar acceso al sistema interamericano de derechos humanos a aquellas personas que actualmente no tienen los recursos necesarios para llevar su caso al sistema”</w:t>
      </w:r>
      <w:r w:rsidRPr="0001748B">
        <w:rPr>
          <w:rFonts w:eastAsia="MS Mincho" w:cs="Verdana"/>
          <w:snapToGrid w:val="0"/>
          <w:sz w:val="20"/>
          <w:szCs w:val="20"/>
          <w:vertAlign w:val="superscript"/>
          <w:lang w:eastAsia="es-ES" w:bidi="en-US"/>
        </w:rPr>
        <w:footnoteReference w:id="252"/>
      </w:r>
      <w:r w:rsidRPr="0001748B">
        <w:rPr>
          <w:rFonts w:eastAsia="MS Mincho" w:cs="Verdana"/>
          <w:snapToGrid w:val="0"/>
          <w:sz w:val="20"/>
          <w:szCs w:val="20"/>
          <w:lang w:eastAsia="es-ES" w:bidi="en-US"/>
        </w:rPr>
        <w:t xml:space="preserve">. En el presente caso se otorgó con cargo a dicho Fondo la asistencia económica necesaria para cubrir </w:t>
      </w:r>
      <w:r w:rsidR="00964F7F" w:rsidRPr="0001748B">
        <w:rPr>
          <w:rFonts w:eastAsia="MS Mincho" w:cs="Verdana"/>
          <w:sz w:val="20"/>
          <w:szCs w:val="20"/>
          <w:lang w:bidi="en-US"/>
        </w:rPr>
        <w:t xml:space="preserve">los gastos de: i) viaje y estadía necesarios para que las dos defensoras interamericanas asistan a la audiencia pública a ejercer sus labores de representación de las presuntas víctimas; ii) viaje y estadía necesarios para que el señor Edgar Humberto Ortiz Ruiz, la señora Zaida Hernández </w:t>
      </w:r>
      <w:r w:rsidR="007F25F3">
        <w:rPr>
          <w:rFonts w:eastAsia="MS Mincho" w:cs="Verdana"/>
          <w:sz w:val="20"/>
          <w:szCs w:val="20"/>
          <w:lang w:bidi="en-US"/>
        </w:rPr>
        <w:t xml:space="preserve">de </w:t>
      </w:r>
      <w:r w:rsidR="00964F7F" w:rsidRPr="0001748B">
        <w:rPr>
          <w:rFonts w:eastAsia="MS Mincho" w:cs="Verdana"/>
          <w:sz w:val="20"/>
          <w:szCs w:val="20"/>
          <w:lang w:bidi="en-US"/>
        </w:rPr>
        <w:t>Arellano y la señora Ana Cecilia Rincón Bracho comparezcan en dicha audiencia a rendir su declaración y dictamen pericial, respectivamente; iii) los costos que irrogue la declaración por affidávit de las demás personas propuestas por las representantes, según se especifica en la pa</w:t>
      </w:r>
      <w:r w:rsidR="00677BB7">
        <w:rPr>
          <w:rFonts w:eastAsia="MS Mincho" w:cs="Verdana"/>
          <w:sz w:val="20"/>
          <w:szCs w:val="20"/>
          <w:lang w:bidi="en-US"/>
        </w:rPr>
        <w:t>rte resolutiva de esta decisión, y</w:t>
      </w:r>
      <w:r w:rsidR="00964F7F" w:rsidRPr="0001748B">
        <w:rPr>
          <w:rFonts w:eastAsia="MS Mincho" w:cs="Verdana"/>
          <w:sz w:val="20"/>
          <w:szCs w:val="20"/>
          <w:lang w:bidi="en-US"/>
        </w:rPr>
        <w:t xml:space="preserve"> iv) los demás gastos razonables y necesarios en que hayan incurrido o puedan incurrir las defensoras interamericanas, para lo cual debían remitir al Tribunal tanto la justificación de tales gastos como sus comprobantes</w:t>
      </w:r>
      <w:r w:rsidRPr="0001748B">
        <w:rPr>
          <w:rFonts w:eastAsia="MS Mincho" w:cs="Verdana"/>
          <w:sz w:val="20"/>
          <w:szCs w:val="20"/>
          <w:lang w:bidi="en-US"/>
        </w:rPr>
        <w:t>.</w:t>
      </w:r>
    </w:p>
    <w:p w:rsidR="001B626E" w:rsidRDefault="001B626E" w:rsidP="001B626E">
      <w:pPr>
        <w:tabs>
          <w:tab w:val="left" w:pos="720"/>
        </w:tabs>
        <w:autoSpaceDE w:val="0"/>
        <w:autoSpaceDN w:val="0"/>
        <w:spacing w:line="240" w:lineRule="auto"/>
        <w:rPr>
          <w:rFonts w:cs="Verdana"/>
          <w:snapToGrid w:val="0"/>
          <w:sz w:val="20"/>
          <w:szCs w:val="20"/>
          <w:lang w:eastAsia="es-ES"/>
        </w:rPr>
      </w:pPr>
    </w:p>
    <w:p w:rsidR="00F667D2" w:rsidRDefault="00051761" w:rsidP="00125C44">
      <w:pPr>
        <w:numPr>
          <w:ilvl w:val="0"/>
          <w:numId w:val="1"/>
        </w:numPr>
        <w:tabs>
          <w:tab w:val="left" w:pos="567"/>
          <w:tab w:val="num" w:pos="5057"/>
        </w:tabs>
        <w:spacing w:line="240" w:lineRule="auto"/>
        <w:ind w:left="0" w:firstLine="0"/>
        <w:rPr>
          <w:rFonts w:cs="Verdana"/>
          <w:snapToGrid w:val="0"/>
          <w:sz w:val="20"/>
          <w:szCs w:val="20"/>
          <w:lang w:eastAsia="es-ES"/>
        </w:rPr>
      </w:pPr>
      <w:r w:rsidRPr="00051761">
        <w:rPr>
          <w:rFonts w:cs="Verdana"/>
          <w:snapToGrid w:val="0"/>
          <w:sz w:val="20"/>
          <w:szCs w:val="20"/>
          <w:lang w:eastAsia="es-ES"/>
        </w:rPr>
        <w:t xml:space="preserve">El Estado tuvo la oportunidad de presentar sus observaciones sobre las erogaciones realizadas en el presente caso, las cuales ascendieron a la suma de </w:t>
      </w:r>
      <w:r w:rsidRPr="0001748B">
        <w:rPr>
          <w:rFonts w:eastAsia="MS Mincho" w:cs="Verdana"/>
          <w:snapToGrid w:val="0"/>
          <w:sz w:val="20"/>
          <w:szCs w:val="20"/>
          <w:lang w:eastAsia="es-ES" w:bidi="en-US"/>
        </w:rPr>
        <w:t xml:space="preserve">US$ 11.604,03 (once mil seiscientos cuatro </w:t>
      </w:r>
      <w:r>
        <w:rPr>
          <w:rFonts w:eastAsia="MS Mincho" w:cs="Verdana"/>
          <w:snapToGrid w:val="0"/>
          <w:sz w:val="20"/>
          <w:szCs w:val="20"/>
          <w:lang w:eastAsia="es-ES" w:bidi="en-US"/>
        </w:rPr>
        <w:t xml:space="preserve">dólares de los Estados Unidos de América </w:t>
      </w:r>
      <w:r w:rsidRPr="0001748B">
        <w:rPr>
          <w:rFonts w:eastAsia="MS Mincho" w:cs="Verdana"/>
          <w:snapToGrid w:val="0"/>
          <w:sz w:val="20"/>
          <w:szCs w:val="20"/>
          <w:lang w:eastAsia="es-ES" w:bidi="en-US"/>
        </w:rPr>
        <w:t xml:space="preserve">con </w:t>
      </w:r>
      <w:r w:rsidR="00037B9A">
        <w:rPr>
          <w:rFonts w:eastAsia="MS Mincho" w:cs="Verdana"/>
          <w:snapToGrid w:val="0"/>
          <w:sz w:val="20"/>
          <w:szCs w:val="20"/>
          <w:lang w:eastAsia="es-ES" w:bidi="en-US"/>
        </w:rPr>
        <w:t>03/100</w:t>
      </w:r>
      <w:r w:rsidRPr="00051761">
        <w:rPr>
          <w:rFonts w:cs="Verdana"/>
          <w:snapToGrid w:val="0"/>
          <w:sz w:val="20"/>
          <w:szCs w:val="20"/>
          <w:lang w:eastAsia="es-ES"/>
        </w:rPr>
        <w:t>).</w:t>
      </w:r>
      <w:r>
        <w:rPr>
          <w:rFonts w:cs="Verdana"/>
          <w:snapToGrid w:val="0"/>
          <w:sz w:val="20"/>
          <w:szCs w:val="20"/>
          <w:lang w:eastAsia="es-ES"/>
        </w:rPr>
        <w:t xml:space="preserve"> </w:t>
      </w:r>
      <w:r w:rsidR="00F667D2">
        <w:rPr>
          <w:rFonts w:cs="Verdana"/>
          <w:snapToGrid w:val="0"/>
          <w:sz w:val="20"/>
          <w:szCs w:val="20"/>
          <w:lang w:eastAsia="es-ES"/>
        </w:rPr>
        <w:t xml:space="preserve">El </w:t>
      </w:r>
      <w:r w:rsidR="00F667D2" w:rsidRPr="00125C44">
        <w:rPr>
          <w:rFonts w:eastAsia="MS Mincho" w:cs="Verdana"/>
          <w:snapToGrid w:val="0"/>
          <w:sz w:val="20"/>
          <w:szCs w:val="20"/>
          <w:lang w:eastAsia="es-ES" w:bidi="en-US"/>
        </w:rPr>
        <w:t>Estado</w:t>
      </w:r>
      <w:r w:rsidR="00F667D2">
        <w:rPr>
          <w:rFonts w:cs="Verdana"/>
          <w:snapToGrid w:val="0"/>
          <w:sz w:val="20"/>
          <w:szCs w:val="20"/>
          <w:lang w:eastAsia="es-ES"/>
        </w:rPr>
        <w:t xml:space="preserve"> manifestó que los honorarios de los peritos Larée Quevedo y Bravo González no deberían ser incluidos entre los gastos del proceso toda vez que dichos peritos se habrían abstenido de contestar las preguntas formuladas por el Estado al momento de evacuar sus peritajes. Al respecto, sostuvo que ello afecta </w:t>
      </w:r>
      <w:r w:rsidR="00F667D2">
        <w:rPr>
          <w:rFonts w:cs="Verdana"/>
          <w:snapToGrid w:val="0"/>
          <w:sz w:val="20"/>
          <w:szCs w:val="20"/>
          <w:lang w:eastAsia="es-ES"/>
        </w:rPr>
        <w:lastRenderedPageBreak/>
        <w:t>la validez de los dictámenes periciales de referencia por lo que el Estado consideró que no deberían ser cubiertos por el Fondo de Asistencia.</w:t>
      </w:r>
    </w:p>
    <w:p w:rsidR="00F667D2" w:rsidRDefault="00F667D2" w:rsidP="001B626E">
      <w:pPr>
        <w:tabs>
          <w:tab w:val="left" w:pos="720"/>
        </w:tabs>
        <w:autoSpaceDE w:val="0"/>
        <w:autoSpaceDN w:val="0"/>
        <w:spacing w:line="240" w:lineRule="auto"/>
        <w:rPr>
          <w:rFonts w:cs="Verdana"/>
          <w:snapToGrid w:val="0"/>
          <w:sz w:val="20"/>
          <w:szCs w:val="20"/>
          <w:lang w:eastAsia="es-ES"/>
        </w:rPr>
      </w:pPr>
    </w:p>
    <w:p w:rsidR="00A02899" w:rsidRDefault="00A02899" w:rsidP="00125C44">
      <w:pPr>
        <w:numPr>
          <w:ilvl w:val="0"/>
          <w:numId w:val="1"/>
        </w:numPr>
        <w:tabs>
          <w:tab w:val="left" w:pos="567"/>
          <w:tab w:val="num" w:pos="5057"/>
        </w:tabs>
        <w:spacing w:line="240" w:lineRule="auto"/>
        <w:ind w:left="0" w:firstLine="0"/>
        <w:rPr>
          <w:rFonts w:cs="Verdana"/>
          <w:snapToGrid w:val="0"/>
          <w:sz w:val="20"/>
          <w:szCs w:val="20"/>
          <w:lang w:eastAsia="es-ES"/>
        </w:rPr>
      </w:pPr>
      <w:r>
        <w:rPr>
          <w:rFonts w:cs="Verdana"/>
          <w:snapToGrid w:val="0"/>
          <w:sz w:val="20"/>
          <w:szCs w:val="20"/>
          <w:lang w:eastAsia="es-ES"/>
        </w:rPr>
        <w:t xml:space="preserve">La Corte nota que </w:t>
      </w:r>
      <w:r w:rsidR="00BE1B31">
        <w:rPr>
          <w:rFonts w:cs="Verdana"/>
          <w:snapToGrid w:val="0"/>
          <w:sz w:val="20"/>
          <w:szCs w:val="20"/>
          <w:lang w:val="es-ES_tradnl" w:eastAsia="es-ES"/>
        </w:rPr>
        <w:t>e</w:t>
      </w:r>
      <w:r w:rsidR="00BE1B31" w:rsidRPr="00BE1B31">
        <w:rPr>
          <w:rFonts w:cs="Verdana"/>
          <w:snapToGrid w:val="0"/>
          <w:sz w:val="20"/>
          <w:szCs w:val="20"/>
          <w:lang w:val="es-ES_tradnl" w:eastAsia="es-ES"/>
        </w:rPr>
        <w:t>l hecho de que se encuentre contemplado en el Reglamento la posibilidad de que las partes puedan formular preguntas por escrito a los declarantes ofrecidos por la contraparte impone el deber correlativo de la parte que ofreció la declaración de coordinar y realizar las diligencias necesarias para que se trasladen las preguntas a los declarantes y se incluyan las repuestas respectivas.</w:t>
      </w:r>
      <w:r w:rsidR="00BE1B31">
        <w:rPr>
          <w:rFonts w:cs="Verdana"/>
          <w:snapToGrid w:val="0"/>
          <w:sz w:val="20"/>
          <w:szCs w:val="20"/>
          <w:lang w:val="es-ES_tradnl" w:eastAsia="es-ES"/>
        </w:rPr>
        <w:t xml:space="preserve"> L</w:t>
      </w:r>
      <w:r>
        <w:rPr>
          <w:rFonts w:cs="Verdana"/>
          <w:snapToGrid w:val="0"/>
          <w:sz w:val="20"/>
          <w:szCs w:val="20"/>
          <w:lang w:eastAsia="es-ES"/>
        </w:rPr>
        <w:t>as razo</w:t>
      </w:r>
      <w:r w:rsidR="00BE1B31">
        <w:rPr>
          <w:rFonts w:cs="Verdana"/>
          <w:snapToGrid w:val="0"/>
          <w:sz w:val="20"/>
          <w:szCs w:val="20"/>
          <w:lang w:eastAsia="es-ES"/>
        </w:rPr>
        <w:t xml:space="preserve">nes aducidas por el Estado para </w:t>
      </w:r>
      <w:r>
        <w:rPr>
          <w:rFonts w:cs="Verdana"/>
          <w:snapToGrid w:val="0"/>
          <w:sz w:val="20"/>
          <w:szCs w:val="20"/>
          <w:lang w:eastAsia="es-ES"/>
        </w:rPr>
        <w:t>no cubrir dichos montos se relacionan con consideraciones que hacen a</w:t>
      </w:r>
      <w:r w:rsidR="00BE1B31" w:rsidRPr="00BE1B31">
        <w:rPr>
          <w:rFonts w:cs="Verdana"/>
          <w:snapToGrid w:val="0"/>
          <w:sz w:val="20"/>
          <w:szCs w:val="20"/>
          <w:lang w:val="es-ES_tradnl" w:eastAsia="es-ES"/>
        </w:rPr>
        <w:t xml:space="preserve">l deber de cooperación procesal y </w:t>
      </w:r>
      <w:r w:rsidR="00BE1B31">
        <w:rPr>
          <w:rFonts w:cs="Verdana"/>
          <w:snapToGrid w:val="0"/>
          <w:sz w:val="20"/>
          <w:szCs w:val="20"/>
          <w:lang w:val="es-ES_tradnl" w:eastAsia="es-ES"/>
        </w:rPr>
        <w:t>a</w:t>
      </w:r>
      <w:r w:rsidR="00BE1B31" w:rsidRPr="00BE1B31">
        <w:rPr>
          <w:rFonts w:cs="Verdana"/>
          <w:snapToGrid w:val="0"/>
          <w:sz w:val="20"/>
          <w:szCs w:val="20"/>
          <w:lang w:val="es-ES_tradnl" w:eastAsia="es-ES"/>
        </w:rPr>
        <w:t>l principio de buena fe que rige en el procedimiento internacional</w:t>
      </w:r>
      <w:r w:rsidR="00BE1B31" w:rsidRPr="00BE1B31">
        <w:rPr>
          <w:rFonts w:cs="Verdana"/>
          <w:snapToGrid w:val="0"/>
          <w:sz w:val="20"/>
          <w:szCs w:val="20"/>
          <w:vertAlign w:val="superscript"/>
          <w:lang w:val="es-ES_tradnl" w:eastAsia="es-ES"/>
        </w:rPr>
        <w:footnoteReference w:id="253"/>
      </w:r>
      <w:r w:rsidR="00BE1B31">
        <w:rPr>
          <w:rFonts w:cs="Verdana"/>
          <w:snapToGrid w:val="0"/>
          <w:sz w:val="20"/>
          <w:szCs w:val="20"/>
          <w:lang w:val="es-ES_tradnl" w:eastAsia="es-ES"/>
        </w:rPr>
        <w:t>,</w:t>
      </w:r>
      <w:r>
        <w:rPr>
          <w:rFonts w:cs="Verdana"/>
          <w:snapToGrid w:val="0"/>
          <w:sz w:val="20"/>
          <w:szCs w:val="20"/>
          <w:lang w:eastAsia="es-ES"/>
        </w:rPr>
        <w:t xml:space="preserve"> pero no se relacionan con la procedencia del fondo, lo c</w:t>
      </w:r>
      <w:r w:rsidR="00BE1B31">
        <w:rPr>
          <w:rFonts w:cs="Verdana"/>
          <w:snapToGrid w:val="0"/>
          <w:sz w:val="20"/>
          <w:szCs w:val="20"/>
          <w:lang w:eastAsia="es-ES"/>
        </w:rPr>
        <w:t>ual es determinado por la Presi</w:t>
      </w:r>
      <w:r>
        <w:rPr>
          <w:rFonts w:cs="Verdana"/>
          <w:snapToGrid w:val="0"/>
          <w:sz w:val="20"/>
          <w:szCs w:val="20"/>
          <w:lang w:eastAsia="es-ES"/>
        </w:rPr>
        <w:t>dencia de la Corte.</w:t>
      </w:r>
    </w:p>
    <w:p w:rsidR="00A02899" w:rsidRDefault="00A02899" w:rsidP="001B626E">
      <w:pPr>
        <w:tabs>
          <w:tab w:val="left" w:pos="720"/>
        </w:tabs>
        <w:autoSpaceDE w:val="0"/>
        <w:autoSpaceDN w:val="0"/>
        <w:spacing w:line="240" w:lineRule="auto"/>
        <w:rPr>
          <w:rFonts w:cs="Verdana"/>
          <w:snapToGrid w:val="0"/>
          <w:sz w:val="20"/>
          <w:szCs w:val="20"/>
          <w:lang w:eastAsia="es-ES"/>
        </w:rPr>
      </w:pPr>
    </w:p>
    <w:p w:rsidR="001B626E" w:rsidRPr="0001748B" w:rsidRDefault="00A02899" w:rsidP="001B626E">
      <w:pPr>
        <w:numPr>
          <w:ilvl w:val="0"/>
          <w:numId w:val="1"/>
        </w:numPr>
        <w:tabs>
          <w:tab w:val="left" w:pos="567"/>
          <w:tab w:val="num" w:pos="5057"/>
        </w:tabs>
        <w:spacing w:line="240" w:lineRule="auto"/>
        <w:ind w:left="0" w:firstLine="0"/>
        <w:rPr>
          <w:rFonts w:eastAsia="MS Mincho" w:cs="Verdana"/>
          <w:snapToGrid w:val="0"/>
          <w:sz w:val="20"/>
          <w:szCs w:val="20"/>
          <w:lang w:eastAsia="es-ES" w:bidi="en-US"/>
        </w:rPr>
      </w:pPr>
      <w:r>
        <w:rPr>
          <w:rFonts w:eastAsia="MS Mincho" w:cs="Verdana"/>
          <w:snapToGrid w:val="0"/>
          <w:sz w:val="20"/>
          <w:szCs w:val="20"/>
          <w:lang w:eastAsia="es-ES" w:bidi="en-US"/>
        </w:rPr>
        <w:t>Por lo tanto, e</w:t>
      </w:r>
      <w:r w:rsidR="001B626E" w:rsidRPr="0001748B">
        <w:rPr>
          <w:rFonts w:eastAsia="MS Mincho" w:cs="Verdana"/>
          <w:snapToGrid w:val="0"/>
          <w:sz w:val="20"/>
          <w:szCs w:val="20"/>
          <w:lang w:eastAsia="es-ES" w:bidi="en-US"/>
        </w:rPr>
        <w:t xml:space="preserve">n </w:t>
      </w:r>
      <w:r w:rsidR="001B626E" w:rsidRPr="00B62E80">
        <w:rPr>
          <w:rFonts w:eastAsia="MS Mincho" w:cs="Verdana"/>
          <w:snapToGrid w:val="0"/>
          <w:sz w:val="20"/>
          <w:szCs w:val="20"/>
          <w:lang w:eastAsia="es-ES" w:bidi="en-US"/>
        </w:rPr>
        <w:t xml:space="preserve">razón de las violaciones reconocidas por el Estado en la presente Sentencia y que se cumplió con los requisitos para acogerse al Fondo, la Corte ordena al Estado el reintegro a dicho Fondo de la </w:t>
      </w:r>
      <w:r w:rsidR="00AC0FA2">
        <w:rPr>
          <w:rFonts w:eastAsia="MS Mincho" w:cs="Verdana"/>
          <w:snapToGrid w:val="0"/>
          <w:sz w:val="20"/>
          <w:szCs w:val="20"/>
          <w:lang w:eastAsia="es-ES" w:bidi="en-US"/>
        </w:rPr>
        <w:t>suma</w:t>
      </w:r>
      <w:r w:rsidR="00AC0FA2" w:rsidRPr="00B62E80">
        <w:rPr>
          <w:rFonts w:eastAsia="MS Mincho" w:cs="Verdana"/>
          <w:snapToGrid w:val="0"/>
          <w:sz w:val="20"/>
          <w:szCs w:val="20"/>
          <w:lang w:eastAsia="es-ES" w:bidi="en-US"/>
        </w:rPr>
        <w:t xml:space="preserve"> </w:t>
      </w:r>
      <w:r w:rsidR="001B626E" w:rsidRPr="00B62E80">
        <w:rPr>
          <w:rFonts w:eastAsia="MS Mincho" w:cs="Verdana"/>
          <w:snapToGrid w:val="0"/>
          <w:sz w:val="20"/>
          <w:szCs w:val="20"/>
          <w:lang w:eastAsia="es-ES" w:bidi="en-US"/>
        </w:rPr>
        <w:t xml:space="preserve">de US$ </w:t>
      </w:r>
      <w:r w:rsidR="00E409C3" w:rsidRPr="00B62E80">
        <w:rPr>
          <w:rFonts w:eastAsia="MS Mincho" w:cs="Verdana"/>
          <w:snapToGrid w:val="0"/>
          <w:sz w:val="20"/>
          <w:szCs w:val="20"/>
          <w:lang w:eastAsia="es-ES" w:bidi="en-US"/>
        </w:rPr>
        <w:t>11.604,03</w:t>
      </w:r>
      <w:r w:rsidR="001B626E" w:rsidRPr="00B62E80">
        <w:rPr>
          <w:rFonts w:eastAsia="MS Mincho" w:cs="Verdana"/>
          <w:snapToGrid w:val="0"/>
          <w:sz w:val="20"/>
          <w:szCs w:val="20"/>
          <w:lang w:eastAsia="es-ES" w:bidi="en-US"/>
        </w:rPr>
        <w:t xml:space="preserve"> (</w:t>
      </w:r>
      <w:r w:rsidR="00E409C3" w:rsidRPr="00B62E80">
        <w:rPr>
          <w:rFonts w:eastAsia="MS Mincho" w:cs="Verdana"/>
          <w:snapToGrid w:val="0"/>
          <w:sz w:val="20"/>
          <w:szCs w:val="20"/>
          <w:lang w:eastAsia="es-ES" w:bidi="en-US"/>
        </w:rPr>
        <w:t xml:space="preserve">once mil seiscientos cuatro </w:t>
      </w:r>
      <w:r w:rsidR="00051761" w:rsidRPr="00B62E80">
        <w:rPr>
          <w:rFonts w:eastAsia="MS Mincho" w:cs="Verdana"/>
          <w:snapToGrid w:val="0"/>
          <w:sz w:val="20"/>
          <w:szCs w:val="20"/>
          <w:lang w:eastAsia="es-ES" w:bidi="en-US"/>
        </w:rPr>
        <w:t xml:space="preserve">dólares de los Estados Unidos de América </w:t>
      </w:r>
      <w:r w:rsidR="00E409C3" w:rsidRPr="00B62E80">
        <w:rPr>
          <w:rFonts w:eastAsia="MS Mincho" w:cs="Verdana"/>
          <w:snapToGrid w:val="0"/>
          <w:sz w:val="20"/>
          <w:szCs w:val="20"/>
          <w:lang w:eastAsia="es-ES" w:bidi="en-US"/>
        </w:rPr>
        <w:t xml:space="preserve">con </w:t>
      </w:r>
      <w:r w:rsidR="00037B9A">
        <w:rPr>
          <w:rFonts w:eastAsia="MS Mincho" w:cs="Verdana"/>
          <w:snapToGrid w:val="0"/>
          <w:sz w:val="20"/>
          <w:szCs w:val="20"/>
          <w:lang w:eastAsia="es-ES" w:bidi="en-US"/>
        </w:rPr>
        <w:t>03/100</w:t>
      </w:r>
      <w:r w:rsidR="001B626E" w:rsidRPr="00B62E80">
        <w:rPr>
          <w:rFonts w:eastAsia="MS Mincho" w:cs="Verdana"/>
          <w:snapToGrid w:val="0"/>
          <w:sz w:val="20"/>
          <w:szCs w:val="20"/>
          <w:lang w:eastAsia="es-ES" w:bidi="en-US"/>
        </w:rPr>
        <w:t>). Dich</w:t>
      </w:r>
      <w:r w:rsidR="00AC0FA2">
        <w:rPr>
          <w:rFonts w:eastAsia="MS Mincho" w:cs="Verdana"/>
          <w:snapToGrid w:val="0"/>
          <w:sz w:val="20"/>
          <w:szCs w:val="20"/>
          <w:lang w:eastAsia="es-ES" w:bidi="en-US"/>
        </w:rPr>
        <w:t>o monto</w:t>
      </w:r>
      <w:r w:rsidR="001B626E" w:rsidRPr="0001748B">
        <w:rPr>
          <w:rFonts w:eastAsia="MS Mincho" w:cs="Verdana"/>
          <w:snapToGrid w:val="0"/>
          <w:sz w:val="20"/>
          <w:szCs w:val="20"/>
          <w:lang w:eastAsia="es-ES" w:bidi="en-US"/>
        </w:rPr>
        <w:t xml:space="preserve"> deberá ser reintegrad</w:t>
      </w:r>
      <w:r w:rsidR="00AC0FA2">
        <w:rPr>
          <w:rFonts w:eastAsia="MS Mincho" w:cs="Verdana"/>
          <w:snapToGrid w:val="0"/>
          <w:sz w:val="20"/>
          <w:szCs w:val="20"/>
          <w:lang w:eastAsia="es-ES" w:bidi="en-US"/>
        </w:rPr>
        <w:t>o</w:t>
      </w:r>
      <w:r w:rsidR="001B626E" w:rsidRPr="0001748B">
        <w:rPr>
          <w:rFonts w:eastAsia="MS Mincho" w:cs="Verdana"/>
          <w:snapToGrid w:val="0"/>
          <w:sz w:val="20"/>
          <w:szCs w:val="20"/>
          <w:lang w:eastAsia="es-ES" w:bidi="en-US"/>
        </w:rPr>
        <w:t xml:space="preserve"> en el plazo de </w:t>
      </w:r>
      <w:r w:rsidR="00540717" w:rsidRPr="008031E5">
        <w:rPr>
          <w:rFonts w:eastAsia="MS Mincho" w:cs="Verdana"/>
          <w:snapToGrid w:val="0"/>
          <w:sz w:val="20"/>
          <w:szCs w:val="20"/>
          <w:lang w:eastAsia="es-ES" w:bidi="en-US"/>
        </w:rPr>
        <w:t>seis meses</w:t>
      </w:r>
      <w:r w:rsidR="001B626E" w:rsidRPr="0001748B">
        <w:rPr>
          <w:rFonts w:eastAsia="MS Mincho" w:cs="Verdana"/>
          <w:snapToGrid w:val="0"/>
          <w:sz w:val="20"/>
          <w:szCs w:val="20"/>
          <w:lang w:eastAsia="es-ES" w:bidi="en-US"/>
        </w:rPr>
        <w:t>, contados a partir de la notificación del presente Fallo.</w:t>
      </w:r>
    </w:p>
    <w:p w:rsidR="001B626E" w:rsidRPr="0001748B" w:rsidRDefault="001B626E" w:rsidP="001B626E">
      <w:pPr>
        <w:spacing w:line="240" w:lineRule="auto"/>
        <w:ind w:left="142"/>
        <w:rPr>
          <w:sz w:val="20"/>
          <w:szCs w:val="20"/>
        </w:rPr>
      </w:pPr>
    </w:p>
    <w:p w:rsidR="001B626E" w:rsidRPr="008031E5" w:rsidRDefault="001B626E" w:rsidP="008031E5">
      <w:pPr>
        <w:keepNext/>
        <w:keepLines/>
        <w:numPr>
          <w:ilvl w:val="0"/>
          <w:numId w:val="13"/>
        </w:numPr>
        <w:tabs>
          <w:tab w:val="left" w:pos="567"/>
          <w:tab w:val="left" w:pos="1134"/>
        </w:tabs>
        <w:spacing w:line="240" w:lineRule="auto"/>
        <w:ind w:left="567" w:firstLine="0"/>
        <w:outlineLvl w:val="1"/>
        <w:rPr>
          <w:rFonts w:eastAsia="MS Mincho"/>
          <w:b/>
          <w:bCs/>
          <w:i/>
          <w:sz w:val="20"/>
          <w:szCs w:val="20"/>
        </w:rPr>
      </w:pPr>
      <w:bookmarkStart w:id="139" w:name="_Toc476390748"/>
      <w:bookmarkStart w:id="140" w:name="_Toc495658706"/>
      <w:r w:rsidRPr="008031E5">
        <w:rPr>
          <w:rFonts w:eastAsia="MS Mincho"/>
          <w:b/>
          <w:bCs/>
          <w:i/>
          <w:sz w:val="20"/>
          <w:szCs w:val="20"/>
        </w:rPr>
        <w:t>Modalidad de cumplimiento de los pagos ordenados</w:t>
      </w:r>
      <w:bookmarkEnd w:id="139"/>
      <w:bookmarkEnd w:id="140"/>
    </w:p>
    <w:p w:rsidR="001B626E" w:rsidRPr="0001748B" w:rsidRDefault="001B626E" w:rsidP="001B626E">
      <w:pPr>
        <w:tabs>
          <w:tab w:val="left" w:pos="720"/>
          <w:tab w:val="left" w:pos="84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40" w:lineRule="auto"/>
        <w:ind w:right="-90"/>
        <w:rPr>
          <w:bCs/>
          <w:sz w:val="20"/>
          <w:szCs w:val="20"/>
        </w:rPr>
      </w:pPr>
    </w:p>
    <w:p w:rsidR="001B626E" w:rsidRPr="0001748B" w:rsidRDefault="001B626E" w:rsidP="001B626E">
      <w:pPr>
        <w:numPr>
          <w:ilvl w:val="0"/>
          <w:numId w:val="1"/>
        </w:numPr>
        <w:tabs>
          <w:tab w:val="left" w:pos="567"/>
          <w:tab w:val="num" w:pos="5057"/>
        </w:tabs>
        <w:spacing w:line="240" w:lineRule="auto"/>
        <w:ind w:left="0" w:firstLine="0"/>
        <w:rPr>
          <w:rFonts w:eastAsia="MS Mincho"/>
          <w:sz w:val="20"/>
          <w:szCs w:val="20"/>
          <w:lang w:bidi="en-US"/>
        </w:rPr>
      </w:pPr>
      <w:r w:rsidRPr="0001748B">
        <w:rPr>
          <w:rFonts w:eastAsia="MS Mincho"/>
          <w:sz w:val="20"/>
          <w:szCs w:val="20"/>
          <w:lang w:bidi="en-US"/>
        </w:rPr>
        <w:t xml:space="preserve">El </w:t>
      </w:r>
      <w:r w:rsidRPr="0001748B">
        <w:rPr>
          <w:rFonts w:eastAsia="MS Mincho" w:cs="Verdana"/>
          <w:snapToGrid w:val="0"/>
          <w:sz w:val="20"/>
          <w:szCs w:val="20"/>
          <w:lang w:eastAsia="es-ES" w:bidi="en-US"/>
        </w:rPr>
        <w:t>Estado</w:t>
      </w:r>
      <w:r w:rsidRPr="0001748B">
        <w:rPr>
          <w:rFonts w:eastAsia="MS Mincho"/>
          <w:sz w:val="20"/>
          <w:szCs w:val="20"/>
          <w:lang w:bidi="en-US"/>
        </w:rPr>
        <w:t xml:space="preserve"> deberá efectuar el pago de las indemnizaciones por concepto de daño material e </w:t>
      </w:r>
      <w:r w:rsidRPr="0001748B">
        <w:rPr>
          <w:rFonts w:eastAsia="MS Mincho" w:cs="Verdana"/>
          <w:snapToGrid w:val="0"/>
          <w:sz w:val="20"/>
          <w:szCs w:val="20"/>
          <w:lang w:eastAsia="es-ES" w:bidi="en-US"/>
        </w:rPr>
        <w:t>inmaterial</w:t>
      </w:r>
      <w:r w:rsidRPr="0001748B">
        <w:rPr>
          <w:rFonts w:eastAsia="MS Mincho"/>
          <w:sz w:val="20"/>
          <w:szCs w:val="20"/>
          <w:lang w:bidi="en-US"/>
        </w:rPr>
        <w:t xml:space="preserve"> y el reintegro de costas y gastos establecidos en la presente Sentencia directamente a las personas indicadas en la misma, dentro del plazo de un año, contado a partir de la notificación del presente Fallo, en los términos de los siguientes párrafos.</w:t>
      </w:r>
    </w:p>
    <w:p w:rsidR="001B626E" w:rsidRPr="0001748B" w:rsidRDefault="001B626E" w:rsidP="001B626E">
      <w:pPr>
        <w:tabs>
          <w:tab w:val="left" w:pos="720"/>
        </w:tabs>
        <w:spacing w:line="240" w:lineRule="auto"/>
        <w:ind w:right="-90"/>
        <w:contextualSpacing/>
        <w:rPr>
          <w:rFonts w:eastAsia="MS Mincho"/>
          <w:sz w:val="20"/>
          <w:szCs w:val="20"/>
        </w:rPr>
      </w:pPr>
    </w:p>
    <w:p w:rsidR="001B626E" w:rsidRPr="0001748B" w:rsidRDefault="001B626E" w:rsidP="001B626E">
      <w:pPr>
        <w:numPr>
          <w:ilvl w:val="0"/>
          <w:numId w:val="1"/>
        </w:numPr>
        <w:tabs>
          <w:tab w:val="left" w:pos="567"/>
          <w:tab w:val="num" w:pos="5057"/>
        </w:tabs>
        <w:spacing w:line="240" w:lineRule="auto"/>
        <w:ind w:left="0" w:firstLine="0"/>
        <w:rPr>
          <w:rFonts w:eastAsia="MS Mincho"/>
          <w:sz w:val="20"/>
          <w:szCs w:val="20"/>
          <w:lang w:bidi="en-US"/>
        </w:rPr>
      </w:pPr>
      <w:r w:rsidRPr="0001748B">
        <w:rPr>
          <w:rFonts w:eastAsia="MS Mincho"/>
          <w:sz w:val="20"/>
          <w:szCs w:val="20"/>
          <w:lang w:bidi="en-US"/>
        </w:rPr>
        <w:t xml:space="preserve">En </w:t>
      </w:r>
      <w:r w:rsidRPr="0001748B">
        <w:rPr>
          <w:rFonts w:eastAsia="MS Mincho" w:cs="Verdana"/>
          <w:snapToGrid w:val="0"/>
          <w:sz w:val="20"/>
          <w:szCs w:val="20"/>
          <w:lang w:eastAsia="es-ES" w:bidi="en-US"/>
        </w:rPr>
        <w:t>caso</w:t>
      </w:r>
      <w:r w:rsidRPr="0001748B">
        <w:rPr>
          <w:rFonts w:eastAsia="MS Mincho"/>
          <w:sz w:val="20"/>
          <w:szCs w:val="20"/>
          <w:lang w:bidi="en-US"/>
        </w:rPr>
        <w:t xml:space="preserve"> de que los beneficiarios hayan fallecido o fallezcan antes de que les sea entregada la indemnización respectiva, ésta se efectuará directamente a sus derechohabientes, conforme al derecho interno aplicable.</w:t>
      </w:r>
    </w:p>
    <w:p w:rsidR="001B626E" w:rsidRPr="0001748B" w:rsidRDefault="001B626E" w:rsidP="001B626E">
      <w:pPr>
        <w:tabs>
          <w:tab w:val="left" w:pos="0"/>
          <w:tab w:val="num" w:pos="11028"/>
        </w:tabs>
        <w:spacing w:line="240" w:lineRule="auto"/>
        <w:ind w:right="-90"/>
        <w:rPr>
          <w:rFonts w:eastAsia="MS Mincho"/>
          <w:sz w:val="20"/>
          <w:szCs w:val="20"/>
          <w:lang w:bidi="en-US"/>
        </w:rPr>
      </w:pPr>
    </w:p>
    <w:p w:rsidR="00FD5BE4" w:rsidRPr="00067EAA" w:rsidRDefault="006F6AE7" w:rsidP="00E55AB7">
      <w:pPr>
        <w:numPr>
          <w:ilvl w:val="0"/>
          <w:numId w:val="1"/>
        </w:numPr>
        <w:tabs>
          <w:tab w:val="left" w:pos="567"/>
          <w:tab w:val="num" w:pos="5057"/>
        </w:tabs>
        <w:spacing w:line="240" w:lineRule="auto"/>
        <w:ind w:left="0" w:firstLine="0"/>
        <w:rPr>
          <w:rFonts w:eastAsia="MS Mincho"/>
          <w:sz w:val="20"/>
          <w:szCs w:val="20"/>
          <w:lang w:bidi="en-US"/>
        </w:rPr>
      </w:pPr>
      <w:r w:rsidRPr="00B93ADB">
        <w:rPr>
          <w:rFonts w:eastAsia="MS Mincho"/>
          <w:sz w:val="20"/>
          <w:szCs w:val="20"/>
          <w:lang w:bidi="en-US"/>
        </w:rPr>
        <w:t>En lo que respecta a la moneda de pago de las indemnizaciones y reintegro de costas y gastos, el Estado debe cumplir sus obligaciones monetarias mediante el pago en dólares de los Estados Unidos de América o, de no ser esto posible, en su equivalente en moneda venezolana, utilizando para el cálculo respectivo la tasa más alta y más beneficiosa para las víctimas que permita su ordenamiento interno</w:t>
      </w:r>
      <w:r>
        <w:rPr>
          <w:rFonts w:eastAsia="MS Mincho"/>
          <w:sz w:val="20"/>
          <w:szCs w:val="20"/>
          <w:lang w:bidi="en-US"/>
        </w:rPr>
        <w:t>, vigente al momento del pago.</w:t>
      </w:r>
      <w:r w:rsidR="00446F05" w:rsidRPr="008031E5">
        <w:rPr>
          <w:rFonts w:eastAsia="MS Mincho"/>
          <w:sz w:val="20"/>
          <w:szCs w:val="20"/>
          <w:lang w:bidi="en-US"/>
        </w:rPr>
        <w:t xml:space="preserve"> </w:t>
      </w:r>
      <w:r w:rsidRPr="008031E5">
        <w:rPr>
          <w:rFonts w:eastAsia="MS Mincho"/>
          <w:sz w:val="20"/>
          <w:szCs w:val="20"/>
          <w:lang w:bidi="en-US"/>
        </w:rPr>
        <w:t>D</w:t>
      </w:r>
      <w:r w:rsidR="00446F05" w:rsidRPr="008031E5">
        <w:rPr>
          <w:rFonts w:eastAsia="MS Mincho"/>
          <w:sz w:val="20"/>
          <w:szCs w:val="20"/>
          <w:lang w:bidi="en-US"/>
        </w:rPr>
        <w:t xml:space="preserve">urante la etapa de supervisión de cumplimiento de la sentencia, la Corte podrá reajustar </w:t>
      </w:r>
      <w:r w:rsidRPr="008031E5">
        <w:rPr>
          <w:rFonts w:eastAsia="MS Mincho"/>
          <w:sz w:val="20"/>
          <w:szCs w:val="20"/>
          <w:lang w:bidi="en-US"/>
        </w:rPr>
        <w:t>prudentemente el equivalente de estas cifras en moneda venezolana, con el objeto de evitar que las variaciones cambiarias afecten sustancialmente el valor adquisitivo de esos montos</w:t>
      </w:r>
      <w:r w:rsidR="00446F05" w:rsidRPr="008031E5">
        <w:rPr>
          <w:rFonts w:eastAsia="MS Mincho"/>
          <w:sz w:val="20"/>
          <w:szCs w:val="20"/>
          <w:lang w:bidi="en-US"/>
        </w:rPr>
        <w:t>.</w:t>
      </w:r>
    </w:p>
    <w:p w:rsidR="00B93ADB" w:rsidRDefault="00B93ADB" w:rsidP="00B333B4">
      <w:pPr>
        <w:tabs>
          <w:tab w:val="left" w:pos="567"/>
        </w:tabs>
        <w:spacing w:line="240" w:lineRule="auto"/>
        <w:rPr>
          <w:rFonts w:eastAsia="MS Mincho"/>
          <w:sz w:val="20"/>
          <w:szCs w:val="20"/>
          <w:highlight w:val="lightGray"/>
          <w:lang w:bidi="en-US"/>
        </w:rPr>
      </w:pPr>
    </w:p>
    <w:p w:rsidR="001B626E" w:rsidRPr="0001748B" w:rsidRDefault="001B626E" w:rsidP="001B626E">
      <w:pPr>
        <w:numPr>
          <w:ilvl w:val="0"/>
          <w:numId w:val="1"/>
        </w:numPr>
        <w:tabs>
          <w:tab w:val="left" w:pos="567"/>
          <w:tab w:val="num" w:pos="5057"/>
        </w:tabs>
        <w:spacing w:line="240" w:lineRule="auto"/>
        <w:ind w:left="0" w:firstLine="0"/>
        <w:rPr>
          <w:rFonts w:eastAsia="MS Mincho"/>
          <w:sz w:val="20"/>
          <w:szCs w:val="20"/>
          <w:lang w:bidi="en-US"/>
        </w:rPr>
      </w:pPr>
      <w:r w:rsidRPr="0001748B">
        <w:rPr>
          <w:rFonts w:eastAsia="MS Mincho"/>
          <w:sz w:val="20"/>
          <w:szCs w:val="20"/>
          <w:lang w:bidi="en-US"/>
        </w:rPr>
        <w:t>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venezolana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rsidR="001B626E" w:rsidRPr="0001748B" w:rsidRDefault="001B626E" w:rsidP="001B626E">
      <w:pPr>
        <w:spacing w:line="240" w:lineRule="auto"/>
        <w:ind w:left="720"/>
        <w:rPr>
          <w:sz w:val="20"/>
          <w:szCs w:val="20"/>
          <w:lang w:eastAsia="x-none"/>
        </w:rPr>
      </w:pPr>
    </w:p>
    <w:p w:rsidR="001B626E" w:rsidRPr="0001748B" w:rsidRDefault="001B626E" w:rsidP="001B626E">
      <w:pPr>
        <w:numPr>
          <w:ilvl w:val="0"/>
          <w:numId w:val="1"/>
        </w:numPr>
        <w:tabs>
          <w:tab w:val="left" w:pos="567"/>
          <w:tab w:val="num" w:pos="5057"/>
        </w:tabs>
        <w:spacing w:line="240" w:lineRule="auto"/>
        <w:ind w:left="0" w:firstLine="0"/>
        <w:rPr>
          <w:rFonts w:eastAsia="MS Mincho"/>
          <w:sz w:val="20"/>
          <w:szCs w:val="20"/>
          <w:lang w:bidi="en-US"/>
        </w:rPr>
      </w:pPr>
      <w:r w:rsidRPr="0001748B">
        <w:rPr>
          <w:rFonts w:eastAsia="MS Mincho"/>
          <w:sz w:val="20"/>
          <w:szCs w:val="20"/>
          <w:lang w:bidi="en-US"/>
        </w:rPr>
        <w:t xml:space="preserve">Las cantidades asignadas en la presente Sentencia como indemnización y como reintegro de costas y gastos deberán ser entregadas a las personas y organizaciones indicadas en forma íntegra, conforme a lo establecido en esta Sentencia, sin reducciones derivadas de eventuales </w:t>
      </w:r>
      <w:r w:rsidRPr="0001748B">
        <w:rPr>
          <w:rFonts w:eastAsia="MS Mincho"/>
          <w:sz w:val="20"/>
          <w:szCs w:val="20"/>
          <w:lang w:bidi="en-US"/>
        </w:rPr>
        <w:lastRenderedPageBreak/>
        <w:t>cargas fiscales.</w:t>
      </w:r>
    </w:p>
    <w:p w:rsidR="001B626E" w:rsidRPr="0001748B" w:rsidRDefault="001B626E" w:rsidP="001B626E">
      <w:pPr>
        <w:spacing w:line="240" w:lineRule="auto"/>
        <w:ind w:left="720"/>
        <w:rPr>
          <w:sz w:val="20"/>
          <w:szCs w:val="20"/>
          <w:lang w:eastAsia="x-none"/>
        </w:rPr>
      </w:pPr>
    </w:p>
    <w:p w:rsidR="005F61FF" w:rsidRPr="0001748B" w:rsidRDefault="001B626E" w:rsidP="005F61FF">
      <w:pPr>
        <w:numPr>
          <w:ilvl w:val="0"/>
          <w:numId w:val="1"/>
        </w:numPr>
        <w:tabs>
          <w:tab w:val="left" w:pos="567"/>
          <w:tab w:val="num" w:pos="5057"/>
        </w:tabs>
        <w:spacing w:line="240" w:lineRule="auto"/>
        <w:ind w:left="0" w:firstLine="0"/>
        <w:rPr>
          <w:rFonts w:eastAsia="MS Mincho"/>
          <w:sz w:val="20"/>
          <w:szCs w:val="20"/>
          <w:lang w:bidi="en-US"/>
        </w:rPr>
      </w:pPr>
      <w:r w:rsidRPr="0001748B">
        <w:rPr>
          <w:rFonts w:eastAsia="MS Mincho"/>
          <w:spacing w:val="-2"/>
          <w:sz w:val="20"/>
          <w:szCs w:val="20"/>
          <w:lang w:bidi="en-US"/>
        </w:rPr>
        <w:t>En caso de que el Estado incurriera en mora</w:t>
      </w:r>
      <w:r w:rsidRPr="0001748B">
        <w:rPr>
          <w:rFonts w:eastAsia="MS Mincho" w:cs="Verdana"/>
          <w:spacing w:val="-2"/>
          <w:sz w:val="20"/>
          <w:szCs w:val="20"/>
          <w:lang w:bidi="en-US"/>
        </w:rPr>
        <w:t xml:space="preserve">, incluyendo en el reintegro de los gastos al Fondo de </w:t>
      </w:r>
      <w:r w:rsidRPr="0001748B">
        <w:rPr>
          <w:rFonts w:eastAsia="MS Mincho"/>
          <w:sz w:val="20"/>
          <w:szCs w:val="20"/>
          <w:lang w:bidi="en-US"/>
        </w:rPr>
        <w:t>Asistencia</w:t>
      </w:r>
      <w:r w:rsidRPr="0001748B">
        <w:rPr>
          <w:rFonts w:eastAsia="MS Mincho" w:cs="Verdana"/>
          <w:spacing w:val="-2"/>
          <w:sz w:val="20"/>
          <w:szCs w:val="20"/>
          <w:lang w:bidi="en-US"/>
        </w:rPr>
        <w:t xml:space="preserve"> Legal de Víctimas</w:t>
      </w:r>
      <w:r w:rsidRPr="0001748B">
        <w:rPr>
          <w:rFonts w:eastAsia="MS Mincho"/>
          <w:spacing w:val="-2"/>
          <w:sz w:val="20"/>
          <w:szCs w:val="20"/>
          <w:lang w:bidi="en-US"/>
        </w:rPr>
        <w:t>, deberá pagar un interés sobre la cantidad adeudada, correspondiente al interés bancario moratorio en la República Bolivariana de Venezuela.</w:t>
      </w:r>
    </w:p>
    <w:p w:rsidR="005F61FF" w:rsidRPr="0001748B" w:rsidRDefault="005F61FF" w:rsidP="005F61FF">
      <w:pPr>
        <w:tabs>
          <w:tab w:val="left" w:pos="567"/>
        </w:tabs>
        <w:spacing w:line="240" w:lineRule="auto"/>
        <w:rPr>
          <w:rFonts w:eastAsia="MS Mincho"/>
          <w:spacing w:val="-2"/>
          <w:sz w:val="20"/>
          <w:szCs w:val="20"/>
          <w:lang w:bidi="en-US"/>
        </w:rPr>
      </w:pPr>
    </w:p>
    <w:p w:rsidR="005F61FF" w:rsidRPr="0001748B" w:rsidRDefault="005F61FF" w:rsidP="005F61FF">
      <w:pPr>
        <w:keepNext/>
        <w:keepLines/>
        <w:tabs>
          <w:tab w:val="left" w:pos="851"/>
        </w:tabs>
        <w:spacing w:line="240" w:lineRule="auto"/>
        <w:jc w:val="center"/>
        <w:outlineLvl w:val="0"/>
        <w:rPr>
          <w:rFonts w:cs="Verdana"/>
          <w:b/>
          <w:bCs/>
          <w:caps/>
          <w:snapToGrid w:val="0"/>
          <w:sz w:val="20"/>
          <w:szCs w:val="20"/>
        </w:rPr>
      </w:pPr>
      <w:bookmarkStart w:id="141" w:name="_Toc375517156"/>
      <w:bookmarkStart w:id="142" w:name="_Toc459158160"/>
      <w:bookmarkStart w:id="143" w:name="_Toc470180115"/>
      <w:bookmarkStart w:id="144" w:name="_Toc495658707"/>
      <w:r w:rsidRPr="0001748B">
        <w:rPr>
          <w:rFonts w:cs="Verdana"/>
          <w:b/>
          <w:bCs/>
          <w:caps/>
          <w:snapToGrid w:val="0"/>
          <w:sz w:val="20"/>
          <w:szCs w:val="20"/>
        </w:rPr>
        <w:t>IX</w:t>
      </w:r>
      <w:r w:rsidRPr="0001748B">
        <w:rPr>
          <w:rFonts w:cs="Verdana"/>
          <w:b/>
          <w:bCs/>
          <w:caps/>
          <w:snapToGrid w:val="0"/>
          <w:sz w:val="20"/>
          <w:szCs w:val="20"/>
        </w:rPr>
        <w:br/>
        <w:t>PUNTOS RESOLUTIVOS</w:t>
      </w:r>
      <w:bookmarkEnd w:id="141"/>
      <w:bookmarkEnd w:id="142"/>
      <w:bookmarkEnd w:id="143"/>
      <w:bookmarkEnd w:id="144"/>
    </w:p>
    <w:p w:rsidR="005F61FF" w:rsidRPr="0001748B" w:rsidRDefault="005F61FF" w:rsidP="005F61FF">
      <w:pPr>
        <w:pStyle w:val="Prrafodelista2"/>
        <w:ind w:right="-90"/>
        <w:contextualSpacing/>
        <w:rPr>
          <w:lang w:val="es-CR"/>
        </w:rPr>
      </w:pPr>
    </w:p>
    <w:p w:rsidR="005F61FF" w:rsidRPr="0001748B" w:rsidRDefault="005F61FF" w:rsidP="005F61FF">
      <w:pPr>
        <w:numPr>
          <w:ilvl w:val="0"/>
          <w:numId w:val="1"/>
        </w:numPr>
        <w:tabs>
          <w:tab w:val="left" w:pos="567"/>
          <w:tab w:val="num" w:pos="12305"/>
        </w:tabs>
        <w:spacing w:line="240" w:lineRule="auto"/>
        <w:ind w:left="0" w:firstLine="0"/>
        <w:rPr>
          <w:sz w:val="20"/>
          <w:szCs w:val="20"/>
        </w:rPr>
      </w:pPr>
      <w:r w:rsidRPr="0001748B">
        <w:rPr>
          <w:sz w:val="20"/>
          <w:szCs w:val="20"/>
        </w:rPr>
        <w:t xml:space="preserve">Por tanto, </w:t>
      </w:r>
    </w:p>
    <w:p w:rsidR="005F61FF" w:rsidRPr="0001748B" w:rsidRDefault="005F61FF" w:rsidP="005F61FF">
      <w:pPr>
        <w:pStyle w:val="Prrafodelista2"/>
        <w:tabs>
          <w:tab w:val="left" w:pos="720"/>
        </w:tabs>
        <w:ind w:right="-90"/>
        <w:contextualSpacing/>
        <w:rPr>
          <w:lang w:val="es-CR"/>
        </w:rPr>
      </w:pPr>
    </w:p>
    <w:p w:rsidR="005F61FF" w:rsidRPr="0001748B" w:rsidRDefault="005F61FF" w:rsidP="005F61FF">
      <w:pPr>
        <w:pStyle w:val="Prrafodelista2"/>
        <w:tabs>
          <w:tab w:val="left" w:pos="720"/>
        </w:tabs>
        <w:ind w:left="0" w:right="-90"/>
        <w:contextualSpacing/>
        <w:rPr>
          <w:lang w:val="es-CR"/>
        </w:rPr>
      </w:pPr>
      <w:r w:rsidRPr="0001748B">
        <w:rPr>
          <w:b/>
          <w:bCs/>
          <w:lang w:val="es-CR"/>
        </w:rPr>
        <w:t xml:space="preserve">LA CORTE </w:t>
      </w:r>
    </w:p>
    <w:p w:rsidR="005F61FF" w:rsidRPr="0001748B" w:rsidRDefault="005F61FF" w:rsidP="005F61FF">
      <w:pPr>
        <w:pStyle w:val="Prrafodelista2"/>
        <w:tabs>
          <w:tab w:val="left" w:pos="720"/>
        </w:tabs>
        <w:ind w:left="0" w:right="-90"/>
        <w:contextualSpacing/>
        <w:rPr>
          <w:lang w:val="es-CR"/>
        </w:rPr>
      </w:pPr>
    </w:p>
    <w:p w:rsidR="005F61FF" w:rsidRPr="0001748B" w:rsidRDefault="005F61FF" w:rsidP="005F61FF">
      <w:pPr>
        <w:pStyle w:val="Prrafodelista2"/>
        <w:tabs>
          <w:tab w:val="left" w:pos="720"/>
        </w:tabs>
        <w:ind w:left="0" w:right="-90"/>
        <w:contextualSpacing/>
        <w:rPr>
          <w:b/>
          <w:lang w:val="es-CR"/>
        </w:rPr>
      </w:pPr>
      <w:r w:rsidRPr="0001748B">
        <w:rPr>
          <w:b/>
          <w:lang w:val="es-CR"/>
        </w:rPr>
        <w:t xml:space="preserve">DECIDE, </w:t>
      </w:r>
    </w:p>
    <w:p w:rsidR="005F61FF" w:rsidRPr="0001748B" w:rsidRDefault="005F61FF" w:rsidP="005F61FF">
      <w:pPr>
        <w:pStyle w:val="Prrafodelista2"/>
        <w:tabs>
          <w:tab w:val="left" w:pos="720"/>
        </w:tabs>
        <w:ind w:left="0" w:right="-90"/>
        <w:contextualSpacing/>
        <w:rPr>
          <w:lang w:val="es-CR"/>
        </w:rPr>
      </w:pPr>
    </w:p>
    <w:p w:rsidR="005F61FF" w:rsidRPr="0001748B" w:rsidRDefault="005F61FF" w:rsidP="005F61FF">
      <w:pPr>
        <w:pStyle w:val="Prrafodelista2"/>
        <w:tabs>
          <w:tab w:val="left" w:pos="720"/>
        </w:tabs>
        <w:ind w:left="0" w:right="-90"/>
        <w:contextualSpacing/>
        <w:rPr>
          <w:lang w:val="es-CR"/>
        </w:rPr>
      </w:pPr>
      <w:r w:rsidRPr="0001748B">
        <w:rPr>
          <w:lang w:val="es-CR"/>
        </w:rPr>
        <w:t xml:space="preserve">Por </w:t>
      </w:r>
      <w:r w:rsidR="00F66A11">
        <w:rPr>
          <w:lang w:val="es-CR"/>
        </w:rPr>
        <w:t>unanimidad</w:t>
      </w:r>
      <w:r w:rsidRPr="0001748B">
        <w:rPr>
          <w:lang w:val="es-CR"/>
        </w:rPr>
        <w:t xml:space="preserve">, </w:t>
      </w:r>
    </w:p>
    <w:p w:rsidR="005F61FF" w:rsidRPr="0001748B" w:rsidRDefault="005F61FF" w:rsidP="005F61FF">
      <w:pPr>
        <w:pStyle w:val="Prrafodelista2"/>
        <w:tabs>
          <w:tab w:val="left" w:pos="720"/>
        </w:tabs>
        <w:ind w:left="0" w:right="-90"/>
        <w:contextualSpacing/>
        <w:rPr>
          <w:lang w:val="es-CR"/>
        </w:rPr>
      </w:pPr>
    </w:p>
    <w:p w:rsidR="005F61FF" w:rsidRPr="0001748B" w:rsidRDefault="001B5D8C" w:rsidP="005F61FF">
      <w:pPr>
        <w:widowControl/>
        <w:numPr>
          <w:ilvl w:val="0"/>
          <w:numId w:val="16"/>
        </w:numPr>
        <w:tabs>
          <w:tab w:val="left" w:pos="720"/>
        </w:tabs>
        <w:adjustRightInd/>
        <w:spacing w:line="240" w:lineRule="auto"/>
        <w:ind w:right="-90"/>
        <w:contextualSpacing/>
        <w:textAlignment w:val="auto"/>
      </w:pPr>
      <w:r w:rsidRPr="0001748B">
        <w:rPr>
          <w:sz w:val="20"/>
          <w:szCs w:val="20"/>
        </w:rPr>
        <w:t>Aceptar el reconocimiento de responsabilidad parcial efectuado por el Estado</w:t>
      </w:r>
      <w:r w:rsidR="005F61FF" w:rsidRPr="0001748B">
        <w:rPr>
          <w:sz w:val="20"/>
          <w:szCs w:val="20"/>
        </w:rPr>
        <w:t xml:space="preserve">, en los términos de los párrafos </w:t>
      </w:r>
      <w:r w:rsidR="0005198B">
        <w:rPr>
          <w:sz w:val="20"/>
          <w:szCs w:val="20"/>
        </w:rPr>
        <w:t>14</w:t>
      </w:r>
      <w:r w:rsidR="0005198B" w:rsidRPr="0001748B">
        <w:rPr>
          <w:sz w:val="20"/>
          <w:szCs w:val="20"/>
        </w:rPr>
        <w:t xml:space="preserve"> </w:t>
      </w:r>
      <w:r w:rsidR="005F61FF" w:rsidRPr="0001748B">
        <w:rPr>
          <w:sz w:val="20"/>
          <w:szCs w:val="20"/>
        </w:rPr>
        <w:t xml:space="preserve">a </w:t>
      </w:r>
      <w:r w:rsidR="0005198B">
        <w:rPr>
          <w:sz w:val="20"/>
          <w:szCs w:val="20"/>
        </w:rPr>
        <w:t>39</w:t>
      </w:r>
      <w:r w:rsidR="0005198B" w:rsidRPr="0001748B">
        <w:rPr>
          <w:sz w:val="20"/>
          <w:szCs w:val="20"/>
        </w:rPr>
        <w:t xml:space="preserve"> </w:t>
      </w:r>
      <w:r w:rsidRPr="0001748B">
        <w:rPr>
          <w:sz w:val="20"/>
          <w:szCs w:val="20"/>
        </w:rPr>
        <w:t>de la presente Sentencia.</w:t>
      </w:r>
      <w:r w:rsidR="005F61FF" w:rsidRPr="0001748B">
        <w:rPr>
          <w:sz w:val="20"/>
          <w:szCs w:val="20"/>
        </w:rPr>
        <w:cr/>
      </w:r>
    </w:p>
    <w:p w:rsidR="005F61FF" w:rsidRPr="0001748B" w:rsidRDefault="005F61FF" w:rsidP="005F61FF">
      <w:pPr>
        <w:pStyle w:val="Prrafodelista2"/>
        <w:tabs>
          <w:tab w:val="left" w:pos="720"/>
        </w:tabs>
        <w:ind w:left="0" w:right="-90"/>
        <w:contextualSpacing/>
        <w:rPr>
          <w:lang w:val="es-CR"/>
        </w:rPr>
      </w:pPr>
      <w:r w:rsidRPr="0001748B">
        <w:rPr>
          <w:b/>
          <w:bCs/>
          <w:lang w:val="es-CR"/>
        </w:rPr>
        <w:t xml:space="preserve">DECLARA: </w:t>
      </w:r>
    </w:p>
    <w:p w:rsidR="005F61FF" w:rsidRPr="0001748B" w:rsidRDefault="005F61FF" w:rsidP="005F61FF">
      <w:pPr>
        <w:pStyle w:val="Prrafodelista2"/>
        <w:tabs>
          <w:tab w:val="left" w:pos="720"/>
        </w:tabs>
        <w:ind w:left="0" w:right="-90"/>
        <w:contextualSpacing/>
        <w:rPr>
          <w:lang w:val="es-CR"/>
        </w:rPr>
      </w:pPr>
    </w:p>
    <w:p w:rsidR="005F61FF" w:rsidRPr="0001748B" w:rsidRDefault="005F61FF" w:rsidP="005F61FF">
      <w:pPr>
        <w:pStyle w:val="Prrafodelista2"/>
        <w:ind w:left="0" w:right="-90"/>
        <w:contextualSpacing/>
        <w:rPr>
          <w:lang w:val="es-CR"/>
        </w:rPr>
      </w:pPr>
      <w:r w:rsidRPr="0001748B">
        <w:rPr>
          <w:lang w:val="es-CR"/>
        </w:rPr>
        <w:t xml:space="preserve">Por </w:t>
      </w:r>
      <w:r w:rsidR="00F66A11">
        <w:rPr>
          <w:lang w:val="es-CR"/>
        </w:rPr>
        <w:t>unanimidad</w:t>
      </w:r>
      <w:r w:rsidRPr="0001748B">
        <w:rPr>
          <w:lang w:val="es-CR"/>
        </w:rPr>
        <w:t>, que:</w:t>
      </w:r>
    </w:p>
    <w:p w:rsidR="005F61FF" w:rsidRPr="0001748B" w:rsidRDefault="005F61FF" w:rsidP="005F61FF">
      <w:pPr>
        <w:pStyle w:val="Prrafodelista2"/>
        <w:ind w:left="0" w:right="-90"/>
        <w:contextualSpacing/>
        <w:rPr>
          <w:lang w:val="es-CR"/>
        </w:rPr>
      </w:pPr>
    </w:p>
    <w:p w:rsidR="005F61FF" w:rsidRPr="0001748B" w:rsidRDefault="005F61FF" w:rsidP="00F657E5">
      <w:pPr>
        <w:widowControl/>
        <w:numPr>
          <w:ilvl w:val="0"/>
          <w:numId w:val="16"/>
        </w:numPr>
        <w:tabs>
          <w:tab w:val="left" w:pos="720"/>
        </w:tabs>
        <w:adjustRightInd/>
        <w:spacing w:line="240" w:lineRule="auto"/>
        <w:ind w:right="-90"/>
        <w:contextualSpacing/>
        <w:textAlignment w:val="auto"/>
        <w:rPr>
          <w:sz w:val="20"/>
          <w:szCs w:val="20"/>
        </w:rPr>
      </w:pPr>
      <w:r w:rsidRPr="0001748B">
        <w:rPr>
          <w:sz w:val="20"/>
          <w:szCs w:val="20"/>
        </w:rPr>
        <w:t xml:space="preserve">El </w:t>
      </w:r>
      <w:r w:rsidRPr="0001748B">
        <w:rPr>
          <w:rFonts w:eastAsia="MS Mincho"/>
          <w:sz w:val="20"/>
          <w:szCs w:val="20"/>
        </w:rPr>
        <w:t>Estado</w:t>
      </w:r>
      <w:r w:rsidRPr="0001748B">
        <w:rPr>
          <w:sz w:val="20"/>
          <w:szCs w:val="20"/>
        </w:rPr>
        <w:t xml:space="preserve"> es responsable por la violación de </w:t>
      </w:r>
      <w:r w:rsidR="00F657E5" w:rsidRPr="0001748B">
        <w:rPr>
          <w:sz w:val="20"/>
          <w:szCs w:val="20"/>
        </w:rPr>
        <w:t>los derechos a la vida y a la integridad personal, reconocidos en los artículos 4.1 y 5.1 de la Convención Americana sobre Derechos Humanos, en relación con el artículo 1.1 de la misma, en perjuicio de Johan Alexis Ortiz Hernández</w:t>
      </w:r>
      <w:r w:rsidRPr="0001748B">
        <w:rPr>
          <w:sz w:val="20"/>
          <w:szCs w:val="20"/>
        </w:rPr>
        <w:t xml:space="preserve">, en los términos de los párrafos </w:t>
      </w:r>
      <w:r w:rsidR="00C12477">
        <w:rPr>
          <w:sz w:val="20"/>
          <w:szCs w:val="20"/>
        </w:rPr>
        <w:t>99</w:t>
      </w:r>
      <w:r w:rsidR="00C12477" w:rsidRPr="0001748B">
        <w:rPr>
          <w:sz w:val="20"/>
          <w:szCs w:val="20"/>
        </w:rPr>
        <w:t xml:space="preserve"> </w:t>
      </w:r>
      <w:r w:rsidRPr="0001748B">
        <w:rPr>
          <w:sz w:val="20"/>
          <w:szCs w:val="20"/>
        </w:rPr>
        <w:t xml:space="preserve">a </w:t>
      </w:r>
      <w:r w:rsidR="00C12477">
        <w:rPr>
          <w:sz w:val="20"/>
          <w:szCs w:val="20"/>
        </w:rPr>
        <w:t>137</w:t>
      </w:r>
      <w:r w:rsidR="00C12477" w:rsidRPr="0001748B">
        <w:rPr>
          <w:sz w:val="20"/>
          <w:szCs w:val="20"/>
        </w:rPr>
        <w:t xml:space="preserve"> </w:t>
      </w:r>
      <w:r w:rsidRPr="0001748B">
        <w:rPr>
          <w:sz w:val="20"/>
          <w:szCs w:val="20"/>
        </w:rPr>
        <w:t>de la presente Sentencia.</w:t>
      </w:r>
    </w:p>
    <w:p w:rsidR="005F61FF" w:rsidRPr="0001748B" w:rsidRDefault="005F61FF" w:rsidP="005F61FF">
      <w:pPr>
        <w:pStyle w:val="Prrafodelista2"/>
        <w:ind w:left="0" w:right="-90"/>
        <w:contextualSpacing/>
        <w:jc w:val="both"/>
        <w:rPr>
          <w:lang w:val="es-CR"/>
        </w:rPr>
      </w:pPr>
    </w:p>
    <w:p w:rsidR="00F657E5" w:rsidRPr="0001748B" w:rsidRDefault="00F657E5" w:rsidP="00125C44">
      <w:pPr>
        <w:widowControl/>
        <w:numPr>
          <w:ilvl w:val="0"/>
          <w:numId w:val="16"/>
        </w:numPr>
        <w:tabs>
          <w:tab w:val="left" w:pos="720"/>
        </w:tabs>
        <w:adjustRightInd/>
        <w:spacing w:line="240" w:lineRule="auto"/>
        <w:ind w:right="-90"/>
        <w:contextualSpacing/>
        <w:textAlignment w:val="auto"/>
      </w:pPr>
      <w:r w:rsidRPr="0001748B">
        <w:rPr>
          <w:sz w:val="20"/>
          <w:szCs w:val="20"/>
        </w:rPr>
        <w:t xml:space="preserve">El </w:t>
      </w:r>
      <w:r w:rsidRPr="0001748B">
        <w:rPr>
          <w:rFonts w:eastAsia="MS Mincho"/>
          <w:sz w:val="20"/>
          <w:szCs w:val="20"/>
        </w:rPr>
        <w:t>Estado</w:t>
      </w:r>
      <w:r w:rsidRPr="0001748B">
        <w:rPr>
          <w:sz w:val="20"/>
          <w:szCs w:val="20"/>
        </w:rPr>
        <w:t xml:space="preserve"> es responsable por</w:t>
      </w:r>
      <w:r w:rsidRPr="00125C44">
        <w:rPr>
          <w:sz w:val="20"/>
          <w:szCs w:val="20"/>
        </w:rPr>
        <w:t xml:space="preserve"> la violación </w:t>
      </w:r>
      <w:r w:rsidRPr="0001748B">
        <w:rPr>
          <w:sz w:val="20"/>
          <w:szCs w:val="20"/>
        </w:rPr>
        <w:t>de</w:t>
      </w:r>
      <w:r w:rsidRPr="00125C44">
        <w:rPr>
          <w:sz w:val="20"/>
          <w:szCs w:val="20"/>
        </w:rPr>
        <w:t xml:space="preserve"> la garantía de juez natural</w:t>
      </w:r>
      <w:r w:rsidRPr="0001748B">
        <w:rPr>
          <w:sz w:val="20"/>
          <w:szCs w:val="20"/>
        </w:rPr>
        <w:t xml:space="preserve">, reconocida en el artículo 8.1 de la Convención Americana sobre Derechos Humanos, en relación con los artículos 1.1 y 2 de la misma, </w:t>
      </w:r>
      <w:r w:rsidRPr="0001748B">
        <w:rPr>
          <w:rFonts w:eastAsia="Arial" w:cs="Arial"/>
          <w:sz w:val="20"/>
          <w:szCs w:val="20"/>
        </w:rPr>
        <w:t xml:space="preserve">en perjuicio de </w:t>
      </w:r>
      <w:r w:rsidR="00703706" w:rsidRPr="0001748B">
        <w:rPr>
          <w:rFonts w:eastAsia="Arial" w:cs="Arial"/>
          <w:sz w:val="20"/>
          <w:szCs w:val="20"/>
        </w:rPr>
        <w:t xml:space="preserve">Zaida Hernández de Arellano </w:t>
      </w:r>
      <w:r w:rsidR="00703706">
        <w:rPr>
          <w:rFonts w:eastAsia="Arial" w:cs="Arial"/>
          <w:sz w:val="20"/>
          <w:szCs w:val="20"/>
        </w:rPr>
        <w:t xml:space="preserve">y </w:t>
      </w:r>
      <w:r w:rsidRPr="0001748B">
        <w:rPr>
          <w:rFonts w:eastAsia="Arial" w:cs="Arial"/>
          <w:sz w:val="20"/>
          <w:szCs w:val="20"/>
        </w:rPr>
        <w:t>Edgar Humberto Ortiz Ruiz</w:t>
      </w:r>
      <w:r w:rsidRPr="0001748B">
        <w:rPr>
          <w:sz w:val="20"/>
          <w:szCs w:val="20"/>
        </w:rPr>
        <w:t xml:space="preserve">, en los términos de los párrafos </w:t>
      </w:r>
      <w:r w:rsidR="00C12477">
        <w:rPr>
          <w:sz w:val="20"/>
          <w:szCs w:val="20"/>
        </w:rPr>
        <w:t>148</w:t>
      </w:r>
      <w:r w:rsidR="00C12477" w:rsidRPr="0001748B">
        <w:rPr>
          <w:sz w:val="20"/>
          <w:szCs w:val="20"/>
        </w:rPr>
        <w:t xml:space="preserve"> </w:t>
      </w:r>
      <w:r w:rsidRPr="0001748B">
        <w:rPr>
          <w:sz w:val="20"/>
          <w:szCs w:val="20"/>
        </w:rPr>
        <w:t xml:space="preserve">a </w:t>
      </w:r>
      <w:r w:rsidR="00C12477">
        <w:rPr>
          <w:sz w:val="20"/>
          <w:szCs w:val="20"/>
        </w:rPr>
        <w:t>154</w:t>
      </w:r>
      <w:r w:rsidR="00C12477" w:rsidRPr="0001748B">
        <w:rPr>
          <w:sz w:val="20"/>
          <w:szCs w:val="20"/>
        </w:rPr>
        <w:t xml:space="preserve"> </w:t>
      </w:r>
      <w:r w:rsidR="00C12477">
        <w:rPr>
          <w:sz w:val="20"/>
          <w:szCs w:val="20"/>
        </w:rPr>
        <w:t xml:space="preserve">y 175 </w:t>
      </w:r>
      <w:r w:rsidRPr="0001748B">
        <w:rPr>
          <w:sz w:val="20"/>
          <w:szCs w:val="20"/>
        </w:rPr>
        <w:t>de la presente Sentencia.</w:t>
      </w:r>
    </w:p>
    <w:p w:rsidR="00F657E5" w:rsidRPr="0001748B" w:rsidRDefault="00F657E5" w:rsidP="005F61FF">
      <w:pPr>
        <w:pStyle w:val="Prrafodelista2"/>
        <w:ind w:left="0" w:right="-90"/>
        <w:contextualSpacing/>
        <w:jc w:val="both"/>
        <w:rPr>
          <w:lang w:val="es-CR"/>
        </w:rPr>
      </w:pPr>
    </w:p>
    <w:p w:rsidR="00F657E5" w:rsidRPr="00125C44" w:rsidRDefault="00F657E5" w:rsidP="00F657E5">
      <w:pPr>
        <w:widowControl/>
        <w:numPr>
          <w:ilvl w:val="0"/>
          <w:numId w:val="16"/>
        </w:numPr>
        <w:tabs>
          <w:tab w:val="left" w:pos="720"/>
        </w:tabs>
        <w:adjustRightInd/>
        <w:spacing w:line="240" w:lineRule="auto"/>
        <w:ind w:right="-90"/>
        <w:contextualSpacing/>
        <w:textAlignment w:val="auto"/>
        <w:rPr>
          <w:sz w:val="20"/>
          <w:szCs w:val="20"/>
        </w:rPr>
      </w:pPr>
      <w:r w:rsidRPr="00125C44">
        <w:rPr>
          <w:sz w:val="20"/>
          <w:szCs w:val="20"/>
        </w:rPr>
        <w:t xml:space="preserve">El Estado es responsable por la violación de los derechos a las garantías judiciales y </w:t>
      </w:r>
      <w:r w:rsidR="00F66A11">
        <w:rPr>
          <w:sz w:val="20"/>
          <w:szCs w:val="20"/>
        </w:rPr>
        <w:t xml:space="preserve">a la </w:t>
      </w:r>
      <w:r w:rsidRPr="00125C44">
        <w:rPr>
          <w:sz w:val="20"/>
          <w:szCs w:val="20"/>
        </w:rPr>
        <w:t xml:space="preserve">protección judicial, reconocidos en los artículos 8.1 y 25.1 de la Convención Americana sobre Derechos Humanos, en relación con el artículo 1.1 de </w:t>
      </w:r>
      <w:r w:rsidRPr="0001748B">
        <w:rPr>
          <w:sz w:val="20"/>
          <w:szCs w:val="20"/>
        </w:rPr>
        <w:t>la misma</w:t>
      </w:r>
      <w:r w:rsidRPr="00125C44">
        <w:rPr>
          <w:sz w:val="20"/>
          <w:szCs w:val="20"/>
        </w:rPr>
        <w:t xml:space="preserve">, </w:t>
      </w:r>
      <w:r w:rsidRPr="0001748B">
        <w:rPr>
          <w:rFonts w:eastAsia="Arial" w:cs="Arial"/>
          <w:sz w:val="20"/>
          <w:szCs w:val="20"/>
        </w:rPr>
        <w:t>en perjuicio de Zaida Hernández de Arellano</w:t>
      </w:r>
      <w:r w:rsidR="00703706">
        <w:rPr>
          <w:rFonts w:eastAsia="Arial" w:cs="Arial"/>
          <w:sz w:val="20"/>
          <w:szCs w:val="20"/>
        </w:rPr>
        <w:t xml:space="preserve"> y</w:t>
      </w:r>
      <w:r w:rsidR="00703706" w:rsidRPr="00703706">
        <w:rPr>
          <w:rFonts w:eastAsia="Arial" w:cs="Arial"/>
          <w:sz w:val="20"/>
          <w:szCs w:val="20"/>
        </w:rPr>
        <w:t xml:space="preserve"> </w:t>
      </w:r>
      <w:r w:rsidR="00703706" w:rsidRPr="0001748B">
        <w:rPr>
          <w:rFonts w:eastAsia="Arial" w:cs="Arial"/>
          <w:sz w:val="20"/>
          <w:szCs w:val="20"/>
        </w:rPr>
        <w:t>Edgar Humberto Ortiz Ruiz</w:t>
      </w:r>
      <w:r w:rsidRPr="00125C44">
        <w:rPr>
          <w:sz w:val="20"/>
          <w:szCs w:val="20"/>
        </w:rPr>
        <w:t xml:space="preserve">, </w:t>
      </w:r>
      <w:r w:rsidRPr="00125C44">
        <w:rPr>
          <w:rFonts w:eastAsia="Batang"/>
          <w:sz w:val="20"/>
          <w:szCs w:val="20"/>
        </w:rPr>
        <w:t xml:space="preserve">en los términos de los párrafos </w:t>
      </w:r>
      <w:r w:rsidR="00C12477">
        <w:rPr>
          <w:sz w:val="20"/>
          <w:szCs w:val="20"/>
        </w:rPr>
        <w:t>143</w:t>
      </w:r>
      <w:r w:rsidR="00C12477" w:rsidRPr="00125C44">
        <w:rPr>
          <w:sz w:val="20"/>
          <w:szCs w:val="20"/>
        </w:rPr>
        <w:t xml:space="preserve"> </w:t>
      </w:r>
      <w:r w:rsidRPr="00125C44">
        <w:rPr>
          <w:sz w:val="20"/>
          <w:szCs w:val="20"/>
        </w:rPr>
        <w:t xml:space="preserve">a </w:t>
      </w:r>
      <w:r w:rsidR="00C12477">
        <w:rPr>
          <w:sz w:val="20"/>
          <w:szCs w:val="20"/>
        </w:rPr>
        <w:t>147 y 155 a 175</w:t>
      </w:r>
      <w:r w:rsidR="00C12477" w:rsidRPr="00125C44">
        <w:rPr>
          <w:sz w:val="20"/>
          <w:szCs w:val="20"/>
        </w:rPr>
        <w:t xml:space="preserve"> </w:t>
      </w:r>
      <w:r w:rsidRPr="00125C44">
        <w:rPr>
          <w:sz w:val="20"/>
          <w:szCs w:val="20"/>
        </w:rPr>
        <w:t>de la presente Sentencia.</w:t>
      </w:r>
    </w:p>
    <w:p w:rsidR="00F657E5" w:rsidRPr="00125C44" w:rsidRDefault="00F657E5" w:rsidP="00F657E5">
      <w:pPr>
        <w:pStyle w:val="Prrafodelista2"/>
        <w:ind w:left="0" w:right="-90"/>
        <w:contextualSpacing/>
        <w:jc w:val="both"/>
        <w:rPr>
          <w:lang w:val="es-CR"/>
        </w:rPr>
      </w:pPr>
    </w:p>
    <w:p w:rsidR="005F61FF" w:rsidRPr="0001748B" w:rsidRDefault="005F61FF" w:rsidP="005F61FF">
      <w:pPr>
        <w:widowControl/>
        <w:numPr>
          <w:ilvl w:val="0"/>
          <w:numId w:val="16"/>
        </w:numPr>
        <w:tabs>
          <w:tab w:val="left" w:pos="720"/>
        </w:tabs>
        <w:adjustRightInd/>
        <w:spacing w:line="240" w:lineRule="auto"/>
        <w:ind w:right="-90"/>
        <w:contextualSpacing/>
        <w:textAlignment w:val="auto"/>
      </w:pPr>
      <w:r w:rsidRPr="0001748B">
        <w:rPr>
          <w:sz w:val="20"/>
          <w:szCs w:val="20"/>
        </w:rPr>
        <w:t xml:space="preserve">El </w:t>
      </w:r>
      <w:r w:rsidRPr="0001748B">
        <w:rPr>
          <w:rFonts w:eastAsia="MS Mincho"/>
          <w:sz w:val="20"/>
          <w:szCs w:val="20"/>
          <w:lang w:eastAsia="en-US" w:bidi="en-US"/>
        </w:rPr>
        <w:t>Estado</w:t>
      </w:r>
      <w:r w:rsidRPr="0001748B">
        <w:rPr>
          <w:sz w:val="20"/>
          <w:szCs w:val="20"/>
        </w:rPr>
        <w:t xml:space="preserve"> es responsable por la violación del derecho a la integridad personal</w:t>
      </w:r>
      <w:r w:rsidR="00F657E5" w:rsidRPr="0001748B">
        <w:rPr>
          <w:sz w:val="20"/>
          <w:szCs w:val="20"/>
        </w:rPr>
        <w:t>,</w:t>
      </w:r>
      <w:r w:rsidRPr="0001748B">
        <w:rPr>
          <w:sz w:val="20"/>
          <w:szCs w:val="20"/>
        </w:rPr>
        <w:t xml:space="preserve"> reconocido en el artículo 5.1 de la Convención Americana sobre Derechos Humanos, en relación con el artículo 1.1 de la misma, en perjuicio de</w:t>
      </w:r>
      <w:r w:rsidR="00F657E5" w:rsidRPr="0001748B">
        <w:rPr>
          <w:sz w:val="20"/>
          <w:szCs w:val="20"/>
        </w:rPr>
        <w:t xml:space="preserve"> los familiares de Johan Alexis Ortiz Hernández, identificados c</w:t>
      </w:r>
      <w:r w:rsidR="008E0B34">
        <w:rPr>
          <w:sz w:val="20"/>
          <w:szCs w:val="20"/>
        </w:rPr>
        <w:t>omo Zaida Hernández de Arellano,</w:t>
      </w:r>
      <w:r w:rsidR="00F657E5" w:rsidRPr="0001748B">
        <w:rPr>
          <w:sz w:val="20"/>
          <w:szCs w:val="20"/>
        </w:rPr>
        <w:t xml:space="preserve"> Edgar</w:t>
      </w:r>
      <w:r w:rsidR="000C485E">
        <w:rPr>
          <w:sz w:val="20"/>
          <w:szCs w:val="20"/>
        </w:rPr>
        <w:t xml:space="preserve"> Humberto</w:t>
      </w:r>
      <w:r w:rsidR="00F657E5" w:rsidRPr="0001748B">
        <w:rPr>
          <w:sz w:val="20"/>
          <w:szCs w:val="20"/>
        </w:rPr>
        <w:t xml:space="preserve"> Ortiz Ruiz</w:t>
      </w:r>
      <w:r w:rsidR="008E0B34">
        <w:rPr>
          <w:sz w:val="20"/>
          <w:szCs w:val="20"/>
        </w:rPr>
        <w:t>,</w:t>
      </w:r>
      <w:r w:rsidR="008E0B34" w:rsidRPr="008E0B34">
        <w:rPr>
          <w:sz w:val="20"/>
          <w:szCs w:val="20"/>
        </w:rPr>
        <w:t xml:space="preserve"> </w:t>
      </w:r>
      <w:r w:rsidR="008E0B34" w:rsidRPr="0001748B">
        <w:rPr>
          <w:sz w:val="20"/>
          <w:szCs w:val="20"/>
        </w:rPr>
        <w:t>Saúl Arellano Mora</w:t>
      </w:r>
      <w:r w:rsidR="008E0B34">
        <w:rPr>
          <w:sz w:val="20"/>
          <w:szCs w:val="20"/>
        </w:rPr>
        <w:t>,</w:t>
      </w:r>
      <w:r w:rsidR="00F657E5" w:rsidRPr="0001748B">
        <w:rPr>
          <w:sz w:val="20"/>
          <w:szCs w:val="20"/>
        </w:rPr>
        <w:t xml:space="preserve"> Maritza González </w:t>
      </w:r>
      <w:r w:rsidR="000C485E">
        <w:rPr>
          <w:sz w:val="20"/>
          <w:szCs w:val="20"/>
        </w:rPr>
        <w:t>Cordero</w:t>
      </w:r>
      <w:r w:rsidR="008E0B34">
        <w:rPr>
          <w:sz w:val="20"/>
          <w:szCs w:val="20"/>
        </w:rPr>
        <w:t>,</w:t>
      </w:r>
      <w:r w:rsidR="00F657E5" w:rsidRPr="0001748B">
        <w:rPr>
          <w:sz w:val="20"/>
          <w:szCs w:val="20"/>
        </w:rPr>
        <w:t xml:space="preserve"> Jeckson </w:t>
      </w:r>
      <w:r w:rsidR="000C485E">
        <w:rPr>
          <w:sz w:val="20"/>
          <w:szCs w:val="20"/>
        </w:rPr>
        <w:t xml:space="preserve">Edgardo </w:t>
      </w:r>
      <w:r w:rsidR="00F657E5" w:rsidRPr="0001748B">
        <w:rPr>
          <w:sz w:val="20"/>
          <w:szCs w:val="20"/>
        </w:rPr>
        <w:t>Ortiz González</w:t>
      </w:r>
      <w:r w:rsidR="008E0B34">
        <w:rPr>
          <w:sz w:val="20"/>
          <w:szCs w:val="20"/>
        </w:rPr>
        <w:t>,</w:t>
      </w:r>
      <w:r w:rsidR="004E7CE9" w:rsidRPr="0001748B">
        <w:rPr>
          <w:sz w:val="20"/>
          <w:szCs w:val="20"/>
        </w:rPr>
        <w:t xml:space="preserve"> Greys</w:t>
      </w:r>
      <w:r w:rsidR="00F657E5" w:rsidRPr="0001748B">
        <w:rPr>
          <w:sz w:val="20"/>
          <w:szCs w:val="20"/>
        </w:rPr>
        <w:t>s</w:t>
      </w:r>
      <w:r w:rsidR="004E7CE9" w:rsidRPr="0001748B">
        <w:rPr>
          <w:sz w:val="20"/>
          <w:szCs w:val="20"/>
        </w:rPr>
        <w:t>i</w:t>
      </w:r>
      <w:r w:rsidR="00F657E5" w:rsidRPr="0001748B">
        <w:rPr>
          <w:sz w:val="20"/>
          <w:szCs w:val="20"/>
        </w:rPr>
        <w:t xml:space="preserve"> </w:t>
      </w:r>
      <w:r w:rsidR="008B2EF5">
        <w:rPr>
          <w:sz w:val="20"/>
          <w:szCs w:val="20"/>
        </w:rPr>
        <w:t xml:space="preserve">Maried </w:t>
      </w:r>
      <w:r w:rsidR="00F657E5" w:rsidRPr="0001748B">
        <w:rPr>
          <w:sz w:val="20"/>
          <w:szCs w:val="20"/>
        </w:rPr>
        <w:t>Ortiz González</w:t>
      </w:r>
      <w:r w:rsidR="008E0B34">
        <w:rPr>
          <w:sz w:val="20"/>
          <w:szCs w:val="20"/>
        </w:rPr>
        <w:t>,</w:t>
      </w:r>
      <w:r w:rsidR="00F657E5" w:rsidRPr="0001748B">
        <w:rPr>
          <w:sz w:val="20"/>
          <w:szCs w:val="20"/>
        </w:rPr>
        <w:t xml:space="preserve"> Gregory </w:t>
      </w:r>
      <w:r w:rsidR="008B2EF5">
        <w:rPr>
          <w:sz w:val="20"/>
          <w:szCs w:val="20"/>
        </w:rPr>
        <w:t xml:space="preserve">Leonardo </w:t>
      </w:r>
      <w:r w:rsidR="00F657E5" w:rsidRPr="0001748B">
        <w:rPr>
          <w:sz w:val="20"/>
          <w:szCs w:val="20"/>
        </w:rPr>
        <w:t>Ortiz González</w:t>
      </w:r>
      <w:r w:rsidR="008E0B34">
        <w:rPr>
          <w:sz w:val="20"/>
          <w:szCs w:val="20"/>
        </w:rPr>
        <w:t>,</w:t>
      </w:r>
      <w:r w:rsidR="00F657E5" w:rsidRPr="0001748B">
        <w:rPr>
          <w:sz w:val="20"/>
          <w:szCs w:val="20"/>
        </w:rPr>
        <w:t xml:space="preserve"> Zaida </w:t>
      </w:r>
      <w:r w:rsidR="000C485E">
        <w:rPr>
          <w:sz w:val="20"/>
          <w:szCs w:val="20"/>
        </w:rPr>
        <w:t xml:space="preserve">Dariana </w:t>
      </w:r>
      <w:r w:rsidR="00F657E5" w:rsidRPr="0001748B">
        <w:rPr>
          <w:sz w:val="20"/>
          <w:szCs w:val="20"/>
        </w:rPr>
        <w:t xml:space="preserve">Arellano Hernández y Saúl </w:t>
      </w:r>
      <w:r w:rsidR="008B2EF5">
        <w:rPr>
          <w:sz w:val="20"/>
          <w:szCs w:val="20"/>
        </w:rPr>
        <w:t xml:space="preserve">Johan </w:t>
      </w:r>
      <w:r w:rsidR="00F657E5" w:rsidRPr="0001748B">
        <w:rPr>
          <w:sz w:val="20"/>
          <w:szCs w:val="20"/>
        </w:rPr>
        <w:t>Arellano Hernández</w:t>
      </w:r>
      <w:r w:rsidRPr="0001748B">
        <w:rPr>
          <w:sz w:val="20"/>
          <w:szCs w:val="20"/>
        </w:rPr>
        <w:t xml:space="preserve">, en los términos de los párrafos </w:t>
      </w:r>
      <w:r w:rsidR="000C485E">
        <w:rPr>
          <w:sz w:val="20"/>
          <w:szCs w:val="20"/>
        </w:rPr>
        <w:t>178</w:t>
      </w:r>
      <w:r w:rsidR="000C485E" w:rsidRPr="0001748B">
        <w:rPr>
          <w:sz w:val="20"/>
          <w:szCs w:val="20"/>
        </w:rPr>
        <w:t xml:space="preserve"> </w:t>
      </w:r>
      <w:r w:rsidRPr="0001748B">
        <w:rPr>
          <w:sz w:val="20"/>
          <w:szCs w:val="20"/>
        </w:rPr>
        <w:t xml:space="preserve">a </w:t>
      </w:r>
      <w:r w:rsidR="000C485E">
        <w:rPr>
          <w:sz w:val="20"/>
          <w:szCs w:val="20"/>
        </w:rPr>
        <w:t>182</w:t>
      </w:r>
      <w:r w:rsidR="000C485E" w:rsidRPr="0001748B">
        <w:rPr>
          <w:sz w:val="20"/>
          <w:szCs w:val="20"/>
        </w:rPr>
        <w:t xml:space="preserve"> </w:t>
      </w:r>
      <w:r w:rsidRPr="0001748B">
        <w:rPr>
          <w:sz w:val="20"/>
          <w:szCs w:val="20"/>
        </w:rPr>
        <w:t>de la presente Sentencia.</w:t>
      </w:r>
    </w:p>
    <w:p w:rsidR="00F66A11" w:rsidRDefault="00F66A11" w:rsidP="005F61FF">
      <w:pPr>
        <w:pStyle w:val="Prrafodelista2"/>
        <w:tabs>
          <w:tab w:val="left" w:pos="720"/>
        </w:tabs>
        <w:ind w:left="0" w:right="-90"/>
        <w:contextualSpacing/>
        <w:jc w:val="both"/>
        <w:rPr>
          <w:b/>
          <w:bCs/>
          <w:lang w:val="es-CR"/>
        </w:rPr>
      </w:pPr>
    </w:p>
    <w:p w:rsidR="005F61FF" w:rsidRPr="0001748B" w:rsidRDefault="005F61FF" w:rsidP="005F61FF">
      <w:pPr>
        <w:pStyle w:val="Prrafodelista2"/>
        <w:tabs>
          <w:tab w:val="left" w:pos="720"/>
        </w:tabs>
        <w:ind w:left="0" w:right="-90"/>
        <w:contextualSpacing/>
        <w:jc w:val="both"/>
        <w:rPr>
          <w:b/>
          <w:bCs/>
          <w:lang w:val="es-CR"/>
        </w:rPr>
      </w:pPr>
      <w:r w:rsidRPr="0001748B">
        <w:rPr>
          <w:b/>
          <w:bCs/>
          <w:lang w:val="es-CR"/>
        </w:rPr>
        <w:t>Y DISPONE:</w:t>
      </w:r>
    </w:p>
    <w:p w:rsidR="005F61FF" w:rsidRPr="0001748B" w:rsidRDefault="005F61FF" w:rsidP="005F61FF">
      <w:pPr>
        <w:pStyle w:val="Prrafodelista2"/>
        <w:tabs>
          <w:tab w:val="left" w:pos="720"/>
        </w:tabs>
        <w:ind w:left="0" w:right="-90"/>
        <w:contextualSpacing/>
        <w:jc w:val="both"/>
        <w:rPr>
          <w:b/>
          <w:bCs/>
          <w:lang w:val="es-CR"/>
        </w:rPr>
      </w:pPr>
    </w:p>
    <w:p w:rsidR="005F61FF" w:rsidRPr="0001748B" w:rsidRDefault="005F61FF" w:rsidP="005F61FF">
      <w:pPr>
        <w:pStyle w:val="Prrafodelista2"/>
        <w:tabs>
          <w:tab w:val="left" w:pos="720"/>
        </w:tabs>
        <w:ind w:left="0" w:right="-90"/>
        <w:contextualSpacing/>
        <w:jc w:val="both"/>
        <w:rPr>
          <w:bCs/>
          <w:lang w:val="es-CR"/>
        </w:rPr>
      </w:pPr>
      <w:r w:rsidRPr="0001748B">
        <w:rPr>
          <w:lang w:val="es-CR"/>
        </w:rPr>
        <w:t xml:space="preserve">Por </w:t>
      </w:r>
      <w:r w:rsidR="00F66A11">
        <w:rPr>
          <w:lang w:val="es-CR"/>
        </w:rPr>
        <w:t>unanimidad</w:t>
      </w:r>
      <w:r w:rsidRPr="0001748B">
        <w:rPr>
          <w:lang w:val="es-CR"/>
        </w:rPr>
        <w:t>,</w:t>
      </w:r>
      <w:r w:rsidRPr="0001748B">
        <w:rPr>
          <w:bCs/>
          <w:lang w:val="es-CR"/>
        </w:rPr>
        <w:t xml:space="preserve"> que:</w:t>
      </w:r>
    </w:p>
    <w:p w:rsidR="005F61FF" w:rsidRPr="0001748B" w:rsidRDefault="005F61FF" w:rsidP="005F61FF">
      <w:pPr>
        <w:pStyle w:val="Prrafodelista2"/>
        <w:tabs>
          <w:tab w:val="left" w:pos="720"/>
        </w:tabs>
        <w:ind w:left="0" w:right="-90"/>
        <w:contextualSpacing/>
        <w:jc w:val="both"/>
        <w:rPr>
          <w:bCs/>
          <w:lang w:val="es-CR"/>
        </w:rPr>
      </w:pPr>
    </w:p>
    <w:p w:rsidR="005F61FF" w:rsidRPr="0001748B" w:rsidRDefault="005F61FF" w:rsidP="005F61FF">
      <w:pPr>
        <w:widowControl/>
        <w:numPr>
          <w:ilvl w:val="0"/>
          <w:numId w:val="16"/>
        </w:numPr>
        <w:tabs>
          <w:tab w:val="left" w:pos="720"/>
        </w:tabs>
        <w:adjustRightInd/>
        <w:spacing w:line="240" w:lineRule="auto"/>
        <w:ind w:right="-90"/>
        <w:contextualSpacing/>
        <w:textAlignment w:val="auto"/>
        <w:rPr>
          <w:bCs/>
          <w:sz w:val="20"/>
          <w:szCs w:val="20"/>
        </w:rPr>
      </w:pPr>
      <w:r w:rsidRPr="0001748B">
        <w:rPr>
          <w:sz w:val="20"/>
          <w:szCs w:val="20"/>
        </w:rPr>
        <w:t>Esta</w:t>
      </w:r>
      <w:r w:rsidRPr="0001748B">
        <w:rPr>
          <w:bCs/>
          <w:sz w:val="20"/>
          <w:szCs w:val="20"/>
        </w:rPr>
        <w:t xml:space="preserve"> Sentencia constituye, </w:t>
      </w:r>
      <w:r w:rsidRPr="0001748B">
        <w:rPr>
          <w:bCs/>
          <w:i/>
          <w:sz w:val="20"/>
          <w:szCs w:val="20"/>
        </w:rPr>
        <w:t>per se</w:t>
      </w:r>
      <w:r w:rsidRPr="0001748B">
        <w:rPr>
          <w:bCs/>
          <w:sz w:val="20"/>
          <w:szCs w:val="20"/>
        </w:rPr>
        <w:t>, una forma de reparación.</w:t>
      </w:r>
    </w:p>
    <w:p w:rsidR="005F61FF" w:rsidRPr="0001748B" w:rsidRDefault="005F61FF" w:rsidP="005F61FF">
      <w:pPr>
        <w:spacing w:line="240" w:lineRule="auto"/>
        <w:rPr>
          <w:sz w:val="20"/>
          <w:szCs w:val="20"/>
        </w:rPr>
      </w:pPr>
    </w:p>
    <w:p w:rsidR="00A86EBF" w:rsidRPr="0001748B" w:rsidRDefault="00A86EBF" w:rsidP="00125C44">
      <w:pPr>
        <w:widowControl/>
        <w:numPr>
          <w:ilvl w:val="0"/>
          <w:numId w:val="16"/>
        </w:numPr>
        <w:tabs>
          <w:tab w:val="left" w:pos="720"/>
        </w:tabs>
        <w:adjustRightInd/>
        <w:spacing w:line="240" w:lineRule="auto"/>
        <w:ind w:right="-90"/>
        <w:contextualSpacing/>
        <w:textAlignment w:val="auto"/>
        <w:rPr>
          <w:sz w:val="20"/>
          <w:szCs w:val="20"/>
        </w:rPr>
      </w:pPr>
      <w:r w:rsidRPr="0001748B">
        <w:rPr>
          <w:rFonts w:eastAsia="MS Mincho" w:cs="Verdana"/>
          <w:sz w:val="20"/>
          <w:szCs w:val="20"/>
          <w:lang w:bidi="en-US"/>
        </w:rPr>
        <w:t xml:space="preserve">El Estado debe </w:t>
      </w:r>
      <w:r w:rsidRPr="0001748B">
        <w:rPr>
          <w:rFonts w:eastAsia="MS Mincho"/>
          <w:sz w:val="20"/>
          <w:szCs w:val="20"/>
          <w:lang w:bidi="en-US"/>
        </w:rPr>
        <w:t xml:space="preserve">continuar eficazmente y con la mayor diligencia las investigaciones y el proceso penal en curso, así como abrir las investigaciones que sean necesarias con el fin de </w:t>
      </w:r>
      <w:r w:rsidRPr="0001748B">
        <w:rPr>
          <w:rFonts w:eastAsia="MS Mincho" w:cs="Verdana"/>
          <w:sz w:val="20"/>
          <w:szCs w:val="20"/>
          <w:lang w:bidi="en-US"/>
        </w:rPr>
        <w:t xml:space="preserve">identificar, juzgar y, en su caso, sancionar a todos los responsables de la muerte de Johan Alexis Ortiz Hernández en un plazo razonable, </w:t>
      </w:r>
      <w:r w:rsidRPr="0001748B">
        <w:rPr>
          <w:sz w:val="20"/>
          <w:szCs w:val="20"/>
        </w:rPr>
        <w:t xml:space="preserve">en los términos de los párrafos </w:t>
      </w:r>
      <w:r w:rsidR="007A216B">
        <w:rPr>
          <w:sz w:val="20"/>
          <w:szCs w:val="20"/>
        </w:rPr>
        <w:t>192</w:t>
      </w:r>
      <w:r w:rsidRPr="0001748B">
        <w:rPr>
          <w:sz w:val="20"/>
          <w:szCs w:val="20"/>
        </w:rPr>
        <w:t xml:space="preserve"> y </w:t>
      </w:r>
      <w:r w:rsidR="007A216B">
        <w:rPr>
          <w:sz w:val="20"/>
          <w:szCs w:val="20"/>
        </w:rPr>
        <w:t>193</w:t>
      </w:r>
      <w:r w:rsidRPr="0001748B">
        <w:rPr>
          <w:sz w:val="20"/>
          <w:szCs w:val="20"/>
        </w:rPr>
        <w:t xml:space="preserve"> de la presente Sentencia. </w:t>
      </w:r>
    </w:p>
    <w:p w:rsidR="00A86EBF" w:rsidRPr="0001748B" w:rsidRDefault="00A86EBF" w:rsidP="00125C44">
      <w:pPr>
        <w:widowControl/>
        <w:tabs>
          <w:tab w:val="left" w:pos="720"/>
        </w:tabs>
        <w:adjustRightInd/>
        <w:spacing w:line="240" w:lineRule="auto"/>
        <w:ind w:right="-90"/>
        <w:contextualSpacing/>
        <w:textAlignment w:val="auto"/>
        <w:rPr>
          <w:sz w:val="20"/>
          <w:szCs w:val="20"/>
        </w:rPr>
      </w:pPr>
    </w:p>
    <w:p w:rsidR="00983CFD" w:rsidRPr="00125C44" w:rsidRDefault="00983CFD" w:rsidP="00125C44">
      <w:pPr>
        <w:widowControl/>
        <w:numPr>
          <w:ilvl w:val="0"/>
          <w:numId w:val="16"/>
        </w:numPr>
        <w:tabs>
          <w:tab w:val="left" w:pos="720"/>
        </w:tabs>
        <w:adjustRightInd/>
        <w:spacing w:line="240" w:lineRule="auto"/>
        <w:ind w:right="-90"/>
        <w:contextualSpacing/>
        <w:textAlignment w:val="auto"/>
        <w:rPr>
          <w:rFonts w:cs="TimesNewRomanPSMT"/>
          <w:sz w:val="20"/>
          <w:szCs w:val="20"/>
          <w:lang w:eastAsia="en-US" w:bidi="en-US"/>
        </w:rPr>
      </w:pPr>
      <w:r>
        <w:rPr>
          <w:rFonts w:eastAsia="MS Mincho" w:cs="Verdana"/>
          <w:sz w:val="20"/>
          <w:szCs w:val="20"/>
          <w:lang w:bidi="en-US"/>
        </w:rPr>
        <w:t xml:space="preserve">El Estado </w:t>
      </w:r>
      <w:r w:rsidRPr="00983CFD">
        <w:rPr>
          <w:rFonts w:eastAsia="MS Mincho" w:cs="Verdana"/>
          <w:sz w:val="20"/>
          <w:szCs w:val="20"/>
          <w:lang w:bidi="en-US"/>
        </w:rPr>
        <w:t>debe, dentro de un plazo razonable, determinar, por intermedio de las instituciones públicas competentes, las eventuales responsabilidades de los funcionarios que contribuyeron con su actuación a la demora del proceso y a la denegación de justicia y, en la medida que corresponda, aplicar las consecuencias que la ley prevea</w:t>
      </w:r>
      <w:r>
        <w:rPr>
          <w:rFonts w:eastAsia="MS Mincho" w:cs="Verdana"/>
          <w:sz w:val="20"/>
          <w:szCs w:val="20"/>
          <w:lang w:bidi="en-US"/>
        </w:rPr>
        <w:t>,</w:t>
      </w:r>
      <w:r w:rsidRPr="00983CFD">
        <w:rPr>
          <w:sz w:val="20"/>
          <w:szCs w:val="20"/>
        </w:rPr>
        <w:t xml:space="preserve"> </w:t>
      </w:r>
      <w:r w:rsidRPr="0001748B">
        <w:rPr>
          <w:sz w:val="20"/>
          <w:szCs w:val="20"/>
        </w:rPr>
        <w:t xml:space="preserve">en los términos del párrafo </w:t>
      </w:r>
      <w:r w:rsidR="007A216B">
        <w:rPr>
          <w:sz w:val="20"/>
          <w:szCs w:val="20"/>
        </w:rPr>
        <w:t>194</w:t>
      </w:r>
      <w:r>
        <w:rPr>
          <w:sz w:val="20"/>
          <w:szCs w:val="20"/>
        </w:rPr>
        <w:t xml:space="preserve"> </w:t>
      </w:r>
      <w:r w:rsidRPr="0001748B">
        <w:rPr>
          <w:sz w:val="20"/>
          <w:szCs w:val="20"/>
        </w:rPr>
        <w:t>de la presente Sentencia.</w:t>
      </w:r>
    </w:p>
    <w:p w:rsidR="00983CFD" w:rsidRPr="00125C44" w:rsidRDefault="00983CFD" w:rsidP="00125C44">
      <w:pPr>
        <w:widowControl/>
        <w:tabs>
          <w:tab w:val="left" w:pos="720"/>
        </w:tabs>
        <w:adjustRightInd/>
        <w:spacing w:line="240" w:lineRule="auto"/>
        <w:ind w:right="-90"/>
        <w:contextualSpacing/>
        <w:textAlignment w:val="auto"/>
        <w:rPr>
          <w:rFonts w:cs="TimesNewRomanPSMT"/>
          <w:sz w:val="20"/>
          <w:szCs w:val="20"/>
          <w:lang w:eastAsia="en-US" w:bidi="en-US"/>
        </w:rPr>
      </w:pPr>
    </w:p>
    <w:p w:rsidR="00A86EBF" w:rsidRPr="0001748B" w:rsidRDefault="00A86EBF" w:rsidP="00125C44">
      <w:pPr>
        <w:widowControl/>
        <w:numPr>
          <w:ilvl w:val="0"/>
          <w:numId w:val="16"/>
        </w:numPr>
        <w:tabs>
          <w:tab w:val="left" w:pos="720"/>
        </w:tabs>
        <w:adjustRightInd/>
        <w:spacing w:line="240" w:lineRule="auto"/>
        <w:ind w:right="-90"/>
        <w:contextualSpacing/>
        <w:textAlignment w:val="auto"/>
        <w:rPr>
          <w:rFonts w:cs="TimesNewRomanPSMT"/>
          <w:sz w:val="20"/>
          <w:szCs w:val="20"/>
          <w:lang w:eastAsia="en-US" w:bidi="en-US"/>
        </w:rPr>
      </w:pPr>
      <w:r w:rsidRPr="0001748B">
        <w:rPr>
          <w:rFonts w:eastAsia="MS Mincho" w:cs="Verdana"/>
          <w:sz w:val="20"/>
          <w:szCs w:val="20"/>
          <w:lang w:bidi="en-US"/>
        </w:rPr>
        <w:t xml:space="preserve">El Estado debe adoptar todas las medidas necesarias para </w:t>
      </w:r>
      <w:r w:rsidRPr="0001748B">
        <w:rPr>
          <w:rFonts w:cs="TimesNewRomanPSMT"/>
          <w:sz w:val="20"/>
          <w:szCs w:val="20"/>
          <w:lang w:eastAsia="en-US" w:bidi="en-US"/>
        </w:rPr>
        <w:t>que las víctimas o sus representantes, en particular el señor Edgar Humberto Ortiz Ruiz y la señora Zaida Hernández de Arellano, cuenten con las debidas garantías de seguridad para continuar con su búsqueda de justicia, en acuerdo y coordinación con las mismas</w:t>
      </w:r>
      <w:r w:rsidRPr="0001748B">
        <w:rPr>
          <w:rFonts w:eastAsia="MS Mincho" w:cs="Verdana"/>
          <w:sz w:val="20"/>
          <w:szCs w:val="20"/>
          <w:lang w:bidi="en-US"/>
        </w:rPr>
        <w:t xml:space="preserve">, </w:t>
      </w:r>
      <w:r w:rsidRPr="0001748B">
        <w:rPr>
          <w:sz w:val="20"/>
          <w:szCs w:val="20"/>
        </w:rPr>
        <w:t>en los términos del párrafo</w:t>
      </w:r>
      <w:r w:rsidR="003C7EEF">
        <w:rPr>
          <w:sz w:val="20"/>
          <w:szCs w:val="20"/>
        </w:rPr>
        <w:t xml:space="preserve"> 195 </w:t>
      </w:r>
      <w:r w:rsidRPr="0001748B">
        <w:rPr>
          <w:sz w:val="20"/>
          <w:szCs w:val="20"/>
        </w:rPr>
        <w:t>de la presente Sentencia.</w:t>
      </w:r>
    </w:p>
    <w:p w:rsidR="00A86EBF" w:rsidRPr="0001748B" w:rsidRDefault="00A86EBF" w:rsidP="00125C44">
      <w:pPr>
        <w:widowControl/>
        <w:tabs>
          <w:tab w:val="left" w:pos="720"/>
        </w:tabs>
        <w:adjustRightInd/>
        <w:spacing w:line="240" w:lineRule="auto"/>
        <w:ind w:right="-90"/>
        <w:contextualSpacing/>
        <w:textAlignment w:val="auto"/>
        <w:rPr>
          <w:sz w:val="20"/>
          <w:szCs w:val="20"/>
        </w:rPr>
      </w:pPr>
    </w:p>
    <w:p w:rsidR="005F61FF" w:rsidRPr="0001748B" w:rsidRDefault="005F61FF" w:rsidP="005F61FF">
      <w:pPr>
        <w:widowControl/>
        <w:numPr>
          <w:ilvl w:val="0"/>
          <w:numId w:val="16"/>
        </w:numPr>
        <w:tabs>
          <w:tab w:val="left" w:pos="720"/>
        </w:tabs>
        <w:adjustRightInd/>
        <w:spacing w:line="240" w:lineRule="auto"/>
        <w:ind w:right="-90"/>
        <w:contextualSpacing/>
        <w:textAlignment w:val="auto"/>
        <w:rPr>
          <w:bCs/>
          <w:sz w:val="20"/>
          <w:szCs w:val="20"/>
        </w:rPr>
      </w:pPr>
      <w:r w:rsidRPr="0001748B">
        <w:rPr>
          <w:bCs/>
          <w:sz w:val="20"/>
          <w:szCs w:val="20"/>
        </w:rPr>
        <w:t>El Estado debe brindar gratuitamente, a través de sus instituciones de salud especializadas, y de forma inmediata, adecuada y efectiva, el tratamiento psicológico y/o psiquiátrico, a la</w:t>
      </w:r>
      <w:r w:rsidR="00A86EBF" w:rsidRPr="00125C44">
        <w:rPr>
          <w:bCs/>
          <w:sz w:val="20"/>
          <w:szCs w:val="20"/>
        </w:rPr>
        <w:t>s</w:t>
      </w:r>
      <w:r w:rsidRPr="0001748B">
        <w:rPr>
          <w:bCs/>
          <w:sz w:val="20"/>
          <w:szCs w:val="20"/>
        </w:rPr>
        <w:t xml:space="preserve"> </w:t>
      </w:r>
      <w:r w:rsidR="00A86EBF" w:rsidRPr="00125C44">
        <w:rPr>
          <w:bCs/>
          <w:sz w:val="20"/>
          <w:szCs w:val="20"/>
        </w:rPr>
        <w:t>víctimas que así lo soliciten</w:t>
      </w:r>
      <w:r w:rsidRPr="0001748B">
        <w:rPr>
          <w:bCs/>
          <w:sz w:val="20"/>
          <w:szCs w:val="20"/>
        </w:rPr>
        <w:t xml:space="preserve">, de conformidad con lo establecido en el párrafo </w:t>
      </w:r>
      <w:r w:rsidR="003C7EEF">
        <w:rPr>
          <w:bCs/>
          <w:sz w:val="20"/>
          <w:szCs w:val="20"/>
        </w:rPr>
        <w:t>199</w:t>
      </w:r>
      <w:r w:rsidR="003C7EEF" w:rsidRPr="0001748B">
        <w:rPr>
          <w:bCs/>
          <w:sz w:val="20"/>
          <w:szCs w:val="20"/>
        </w:rPr>
        <w:t xml:space="preserve"> </w:t>
      </w:r>
      <w:r w:rsidRPr="0001748B">
        <w:rPr>
          <w:bCs/>
          <w:sz w:val="20"/>
          <w:szCs w:val="20"/>
        </w:rPr>
        <w:t>de esta Sentencia.</w:t>
      </w:r>
    </w:p>
    <w:p w:rsidR="005F61FF" w:rsidRPr="0001748B" w:rsidRDefault="005F61FF" w:rsidP="005F61FF">
      <w:pPr>
        <w:pStyle w:val="Prrafodelista2"/>
        <w:ind w:left="0" w:right="-90"/>
        <w:contextualSpacing/>
        <w:rPr>
          <w:bCs/>
          <w:lang w:val="es-CR"/>
        </w:rPr>
      </w:pPr>
    </w:p>
    <w:p w:rsidR="005F61FF" w:rsidRPr="0001748B" w:rsidRDefault="005F61FF" w:rsidP="005F61FF">
      <w:pPr>
        <w:widowControl/>
        <w:numPr>
          <w:ilvl w:val="0"/>
          <w:numId w:val="16"/>
        </w:numPr>
        <w:tabs>
          <w:tab w:val="left" w:pos="720"/>
        </w:tabs>
        <w:adjustRightInd/>
        <w:spacing w:line="240" w:lineRule="auto"/>
        <w:ind w:right="-90"/>
        <w:contextualSpacing/>
        <w:textAlignment w:val="auto"/>
        <w:rPr>
          <w:bCs/>
          <w:sz w:val="20"/>
          <w:szCs w:val="20"/>
        </w:rPr>
      </w:pPr>
      <w:r w:rsidRPr="0001748B">
        <w:rPr>
          <w:bCs/>
          <w:sz w:val="20"/>
          <w:szCs w:val="20"/>
        </w:rPr>
        <w:t>El Estado debe realizar las publicaciones</w:t>
      </w:r>
      <w:r w:rsidR="008D747B">
        <w:rPr>
          <w:bCs/>
          <w:sz w:val="20"/>
          <w:szCs w:val="20"/>
        </w:rPr>
        <w:t xml:space="preserve"> y </w:t>
      </w:r>
      <w:r w:rsidR="008D747B" w:rsidRPr="008031E5">
        <w:rPr>
          <w:bCs/>
          <w:sz w:val="20"/>
          <w:szCs w:val="20"/>
        </w:rPr>
        <w:t xml:space="preserve">la </w:t>
      </w:r>
      <w:r w:rsidR="00E4090F" w:rsidRPr="008031E5">
        <w:rPr>
          <w:bCs/>
          <w:sz w:val="20"/>
          <w:szCs w:val="20"/>
        </w:rPr>
        <w:t>radiodifusión</w:t>
      </w:r>
      <w:r w:rsidRPr="003C7EEF">
        <w:rPr>
          <w:bCs/>
          <w:sz w:val="20"/>
          <w:szCs w:val="20"/>
        </w:rPr>
        <w:t xml:space="preserve"> </w:t>
      </w:r>
      <w:r w:rsidRPr="0001748B">
        <w:rPr>
          <w:bCs/>
          <w:sz w:val="20"/>
          <w:szCs w:val="20"/>
        </w:rPr>
        <w:t>indicadas en l</w:t>
      </w:r>
      <w:r w:rsidR="00A86EBF" w:rsidRPr="0001748B">
        <w:rPr>
          <w:bCs/>
          <w:sz w:val="20"/>
          <w:szCs w:val="20"/>
        </w:rPr>
        <w:t>os</w:t>
      </w:r>
      <w:r w:rsidRPr="0001748B">
        <w:rPr>
          <w:bCs/>
          <w:sz w:val="20"/>
          <w:szCs w:val="20"/>
        </w:rPr>
        <w:t xml:space="preserve"> párrafo</w:t>
      </w:r>
      <w:r w:rsidR="00A86EBF" w:rsidRPr="0001748B">
        <w:rPr>
          <w:bCs/>
          <w:sz w:val="20"/>
          <w:szCs w:val="20"/>
        </w:rPr>
        <w:t>s</w:t>
      </w:r>
      <w:r w:rsidRPr="0001748B">
        <w:rPr>
          <w:bCs/>
          <w:sz w:val="20"/>
          <w:szCs w:val="20"/>
        </w:rPr>
        <w:t xml:space="preserve"> </w:t>
      </w:r>
      <w:r w:rsidR="003C7EEF">
        <w:rPr>
          <w:bCs/>
          <w:sz w:val="20"/>
          <w:szCs w:val="20"/>
        </w:rPr>
        <w:t>203 a 205</w:t>
      </w:r>
      <w:r w:rsidR="003C7EEF" w:rsidRPr="0001748B">
        <w:rPr>
          <w:bCs/>
          <w:sz w:val="20"/>
          <w:szCs w:val="20"/>
        </w:rPr>
        <w:t xml:space="preserve"> </w:t>
      </w:r>
      <w:r w:rsidRPr="0001748B">
        <w:rPr>
          <w:bCs/>
          <w:sz w:val="20"/>
          <w:szCs w:val="20"/>
        </w:rPr>
        <w:t>de la presente Sentencia.</w:t>
      </w:r>
    </w:p>
    <w:p w:rsidR="005F61FF" w:rsidRPr="0001748B" w:rsidRDefault="005F61FF" w:rsidP="005F61FF">
      <w:pPr>
        <w:pStyle w:val="Prrafodelista2"/>
        <w:ind w:left="0" w:right="-90"/>
        <w:contextualSpacing/>
        <w:jc w:val="both"/>
        <w:rPr>
          <w:bCs/>
          <w:lang w:val="es-CR"/>
        </w:rPr>
      </w:pPr>
    </w:p>
    <w:p w:rsidR="005F61FF" w:rsidRPr="00F66A11" w:rsidRDefault="005F61FF" w:rsidP="005F61FF">
      <w:pPr>
        <w:widowControl/>
        <w:numPr>
          <w:ilvl w:val="0"/>
          <w:numId w:val="16"/>
        </w:numPr>
        <w:tabs>
          <w:tab w:val="left" w:pos="720"/>
        </w:tabs>
        <w:adjustRightInd/>
        <w:spacing w:line="240" w:lineRule="auto"/>
        <w:ind w:right="-90"/>
        <w:contextualSpacing/>
        <w:textAlignment w:val="auto"/>
        <w:rPr>
          <w:bCs/>
          <w:sz w:val="20"/>
          <w:szCs w:val="20"/>
        </w:rPr>
      </w:pPr>
      <w:r w:rsidRPr="0001748B">
        <w:rPr>
          <w:bCs/>
          <w:sz w:val="20"/>
          <w:szCs w:val="20"/>
        </w:rPr>
        <w:t>El Estado debe realizar un acto público de reconocimiento de responsabilidad internacional por los hechos del presen</w:t>
      </w:r>
      <w:r w:rsidRPr="00F66A11">
        <w:rPr>
          <w:bCs/>
          <w:sz w:val="20"/>
          <w:szCs w:val="20"/>
        </w:rPr>
        <w:t xml:space="preserve">te caso, de conformidad con lo establecido en el párrafo </w:t>
      </w:r>
      <w:r w:rsidR="003C7EEF">
        <w:rPr>
          <w:bCs/>
          <w:sz w:val="20"/>
          <w:szCs w:val="20"/>
        </w:rPr>
        <w:t>209</w:t>
      </w:r>
      <w:r w:rsidR="003C7EEF" w:rsidRPr="00F66A11">
        <w:rPr>
          <w:bCs/>
          <w:sz w:val="20"/>
          <w:szCs w:val="20"/>
        </w:rPr>
        <w:t xml:space="preserve"> </w:t>
      </w:r>
      <w:r w:rsidRPr="00F66A11">
        <w:rPr>
          <w:bCs/>
          <w:sz w:val="20"/>
          <w:szCs w:val="20"/>
        </w:rPr>
        <w:t>de la presente Sentencia.</w:t>
      </w:r>
    </w:p>
    <w:p w:rsidR="005F61FF" w:rsidRPr="00F66A11" w:rsidRDefault="005F61FF" w:rsidP="005F61FF">
      <w:pPr>
        <w:spacing w:line="240" w:lineRule="auto"/>
        <w:rPr>
          <w:sz w:val="20"/>
          <w:szCs w:val="20"/>
        </w:rPr>
      </w:pPr>
    </w:p>
    <w:p w:rsidR="000D0059" w:rsidRPr="00F66A11" w:rsidRDefault="000D0059" w:rsidP="00125C44">
      <w:pPr>
        <w:widowControl/>
        <w:numPr>
          <w:ilvl w:val="0"/>
          <w:numId w:val="16"/>
        </w:numPr>
        <w:tabs>
          <w:tab w:val="left" w:pos="720"/>
        </w:tabs>
        <w:adjustRightInd/>
        <w:spacing w:line="240" w:lineRule="auto"/>
        <w:ind w:right="-90"/>
        <w:contextualSpacing/>
        <w:textAlignment w:val="auto"/>
        <w:rPr>
          <w:sz w:val="20"/>
          <w:szCs w:val="20"/>
        </w:rPr>
      </w:pPr>
      <w:r w:rsidRPr="00F66A11">
        <w:rPr>
          <w:sz w:val="20"/>
          <w:szCs w:val="20"/>
        </w:rPr>
        <w:t xml:space="preserve">El Estado debe </w:t>
      </w:r>
      <w:r w:rsidR="00E2394C" w:rsidRPr="00F66A11">
        <w:rPr>
          <w:bCs/>
          <w:sz w:val="20"/>
          <w:szCs w:val="20"/>
        </w:rPr>
        <w:t>designar</w:t>
      </w:r>
      <w:r w:rsidRPr="00F66A11">
        <w:rPr>
          <w:sz w:val="20"/>
          <w:szCs w:val="20"/>
        </w:rPr>
        <w:t xml:space="preserve"> con el nombre de Johan Alexis Ortiz Hernández una promoción de egresados de la Escuela de Formación de Guardia</w:t>
      </w:r>
      <w:r w:rsidR="00A6213A">
        <w:rPr>
          <w:sz w:val="20"/>
          <w:szCs w:val="20"/>
        </w:rPr>
        <w:t>s</w:t>
      </w:r>
      <w:r w:rsidRPr="00F66A11">
        <w:rPr>
          <w:sz w:val="20"/>
          <w:szCs w:val="20"/>
        </w:rPr>
        <w:t xml:space="preserve"> Nacional</w:t>
      </w:r>
      <w:r w:rsidR="00A6213A">
        <w:rPr>
          <w:sz w:val="20"/>
          <w:szCs w:val="20"/>
        </w:rPr>
        <w:t>es</w:t>
      </w:r>
      <w:r w:rsidRPr="00F66A11">
        <w:rPr>
          <w:bCs/>
          <w:sz w:val="20"/>
          <w:szCs w:val="20"/>
        </w:rPr>
        <w:t xml:space="preserve">, de conformidad con lo establecido en el párrafo </w:t>
      </w:r>
      <w:r w:rsidR="003C7EEF">
        <w:rPr>
          <w:bCs/>
          <w:sz w:val="20"/>
          <w:szCs w:val="20"/>
        </w:rPr>
        <w:t>212</w:t>
      </w:r>
      <w:r w:rsidR="003C7EEF" w:rsidRPr="00F66A11">
        <w:rPr>
          <w:bCs/>
          <w:sz w:val="20"/>
          <w:szCs w:val="20"/>
        </w:rPr>
        <w:t xml:space="preserve"> </w:t>
      </w:r>
      <w:r w:rsidRPr="00F66A11">
        <w:rPr>
          <w:bCs/>
          <w:sz w:val="20"/>
          <w:szCs w:val="20"/>
        </w:rPr>
        <w:t>de la presente Sentencia.</w:t>
      </w:r>
    </w:p>
    <w:p w:rsidR="005F61FF" w:rsidRPr="00F66A11" w:rsidRDefault="005F61FF" w:rsidP="005F61FF">
      <w:pPr>
        <w:spacing w:line="240" w:lineRule="auto"/>
        <w:rPr>
          <w:sz w:val="20"/>
          <w:szCs w:val="20"/>
        </w:rPr>
      </w:pPr>
    </w:p>
    <w:p w:rsidR="00E2394C" w:rsidRPr="00F66A11" w:rsidRDefault="00E2394C" w:rsidP="00E2394C">
      <w:pPr>
        <w:widowControl/>
        <w:numPr>
          <w:ilvl w:val="0"/>
          <w:numId w:val="16"/>
        </w:numPr>
        <w:tabs>
          <w:tab w:val="left" w:pos="720"/>
        </w:tabs>
        <w:adjustRightInd/>
        <w:spacing w:line="240" w:lineRule="auto"/>
        <w:ind w:right="-90"/>
        <w:contextualSpacing/>
        <w:textAlignment w:val="auto"/>
        <w:rPr>
          <w:bCs/>
          <w:sz w:val="20"/>
          <w:szCs w:val="20"/>
        </w:rPr>
      </w:pPr>
      <w:r w:rsidRPr="00F66A11">
        <w:rPr>
          <w:sz w:val="20"/>
          <w:szCs w:val="20"/>
          <w:lang w:val="es-ES" w:eastAsia="x-none"/>
        </w:rPr>
        <w:t xml:space="preserve">El Estado debe, </w:t>
      </w:r>
      <w:r w:rsidR="008D747B" w:rsidRPr="00F66A11">
        <w:rPr>
          <w:sz w:val="20"/>
          <w:szCs w:val="20"/>
          <w:lang w:val="es-ES" w:eastAsia="x-none"/>
        </w:rPr>
        <w:t>de acuerdo a la naturaleza y finalidad de cada ejercicio en el ámbito de la instrucción militar de los estudiantes de la Escuela de Formación de Guardias Nacionales, establecer de forma expresa el tipo de municiones a utilizarse y, en su caso, justificar de forma estricta la necesidad militar de utilizar balas reales en un ejercicio en concreto</w:t>
      </w:r>
      <w:r w:rsidRPr="00F66A11">
        <w:rPr>
          <w:sz w:val="20"/>
          <w:szCs w:val="20"/>
          <w:lang w:val="es-ES" w:eastAsia="x-none"/>
        </w:rPr>
        <w:t xml:space="preserve">, de conformidad con lo establecido en el párrafo </w:t>
      </w:r>
      <w:r w:rsidR="003C7EEF">
        <w:rPr>
          <w:sz w:val="20"/>
          <w:szCs w:val="20"/>
          <w:lang w:val="es-ES" w:eastAsia="x-none"/>
        </w:rPr>
        <w:t>217</w:t>
      </w:r>
      <w:r w:rsidR="003C7EEF" w:rsidRPr="00F66A11">
        <w:rPr>
          <w:sz w:val="20"/>
          <w:szCs w:val="20"/>
          <w:lang w:val="es-ES" w:eastAsia="x-none"/>
        </w:rPr>
        <w:t xml:space="preserve"> </w:t>
      </w:r>
      <w:r w:rsidRPr="00F66A11">
        <w:rPr>
          <w:sz w:val="20"/>
          <w:szCs w:val="20"/>
          <w:lang w:val="es-ES" w:eastAsia="x-none"/>
        </w:rPr>
        <w:t>de la presente Sentencia.</w:t>
      </w:r>
    </w:p>
    <w:p w:rsidR="00E2394C" w:rsidRPr="00F66A11" w:rsidRDefault="00E2394C" w:rsidP="00E2394C">
      <w:pPr>
        <w:widowControl/>
        <w:tabs>
          <w:tab w:val="left" w:pos="720"/>
        </w:tabs>
        <w:adjustRightInd/>
        <w:spacing w:line="240" w:lineRule="auto"/>
        <w:ind w:right="-90"/>
        <w:contextualSpacing/>
        <w:textAlignment w:val="auto"/>
        <w:rPr>
          <w:bCs/>
          <w:sz w:val="20"/>
          <w:szCs w:val="20"/>
        </w:rPr>
      </w:pPr>
    </w:p>
    <w:p w:rsidR="005F61FF" w:rsidRPr="0001748B" w:rsidRDefault="005F61FF" w:rsidP="005F61FF">
      <w:pPr>
        <w:widowControl/>
        <w:numPr>
          <w:ilvl w:val="0"/>
          <w:numId w:val="16"/>
        </w:numPr>
        <w:tabs>
          <w:tab w:val="left" w:pos="720"/>
        </w:tabs>
        <w:adjustRightInd/>
        <w:spacing w:line="240" w:lineRule="auto"/>
        <w:ind w:right="-90"/>
        <w:contextualSpacing/>
        <w:textAlignment w:val="auto"/>
        <w:rPr>
          <w:bCs/>
          <w:sz w:val="20"/>
          <w:szCs w:val="20"/>
        </w:rPr>
      </w:pPr>
      <w:r w:rsidRPr="0001748B">
        <w:rPr>
          <w:bCs/>
          <w:sz w:val="20"/>
          <w:szCs w:val="20"/>
        </w:rPr>
        <w:t xml:space="preserve">El </w:t>
      </w:r>
      <w:r w:rsidRPr="0001748B">
        <w:rPr>
          <w:sz w:val="20"/>
          <w:szCs w:val="20"/>
        </w:rPr>
        <w:t>Estado</w:t>
      </w:r>
      <w:r w:rsidRPr="0001748B">
        <w:rPr>
          <w:bCs/>
          <w:sz w:val="20"/>
          <w:szCs w:val="20"/>
        </w:rPr>
        <w:t xml:space="preserve"> debe pagar las cantidades fijadas en los párrafos </w:t>
      </w:r>
      <w:r w:rsidR="00B92DFF">
        <w:rPr>
          <w:bCs/>
          <w:sz w:val="20"/>
          <w:szCs w:val="20"/>
        </w:rPr>
        <w:t>235</w:t>
      </w:r>
      <w:r w:rsidR="002D7C36" w:rsidRPr="0001748B">
        <w:rPr>
          <w:bCs/>
          <w:sz w:val="20"/>
          <w:szCs w:val="20"/>
        </w:rPr>
        <w:t xml:space="preserve">, </w:t>
      </w:r>
      <w:r w:rsidR="001874E9">
        <w:rPr>
          <w:bCs/>
          <w:sz w:val="20"/>
          <w:szCs w:val="20"/>
        </w:rPr>
        <w:t>239, 246, 247</w:t>
      </w:r>
      <w:r w:rsidR="00BD3EEA">
        <w:rPr>
          <w:bCs/>
          <w:sz w:val="20"/>
          <w:szCs w:val="20"/>
        </w:rPr>
        <w:t>,</w:t>
      </w:r>
      <w:r w:rsidRPr="0001748B">
        <w:rPr>
          <w:bCs/>
          <w:sz w:val="20"/>
          <w:szCs w:val="20"/>
        </w:rPr>
        <w:t xml:space="preserve"> </w:t>
      </w:r>
      <w:r w:rsidR="001874E9">
        <w:rPr>
          <w:bCs/>
          <w:sz w:val="20"/>
          <w:szCs w:val="20"/>
        </w:rPr>
        <w:t>248</w:t>
      </w:r>
      <w:r w:rsidR="00BD3EEA">
        <w:rPr>
          <w:bCs/>
          <w:sz w:val="20"/>
          <w:szCs w:val="20"/>
        </w:rPr>
        <w:t xml:space="preserve"> y 255</w:t>
      </w:r>
      <w:r w:rsidRPr="0001748B">
        <w:rPr>
          <w:bCs/>
          <w:sz w:val="20"/>
          <w:szCs w:val="20"/>
        </w:rPr>
        <w:t xml:space="preserve"> de la presente Sentencia, por concepto de indemnización por daño material e inmaterial, y por el reintegro de costas y gastos, en los términos de los referidos párrafos y de los párrafos </w:t>
      </w:r>
      <w:r w:rsidR="00BD3EEA">
        <w:rPr>
          <w:bCs/>
          <w:sz w:val="20"/>
          <w:szCs w:val="20"/>
        </w:rPr>
        <w:t>260</w:t>
      </w:r>
      <w:r w:rsidR="00BD3EEA" w:rsidRPr="0001748B">
        <w:rPr>
          <w:bCs/>
          <w:sz w:val="20"/>
          <w:szCs w:val="20"/>
        </w:rPr>
        <w:t xml:space="preserve"> </w:t>
      </w:r>
      <w:r w:rsidRPr="0001748B">
        <w:rPr>
          <w:bCs/>
          <w:sz w:val="20"/>
          <w:szCs w:val="20"/>
        </w:rPr>
        <w:t xml:space="preserve">a </w:t>
      </w:r>
      <w:r w:rsidR="00BD3EEA">
        <w:rPr>
          <w:bCs/>
          <w:sz w:val="20"/>
          <w:szCs w:val="20"/>
        </w:rPr>
        <w:t>265</w:t>
      </w:r>
      <w:r w:rsidR="00BD3EEA" w:rsidRPr="0001748B">
        <w:rPr>
          <w:bCs/>
          <w:sz w:val="20"/>
          <w:szCs w:val="20"/>
        </w:rPr>
        <w:t>.</w:t>
      </w:r>
    </w:p>
    <w:p w:rsidR="005F61FF" w:rsidRPr="0001748B" w:rsidRDefault="005F61FF" w:rsidP="005F61FF">
      <w:pPr>
        <w:pStyle w:val="Prrafodelista2"/>
        <w:ind w:left="0" w:right="-90"/>
        <w:contextualSpacing/>
        <w:jc w:val="both"/>
        <w:rPr>
          <w:bCs/>
          <w:lang w:val="es-CR"/>
        </w:rPr>
      </w:pPr>
    </w:p>
    <w:p w:rsidR="005F61FF" w:rsidRPr="0001748B" w:rsidRDefault="005F61FF" w:rsidP="005F61FF">
      <w:pPr>
        <w:widowControl/>
        <w:numPr>
          <w:ilvl w:val="0"/>
          <w:numId w:val="16"/>
        </w:numPr>
        <w:tabs>
          <w:tab w:val="left" w:pos="720"/>
        </w:tabs>
        <w:adjustRightInd/>
        <w:spacing w:line="240" w:lineRule="auto"/>
        <w:ind w:right="-90"/>
        <w:contextualSpacing/>
        <w:textAlignment w:val="auto"/>
        <w:rPr>
          <w:sz w:val="20"/>
          <w:szCs w:val="20"/>
        </w:rPr>
      </w:pPr>
      <w:r w:rsidRPr="0001748B">
        <w:rPr>
          <w:sz w:val="20"/>
          <w:szCs w:val="20"/>
        </w:rPr>
        <w:t xml:space="preserve">El Estado debe reintegrar al Fondo de Asistencia Legal de Víctimas de la Corte Interamericana de Derechos Humanos la cantidad erogada durante la tramitación del presente caso, en los términos de los párrafos </w:t>
      </w:r>
      <w:r w:rsidR="00BD3EEA">
        <w:rPr>
          <w:sz w:val="20"/>
          <w:szCs w:val="20"/>
        </w:rPr>
        <w:t>259</w:t>
      </w:r>
      <w:r w:rsidR="00BD3EEA" w:rsidRPr="0001748B">
        <w:rPr>
          <w:sz w:val="20"/>
          <w:szCs w:val="20"/>
        </w:rPr>
        <w:t xml:space="preserve"> </w:t>
      </w:r>
      <w:r w:rsidRPr="0001748B">
        <w:rPr>
          <w:sz w:val="20"/>
          <w:szCs w:val="20"/>
        </w:rPr>
        <w:t xml:space="preserve">y </w:t>
      </w:r>
      <w:r w:rsidR="00BD3EEA">
        <w:rPr>
          <w:sz w:val="20"/>
          <w:szCs w:val="20"/>
        </w:rPr>
        <w:t>265</w:t>
      </w:r>
      <w:r w:rsidR="00BD3EEA" w:rsidRPr="0001748B">
        <w:rPr>
          <w:sz w:val="20"/>
          <w:szCs w:val="20"/>
        </w:rPr>
        <w:t xml:space="preserve"> </w:t>
      </w:r>
      <w:r w:rsidRPr="0001748B">
        <w:rPr>
          <w:sz w:val="20"/>
          <w:szCs w:val="20"/>
        </w:rPr>
        <w:t>de esta Sentencia.</w:t>
      </w:r>
    </w:p>
    <w:p w:rsidR="005F61FF" w:rsidRPr="0001748B" w:rsidRDefault="005F61FF" w:rsidP="005F61FF">
      <w:pPr>
        <w:pStyle w:val="Prrafodelista2"/>
        <w:ind w:left="0" w:right="-90"/>
        <w:contextualSpacing/>
        <w:jc w:val="both"/>
        <w:rPr>
          <w:bCs/>
          <w:lang w:val="es-CR"/>
        </w:rPr>
      </w:pPr>
    </w:p>
    <w:p w:rsidR="005F61FF" w:rsidRPr="0001748B" w:rsidRDefault="005F61FF" w:rsidP="005F61FF">
      <w:pPr>
        <w:widowControl/>
        <w:numPr>
          <w:ilvl w:val="0"/>
          <w:numId w:val="16"/>
        </w:numPr>
        <w:tabs>
          <w:tab w:val="left" w:pos="720"/>
        </w:tabs>
        <w:adjustRightInd/>
        <w:spacing w:line="240" w:lineRule="auto"/>
        <w:ind w:right="-90"/>
        <w:contextualSpacing/>
        <w:textAlignment w:val="auto"/>
        <w:rPr>
          <w:bCs/>
          <w:sz w:val="20"/>
          <w:szCs w:val="20"/>
        </w:rPr>
      </w:pPr>
      <w:r w:rsidRPr="0001748B">
        <w:rPr>
          <w:bCs/>
          <w:sz w:val="20"/>
          <w:szCs w:val="20"/>
        </w:rPr>
        <w:t xml:space="preserve">El Estado debe, dentro del plazo de un año contado a partir de la notificación de esta Sentencia, rendir al Tribunal un informe sobre las medidas adoptadas para cumplir con la misma, sin perjuicio de lo establecido en el párrafo </w:t>
      </w:r>
      <w:r w:rsidR="00DE1E86">
        <w:rPr>
          <w:bCs/>
          <w:sz w:val="20"/>
          <w:szCs w:val="20"/>
        </w:rPr>
        <w:t>205</w:t>
      </w:r>
      <w:r w:rsidR="00DE1E86" w:rsidRPr="0001748B">
        <w:rPr>
          <w:bCs/>
          <w:sz w:val="20"/>
          <w:szCs w:val="20"/>
        </w:rPr>
        <w:t xml:space="preserve"> </w:t>
      </w:r>
      <w:r w:rsidRPr="0001748B">
        <w:rPr>
          <w:bCs/>
          <w:sz w:val="20"/>
          <w:szCs w:val="20"/>
        </w:rPr>
        <w:t>de la presente Sentencia.</w:t>
      </w:r>
    </w:p>
    <w:p w:rsidR="005F61FF" w:rsidRPr="0001748B" w:rsidRDefault="005F61FF" w:rsidP="005F61FF">
      <w:pPr>
        <w:pStyle w:val="Prrafodelista2"/>
        <w:ind w:left="0" w:right="-90"/>
        <w:contextualSpacing/>
        <w:jc w:val="both"/>
        <w:rPr>
          <w:bCs/>
          <w:lang w:val="es-CR"/>
        </w:rPr>
      </w:pPr>
    </w:p>
    <w:p w:rsidR="005F61FF" w:rsidRPr="0001748B" w:rsidRDefault="005F61FF" w:rsidP="005F61FF">
      <w:pPr>
        <w:widowControl/>
        <w:numPr>
          <w:ilvl w:val="0"/>
          <w:numId w:val="16"/>
        </w:numPr>
        <w:tabs>
          <w:tab w:val="left" w:pos="720"/>
        </w:tabs>
        <w:adjustRightInd/>
        <w:spacing w:line="240" w:lineRule="auto"/>
        <w:ind w:right="-90"/>
        <w:contextualSpacing/>
        <w:textAlignment w:val="auto"/>
        <w:rPr>
          <w:bCs/>
          <w:sz w:val="20"/>
          <w:szCs w:val="20"/>
        </w:rPr>
      </w:pPr>
      <w:r w:rsidRPr="0001748B">
        <w:rPr>
          <w:bCs/>
          <w:sz w:val="20"/>
          <w:szCs w:val="20"/>
        </w:rPr>
        <w:lastRenderedPageBreak/>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rsidR="005F61FF" w:rsidRPr="0001748B" w:rsidRDefault="005F61FF" w:rsidP="005F61FF">
      <w:pPr>
        <w:widowControl/>
        <w:tabs>
          <w:tab w:val="left" w:pos="720"/>
        </w:tabs>
        <w:adjustRightInd/>
        <w:spacing w:line="240" w:lineRule="auto"/>
        <w:ind w:right="-90"/>
        <w:contextualSpacing/>
        <w:textAlignment w:val="auto"/>
        <w:rPr>
          <w:bCs/>
          <w:sz w:val="20"/>
          <w:szCs w:val="20"/>
        </w:rPr>
      </w:pPr>
    </w:p>
    <w:p w:rsidR="005F61FF" w:rsidRPr="0001748B" w:rsidRDefault="005F61FF" w:rsidP="005F61FF">
      <w:pPr>
        <w:widowControl/>
        <w:tabs>
          <w:tab w:val="left" w:pos="720"/>
        </w:tabs>
        <w:adjustRightInd/>
        <w:spacing w:line="240" w:lineRule="auto"/>
        <w:ind w:right="-90"/>
        <w:contextualSpacing/>
        <w:textAlignment w:val="auto"/>
        <w:rPr>
          <w:bCs/>
          <w:sz w:val="20"/>
          <w:szCs w:val="20"/>
        </w:rPr>
      </w:pPr>
      <w:r w:rsidRPr="0001748B">
        <w:rPr>
          <w:bCs/>
          <w:sz w:val="20"/>
          <w:szCs w:val="20"/>
        </w:rPr>
        <w:t>Redactada en españo</w:t>
      </w:r>
      <w:r w:rsidR="00F66A11">
        <w:rPr>
          <w:bCs/>
          <w:sz w:val="20"/>
          <w:szCs w:val="20"/>
        </w:rPr>
        <w:t>l en San José, Costa Rica, el 22</w:t>
      </w:r>
      <w:r w:rsidRPr="0001748B">
        <w:rPr>
          <w:bCs/>
          <w:sz w:val="20"/>
          <w:szCs w:val="20"/>
        </w:rPr>
        <w:t xml:space="preserve"> de </w:t>
      </w:r>
      <w:r w:rsidR="00D72164">
        <w:rPr>
          <w:bCs/>
          <w:sz w:val="20"/>
          <w:szCs w:val="20"/>
        </w:rPr>
        <w:t>agosto</w:t>
      </w:r>
      <w:r w:rsidRPr="0001748B">
        <w:rPr>
          <w:bCs/>
          <w:sz w:val="20"/>
          <w:szCs w:val="20"/>
        </w:rPr>
        <w:t xml:space="preserve"> de 2017.</w:t>
      </w:r>
    </w:p>
    <w:p w:rsidR="005F61FF" w:rsidRDefault="005F61FF"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5F61FF">
      <w:pPr>
        <w:tabs>
          <w:tab w:val="left" w:pos="567"/>
        </w:tabs>
        <w:spacing w:line="240" w:lineRule="auto"/>
        <w:rPr>
          <w:rFonts w:eastAsia="MS Mincho"/>
          <w:sz w:val="20"/>
          <w:szCs w:val="20"/>
          <w:lang w:bidi="en-US"/>
        </w:rPr>
      </w:pPr>
    </w:p>
    <w:p w:rsidR="008F7387" w:rsidRDefault="008F7387" w:rsidP="008F7387">
      <w:pPr>
        <w:rPr>
          <w:sz w:val="20"/>
          <w:lang w:val="es-ES"/>
        </w:rPr>
      </w:pPr>
      <w:r>
        <w:rPr>
          <w:sz w:val="20"/>
          <w:lang w:val="es-ES"/>
        </w:rPr>
        <w:lastRenderedPageBreak/>
        <w:t xml:space="preserve">Corte IDH. Caso </w:t>
      </w:r>
      <w:r>
        <w:rPr>
          <w:i/>
          <w:sz w:val="20"/>
          <w:lang w:val="es-ES"/>
        </w:rPr>
        <w:t>Ortiz Hernández y otros Vs. Venezuela</w:t>
      </w:r>
      <w:r>
        <w:rPr>
          <w:sz w:val="20"/>
          <w:lang w:val="es-ES"/>
        </w:rPr>
        <w:t>. Fondo, Reparaciones y Costas. Sentencia de 22 de agosto de 2017.</w:t>
      </w:r>
    </w:p>
    <w:p w:rsidR="008F7387" w:rsidRDefault="008F7387" w:rsidP="008F7387">
      <w:pPr>
        <w:rPr>
          <w:sz w:val="20"/>
          <w:lang w:val="pt-BR"/>
        </w:rPr>
      </w:pPr>
    </w:p>
    <w:p w:rsidR="008F7387" w:rsidRDefault="008F7387" w:rsidP="008F7387">
      <w:pPr>
        <w:rPr>
          <w:sz w:val="20"/>
          <w:lang w:val="pt-BR"/>
        </w:rPr>
      </w:pPr>
    </w:p>
    <w:p w:rsidR="008F7387" w:rsidRPr="00DA00D0" w:rsidRDefault="008F7387" w:rsidP="008F7387">
      <w:pPr>
        <w:rPr>
          <w:sz w:val="20"/>
          <w:lang w:val="pt-BR"/>
        </w:rPr>
      </w:pPr>
    </w:p>
    <w:p w:rsidR="008F7387" w:rsidRPr="00DA00D0" w:rsidRDefault="008F7387" w:rsidP="008F7387">
      <w:pPr>
        <w:jc w:val="center"/>
        <w:rPr>
          <w:sz w:val="20"/>
          <w:lang w:val="pt-BR"/>
        </w:rPr>
      </w:pPr>
      <w:r w:rsidRPr="00DA00D0">
        <w:rPr>
          <w:sz w:val="20"/>
          <w:lang w:val="pt-BR"/>
        </w:rPr>
        <w:t>Eduardo Ferrer Mac-Gregor Poisot</w:t>
      </w:r>
    </w:p>
    <w:p w:rsidR="008F7387" w:rsidRPr="00DA00D0" w:rsidRDefault="008F7387" w:rsidP="008F7387">
      <w:pPr>
        <w:jc w:val="center"/>
        <w:rPr>
          <w:sz w:val="20"/>
          <w:lang w:val="pt-BR"/>
        </w:rPr>
      </w:pPr>
      <w:r>
        <w:rPr>
          <w:sz w:val="20"/>
          <w:lang w:val="pt-BR"/>
        </w:rPr>
        <w:t>Presidente en Ejercicio</w:t>
      </w:r>
    </w:p>
    <w:p w:rsidR="008F7387" w:rsidRPr="00DA00D0" w:rsidRDefault="008F7387" w:rsidP="008F7387">
      <w:pPr>
        <w:rPr>
          <w:sz w:val="20"/>
          <w:lang w:val="pt-BR"/>
        </w:rPr>
      </w:pPr>
    </w:p>
    <w:p w:rsidR="008F7387" w:rsidRDefault="008F7387" w:rsidP="008F7387">
      <w:pPr>
        <w:rPr>
          <w:sz w:val="20"/>
          <w:lang w:val="pt-BR"/>
        </w:rPr>
      </w:pPr>
    </w:p>
    <w:p w:rsidR="008F7387" w:rsidRPr="00DA00D0" w:rsidRDefault="008F7387" w:rsidP="008F7387">
      <w:pPr>
        <w:rPr>
          <w:sz w:val="20"/>
          <w:lang w:val="pt-BR"/>
        </w:rPr>
      </w:pPr>
    </w:p>
    <w:p w:rsidR="008F7387" w:rsidRPr="00DA00D0" w:rsidRDefault="008F7387" w:rsidP="008F7387">
      <w:pPr>
        <w:rPr>
          <w:sz w:val="20"/>
          <w:lang w:val="pt-BR"/>
        </w:rPr>
      </w:pPr>
      <w:r w:rsidRPr="00DA00D0">
        <w:rPr>
          <w:sz w:val="20"/>
          <w:lang w:val="pt-BR"/>
        </w:rPr>
        <w:t xml:space="preserve"> E</w:t>
      </w:r>
      <w:r>
        <w:rPr>
          <w:sz w:val="20"/>
          <w:lang w:val="pt-BR"/>
        </w:rPr>
        <w:t>duardo Vio Grossi</w:t>
      </w:r>
      <w:r>
        <w:rPr>
          <w:sz w:val="20"/>
          <w:lang w:val="pt-BR"/>
        </w:rPr>
        <w:tab/>
      </w:r>
      <w:r>
        <w:rPr>
          <w:sz w:val="20"/>
          <w:lang w:val="pt-BR"/>
        </w:rPr>
        <w:tab/>
      </w:r>
      <w:r>
        <w:rPr>
          <w:sz w:val="20"/>
          <w:lang w:val="pt-BR"/>
        </w:rPr>
        <w:tab/>
      </w:r>
      <w:r>
        <w:rPr>
          <w:sz w:val="20"/>
          <w:lang w:val="pt-BR"/>
        </w:rPr>
        <w:tab/>
      </w:r>
      <w:r>
        <w:rPr>
          <w:sz w:val="20"/>
          <w:lang w:val="pt-BR"/>
        </w:rPr>
        <w:tab/>
      </w:r>
      <w:r>
        <w:rPr>
          <w:sz w:val="20"/>
          <w:lang w:val="pt-BR"/>
        </w:rPr>
        <w:tab/>
      </w:r>
      <w:r>
        <w:rPr>
          <w:sz w:val="20"/>
          <w:lang w:val="pt-BR"/>
        </w:rPr>
        <w:tab/>
        <w:t xml:space="preserve">             </w:t>
      </w:r>
      <w:r w:rsidRPr="00DA00D0">
        <w:rPr>
          <w:sz w:val="20"/>
          <w:lang w:val="pt-BR"/>
        </w:rPr>
        <w:t xml:space="preserve">Humberto </w:t>
      </w:r>
      <w:r>
        <w:rPr>
          <w:sz w:val="20"/>
          <w:lang w:val="pt-BR"/>
        </w:rPr>
        <w:t xml:space="preserve">A. </w:t>
      </w:r>
      <w:r w:rsidRPr="00DA00D0">
        <w:rPr>
          <w:sz w:val="20"/>
          <w:lang w:val="pt-BR"/>
        </w:rPr>
        <w:t>Sierra Porto</w:t>
      </w:r>
      <w:r w:rsidRPr="00DA00D0">
        <w:rPr>
          <w:sz w:val="20"/>
          <w:lang w:val="pt-BR"/>
        </w:rPr>
        <w:tab/>
      </w:r>
      <w:r w:rsidRPr="00DA00D0">
        <w:rPr>
          <w:sz w:val="20"/>
          <w:lang w:val="pt-BR"/>
        </w:rPr>
        <w:tab/>
      </w:r>
      <w:r w:rsidRPr="00DA00D0">
        <w:rPr>
          <w:sz w:val="20"/>
          <w:lang w:val="pt-BR"/>
        </w:rPr>
        <w:tab/>
      </w:r>
      <w:r>
        <w:rPr>
          <w:sz w:val="20"/>
          <w:lang w:val="pt-BR"/>
        </w:rPr>
        <w:t xml:space="preserve">   </w:t>
      </w:r>
    </w:p>
    <w:p w:rsidR="008F7387" w:rsidRPr="00DA00D0" w:rsidRDefault="008F7387" w:rsidP="008F7387">
      <w:pPr>
        <w:rPr>
          <w:sz w:val="20"/>
          <w:lang w:val="pt-BR"/>
        </w:rPr>
      </w:pPr>
    </w:p>
    <w:p w:rsidR="008F7387" w:rsidRPr="00DA00D0" w:rsidRDefault="008F7387" w:rsidP="008F7387">
      <w:pPr>
        <w:rPr>
          <w:sz w:val="20"/>
          <w:lang w:val="pt-BR"/>
        </w:rPr>
      </w:pPr>
    </w:p>
    <w:p w:rsidR="008F7387" w:rsidRPr="00DA00D0" w:rsidRDefault="008F7387" w:rsidP="008F7387">
      <w:pPr>
        <w:rPr>
          <w:sz w:val="20"/>
          <w:lang w:val="pt-BR"/>
        </w:rPr>
      </w:pPr>
      <w:r w:rsidRPr="00DA00D0">
        <w:rPr>
          <w:sz w:val="20"/>
          <w:lang w:val="pt-BR"/>
        </w:rPr>
        <w:t>Elizabeth Odio Benito</w:t>
      </w:r>
      <w:r w:rsidRPr="00DA00D0">
        <w:rPr>
          <w:sz w:val="20"/>
          <w:lang w:val="pt-BR"/>
        </w:rPr>
        <w:tab/>
      </w:r>
      <w:r w:rsidRPr="00DA00D0">
        <w:rPr>
          <w:sz w:val="20"/>
          <w:lang w:val="pt-BR"/>
        </w:rPr>
        <w:tab/>
      </w:r>
      <w:r w:rsidRPr="00DA00D0">
        <w:rPr>
          <w:sz w:val="20"/>
          <w:lang w:val="pt-BR"/>
        </w:rPr>
        <w:tab/>
      </w:r>
      <w:r w:rsidRPr="00DA00D0">
        <w:rPr>
          <w:sz w:val="20"/>
          <w:lang w:val="pt-BR"/>
        </w:rPr>
        <w:tab/>
      </w:r>
      <w:r w:rsidRPr="00DA00D0">
        <w:rPr>
          <w:sz w:val="20"/>
          <w:lang w:val="pt-BR"/>
        </w:rPr>
        <w:tab/>
      </w:r>
      <w:r w:rsidRPr="00DA00D0">
        <w:rPr>
          <w:sz w:val="20"/>
          <w:lang w:val="pt-BR"/>
        </w:rPr>
        <w:tab/>
      </w:r>
      <w:r w:rsidRPr="00DA00D0">
        <w:rPr>
          <w:sz w:val="20"/>
          <w:lang w:val="pt-BR"/>
        </w:rPr>
        <w:tab/>
        <w:t xml:space="preserve">       Eugenio Raúl Zaffaroni</w:t>
      </w:r>
    </w:p>
    <w:p w:rsidR="008F7387" w:rsidRPr="00DA00D0" w:rsidRDefault="008F7387" w:rsidP="008F7387">
      <w:pPr>
        <w:rPr>
          <w:sz w:val="20"/>
          <w:lang w:val="pt-BR"/>
        </w:rPr>
      </w:pPr>
    </w:p>
    <w:p w:rsidR="008F7387" w:rsidRPr="00DA00D0" w:rsidRDefault="008F7387" w:rsidP="008F7387">
      <w:pPr>
        <w:rPr>
          <w:sz w:val="20"/>
          <w:lang w:val="pt-BR"/>
        </w:rPr>
      </w:pPr>
    </w:p>
    <w:p w:rsidR="008F7387" w:rsidRPr="00DA00D0" w:rsidRDefault="008F7387" w:rsidP="008F7387">
      <w:pPr>
        <w:rPr>
          <w:sz w:val="20"/>
          <w:lang w:val="pt-BR"/>
        </w:rPr>
      </w:pPr>
    </w:p>
    <w:p w:rsidR="008F7387" w:rsidRPr="00DA00D0" w:rsidRDefault="008F7387" w:rsidP="008F7387">
      <w:pPr>
        <w:jc w:val="center"/>
        <w:rPr>
          <w:sz w:val="20"/>
          <w:lang w:val="pt-BR"/>
        </w:rPr>
      </w:pPr>
      <w:r>
        <w:rPr>
          <w:sz w:val="20"/>
          <w:lang w:val="pt-BR"/>
        </w:rPr>
        <w:t>L.</w:t>
      </w:r>
      <w:r w:rsidRPr="00DA00D0">
        <w:rPr>
          <w:sz w:val="20"/>
          <w:lang w:val="pt-BR"/>
        </w:rPr>
        <w:t xml:space="preserve"> Patricio Pazmiño Fre</w:t>
      </w:r>
      <w:r>
        <w:rPr>
          <w:sz w:val="20"/>
          <w:lang w:val="pt-BR"/>
        </w:rPr>
        <w:t>i</w:t>
      </w:r>
      <w:r w:rsidRPr="00DA00D0">
        <w:rPr>
          <w:sz w:val="20"/>
          <w:lang w:val="pt-BR"/>
        </w:rPr>
        <w:t>re</w:t>
      </w:r>
    </w:p>
    <w:p w:rsidR="008F7387" w:rsidRPr="00DA00D0" w:rsidRDefault="008F7387" w:rsidP="008F7387">
      <w:pPr>
        <w:rPr>
          <w:sz w:val="20"/>
          <w:lang w:val="pt-BR"/>
        </w:rPr>
      </w:pPr>
    </w:p>
    <w:p w:rsidR="008F7387" w:rsidRPr="00DA00D0" w:rsidRDefault="008F7387" w:rsidP="008F7387">
      <w:pPr>
        <w:rPr>
          <w:sz w:val="20"/>
          <w:lang w:val="pt-BR"/>
        </w:rPr>
      </w:pPr>
    </w:p>
    <w:p w:rsidR="008F7387" w:rsidRPr="00DA00D0" w:rsidRDefault="008F7387" w:rsidP="008F7387">
      <w:pPr>
        <w:rPr>
          <w:sz w:val="20"/>
          <w:lang w:val="pt-BR"/>
        </w:rPr>
      </w:pPr>
    </w:p>
    <w:p w:rsidR="008F7387" w:rsidRPr="00FC4051" w:rsidRDefault="008F7387" w:rsidP="008F7387">
      <w:pPr>
        <w:jc w:val="center"/>
        <w:rPr>
          <w:sz w:val="20"/>
          <w:lang w:val="pt-BR"/>
        </w:rPr>
      </w:pPr>
      <w:r w:rsidRPr="00FC4051">
        <w:rPr>
          <w:sz w:val="20"/>
          <w:lang w:val="pt-BR"/>
        </w:rPr>
        <w:t>Pablo Saavedra Alessandri</w:t>
      </w:r>
    </w:p>
    <w:p w:rsidR="008F7387" w:rsidRPr="00FC4051" w:rsidRDefault="008F7387" w:rsidP="008F7387">
      <w:pPr>
        <w:jc w:val="center"/>
        <w:rPr>
          <w:sz w:val="20"/>
          <w:lang w:val="pt-BR"/>
        </w:rPr>
      </w:pPr>
      <w:r w:rsidRPr="00FC4051">
        <w:rPr>
          <w:sz w:val="20"/>
          <w:lang w:val="pt-BR"/>
        </w:rPr>
        <w:t>Secret</w:t>
      </w:r>
      <w:r>
        <w:rPr>
          <w:sz w:val="20"/>
          <w:lang w:val="pt-BR"/>
        </w:rPr>
        <w:t>a</w:t>
      </w:r>
      <w:r w:rsidRPr="00FC4051">
        <w:rPr>
          <w:sz w:val="20"/>
          <w:lang w:val="pt-BR"/>
        </w:rPr>
        <w:t>rio</w:t>
      </w:r>
    </w:p>
    <w:p w:rsidR="008F7387" w:rsidRDefault="008F7387" w:rsidP="008F7387">
      <w:pPr>
        <w:pStyle w:val="FootnoteText"/>
        <w:rPr>
          <w:lang w:val="pt-BR"/>
        </w:rPr>
      </w:pPr>
    </w:p>
    <w:p w:rsidR="008F7387" w:rsidRPr="00FC4051" w:rsidRDefault="008F7387" w:rsidP="008F7387">
      <w:pPr>
        <w:pStyle w:val="FootnoteText"/>
        <w:rPr>
          <w:lang w:val="pt-BR"/>
        </w:rPr>
      </w:pPr>
    </w:p>
    <w:p w:rsidR="008F7387" w:rsidRPr="00FC4051" w:rsidRDefault="008F7387" w:rsidP="008F7387">
      <w:pPr>
        <w:pStyle w:val="FootnoteText"/>
        <w:rPr>
          <w:lang w:val="pt-BR"/>
        </w:rPr>
      </w:pPr>
    </w:p>
    <w:p w:rsidR="008F7387" w:rsidRPr="00FC4051" w:rsidRDefault="008F7387" w:rsidP="008F7387">
      <w:pPr>
        <w:rPr>
          <w:sz w:val="20"/>
          <w:lang w:val="pt-BR"/>
        </w:rPr>
      </w:pPr>
      <w:r>
        <w:rPr>
          <w:sz w:val="20"/>
          <w:lang w:val="pt-BR"/>
        </w:rPr>
        <w:t>Comuníquese y ejecútese</w:t>
      </w:r>
      <w:r w:rsidRPr="00FC4051">
        <w:rPr>
          <w:sz w:val="20"/>
          <w:lang w:val="pt-BR"/>
        </w:rPr>
        <w:t>,</w:t>
      </w:r>
    </w:p>
    <w:p w:rsidR="008F7387" w:rsidRPr="00FC4051" w:rsidRDefault="008F7387" w:rsidP="008F7387">
      <w:pPr>
        <w:jc w:val="right"/>
        <w:rPr>
          <w:sz w:val="20"/>
          <w:lang w:val="pt-BR"/>
        </w:rPr>
      </w:pPr>
    </w:p>
    <w:p w:rsidR="008F7387" w:rsidRPr="00FC4051" w:rsidRDefault="008F7387" w:rsidP="008F7387">
      <w:pPr>
        <w:jc w:val="center"/>
        <w:rPr>
          <w:sz w:val="20"/>
          <w:lang w:val="pt-BR"/>
        </w:rPr>
      </w:pPr>
      <w:r>
        <w:rPr>
          <w:sz w:val="20"/>
          <w:lang w:val="pt-BR"/>
        </w:rPr>
        <w:t xml:space="preserve">                                                                                   </w:t>
      </w:r>
      <w:r w:rsidRPr="00DA00D0">
        <w:rPr>
          <w:sz w:val="20"/>
          <w:lang w:val="pt-BR"/>
        </w:rPr>
        <w:t>Eduardo Ferrer Mac-Gregor Poisot</w:t>
      </w:r>
    </w:p>
    <w:p w:rsidR="008F7387" w:rsidRPr="00DA00D0" w:rsidRDefault="008F7387" w:rsidP="008F7387">
      <w:pPr>
        <w:ind w:left="5664" w:firstLine="708"/>
        <w:rPr>
          <w:sz w:val="20"/>
          <w:lang w:val="pt-BR"/>
        </w:rPr>
      </w:pPr>
      <w:r>
        <w:rPr>
          <w:sz w:val="20"/>
          <w:lang w:val="pt-BR"/>
        </w:rPr>
        <w:t xml:space="preserve">      Presidente en Ejercicio</w:t>
      </w:r>
    </w:p>
    <w:p w:rsidR="008F7387" w:rsidRPr="00FC4051" w:rsidRDefault="008F7387" w:rsidP="008F7387">
      <w:pPr>
        <w:ind w:firstLine="720"/>
        <w:jc w:val="center"/>
        <w:rPr>
          <w:sz w:val="20"/>
          <w:lang w:val="pt-BR"/>
        </w:rPr>
      </w:pPr>
    </w:p>
    <w:p w:rsidR="008F7387" w:rsidRPr="00FC4051" w:rsidRDefault="008F7387" w:rsidP="008F7387">
      <w:pPr>
        <w:rPr>
          <w:sz w:val="20"/>
          <w:lang w:val="pt-BR"/>
        </w:rPr>
      </w:pPr>
    </w:p>
    <w:p w:rsidR="008F7387" w:rsidRPr="00FC4051" w:rsidRDefault="008F7387" w:rsidP="008F7387">
      <w:pPr>
        <w:rPr>
          <w:sz w:val="20"/>
          <w:lang w:val="pt-BR"/>
        </w:rPr>
      </w:pPr>
    </w:p>
    <w:p w:rsidR="008F7387" w:rsidRPr="00FC4051" w:rsidRDefault="008F7387" w:rsidP="008F7387">
      <w:pPr>
        <w:rPr>
          <w:sz w:val="20"/>
          <w:lang w:val="pt-BR"/>
        </w:rPr>
      </w:pPr>
      <w:r w:rsidRPr="00FC4051">
        <w:rPr>
          <w:sz w:val="20"/>
          <w:lang w:val="pt-BR"/>
        </w:rPr>
        <w:t>Pablo Saavedra Alessandri</w:t>
      </w:r>
    </w:p>
    <w:p w:rsidR="008F7387" w:rsidRDefault="008F7387" w:rsidP="008F7387">
      <w:r w:rsidRPr="00FC4051">
        <w:rPr>
          <w:sz w:val="20"/>
          <w:lang w:val="pt-BR"/>
        </w:rPr>
        <w:tab/>
      </w:r>
      <w:r w:rsidRPr="00DA00D0">
        <w:rPr>
          <w:sz w:val="20"/>
          <w:lang w:val="es-ES"/>
        </w:rPr>
        <w:t>Secret</w:t>
      </w:r>
      <w:r>
        <w:rPr>
          <w:sz w:val="20"/>
          <w:lang w:val="es-ES"/>
        </w:rPr>
        <w:t>a</w:t>
      </w:r>
      <w:r w:rsidRPr="00DA00D0">
        <w:rPr>
          <w:sz w:val="20"/>
          <w:lang w:val="es-ES"/>
        </w:rPr>
        <w:t>rio</w:t>
      </w:r>
    </w:p>
    <w:p w:rsidR="008F7387" w:rsidRPr="0001748B" w:rsidRDefault="008F7387" w:rsidP="005F61FF">
      <w:pPr>
        <w:tabs>
          <w:tab w:val="left" w:pos="567"/>
        </w:tabs>
        <w:spacing w:line="240" w:lineRule="auto"/>
        <w:rPr>
          <w:rFonts w:eastAsia="MS Mincho"/>
          <w:sz w:val="20"/>
          <w:szCs w:val="20"/>
          <w:lang w:bidi="en-US"/>
        </w:rPr>
      </w:pPr>
    </w:p>
    <w:sectPr w:rsidR="008F7387" w:rsidRPr="0001748B" w:rsidSect="00067EAA">
      <w:headerReference w:type="default" r:id="rId9"/>
      <w:footerReference w:type="even" r:id="rId10"/>
      <w:footerReference w:type="default" r:id="rId11"/>
      <w:footnotePr>
        <w:numRestart w:val="eachSect"/>
      </w:footnotePr>
      <w:pgSz w:w="12240" w:h="15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FF9" w:rsidRDefault="00F57FF9" w:rsidP="00C36739">
      <w:pPr>
        <w:spacing w:line="240" w:lineRule="auto"/>
      </w:pPr>
      <w:r>
        <w:separator/>
      </w:r>
    </w:p>
  </w:endnote>
  <w:endnote w:type="continuationSeparator" w:id="0">
    <w:p w:rsidR="00F57FF9" w:rsidRDefault="00F57FF9" w:rsidP="00C36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Italic">
    <w:altName w:val="Verdana"/>
    <w:panose1 w:val="00000000000000000000"/>
    <w:charset w:val="4D"/>
    <w:family w:val="auto"/>
    <w:notTrueType/>
    <w:pitch w:val="default"/>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MaiandraGD-Regular">
    <w:panose1 w:val="00000000000000000000"/>
    <w:charset w:val="00"/>
    <w:family w:val="swiss"/>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81A" w:rsidRDefault="0078681A" w:rsidP="001C53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681A" w:rsidRDefault="0078681A" w:rsidP="001C53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81A" w:rsidRDefault="0078681A" w:rsidP="001C53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FF9" w:rsidRDefault="00F57FF9" w:rsidP="00C36739">
      <w:pPr>
        <w:spacing w:line="240" w:lineRule="auto"/>
      </w:pPr>
      <w:r>
        <w:separator/>
      </w:r>
    </w:p>
  </w:footnote>
  <w:footnote w:type="continuationSeparator" w:id="0">
    <w:p w:rsidR="00F57FF9" w:rsidRDefault="00F57FF9" w:rsidP="00C36739">
      <w:pPr>
        <w:spacing w:line="240" w:lineRule="auto"/>
      </w:pPr>
      <w:r>
        <w:continuationSeparator/>
      </w:r>
    </w:p>
  </w:footnote>
  <w:footnote w:id="1">
    <w:p w:rsidR="0078681A" w:rsidRPr="00D87F4A" w:rsidRDefault="0078681A" w:rsidP="002B67FB">
      <w:pPr>
        <w:pStyle w:val="FootnoteText"/>
        <w:tabs>
          <w:tab w:val="left" w:pos="567"/>
        </w:tabs>
        <w:spacing w:after="120"/>
        <w:rPr>
          <w:sz w:val="16"/>
          <w:szCs w:val="16"/>
          <w:lang w:val="es-CR"/>
        </w:rPr>
      </w:pPr>
      <w:r w:rsidRPr="002B67FB">
        <w:rPr>
          <w:rStyle w:val="FootnoteReference"/>
          <w:sz w:val="16"/>
          <w:szCs w:val="16"/>
        </w:rPr>
        <w:t>*</w:t>
      </w:r>
      <w:r w:rsidRPr="002B67FB">
        <w:rPr>
          <w:sz w:val="16"/>
          <w:szCs w:val="16"/>
        </w:rPr>
        <w:t xml:space="preserve"> </w:t>
      </w:r>
      <w:r w:rsidRPr="002B67FB">
        <w:rPr>
          <w:sz w:val="16"/>
          <w:szCs w:val="16"/>
          <w:lang w:val="es-CR"/>
        </w:rPr>
        <w:tab/>
        <w:t xml:space="preserve">El Juez Presidente Roberto F. Caldas, por razones de fuerza mayor aceptadas por el Pleno, no participó en la deliberación y firma de la presente Sentencia. </w:t>
      </w:r>
      <w:r w:rsidRPr="002B67FB">
        <w:rPr>
          <w:sz w:val="16"/>
          <w:szCs w:val="16"/>
        </w:rPr>
        <w:t xml:space="preserve">Por tal motivo, de conformidad con los artículos 4.2 y 5 del Reglamento del Tribunal, el Juez Eduardo Ferrer Mac-Gregor Poisot, Vicepresidente de la Corte, asumió la Presidencia en ejercicio respecto </w:t>
      </w:r>
      <w:r w:rsidRPr="00D87F4A">
        <w:rPr>
          <w:sz w:val="16"/>
          <w:szCs w:val="16"/>
        </w:rPr>
        <w:t>del presente caso.</w:t>
      </w:r>
    </w:p>
  </w:footnote>
  <w:footnote w:id="2">
    <w:p w:rsidR="00D87F4A" w:rsidRPr="00D87F4A" w:rsidRDefault="00D87F4A" w:rsidP="00D87F4A">
      <w:pPr>
        <w:pStyle w:val="FootnoteText"/>
        <w:tabs>
          <w:tab w:val="left" w:pos="567"/>
        </w:tabs>
        <w:spacing w:after="120"/>
        <w:rPr>
          <w:sz w:val="16"/>
          <w:szCs w:val="16"/>
          <w:lang w:val="es-CR"/>
        </w:rPr>
      </w:pPr>
      <w:r w:rsidRPr="00D87F4A">
        <w:rPr>
          <w:rStyle w:val="FootnoteReference"/>
          <w:sz w:val="16"/>
          <w:szCs w:val="16"/>
        </w:rPr>
        <w:t>**</w:t>
      </w:r>
      <w:r w:rsidRPr="00D87F4A">
        <w:rPr>
          <w:sz w:val="16"/>
          <w:szCs w:val="16"/>
        </w:rPr>
        <w:t xml:space="preserve"> </w:t>
      </w:r>
      <w:r w:rsidRPr="00D87F4A">
        <w:rPr>
          <w:sz w:val="16"/>
          <w:szCs w:val="16"/>
          <w:lang w:val="es-CR"/>
        </w:rPr>
        <w:tab/>
        <w:t>La Secretaria Adjunta</w:t>
      </w:r>
      <w:r>
        <w:rPr>
          <w:sz w:val="16"/>
          <w:szCs w:val="16"/>
          <w:lang w:val="es-CR"/>
        </w:rPr>
        <w:t>,</w:t>
      </w:r>
      <w:r w:rsidRPr="00D87F4A">
        <w:rPr>
          <w:sz w:val="16"/>
          <w:szCs w:val="16"/>
          <w:lang w:val="es-CR"/>
        </w:rPr>
        <w:t xml:space="preserve"> Emilia Segares Rodríguez</w:t>
      </w:r>
      <w:r>
        <w:rPr>
          <w:sz w:val="16"/>
          <w:szCs w:val="16"/>
          <w:lang w:val="es-CR"/>
        </w:rPr>
        <w:t>,</w:t>
      </w:r>
      <w:r w:rsidRPr="00D87F4A">
        <w:rPr>
          <w:sz w:val="16"/>
          <w:szCs w:val="16"/>
          <w:lang w:val="es-CR"/>
        </w:rPr>
        <w:t xml:space="preserve"> no participó de la deliberación de esta Sentencia por razones de</w:t>
      </w:r>
      <w:r>
        <w:rPr>
          <w:sz w:val="16"/>
          <w:szCs w:val="16"/>
          <w:lang w:val="es-CR"/>
        </w:rPr>
        <w:t xml:space="preserve"> </w:t>
      </w:r>
      <w:r w:rsidRPr="00D87F4A">
        <w:rPr>
          <w:sz w:val="16"/>
          <w:szCs w:val="16"/>
          <w:lang w:val="es-CR"/>
        </w:rPr>
        <w:t>fuerza mayor</w:t>
      </w:r>
      <w:r>
        <w:rPr>
          <w:sz w:val="16"/>
          <w:szCs w:val="16"/>
          <w:lang w:val="es-CR"/>
        </w:rPr>
        <w:t>.</w:t>
      </w:r>
    </w:p>
  </w:footnote>
  <w:footnote w:id="3">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La Corte se referirá a la madre de la presunta víctima indistintamente como “Zaida Hernández Hernández” o “Zaida Hernández de Arellano”.</w:t>
      </w:r>
    </w:p>
  </w:footnote>
  <w:footnote w:id="4">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La Comisión resolvió declarar admisible la petición en relación con los artículos 4, 8 y 25 de la Convención Americana, en concordancia con el artículo 1.1 de la misma, en perjuicio de Johan Alexis Ortiz Hernández y de sus padres.</w:t>
      </w:r>
    </w:p>
  </w:footnote>
  <w:footnote w:id="5">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La Comisión designó como sus delegados ante la Corte al entonces Comisionado Felipe González y al entonces Secretario Ejecutivo Emilio Álvarez Icaza L., y designó como asesoras legales a las señoras Elizabeth Abi-Mershed, Secretaria Ejecutiva Adjunta, Silvia Serrano Guzmán y Selene Soto Rodríguez, abogadas de la Secretaría Ejecutiva.</w:t>
      </w:r>
    </w:p>
  </w:footnote>
  <w:footnote w:id="6">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Luego de una comunicación remitida por la Secretaría, siguiendo instrucciones del Presidente de la Corte durante el examen preliminar del sometimiento del caso, el 22 de julio de 2015 las presuntas víctimas confirmaron que las señoras Gustava Soledad Aguilar Moraga y Johanny Elizabeth Castillo Sabarí continuarían actuando como defensoras públicas interamericanas para ejercer la representación legal de las presuntas víctimas en este caso en el trámite ante la Corte.</w:t>
      </w:r>
    </w:p>
  </w:footnote>
  <w:footnote w:id="7">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El Estado actuó inicialmente a través del señor Germán Saltrón Negretti, Agente del Estado para los Derechos Humanos. Posteriormente, el Estado designó como agente al señor Larry Devoe Márquez, y como agente alterno al señor Romer Pacheco Morales.</w:t>
      </w:r>
    </w:p>
  </w:footnote>
  <w:footnote w:id="8">
    <w:p w:rsidR="0078681A" w:rsidRPr="002B67FB" w:rsidRDefault="0078681A" w:rsidP="002B67FB">
      <w:pPr>
        <w:pStyle w:val="FootnoteText"/>
        <w:tabs>
          <w:tab w:val="left" w:pos="567"/>
        </w:tabs>
        <w:spacing w:after="120"/>
        <w:rPr>
          <w:sz w:val="16"/>
          <w:szCs w:val="16"/>
          <w:lang w:val="es-ES"/>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ES"/>
        </w:rPr>
        <w:t xml:space="preserve">Cfr. Caso Ortiz Hernández Vs. Venezuela. </w:t>
      </w:r>
      <w:r w:rsidRPr="002B67FB">
        <w:rPr>
          <w:sz w:val="16"/>
          <w:szCs w:val="16"/>
          <w:lang w:val="es-ES"/>
        </w:rPr>
        <w:t>Resolución del Presidente de la Corte Interamericana de 20 de diciembre de 2016. Disponible en: http://www.corteidh.or.cr/docs/asuntos/ortiz_20_12_16.pdf</w:t>
      </w:r>
    </w:p>
  </w:footnote>
  <w:footnote w:id="9">
    <w:p w:rsidR="0078681A" w:rsidRPr="002B67FB" w:rsidRDefault="0078681A" w:rsidP="002B67FB">
      <w:pPr>
        <w:tabs>
          <w:tab w:val="left" w:pos="567"/>
        </w:tabs>
        <w:spacing w:after="120" w:line="240" w:lineRule="auto"/>
        <w:ind w:right="-6"/>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sz w:val="16"/>
          <w:szCs w:val="16"/>
          <w:lang w:val="es-ES"/>
        </w:rPr>
        <w:t>A esta audiencia comparecieron: a) por la Comisión Interamericana:</w:t>
      </w:r>
      <w:r w:rsidRPr="002B67FB">
        <w:rPr>
          <w:sz w:val="16"/>
          <w:szCs w:val="16"/>
          <w:lang w:val="es-ES" w:eastAsia="es-ES"/>
        </w:rPr>
        <w:t xml:space="preserve"> el Comisionado </w:t>
      </w:r>
      <w:r w:rsidRPr="002B67FB">
        <w:rPr>
          <w:sz w:val="16"/>
          <w:szCs w:val="16"/>
          <w:lang w:val="es-ES"/>
        </w:rPr>
        <w:t>José de Jesús Orozco Henríquez, y los abogados de la Secretaría Ejecutiva, Silvia Serrano Guzmán y Selene Soto</w:t>
      </w:r>
      <w:r w:rsidR="00173535">
        <w:rPr>
          <w:sz w:val="16"/>
          <w:szCs w:val="16"/>
          <w:lang w:val="es-ES"/>
        </w:rPr>
        <w:t xml:space="preserve"> Rodríguez</w:t>
      </w:r>
      <w:r w:rsidRPr="002B67FB">
        <w:rPr>
          <w:sz w:val="16"/>
          <w:szCs w:val="16"/>
          <w:lang w:val="es-ES"/>
        </w:rPr>
        <w:t>; b) por las representantes de las presuntas víctimas: las señoras Gustava Soledad Aguilar Moraga y Johanny Elizabeth Castillo Sabarí, y c) por el Estado de Venezuela: los señores Larry Devoe Márquez, Agente del Estado ante el Sistema Internacional de los Derechos Humanos; Romer Pacheco Morales, Agente Alterno; Ana Beatriz Navarro, Directora de Protección de Derechos Fundamentales del Ministerio Público, y Alexis Crespo Daza, Asesor</w:t>
      </w:r>
      <w:r w:rsidRPr="002B67FB">
        <w:rPr>
          <w:sz w:val="16"/>
          <w:szCs w:val="16"/>
          <w:lang w:val="es-CO" w:eastAsia="es-ES"/>
        </w:rPr>
        <w:t>.</w:t>
      </w:r>
    </w:p>
  </w:footnote>
  <w:footnote w:id="10">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La declaración testimonial de Wilmer Alberto Jaimes Flores no se recibió en el plazo otorgado para tal efecto.</w:t>
      </w:r>
    </w:p>
  </w:footnote>
  <w:footnote w:id="11">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t>En particular, el Estado enumeró los siguientes elementos de prueba: i) la declaración de la testigo Marelvis Mejía Molina, quien señaló que nunca se presentó formal denuncia de esos hechos ante el Ministerio Público; ii) la autopsia realizada por la doctora Ana Cecilia Rincón Bracho, en la que no hay constancia de rasgos o señales de tortura; iii) la propia declaración de la perita ofrecida ante esta Corte, en la que ratificó tal afirmación, y iv) el informe médico elaborado el 15 de febrero de 1998 por la doctora Lucy Vega Chávez en el Hospital San Rafael de El Piñal, el cual no contiene elementos que permitan presumir la existencia de tortura. La referida médica habría afirmado que lo único que presentaba en su cuerpo la víctima eran dos heridas ocasionadas por arma de fuego, y habría indicado no haber observado “ningún otro tipo de lesión”.</w:t>
      </w:r>
    </w:p>
  </w:footnote>
  <w:footnote w:id="12">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Artículo 62. Reconocimiento</w:t>
      </w:r>
    </w:p>
    <w:p w:rsidR="0078681A" w:rsidRPr="002B67FB" w:rsidRDefault="0078681A" w:rsidP="002B67FB">
      <w:pPr>
        <w:pStyle w:val="FootnoteText"/>
        <w:tabs>
          <w:tab w:val="left" w:pos="567"/>
        </w:tabs>
        <w:spacing w:after="120"/>
        <w:ind w:left="567"/>
        <w:rPr>
          <w:sz w:val="16"/>
          <w:szCs w:val="16"/>
        </w:rPr>
      </w:pPr>
      <w:r w:rsidRPr="002B67FB">
        <w:rPr>
          <w:sz w:val="16"/>
          <w:szCs w:val="16"/>
        </w:rPr>
        <w:t>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w:t>
      </w:r>
    </w:p>
  </w:footnote>
  <w:footnote w:id="13">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Artículo 64. Prosecución del examen del caso</w:t>
      </w:r>
    </w:p>
    <w:p w:rsidR="0078681A" w:rsidRPr="002B67FB" w:rsidRDefault="0078681A" w:rsidP="002B67FB">
      <w:pPr>
        <w:pStyle w:val="FootnoteText"/>
        <w:tabs>
          <w:tab w:val="left" w:pos="567"/>
        </w:tabs>
        <w:spacing w:after="120"/>
        <w:ind w:left="567"/>
        <w:rPr>
          <w:sz w:val="16"/>
          <w:szCs w:val="16"/>
        </w:rPr>
      </w:pPr>
      <w:r w:rsidRPr="002B67FB">
        <w:rPr>
          <w:sz w:val="16"/>
          <w:szCs w:val="16"/>
        </w:rPr>
        <w:t xml:space="preserve">La Corte, teniendo en cuenta las responsabilidades que le incumben de proteger los derechos humanos, podrá decidir que prosiga el examen del caso, aun en presencia de los supuestos señalados en los artículos precedentes. </w:t>
      </w:r>
    </w:p>
  </w:footnote>
  <w:footnote w:id="14">
    <w:p w:rsidR="0078681A" w:rsidRPr="002B67FB" w:rsidRDefault="0078681A" w:rsidP="002B67FB">
      <w:pPr>
        <w:tabs>
          <w:tab w:val="left" w:pos="567"/>
          <w:tab w:val="left" w:pos="709"/>
        </w:tabs>
        <w:spacing w:after="120" w:line="240" w:lineRule="auto"/>
        <w:rPr>
          <w:rFonts w:cs="Courier New"/>
          <w:noProof/>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Cfr.</w:t>
      </w:r>
      <w:r w:rsidRPr="002B67FB">
        <w:rPr>
          <w:b/>
          <w:i/>
          <w:sz w:val="16"/>
          <w:szCs w:val="16"/>
          <w:lang w:val="es-AR"/>
        </w:rPr>
        <w:t xml:space="preserve"> </w:t>
      </w:r>
      <w:r w:rsidRPr="002B67FB">
        <w:rPr>
          <w:bCs/>
          <w:i/>
          <w:sz w:val="16"/>
          <w:szCs w:val="16"/>
          <w:lang w:val="es-AR"/>
        </w:rPr>
        <w:t xml:space="preserve">Caso Kimel Vs. Argentina. </w:t>
      </w:r>
      <w:r w:rsidRPr="002B67FB">
        <w:rPr>
          <w:i/>
          <w:sz w:val="16"/>
          <w:szCs w:val="16"/>
          <w:lang w:val="es-AR"/>
        </w:rPr>
        <w:t>Fondo, Reparaciones y Costas.</w:t>
      </w:r>
      <w:r w:rsidRPr="002B67FB">
        <w:rPr>
          <w:sz w:val="16"/>
          <w:szCs w:val="16"/>
          <w:lang w:val="es-AR"/>
        </w:rPr>
        <w:t xml:space="preserve"> Sentencia de 2 de mayo de 2008. Serie C No. 177, párr. 24, y </w:t>
      </w:r>
      <w:r w:rsidRPr="002B67FB">
        <w:rPr>
          <w:rFonts w:cs="Courier New"/>
          <w:i/>
          <w:noProof/>
          <w:sz w:val="16"/>
          <w:szCs w:val="16"/>
          <w:lang w:val="es-AR"/>
        </w:rPr>
        <w:t>Caso Comunidad Garífuna de Punta Piedra y sus miembros Vs. Honduras. Excepciones Preliminares, Fondo, Reparaciones y Costas</w:t>
      </w:r>
      <w:r w:rsidRPr="002B67FB">
        <w:rPr>
          <w:rFonts w:cs="Courier New"/>
          <w:noProof/>
          <w:sz w:val="16"/>
          <w:szCs w:val="16"/>
          <w:lang w:val="es-AR"/>
        </w:rPr>
        <w:t xml:space="preserve">. Sentencia de 8 de octubre de 2015. </w:t>
      </w:r>
      <w:r w:rsidRPr="002B67FB">
        <w:rPr>
          <w:rFonts w:cs="Courier New"/>
          <w:noProof/>
          <w:sz w:val="16"/>
          <w:szCs w:val="16"/>
        </w:rPr>
        <w:t>Serie C No. 304, párr. 43.</w:t>
      </w:r>
    </w:p>
  </w:footnote>
  <w:footnote w:id="15">
    <w:p w:rsidR="0078681A" w:rsidRPr="002B67FB" w:rsidRDefault="0078681A" w:rsidP="002B67FB">
      <w:pPr>
        <w:tabs>
          <w:tab w:val="left" w:pos="567"/>
        </w:tabs>
        <w:spacing w:after="120" w:line="240" w:lineRule="auto"/>
        <w:rPr>
          <w:sz w:val="16"/>
          <w:szCs w:val="16"/>
          <w:lang w:val="es-A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Cfr.</w:t>
      </w:r>
      <w:r w:rsidRPr="002B67FB">
        <w:rPr>
          <w:b/>
          <w:i/>
          <w:sz w:val="16"/>
          <w:szCs w:val="16"/>
          <w:lang w:val="es-AR"/>
        </w:rPr>
        <w:t xml:space="preserve"> </w:t>
      </w:r>
      <w:r w:rsidRPr="002B67FB">
        <w:rPr>
          <w:bCs/>
          <w:i/>
          <w:sz w:val="16"/>
          <w:szCs w:val="16"/>
          <w:lang w:val="es-AR"/>
        </w:rPr>
        <w:t xml:space="preserve">Caso Manuel Cepeda Vargas Vs. Colombia. </w:t>
      </w:r>
      <w:r w:rsidRPr="002B67FB">
        <w:rPr>
          <w:i/>
          <w:sz w:val="16"/>
          <w:szCs w:val="16"/>
          <w:lang w:val="es-AR"/>
        </w:rPr>
        <w:t>Excepciones Preliminares, Fondo, Reparaciones y Costas.</w:t>
      </w:r>
      <w:r w:rsidRPr="002B67FB">
        <w:rPr>
          <w:sz w:val="16"/>
          <w:szCs w:val="16"/>
          <w:lang w:val="es-AR"/>
        </w:rPr>
        <w:t xml:space="preserve"> Sentencia de 26 de mayo de 2010. Serie C No. 213, párr. 17, y </w:t>
      </w:r>
      <w:r w:rsidRPr="002B67FB">
        <w:rPr>
          <w:rFonts w:cs="Courier New"/>
          <w:i/>
          <w:noProof/>
          <w:sz w:val="16"/>
          <w:szCs w:val="16"/>
          <w:lang w:val="es-AR"/>
        </w:rPr>
        <w:t>Caso Comunidad Garífuna de Punta Piedra y sus miembros Vs. Honduras</w:t>
      </w:r>
      <w:r w:rsidRPr="002B67FB">
        <w:rPr>
          <w:rFonts w:cs="Courier New"/>
          <w:noProof/>
          <w:sz w:val="16"/>
          <w:szCs w:val="16"/>
          <w:lang w:val="es-AR"/>
        </w:rPr>
        <w:t xml:space="preserve">, </w:t>
      </w:r>
      <w:r w:rsidRPr="002B67FB">
        <w:rPr>
          <w:rFonts w:cs="Courier New"/>
          <w:i/>
          <w:noProof/>
          <w:sz w:val="16"/>
          <w:szCs w:val="16"/>
          <w:lang w:val="es-AR"/>
        </w:rPr>
        <w:t>supra</w:t>
      </w:r>
      <w:r w:rsidRPr="002B67FB">
        <w:rPr>
          <w:rFonts w:cs="Courier New"/>
          <w:noProof/>
          <w:sz w:val="16"/>
          <w:szCs w:val="16"/>
          <w:lang w:val="es-AR"/>
        </w:rPr>
        <w:t>, párr.</w:t>
      </w:r>
      <w:r w:rsidR="00ED57AD">
        <w:rPr>
          <w:rFonts w:cs="Courier New"/>
          <w:noProof/>
          <w:sz w:val="16"/>
          <w:szCs w:val="16"/>
          <w:lang w:val="es-AR"/>
        </w:rPr>
        <w:t xml:space="preserve"> </w:t>
      </w:r>
      <w:r w:rsidRPr="002B67FB">
        <w:rPr>
          <w:rFonts w:cs="Courier New"/>
          <w:noProof/>
          <w:sz w:val="16"/>
          <w:szCs w:val="16"/>
          <w:lang w:val="es-AR"/>
        </w:rPr>
        <w:t>43.</w:t>
      </w:r>
    </w:p>
  </w:footnote>
  <w:footnote w:id="16">
    <w:p w:rsidR="0078681A" w:rsidRPr="002B67FB" w:rsidRDefault="0078681A" w:rsidP="002B67FB">
      <w:pPr>
        <w:pStyle w:val="FootnoteText"/>
        <w:tabs>
          <w:tab w:val="left" w:pos="567"/>
          <w:tab w:val="left" w:pos="709"/>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El artículo 62.3 de la Convención</w:t>
      </w:r>
      <w:r w:rsidRPr="002B67FB">
        <w:rPr>
          <w:sz w:val="16"/>
          <w:szCs w:val="16"/>
          <w:lang w:val="es-CO"/>
        </w:rPr>
        <w:t xml:space="preserve"> establece: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footnote>
  <w:footnote w:id="17">
    <w:p w:rsidR="0078681A" w:rsidRPr="002B67FB" w:rsidRDefault="0078681A" w:rsidP="002B67FB">
      <w:pPr>
        <w:pStyle w:val="FootnoteText"/>
        <w:tabs>
          <w:tab w:val="left" w:pos="567"/>
          <w:tab w:val="left" w:pos="709"/>
        </w:tabs>
        <w:spacing w:after="120"/>
        <w:rPr>
          <w:sz w:val="16"/>
          <w:szCs w:val="16"/>
          <w:lang w:val="es-CO"/>
        </w:rPr>
      </w:pPr>
      <w:r w:rsidRPr="002B67FB">
        <w:rPr>
          <w:rStyle w:val="FootnoteReference"/>
          <w:sz w:val="16"/>
          <w:szCs w:val="16"/>
        </w:rPr>
        <w:footnoteRef/>
      </w:r>
      <w:r w:rsidRPr="002B67FB">
        <w:rPr>
          <w:sz w:val="16"/>
          <w:szCs w:val="16"/>
        </w:rPr>
        <w:t xml:space="preserve"> </w:t>
      </w:r>
      <w:r w:rsidRPr="002B67FB">
        <w:rPr>
          <w:sz w:val="16"/>
          <w:szCs w:val="16"/>
        </w:rPr>
        <w:tab/>
        <w:t>El artículo 63.1 de la Convención</w:t>
      </w:r>
      <w:r w:rsidRPr="002B67FB">
        <w:rPr>
          <w:sz w:val="16"/>
          <w:szCs w:val="16"/>
          <w:lang w:val="es-CO"/>
        </w:rPr>
        <w:t xml:space="preserve"> establece: “[c]uando decida que hubo violación de un derecho o libertad protegidos en esta Convención, la Corte dispondrá que se garantice al lesionado en el goce de su derecho o libertad conculcados. Dispondrá asimismo, si ello fuere procedente, que se reparen las consecuencias de la medida o situación que ha configurado la vulneración de esos derechos y el pago de una justa indemnización a la parte lesionada”.</w:t>
      </w:r>
    </w:p>
  </w:footnote>
  <w:footnote w:id="18">
    <w:p w:rsidR="0078681A" w:rsidRPr="002B67FB" w:rsidRDefault="0078681A" w:rsidP="002B67FB">
      <w:pPr>
        <w:tabs>
          <w:tab w:val="left" w:pos="567"/>
        </w:tabs>
        <w:spacing w:after="120" w:line="240" w:lineRule="auto"/>
        <w:rPr>
          <w:sz w:val="16"/>
          <w:szCs w:val="16"/>
          <w:lang w:bidi="en-US"/>
        </w:rPr>
      </w:pPr>
      <w:r w:rsidRPr="002B67FB">
        <w:rPr>
          <w:rStyle w:val="FootnoteReference"/>
          <w:sz w:val="16"/>
          <w:szCs w:val="16"/>
        </w:rPr>
        <w:footnoteRef/>
      </w:r>
      <w:r w:rsidRPr="002B67FB">
        <w:rPr>
          <w:sz w:val="16"/>
          <w:szCs w:val="16"/>
        </w:rPr>
        <w:tab/>
      </w:r>
      <w:r w:rsidRPr="002B67FB">
        <w:rPr>
          <w:i/>
          <w:sz w:val="16"/>
          <w:szCs w:val="16"/>
          <w:lang w:val="es-AR"/>
        </w:rPr>
        <w:t>Cfr</w:t>
      </w:r>
      <w:r w:rsidRPr="002B67FB">
        <w:rPr>
          <w:sz w:val="16"/>
          <w:szCs w:val="16"/>
          <w:lang w:val="es-AR"/>
        </w:rPr>
        <w:t xml:space="preserve">. </w:t>
      </w:r>
      <w:r w:rsidRPr="002B67FB">
        <w:rPr>
          <w:rFonts w:cs="Verdana-Italic"/>
          <w:i/>
          <w:iCs/>
          <w:sz w:val="16"/>
          <w:szCs w:val="16"/>
          <w:lang w:val="es-AR" w:bidi="en-US"/>
        </w:rPr>
        <w:t xml:space="preserve">Caso Myrna Mack Chang Vs. Guatemala. </w:t>
      </w:r>
      <w:r w:rsidRPr="002B67FB">
        <w:rPr>
          <w:sz w:val="16"/>
          <w:szCs w:val="16"/>
          <w:lang w:val="es-AR" w:bidi="en-US"/>
        </w:rPr>
        <w:t>Sentencia de 25 de noviembre de 2003. Serie C No. 101, párr</w:t>
      </w:r>
      <w:r w:rsidRPr="002B67FB">
        <w:rPr>
          <w:rFonts w:cs="Verdana-Italic"/>
          <w:i/>
          <w:iCs/>
          <w:sz w:val="16"/>
          <w:szCs w:val="16"/>
          <w:lang w:val="es-AR" w:bidi="en-US"/>
        </w:rPr>
        <w:t xml:space="preserve">. </w:t>
      </w:r>
      <w:r w:rsidRPr="002B67FB">
        <w:rPr>
          <w:sz w:val="16"/>
          <w:szCs w:val="16"/>
          <w:lang w:val="es-AR" w:bidi="en-US"/>
        </w:rPr>
        <w:t xml:space="preserve">105, y </w:t>
      </w:r>
      <w:r w:rsidRPr="002B67FB">
        <w:rPr>
          <w:i/>
          <w:sz w:val="16"/>
          <w:szCs w:val="16"/>
          <w:lang w:val="es-AR"/>
        </w:rPr>
        <w:t xml:space="preserve">Caso Miembros de la Aldea Chichupac y comunidades vecinas del Municipio de Rabinal Vs. Guatemala. Excepciones Preliminares, Fondo, Reparaciones y Costas. </w:t>
      </w:r>
      <w:r w:rsidRPr="002B67FB">
        <w:rPr>
          <w:sz w:val="16"/>
          <w:szCs w:val="16"/>
          <w:lang w:val="es-AR"/>
        </w:rPr>
        <w:t xml:space="preserve">Sentencia de 30 de noviembre de 2016. </w:t>
      </w:r>
      <w:r w:rsidRPr="002B67FB">
        <w:rPr>
          <w:sz w:val="16"/>
          <w:szCs w:val="16"/>
        </w:rPr>
        <w:t>Serie C No. 328, párr. 54.</w:t>
      </w:r>
    </w:p>
  </w:footnote>
  <w:footnote w:id="19">
    <w:p w:rsidR="0078681A" w:rsidRPr="002B67FB" w:rsidRDefault="0078681A" w:rsidP="002B67FB">
      <w:pPr>
        <w:tabs>
          <w:tab w:val="left" w:pos="567"/>
        </w:tabs>
        <w:spacing w:after="120" w:line="240" w:lineRule="auto"/>
        <w:rPr>
          <w:sz w:val="16"/>
          <w:szCs w:val="16"/>
        </w:rPr>
      </w:pPr>
      <w:r w:rsidRPr="002B67FB">
        <w:rPr>
          <w:rStyle w:val="FootnoteReference"/>
          <w:rFonts w:eastAsiaTheme="majorEastAsia"/>
          <w:sz w:val="16"/>
          <w:szCs w:val="16"/>
        </w:rPr>
        <w:footnoteRef/>
      </w:r>
      <w:r w:rsidRPr="002B67FB">
        <w:rPr>
          <w:sz w:val="16"/>
          <w:szCs w:val="16"/>
          <w:vertAlign w:val="superscript"/>
        </w:rPr>
        <w:t xml:space="preserve"> </w:t>
      </w:r>
      <w:r w:rsidRPr="002B67FB">
        <w:rPr>
          <w:sz w:val="16"/>
          <w:szCs w:val="16"/>
        </w:rPr>
        <w:tab/>
      </w:r>
      <w:r w:rsidRPr="002B67FB">
        <w:rPr>
          <w:i/>
          <w:sz w:val="16"/>
          <w:szCs w:val="16"/>
          <w:lang w:val="es-AR"/>
        </w:rPr>
        <w:t xml:space="preserve">Cfr. Caso </w:t>
      </w:r>
      <w:r w:rsidRPr="002B67FB">
        <w:rPr>
          <w:i/>
          <w:sz w:val="16"/>
          <w:szCs w:val="16"/>
        </w:rPr>
        <w:t>Zambrano Vélez y otros Vs. Ecuador</w:t>
      </w:r>
      <w:r w:rsidRPr="002B67FB">
        <w:rPr>
          <w:i/>
          <w:sz w:val="16"/>
          <w:szCs w:val="16"/>
          <w:lang w:val="es-AR"/>
        </w:rPr>
        <w:t>. Fondo, Reparaciones y Costas.</w:t>
      </w:r>
      <w:r w:rsidRPr="002B67FB">
        <w:rPr>
          <w:sz w:val="16"/>
          <w:szCs w:val="16"/>
          <w:lang w:val="es-AR"/>
        </w:rPr>
        <w:t xml:space="preserve"> Sentencia de 4 de julio de 2007. Serie C No. 16, párr. 17, y </w:t>
      </w:r>
      <w:r w:rsidRPr="002B67FB">
        <w:rPr>
          <w:i/>
          <w:sz w:val="16"/>
          <w:szCs w:val="16"/>
          <w:lang w:val="es-AR"/>
        </w:rPr>
        <w:t>Caso Comunidad Campesina de Santa Bárbara Vs. Perú. Excepciones Preliminares, Fondo, Reparaciones y Costas</w:t>
      </w:r>
      <w:r w:rsidRPr="002B67FB">
        <w:rPr>
          <w:sz w:val="16"/>
          <w:szCs w:val="16"/>
          <w:lang w:val="es-AR"/>
        </w:rPr>
        <w:t>. Sentencia de 1 de septiembre de 2015. Serie C No. 299, párr. 24.</w:t>
      </w:r>
    </w:p>
  </w:footnote>
  <w:footnote w:id="20">
    <w:p w:rsidR="0078681A" w:rsidRPr="002B67FB" w:rsidRDefault="0078681A" w:rsidP="002B67FB">
      <w:pPr>
        <w:tabs>
          <w:tab w:val="left" w:pos="567"/>
        </w:tabs>
        <w:spacing w:after="120" w:line="240" w:lineRule="auto"/>
        <w:rPr>
          <w:sz w:val="16"/>
          <w:szCs w:val="16"/>
          <w:lang w:val="es-A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Cfr. Caso Benavides Cevallos Vs. Ecuador. Fondo, Reparaciones y Costas</w:t>
      </w:r>
      <w:r w:rsidRPr="002B67FB">
        <w:rPr>
          <w:sz w:val="16"/>
          <w:szCs w:val="16"/>
          <w:lang w:val="es-AR"/>
        </w:rPr>
        <w:t>. Sentencia de 19 de junio de 1998. Serie C No. 38, párr. 57, y</w:t>
      </w:r>
      <w:r w:rsidRPr="002B67FB">
        <w:rPr>
          <w:i/>
          <w:sz w:val="16"/>
          <w:szCs w:val="16"/>
          <w:lang w:val="es-AR"/>
        </w:rPr>
        <w:t xml:space="preserve"> Caso Gómez Murillo y otros Vs. Costa Rica. </w:t>
      </w:r>
      <w:r w:rsidRPr="002B67FB">
        <w:rPr>
          <w:sz w:val="16"/>
          <w:szCs w:val="16"/>
          <w:lang w:val="es-AR"/>
        </w:rPr>
        <w:t>Sentencia de 29 de noviembre de 2016. Serie C No. 326, párr. 46.</w:t>
      </w:r>
    </w:p>
  </w:footnote>
  <w:footnote w:id="21">
    <w:p w:rsidR="0078681A" w:rsidRPr="002B67FB" w:rsidRDefault="0078681A" w:rsidP="002B67FB">
      <w:pPr>
        <w:tabs>
          <w:tab w:val="left" w:pos="567"/>
        </w:tabs>
        <w:spacing w:after="120" w:line="240" w:lineRule="auto"/>
        <w:rPr>
          <w:sz w:val="16"/>
          <w:szCs w:val="16"/>
          <w:lang w:val="es-A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Cfr.</w:t>
      </w:r>
      <w:r w:rsidRPr="002B67FB">
        <w:rPr>
          <w:b/>
          <w:i/>
          <w:sz w:val="16"/>
          <w:szCs w:val="16"/>
          <w:lang w:val="es-AR"/>
        </w:rPr>
        <w:t xml:space="preserve"> </w:t>
      </w:r>
      <w:r w:rsidRPr="002B67FB">
        <w:rPr>
          <w:bCs/>
          <w:i/>
          <w:sz w:val="16"/>
          <w:szCs w:val="16"/>
          <w:lang w:val="es-AR"/>
        </w:rPr>
        <w:t>Caso Manuel Cepeda Vargas Vs. Colombia, supra</w:t>
      </w:r>
      <w:r w:rsidRPr="002B67FB">
        <w:rPr>
          <w:sz w:val="16"/>
          <w:szCs w:val="16"/>
          <w:lang w:val="es-AR"/>
        </w:rPr>
        <w:t xml:space="preserve">, párr. 18, y </w:t>
      </w:r>
      <w:r w:rsidRPr="002B67FB">
        <w:rPr>
          <w:i/>
          <w:sz w:val="16"/>
          <w:szCs w:val="16"/>
          <w:lang w:val="es-AR"/>
        </w:rPr>
        <w:t xml:space="preserve">Caso Ruano Torres y otros Vs. El Salvador. Fondo, Reparaciones y Costas. </w:t>
      </w:r>
      <w:r w:rsidRPr="002B67FB">
        <w:rPr>
          <w:sz w:val="16"/>
          <w:szCs w:val="16"/>
          <w:lang w:val="es-AR"/>
        </w:rPr>
        <w:t>Sentencia de 5 de octubre de 2015. Serie C No. 303, párr. 32.</w:t>
      </w:r>
    </w:p>
  </w:footnote>
  <w:footnote w:id="22">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sz w:val="16"/>
          <w:szCs w:val="16"/>
          <w:lang w:val="es-CR"/>
        </w:rPr>
        <w:t xml:space="preserve">Mediante comunicación de 6 de febrero de 2017, las representantes indicaron que </w:t>
      </w:r>
      <w:r w:rsidRPr="002B67FB">
        <w:rPr>
          <w:sz w:val="16"/>
          <w:szCs w:val="16"/>
        </w:rPr>
        <w:t>al declarante no le fue posible rendir su testimonio ante notario público, ya que al presentarse a la notaría pública, el notario habría rechazado las preguntas negándose a certificar su declaración conforme al cuestionario que le fue presentado. Mediante nota de secretaría de 7 de febrero de 2017, la Corte indicó que sobre el particular valorará la situación en el momento procesal oportuno.</w:t>
      </w:r>
    </w:p>
  </w:footnote>
  <w:footnote w:id="23">
    <w:p w:rsidR="0078681A" w:rsidRPr="002B67FB" w:rsidRDefault="0078681A" w:rsidP="002B67FB">
      <w:pPr>
        <w:tabs>
          <w:tab w:val="left" w:pos="567"/>
        </w:tabs>
        <w:autoSpaceDE w:val="0"/>
        <w:autoSpaceDN w:val="0"/>
        <w:spacing w:after="120" w:line="240" w:lineRule="auto"/>
        <w:rPr>
          <w:sz w:val="16"/>
          <w:szCs w:val="16"/>
          <w:lang w:val="es-AR"/>
        </w:rPr>
      </w:pPr>
      <w:r w:rsidRPr="002B67FB">
        <w:rPr>
          <w:rStyle w:val="FootnoteReference"/>
          <w:rFonts w:eastAsia="Calibri"/>
          <w:sz w:val="16"/>
          <w:szCs w:val="16"/>
        </w:rPr>
        <w:footnoteRef/>
      </w:r>
      <w:r w:rsidRPr="002B67FB">
        <w:rPr>
          <w:sz w:val="16"/>
          <w:szCs w:val="16"/>
          <w:lang w:val="es-ES"/>
        </w:rPr>
        <w:tab/>
      </w:r>
      <w:r w:rsidRPr="002B67FB">
        <w:rPr>
          <w:rFonts w:cs="Courier New"/>
          <w:i/>
          <w:noProof/>
          <w:sz w:val="16"/>
          <w:szCs w:val="16"/>
          <w:lang w:val="es-AR"/>
        </w:rPr>
        <w:t xml:space="preserve">Cfr. Caso Velásquez Rodríguez Vs. Honduras. Fondo. </w:t>
      </w:r>
      <w:r w:rsidRPr="002B67FB">
        <w:rPr>
          <w:rFonts w:cs="Courier New"/>
          <w:noProof/>
          <w:sz w:val="16"/>
          <w:szCs w:val="16"/>
          <w:lang w:val="es-AR"/>
        </w:rPr>
        <w:t>Sentencia de 29 de julio de 1988. Serie C No. 4, párr. 140</w:t>
      </w:r>
      <w:r w:rsidRPr="002B67FB">
        <w:rPr>
          <w:rFonts w:cs="Courier New"/>
          <w:i/>
          <w:noProof/>
          <w:sz w:val="16"/>
          <w:szCs w:val="16"/>
          <w:lang w:val="es-AR"/>
        </w:rPr>
        <w:t xml:space="preserve">, </w:t>
      </w:r>
      <w:r w:rsidRPr="002B67FB">
        <w:rPr>
          <w:sz w:val="16"/>
          <w:szCs w:val="16"/>
          <w:lang w:val="es-AR"/>
        </w:rPr>
        <w:t xml:space="preserve">y </w:t>
      </w:r>
      <w:r w:rsidRPr="002B67FB">
        <w:rPr>
          <w:i/>
          <w:sz w:val="16"/>
          <w:szCs w:val="16"/>
          <w:lang w:val="es-AR"/>
        </w:rPr>
        <w:t xml:space="preserve">Caso Acosta y otros Vs. Nicaragua. Excepciones Preliminares, Fondo, Reparaciones y Costas. </w:t>
      </w:r>
      <w:r w:rsidRPr="002B67FB">
        <w:rPr>
          <w:sz w:val="16"/>
          <w:szCs w:val="16"/>
          <w:lang w:val="es-AR"/>
        </w:rPr>
        <w:t>Sentencia de 25 de marzo de 2017. Serie C No. 334, párr. 21.</w:t>
      </w:r>
    </w:p>
  </w:footnote>
  <w:footnote w:id="24">
    <w:p w:rsidR="0078681A" w:rsidRPr="002B67FB" w:rsidRDefault="0078681A" w:rsidP="002B67FB">
      <w:pPr>
        <w:tabs>
          <w:tab w:val="left" w:pos="567"/>
        </w:tabs>
        <w:spacing w:after="120" w:line="240" w:lineRule="auto"/>
        <w:rPr>
          <w:sz w:val="16"/>
          <w:szCs w:val="16"/>
          <w:lang w:val="es-AR"/>
        </w:rPr>
      </w:pPr>
      <w:r w:rsidRPr="002B67FB">
        <w:rPr>
          <w:rStyle w:val="FootnoteReference"/>
          <w:rFonts w:eastAsia="Calibri"/>
          <w:sz w:val="16"/>
          <w:szCs w:val="16"/>
        </w:rPr>
        <w:footnoteRef/>
      </w:r>
      <w:r w:rsidRPr="002B67FB">
        <w:rPr>
          <w:sz w:val="16"/>
          <w:szCs w:val="16"/>
          <w:lang w:val="es-ES"/>
        </w:rPr>
        <w:t xml:space="preserve"> </w:t>
      </w:r>
      <w:r w:rsidRPr="002B67FB">
        <w:rPr>
          <w:sz w:val="16"/>
          <w:szCs w:val="16"/>
          <w:lang w:val="es-ES"/>
        </w:rPr>
        <w:tab/>
      </w:r>
      <w:r w:rsidRPr="002B67FB">
        <w:rPr>
          <w:i/>
          <w:sz w:val="16"/>
          <w:szCs w:val="16"/>
          <w:lang w:val="es-ES"/>
        </w:rPr>
        <w:t xml:space="preserve">Cfr. </w:t>
      </w:r>
      <w:r w:rsidRPr="002B67FB">
        <w:rPr>
          <w:i/>
          <w:sz w:val="16"/>
          <w:szCs w:val="16"/>
          <w:lang w:val="es-AR"/>
        </w:rPr>
        <w:t xml:space="preserve">Caso Barbani Duarte y otros Vs. Uruguay. Fondo Reparaciones y Costas. </w:t>
      </w:r>
      <w:r w:rsidRPr="002B67FB">
        <w:rPr>
          <w:sz w:val="16"/>
          <w:szCs w:val="16"/>
          <w:lang w:val="es-AR"/>
        </w:rPr>
        <w:t xml:space="preserve">Sentencia de 13 de octubre de 2011. Serie C No. 234, párr. 22, y </w:t>
      </w:r>
      <w:r w:rsidRPr="002B67FB">
        <w:rPr>
          <w:i/>
          <w:sz w:val="16"/>
          <w:szCs w:val="16"/>
          <w:lang w:val="es-AR"/>
        </w:rPr>
        <w:t>Caso Acosta y otros Vs. Nicaragua, supra</w:t>
      </w:r>
      <w:r w:rsidRPr="002B67FB">
        <w:rPr>
          <w:sz w:val="16"/>
          <w:szCs w:val="16"/>
          <w:lang w:val="es-AR"/>
        </w:rPr>
        <w:t>, párr. 23.</w:t>
      </w:r>
    </w:p>
  </w:footnote>
  <w:footnote w:id="25">
    <w:p w:rsidR="0078681A" w:rsidRPr="002B67FB" w:rsidRDefault="0078681A" w:rsidP="002B67FB">
      <w:pPr>
        <w:pStyle w:val="FootnoteText"/>
        <w:tabs>
          <w:tab w:val="left" w:pos="567"/>
        </w:tabs>
        <w:spacing w:after="120"/>
        <w:rPr>
          <w:rFonts w:eastAsia="ヒラギノ角ゴ Pro W3"/>
          <w:sz w:val="16"/>
          <w:szCs w:val="16"/>
          <w:lang w:val="es-ES"/>
        </w:rPr>
      </w:pPr>
      <w:r w:rsidRPr="002B67FB">
        <w:rPr>
          <w:rStyle w:val="FootnoteReference"/>
          <w:rFonts w:eastAsia="Calibri"/>
          <w:sz w:val="16"/>
          <w:szCs w:val="16"/>
        </w:rPr>
        <w:footnoteRef/>
      </w:r>
      <w:r w:rsidRPr="002B67FB">
        <w:rPr>
          <w:sz w:val="16"/>
          <w:szCs w:val="16"/>
          <w:lang w:val="es-ES"/>
        </w:rPr>
        <w:t xml:space="preserve"> </w:t>
      </w:r>
      <w:r w:rsidRPr="002B67FB">
        <w:rPr>
          <w:sz w:val="16"/>
          <w:szCs w:val="16"/>
          <w:lang w:val="es-ES"/>
        </w:rPr>
        <w:tab/>
        <w:t xml:space="preserve">Los objetos de todas estas declaraciones se encuentran establecidos en la Resolución del Presidente de la Corte de 20 de diciembre de 2016, puntos resolutivos primero y quinto, la cual puede ser consultada en la página </w:t>
      </w:r>
      <w:r w:rsidRPr="002B67FB">
        <w:rPr>
          <w:i/>
          <w:sz w:val="16"/>
          <w:szCs w:val="16"/>
          <w:lang w:val="es-ES"/>
        </w:rPr>
        <w:t>web</w:t>
      </w:r>
      <w:r w:rsidRPr="002B67FB">
        <w:rPr>
          <w:sz w:val="16"/>
          <w:szCs w:val="16"/>
          <w:lang w:val="es-ES"/>
        </w:rPr>
        <w:t xml:space="preserve"> de la Corte en el siguiente enlace: </w:t>
      </w:r>
      <w:hyperlink r:id="rId1" w:history="1">
        <w:r w:rsidRPr="002B67FB">
          <w:rPr>
            <w:rStyle w:val="Hyperlink"/>
            <w:color w:val="auto"/>
            <w:sz w:val="16"/>
            <w:szCs w:val="16"/>
            <w:u w:val="none"/>
            <w:lang w:val="es-ES"/>
          </w:rPr>
          <w:t>http://www.corteidh.or.cr/docs/asuntos/ortiz_20_12_16.pdf</w:t>
        </w:r>
      </w:hyperlink>
      <w:r w:rsidRPr="002B67FB">
        <w:rPr>
          <w:sz w:val="16"/>
          <w:szCs w:val="16"/>
          <w:lang w:val="es-ES"/>
        </w:rPr>
        <w:t xml:space="preserve"> </w:t>
      </w:r>
    </w:p>
  </w:footnote>
  <w:footnote w:id="26">
    <w:p w:rsidR="0078681A" w:rsidRPr="002B67FB" w:rsidRDefault="0078681A" w:rsidP="002B67FB">
      <w:pPr>
        <w:tabs>
          <w:tab w:val="left" w:pos="567"/>
        </w:tabs>
        <w:spacing w:after="120" w:line="240" w:lineRule="auto"/>
        <w:rPr>
          <w:sz w:val="16"/>
          <w:szCs w:val="16"/>
          <w:lang w:val="es-A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 xml:space="preserve">Cfr. Caso Apitz Barbera y otros (“Corte Primera de lo Contencioso Administrativo”) Vs. Venezuela. Excepción Preliminar, Fondo, Reparaciones y Costas. </w:t>
      </w:r>
      <w:r w:rsidRPr="002B67FB">
        <w:rPr>
          <w:sz w:val="16"/>
          <w:szCs w:val="16"/>
          <w:lang w:val="es-AR"/>
        </w:rPr>
        <w:t>Sentencia de 5 de agosto de 2008. Serie C No. 182, párr. 14;</w:t>
      </w:r>
      <w:r w:rsidRPr="002B67FB">
        <w:rPr>
          <w:i/>
          <w:sz w:val="16"/>
          <w:szCs w:val="16"/>
          <w:lang w:val="es-AR"/>
        </w:rPr>
        <w:t xml:space="preserve"> Caso Uzcátegui y otros Vs. Venezuela. Fondo y Reparaciones. </w:t>
      </w:r>
      <w:r w:rsidRPr="002B67FB">
        <w:rPr>
          <w:sz w:val="16"/>
          <w:szCs w:val="16"/>
          <w:lang w:val="es-AR"/>
        </w:rPr>
        <w:t>Sentencia de 3 de septiembre de 2012 Serie C No. 249, párr. 30;</w:t>
      </w:r>
      <w:r w:rsidRPr="002B67FB">
        <w:rPr>
          <w:i/>
          <w:sz w:val="16"/>
          <w:szCs w:val="16"/>
          <w:lang w:val="es-AR"/>
        </w:rPr>
        <w:t xml:space="preserve"> Caso Castillo González y otros Vs. Venezuela. Fondo</w:t>
      </w:r>
      <w:r w:rsidRPr="002B67FB">
        <w:rPr>
          <w:sz w:val="16"/>
          <w:szCs w:val="16"/>
          <w:lang w:val="es-AR"/>
        </w:rPr>
        <w:t xml:space="preserve">. Sentencia de 27 de noviembre de 2012. Serie C No. 256, párr. 31, y </w:t>
      </w:r>
      <w:r w:rsidRPr="002B67FB">
        <w:rPr>
          <w:i/>
          <w:sz w:val="16"/>
          <w:szCs w:val="16"/>
          <w:lang w:val="es-AR"/>
        </w:rPr>
        <w:t xml:space="preserve">Caso Hermanos Landaeta Mejías y otros Vs. Venezuela. Excepciones Preliminares, Fondo, Reparaciones y Costas. </w:t>
      </w:r>
      <w:r w:rsidRPr="002B67FB">
        <w:rPr>
          <w:sz w:val="16"/>
          <w:szCs w:val="16"/>
          <w:lang w:val="es-AR"/>
        </w:rPr>
        <w:t>Sentencia de 27 de agosto de 2014. Serie C No. 281, párrs. 42 a 44.</w:t>
      </w:r>
    </w:p>
  </w:footnote>
  <w:footnote w:id="27">
    <w:p w:rsidR="0078681A" w:rsidRPr="002B67FB" w:rsidRDefault="0078681A" w:rsidP="002B67FB">
      <w:pPr>
        <w:tabs>
          <w:tab w:val="left" w:pos="567"/>
        </w:tabs>
        <w:spacing w:after="120" w:line="240" w:lineRule="auto"/>
        <w:rPr>
          <w:sz w:val="16"/>
          <w:szCs w:val="16"/>
          <w:lang w:val="es-AR"/>
        </w:rPr>
      </w:pPr>
      <w:r w:rsidRPr="002B67FB">
        <w:rPr>
          <w:rStyle w:val="FootnoteReference"/>
          <w:rFonts w:eastAsia="Calibri"/>
          <w:sz w:val="16"/>
          <w:szCs w:val="16"/>
        </w:rPr>
        <w:footnoteRef/>
      </w:r>
      <w:r w:rsidRPr="002B67FB">
        <w:rPr>
          <w:sz w:val="16"/>
          <w:szCs w:val="16"/>
          <w:vertAlign w:val="superscript"/>
          <w:lang w:val="es-ES"/>
        </w:rPr>
        <w:t xml:space="preserve"> </w:t>
      </w:r>
      <w:r w:rsidRPr="002B67FB">
        <w:rPr>
          <w:sz w:val="16"/>
          <w:szCs w:val="16"/>
          <w:lang w:val="es-ES"/>
        </w:rPr>
        <w:tab/>
      </w:r>
      <w:r w:rsidRPr="002B67FB">
        <w:rPr>
          <w:i/>
          <w:sz w:val="16"/>
          <w:szCs w:val="16"/>
          <w:lang w:val="es-AR"/>
        </w:rPr>
        <w:t>Cfr. Caso de la “Panel Blanca” (Paniagua Morales y otros) Vs. Guatemala. Fondo</w:t>
      </w:r>
      <w:r w:rsidRPr="002B67FB">
        <w:rPr>
          <w:sz w:val="16"/>
          <w:szCs w:val="16"/>
          <w:lang w:val="es-AR"/>
        </w:rPr>
        <w:t xml:space="preserve">. Sentencia de 8 de marzo de 1998. Serie C No. 37, párrs. 69 a 76, y </w:t>
      </w:r>
      <w:r w:rsidRPr="002B67FB">
        <w:rPr>
          <w:bCs/>
          <w:i/>
          <w:sz w:val="16"/>
          <w:szCs w:val="16"/>
        </w:rPr>
        <w:t>Caso Acosta y otros Vs. Nicaragua, supra</w:t>
      </w:r>
      <w:r w:rsidRPr="002B67FB">
        <w:rPr>
          <w:bCs/>
          <w:sz w:val="16"/>
          <w:szCs w:val="16"/>
        </w:rPr>
        <w:t>, párr. 26.</w:t>
      </w:r>
    </w:p>
  </w:footnote>
  <w:footnote w:id="28">
    <w:p w:rsidR="0078681A" w:rsidRPr="002B67FB" w:rsidRDefault="0078681A" w:rsidP="002B67FB">
      <w:pPr>
        <w:tabs>
          <w:tab w:val="left" w:pos="567"/>
        </w:tabs>
        <w:spacing w:after="120" w:line="240" w:lineRule="auto"/>
        <w:rPr>
          <w:sz w:val="16"/>
          <w:szCs w:val="16"/>
          <w:lang w:val="es-ES"/>
        </w:rPr>
      </w:pPr>
      <w:r w:rsidRPr="002B67FB">
        <w:rPr>
          <w:rStyle w:val="FootnoteReference"/>
          <w:rFonts w:eastAsia="Calibri"/>
          <w:sz w:val="16"/>
          <w:szCs w:val="16"/>
        </w:rPr>
        <w:footnoteRef/>
      </w:r>
      <w:r w:rsidRPr="002B67FB">
        <w:rPr>
          <w:sz w:val="16"/>
          <w:szCs w:val="16"/>
          <w:lang w:val="es-ES"/>
        </w:rPr>
        <w:t xml:space="preserve"> </w:t>
      </w:r>
      <w:r w:rsidRPr="002B67FB">
        <w:rPr>
          <w:sz w:val="16"/>
          <w:szCs w:val="16"/>
          <w:lang w:val="es-ES"/>
        </w:rPr>
        <w:tab/>
      </w:r>
      <w:r w:rsidRPr="002B67FB">
        <w:rPr>
          <w:i/>
          <w:sz w:val="16"/>
          <w:szCs w:val="16"/>
          <w:lang w:val="es-ES"/>
        </w:rPr>
        <w:t xml:space="preserve">Cfr. Caso Loayza Tamayo Vs. Perú. Fondo. </w:t>
      </w:r>
      <w:r w:rsidRPr="002B67FB">
        <w:rPr>
          <w:sz w:val="16"/>
          <w:szCs w:val="16"/>
          <w:lang w:val="es-ES"/>
        </w:rPr>
        <w:t xml:space="preserve">Sentencia de 17 de septiembre de 1997. Serie C No. 33, párr. 43, y </w:t>
      </w:r>
      <w:r w:rsidRPr="002B67FB">
        <w:rPr>
          <w:bCs/>
          <w:i/>
          <w:sz w:val="16"/>
          <w:szCs w:val="16"/>
        </w:rPr>
        <w:t>Caso Acosta y otros Vs. Nicaragua, supra</w:t>
      </w:r>
      <w:r w:rsidRPr="002B67FB">
        <w:rPr>
          <w:bCs/>
          <w:sz w:val="16"/>
          <w:szCs w:val="16"/>
        </w:rPr>
        <w:t>, párr. 26.</w:t>
      </w:r>
    </w:p>
  </w:footnote>
  <w:footnote w:id="29">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Partida de nacimiento de Johan Alexis Ortiz Hernández emitida por la Autoridad Civil del Municipio San Juan Bautista del distrito San Cristóbal del estado de Táchira (expediente de prueba, tomo X, anexo 1 al sometimiento del caso, folio 3033), e Informe socio-económico y familiar emitido por el Licenciado Frank Félix Sosa el 4 de agosto de 2015 (expediente de prueba, tomo XIII, anexo 21 al escrito de solicitudes, argumentos y prueba, folio 4532).</w:t>
      </w:r>
    </w:p>
  </w:footnote>
  <w:footnote w:id="30">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 xml:space="preserve">Cfr. </w:t>
      </w:r>
      <w:r w:rsidRPr="002B67FB">
        <w:rPr>
          <w:sz w:val="16"/>
          <w:szCs w:val="16"/>
        </w:rPr>
        <w:t>Informe socio-económico y familiar emitido por el Licenciado Frank Félix Sosa el 4 de agosto de 2015 (expediente de prueba, tomo XIII, anexo 21 al escrito de solicitudes, argumentos y prueba, folios 4534 a 4535).</w:t>
      </w:r>
    </w:p>
  </w:footnote>
  <w:footnote w:id="31">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 xml:space="preserve">Cfr. </w:t>
      </w:r>
      <w:r w:rsidRPr="002B67FB">
        <w:rPr>
          <w:sz w:val="16"/>
          <w:szCs w:val="16"/>
        </w:rPr>
        <w:t>Nota de prensa aparecida en el diario “La Nación” el 30 de marzo de 1998 titulada “La muerte le sorprendió en una práctica militar” (expediente de prueba, tomo XI, anexo 17 al sometimiento del caso, folio 3482), y Declaraciones rendidas por Zaida Hernández de Arellano y Edgar Humberto Ortiz Ruiz ante la Corte Interamericana en la audiencia pública celebrada el 9 de febrero de 2017.</w:t>
      </w:r>
    </w:p>
  </w:footnote>
  <w:footnote w:id="32">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Informe Caso Muerte de Johan Alexis Ortiz Hernández elaborado por Edgar Humberto Ortiz Ruiz y Zaida Hernández de Arellano de 1 de septiembre de 1998 (expediente de prueba, tomo XI, anexo 15 al sometimiento del caso, folio 3453).</w:t>
      </w:r>
    </w:p>
  </w:footnote>
  <w:footnote w:id="33">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Orden de Operaciones para el “I Curso Anti-Subversivo” febrero 98, dirigido al personal de alumnos integrantes del XXVIII Curso de la Escuela de Formación de Guardias Nacionales Gral. Div. “Víctor Anselmo Fernández Escobar” (expediente de prueba, tomo XIV, anexo a la contestación del Estado, folios 4570 a 4762).</w:t>
      </w:r>
    </w:p>
  </w:footnote>
  <w:footnote w:id="34">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Orden de Operaciones para el “I Curso Anti-Subversivo” febrero 98, dirigido al personal de alumnos integrantes del XXVIII Curso de la Escuela de Formación de Guardias Nacionales Gral. Div. “Víctor Anselmo Fernández Escobar” (expediente de prueba, tomo XIV, anexo a la contestación del Estado, folios 4574 a 4575).</w:t>
      </w:r>
    </w:p>
  </w:footnote>
  <w:footnote w:id="35">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xml:space="preserve">. Instructivo para actividades del batallón de alumnos (expediente de prueba, tomo XIV, anexo a la contestación del Estado, folios 4670 a 4677), e Informe de la Comisión Permanente de Derechos Humanos de la Asamblea Legislativa del estado de Táchira emitido el 16 de enero de 1999 (expediente de prueba, tomo X, anexo 8 al sometimiento del caso, folio 3254). </w:t>
      </w:r>
    </w:p>
  </w:footnote>
  <w:footnote w:id="36">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Dicha información fue ratificada por Marelvis Mejía Molina, miembro del Ministerio Público, al prestar declaración testimonial ante esta Corte Interamericana. En efecto, en dicha oportunidad sostuvo que el instructivo no establecía si debían emplearse municiones reales o de fogueo. Sin embargo, destacó que éste preveía la provisión de cuatro mil quinientos (4.500) cartuchos de fogueo, motivo por el cual podía presumirse que eran éstas las que debieron utilizarse para el desarrollo de los ejercicios. </w:t>
      </w:r>
      <w:r w:rsidRPr="002B67FB">
        <w:rPr>
          <w:i/>
          <w:sz w:val="16"/>
          <w:szCs w:val="16"/>
        </w:rPr>
        <w:t xml:space="preserve">Cfr. </w:t>
      </w:r>
      <w:r w:rsidRPr="002B67FB">
        <w:rPr>
          <w:sz w:val="16"/>
          <w:szCs w:val="16"/>
        </w:rPr>
        <w:t>Declaración rendida por Marelvis Mejía Molina ante la Corte Interamericana en la audiencia pública celebrada el 9 de febrero de 2017.</w:t>
      </w:r>
    </w:p>
  </w:footnote>
  <w:footnote w:id="37">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Instructivo para actividades del batallón de alumnos (expediente de prueba, tomo XIV, anexo a la contestación del Estado, folio 4710).</w:t>
      </w:r>
    </w:p>
  </w:footnote>
  <w:footnote w:id="38">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Orden Administrativa N° 1/98 (expediente de prueba, tomo X, anexo 3 al sometimiento del caso, folios 3060 a 3061).</w:t>
      </w:r>
    </w:p>
  </w:footnote>
  <w:footnote w:id="39">
    <w:p w:rsidR="0078681A" w:rsidRPr="002B67FB" w:rsidRDefault="0078681A" w:rsidP="002B67FB">
      <w:pPr>
        <w:pStyle w:val="FootnoteText"/>
        <w:tabs>
          <w:tab w:val="left" w:pos="567"/>
        </w:tabs>
        <w:spacing w:after="120"/>
        <w:rPr>
          <w:i/>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lang w:val="es-CR"/>
        </w:rPr>
        <w:t xml:space="preserve">Cfr. </w:t>
      </w:r>
      <w:r w:rsidRPr="002B67FB">
        <w:rPr>
          <w:sz w:val="16"/>
          <w:szCs w:val="16"/>
        </w:rPr>
        <w:t>Instructivo para actividades del batallón de alumnos (expediente de prueba, tomo XIV, anexo a la contestación del Estado, folio 4675).</w:t>
      </w:r>
    </w:p>
  </w:footnote>
  <w:footnote w:id="40">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Orden de Operaciones para el “I Curso Anti-Subversivo” febrero 98, dirigido al personal de alumnos integrantes del XXVIII Curso de la Escuela de Formación de Guardias Nacionales Gral. Div. “Víctor Anselmo Fernández Escobar” (expediente de prueba, tomo XXI, anexo a la contestación del Estado, folios 6706 a 6707).</w:t>
      </w:r>
    </w:p>
  </w:footnote>
  <w:footnote w:id="41">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Escuela de Formación de Guardias Nacionales Gral. Div. “Víctor Anselmo Fernández Escobar”, Normas que deben cumplir los instructores en las canchas ubicadas en los terrenos de la base administrativa del Destacamento de Comandos Rurales Nro. 19 (expediente de prueba, tomo XXI, anexo a la contestación del Estado, folios 6735 a 6736).</w:t>
      </w:r>
    </w:p>
  </w:footnote>
  <w:footnote w:id="42">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Informe enviado por el Teniente Comandante de la Primera Compañía al Teniente Coronel Comandante del Cuerpo Alumnos de ESGUARNAC-CORDERO el 12 de marzo de 1998 (expediente de prueba, tomo X, anexo 2 al sometimiento del caso, folios 3035 a 3036).</w:t>
      </w:r>
    </w:p>
  </w:footnote>
  <w:footnote w:id="43">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 xml:space="preserve">Cfr. </w:t>
      </w:r>
      <w:r w:rsidRPr="002B67FB">
        <w:rPr>
          <w:sz w:val="16"/>
          <w:szCs w:val="16"/>
        </w:rPr>
        <w:t>Instructivo para actividades del batallón de alumnos (expediente de prueba, tomo XIV, anexo a la contestación del Estado, folios 4670 a 4677 y folios 4706 a 4713, respectivamente).</w:t>
      </w:r>
    </w:p>
  </w:footnote>
  <w:footnote w:id="44">
    <w:p w:rsidR="0078681A" w:rsidRPr="007F51E9" w:rsidRDefault="0078681A" w:rsidP="002B67FB">
      <w:pPr>
        <w:pStyle w:val="FootnoteText"/>
        <w:tabs>
          <w:tab w:val="left" w:pos="567"/>
        </w:tabs>
        <w:spacing w:after="120"/>
        <w:rPr>
          <w:sz w:val="16"/>
          <w:szCs w:val="16"/>
          <w:lang w:val="es-CR"/>
        </w:rPr>
      </w:pPr>
      <w:r w:rsidRPr="007F51E9">
        <w:rPr>
          <w:rStyle w:val="FootnoteReference"/>
          <w:sz w:val="16"/>
          <w:szCs w:val="16"/>
        </w:rPr>
        <w:footnoteRef/>
      </w:r>
      <w:r w:rsidRPr="007F51E9">
        <w:rPr>
          <w:sz w:val="16"/>
          <w:szCs w:val="16"/>
        </w:rPr>
        <w:t xml:space="preserve"> </w:t>
      </w:r>
      <w:r w:rsidRPr="007F51E9">
        <w:rPr>
          <w:sz w:val="16"/>
          <w:szCs w:val="16"/>
          <w:lang w:val="es-CR"/>
        </w:rPr>
        <w:tab/>
        <w:t xml:space="preserve">Ello se desprende de las diferentes acusaciones formuladas a nivel interno en el transcurso de las investigaciones, tanto en el fuero militar como en el ordinario, que hacen alusión a que los hechos ocurrieron en el obstáculo número 5 que corresponde a la “cancha anti-subversiva”. </w:t>
      </w:r>
      <w:r w:rsidRPr="007F51E9">
        <w:rPr>
          <w:i/>
          <w:sz w:val="16"/>
          <w:szCs w:val="16"/>
          <w:lang w:val="es-CR"/>
        </w:rPr>
        <w:t xml:space="preserve">Cfr. </w:t>
      </w:r>
      <w:r w:rsidRPr="007F51E9">
        <w:rPr>
          <w:sz w:val="16"/>
          <w:szCs w:val="16"/>
        </w:rPr>
        <w:t xml:space="preserve">Sentencia emitida por el Tribunal Militar de Primera Instancia Permanente de San Cristóbal el 8 de octubre de 2001 (expediente de prueba, tomo XXV, anexo a la contestación del Estado, folio 7904); Acusación formulada por los representantes del Ministerio Público el 24 de noviembre de 2011 (expediente de prueba, tomo XXXV, anexo a la contestación del Estado, folios 9844 a 9945), y Acusación formulada por los representantes del Ministerio Público el 27 de febrero de 2013 (expediente de prueba, tomo X, anexo 14 al sometimiento del caso, folio 3306). Véase también, Anexo A “Ejecución cancha anti-subversiva” al Instructivo para actividades del batallón de alumnos (expediente de prueba, tomo XIV, anexo a la contestación del Estado, folio 4676), e </w:t>
      </w:r>
      <w:r w:rsidRPr="007F51E9">
        <w:rPr>
          <w:sz w:val="16"/>
          <w:szCs w:val="16"/>
          <w:lang w:val="es-CR"/>
        </w:rPr>
        <w:t>Informe enviado por el Teniente Comandante de la Primera Compañía al Teniente Coronel Comandante del Cuerpo Alumnos de ESGUARNAC-CORDERO el 12 de marzo de 1998 (expediente de prueba, tomo X, anexo 2 al sometimiento del caso, folios 3035 a 3036)</w:t>
      </w:r>
      <w:r w:rsidRPr="007F51E9">
        <w:rPr>
          <w:sz w:val="16"/>
          <w:szCs w:val="16"/>
        </w:rPr>
        <w:t>.</w:t>
      </w:r>
    </w:p>
  </w:footnote>
  <w:footnote w:id="45">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Vale señalar que, según la declaración del alumno Luis Eduardo Berrio Mercado quien también habría participado de la práctica, el hecho en que resultó herido Ortiz Hernández se habría producido a las 11.30 horas del día 15 de febrero de 1998. </w:t>
      </w:r>
      <w:r w:rsidRPr="002B67FB">
        <w:rPr>
          <w:i/>
          <w:sz w:val="16"/>
          <w:szCs w:val="16"/>
        </w:rPr>
        <w:t>Cfr</w:t>
      </w:r>
      <w:r w:rsidRPr="002B67FB">
        <w:rPr>
          <w:sz w:val="16"/>
          <w:szCs w:val="16"/>
        </w:rPr>
        <w:t xml:space="preserve">. Declaración testimonial rendida ante el Comando Regional N° 1, Destacamento de Comandos Rurales N° 19, el 16 de febrero de 1998 (expediente de prueba, tomo XIV, anexo a la contestación del Estado, folio 4779). En cambio, para Gerson Daniel Varela Molina quien se desempeñaba como auxiliar de instrucción en los obstáculos 2 y 3, el hecho habría ocurrido entre las 12 y 12.15 horas. </w:t>
      </w:r>
      <w:r w:rsidRPr="002B67FB">
        <w:rPr>
          <w:i/>
          <w:sz w:val="16"/>
          <w:szCs w:val="16"/>
        </w:rPr>
        <w:t>Cfr</w:t>
      </w:r>
      <w:r w:rsidRPr="002B67FB">
        <w:rPr>
          <w:sz w:val="16"/>
          <w:szCs w:val="16"/>
        </w:rPr>
        <w:t xml:space="preserve">. Declaración testimonial rendida ante el Comando Regional N° 1, Destacamento de Comandos Rurales N° 19, el 21 de febrero de 1998 (expediente de prueba, tomo XIV, anexo a la contestación del Estado, folio 4807). En la misma línea, un alumno que se encontraba asistiendo al funcionario que estaba operando la ametralladora AFAG manifestó que el hecho sucedió a las 12:15 horas. </w:t>
      </w:r>
      <w:r w:rsidRPr="002B67FB">
        <w:rPr>
          <w:i/>
          <w:sz w:val="16"/>
          <w:szCs w:val="16"/>
        </w:rPr>
        <w:t>Cfr.</w:t>
      </w:r>
      <w:r w:rsidRPr="002B67FB">
        <w:rPr>
          <w:sz w:val="16"/>
          <w:szCs w:val="16"/>
        </w:rPr>
        <w:t xml:space="preserve"> Declaración testimonial rendida por Antonio Elías Linares Villalobos ante la Fiscalía Séptima (7°) del estado de Táchira el 17 de junio de 2003 (expediente de prueba, tomo XXXII, anexo a la contestación del Estado, folios 9011 a 9012). Mientras que para los alumnos Pedro Miguel Rodríguez Palmera y Víctor Alberto Lacruz Delgado éste aconteció a las 12.30 horas. </w:t>
      </w:r>
      <w:r w:rsidRPr="002B67FB">
        <w:rPr>
          <w:i/>
          <w:sz w:val="16"/>
          <w:szCs w:val="16"/>
        </w:rPr>
        <w:t>Cfr</w:t>
      </w:r>
      <w:r w:rsidRPr="002B67FB">
        <w:rPr>
          <w:sz w:val="16"/>
          <w:szCs w:val="16"/>
        </w:rPr>
        <w:t xml:space="preserve">. Declaraciones testimoniales rendidas ante el Comando Regional N° 1, Destacamento de Comandos Rurales N° 19, el 17 de febrero de 1998 (expediente de prueba, tomo XIV, anexo a la contestación del Estado, folios 4789 y 4791, respectivamente). Por su parte, la </w:t>
      </w:r>
      <w:r w:rsidRPr="002B67FB">
        <w:rPr>
          <w:rFonts w:eastAsiaTheme="minorHAnsi" w:cstheme="minorBidi"/>
          <w:sz w:val="16"/>
          <w:szCs w:val="16"/>
          <w:lang w:eastAsia="en-US"/>
        </w:rPr>
        <w:t xml:space="preserve">médica tratante señaló que el ingreso de Johan Alexis al hospital se produjo a las 12:45 horas. </w:t>
      </w:r>
      <w:r w:rsidRPr="002B67FB">
        <w:rPr>
          <w:rFonts w:eastAsiaTheme="minorHAnsi" w:cstheme="minorBidi"/>
          <w:i/>
          <w:sz w:val="16"/>
          <w:szCs w:val="16"/>
          <w:lang w:eastAsia="en-US"/>
        </w:rPr>
        <w:t xml:space="preserve">Cfr. </w:t>
      </w:r>
      <w:r w:rsidRPr="002B67FB">
        <w:rPr>
          <w:sz w:val="16"/>
          <w:szCs w:val="16"/>
        </w:rPr>
        <w:t xml:space="preserve">Informe médico emitido por Lucy Vega Chávez el 15 de febrero de 1998 </w:t>
      </w:r>
      <w:r w:rsidRPr="002B67FB">
        <w:rPr>
          <w:rFonts w:eastAsiaTheme="minorHAnsi" w:cstheme="minorBidi"/>
          <w:sz w:val="16"/>
          <w:szCs w:val="16"/>
          <w:lang w:eastAsia="en-US"/>
        </w:rPr>
        <w:t xml:space="preserve">(tomo XIV, </w:t>
      </w:r>
      <w:r w:rsidRPr="002B67FB">
        <w:rPr>
          <w:sz w:val="16"/>
          <w:szCs w:val="16"/>
        </w:rPr>
        <w:t xml:space="preserve">anexo a la contestación del Estado, </w:t>
      </w:r>
      <w:r w:rsidRPr="002B67FB">
        <w:rPr>
          <w:rFonts w:eastAsiaTheme="minorHAnsi" w:cstheme="minorBidi"/>
          <w:sz w:val="16"/>
          <w:szCs w:val="16"/>
          <w:lang w:eastAsia="en-US"/>
        </w:rPr>
        <w:t xml:space="preserve">folio 4775), y </w:t>
      </w:r>
      <w:r w:rsidRPr="002B67FB">
        <w:rPr>
          <w:sz w:val="16"/>
          <w:szCs w:val="16"/>
        </w:rPr>
        <w:t>Declaración testimonial rendida por Lucy Vega Chávez ante el Juzgado Militar de Primera Instancia Permanente de Guasdualito el 24 de marzo de 1998</w:t>
      </w:r>
      <w:r w:rsidRPr="002B67FB">
        <w:rPr>
          <w:rFonts w:eastAsiaTheme="minorHAnsi" w:cstheme="minorBidi"/>
          <w:sz w:val="16"/>
          <w:szCs w:val="16"/>
          <w:lang w:eastAsia="en-US"/>
        </w:rPr>
        <w:t xml:space="preserve"> (tomo XV, </w:t>
      </w:r>
      <w:r w:rsidRPr="002B67FB">
        <w:rPr>
          <w:sz w:val="16"/>
          <w:szCs w:val="16"/>
        </w:rPr>
        <w:t>anexo a la contestación del Estado,</w:t>
      </w:r>
      <w:r w:rsidRPr="002B67FB">
        <w:rPr>
          <w:rFonts w:eastAsiaTheme="minorHAnsi" w:cstheme="minorBidi"/>
          <w:sz w:val="16"/>
          <w:szCs w:val="16"/>
          <w:lang w:eastAsia="en-US"/>
        </w:rPr>
        <w:t xml:space="preserve"> folio 4879).</w:t>
      </w:r>
    </w:p>
  </w:footnote>
  <w:footnote w:id="46">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 xml:space="preserve">Cfr. </w:t>
      </w:r>
      <w:r w:rsidRPr="002B67FB">
        <w:rPr>
          <w:sz w:val="16"/>
          <w:szCs w:val="16"/>
        </w:rPr>
        <w:t>Parte especial remitido por el TCNEL. (GN) J.S. de la Escuela de Formación de Guardias Nacionales Gral. Div. “Víctor Anselmo Fernández Escobar” al CNEL (EJ.) J.S. de la Segunda División de Infantería y Comando de Guarnición del estado de Táchira el 15 de febrero de 1998 (expediente de prueba, tomo XIV, anexo a la contestación del Estado, folio 4556).</w:t>
      </w:r>
    </w:p>
  </w:footnote>
  <w:footnote w:id="47">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Algunos alumnos que realizaron la práctica manifestaron que, pese a haber recibido instrucciones la tarde previa, desconocían que la misma se iba a llevar a cabo con municiones reales. </w:t>
      </w:r>
      <w:r w:rsidRPr="002B67FB">
        <w:rPr>
          <w:i/>
          <w:sz w:val="16"/>
          <w:szCs w:val="16"/>
        </w:rPr>
        <w:t>Cfr</w:t>
      </w:r>
      <w:r w:rsidRPr="002B67FB">
        <w:rPr>
          <w:sz w:val="16"/>
          <w:szCs w:val="16"/>
        </w:rPr>
        <w:t>. Declaración testimonial rendida por José Luis Campos Álvarez ante la Fiscalía Séptima (7°) del estado de Táchira el 24 de mayo de 2006 (expediente de prueba, tomo XXX, anexo a la contestación del Estado, folios 8515 a 8516); Declaración testimonial rendida por Miguel Aquino Pabón Araque ante la Fiscalía Séptima (7°) del estado de Táchira el 30 de mayo de 2006 (expediente de prueba, tomo XXX, anexo a la contestación del Estado, folio 8528), y Declaración testimonial rendida por Antonio Elías Linares Villalobos ante la Fiscalía Séptima (7°) del estado de Táchira el 17 de junio de 2003 (expediente de prueba, tomo XXXII, anexo a la contestación del Estado, folio 9012).</w:t>
      </w:r>
    </w:p>
  </w:footnote>
  <w:footnote w:id="48">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Informe enviado por el Teniente Comandante de la Primera Compañía al Teniente Coronel Comandante del Cuerpo de Alumnos de ESGUARNAC-CORDERO el 12 de marzo de 1998 (expediente de prueba, tomo X, anexo 2 al sometimiento del caso, folios 3035 a 3036).</w:t>
      </w:r>
    </w:p>
  </w:footnote>
  <w:footnote w:id="49">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lang w:val="es-CR"/>
        </w:rPr>
        <w:t xml:space="preserve">Cfr. </w:t>
      </w:r>
      <w:r w:rsidRPr="002B67FB">
        <w:rPr>
          <w:rFonts w:cs="Courier New"/>
          <w:noProof/>
          <w:sz w:val="16"/>
          <w:szCs w:val="16"/>
        </w:rPr>
        <w:t>Peritaje rendido ante fedatario público por Maurice Gastón Larée Quevedo el 26 de enero de 2017 (expediente de prueba, tomo XLII, affidávits, folios 10749 a 10750).</w:t>
      </w:r>
    </w:p>
  </w:footnote>
  <w:footnote w:id="50">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xml:space="preserve"> Acusación formulada por los representantes del Ministerio Público el 27 de febrero de 2013 (expediente de prueba, tomo X, anexo 14 al sometimiento del caso, folio 3307), y Declaración rendida por Marelvis Mejía Molina ante la Corte Interamericana en la audiencia pública celebrada el 9 de febrero de 2017.</w:t>
      </w:r>
    </w:p>
  </w:footnote>
  <w:footnote w:id="51">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sz w:val="16"/>
          <w:szCs w:val="16"/>
          <w:lang w:val="es-CR"/>
        </w:rPr>
        <w:t xml:space="preserve">Por otro lado, el propio Defensor Provisorio del guardia nacional que tenía a su cargo el accionar del arma, al fundar la apelación del auto de detención dictado por el Juzgado Militar de Primera Instancia Permanente de Guasdualito de 16 de junio de 1998, expuso que su asistido no se encontraba disparando a un objeto fijo, sino más bien dentro de la cancha a un metro o un metro y medio por delante de los pasantes, y en este sentido indicó que el señor Ortiz Hernández “[…] se sintió herido sin haber ingresado aun a la cancha de infiltración, sino que estaba en la entrada de la misma y que fue donde el Guardia Nacional […] lo auxilió, ello explica por qué [el] uniforme militar del pasante no se encontraba lleno de lodo”. </w:t>
      </w:r>
      <w:r w:rsidRPr="002B67FB">
        <w:rPr>
          <w:i/>
          <w:sz w:val="16"/>
          <w:szCs w:val="16"/>
        </w:rPr>
        <w:t>Cfr</w:t>
      </w:r>
      <w:r w:rsidRPr="002B67FB">
        <w:rPr>
          <w:sz w:val="16"/>
          <w:szCs w:val="16"/>
        </w:rPr>
        <w:t>. Apelación interpuesta ante el Juzgado Militar de Primera Instancia Permanente de Guasdualito el 21 de mayo de 1999 (expediente de prueba, tomo XVIII, anexo a la contestación del Estado, folios 5934 a 5936).</w:t>
      </w:r>
    </w:p>
  </w:footnote>
  <w:footnote w:id="52">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A esta versión de los acontecimientos también hicieron mención el señor José Luis Campos Alvarez y el Cabo Segundo de la GN Víctor Manuel Rivas Mora, al prestar declaración en la sede de la Fiscalía Séptima (7°) del estado de Táchira, los días 24 y 25 de mayo de 2006, respectivamente. En dicha oportunidad, a la pregunta de si tiene conocimiento de qué fue lo que ocurrió con Johan Alexis, el señor Rivas Mora indicó que: “[l]o que yo diga, sería una especulación ya que yo no estaba en el sitio, pero los comentarios que se escuchaban de los mismos alumnos era que posiblemente había sido el Capitán […], que había matado al alumno, [porque] al parecer ese alumno había tenido o tenía relaciones con la esposa del Capitán […]”. </w:t>
      </w:r>
      <w:r w:rsidRPr="002B67FB">
        <w:rPr>
          <w:i/>
          <w:sz w:val="16"/>
          <w:szCs w:val="16"/>
        </w:rPr>
        <w:t>Cfr</w:t>
      </w:r>
      <w:r w:rsidRPr="002B67FB">
        <w:rPr>
          <w:sz w:val="16"/>
          <w:szCs w:val="16"/>
        </w:rPr>
        <w:t xml:space="preserve">. Declaración testimonial rendida ante la Fiscalía Séptima (7°) del estado de Táchira el 25 de mayo de 2006 (expediente de prueba, tomo XXX, anexo a la contestación del Estado, folio 8521). Mientras que Campos Alvarez indicó que: “después de la muerte de ORTIZ fue que se comentó entre los mismos compañeros alumnos, que ORTIZ tenía un romance con la profesora [esposa del capitán a cargo de la práctica] y que lo que había ocurrido en la cancha no había sido lo que nos habían dicho, si no que era un parapeto y que el mismo Capitán […] por celos lo había matado”. </w:t>
      </w:r>
      <w:r w:rsidRPr="002B67FB">
        <w:rPr>
          <w:i/>
          <w:sz w:val="16"/>
          <w:szCs w:val="16"/>
        </w:rPr>
        <w:t>Cfr</w:t>
      </w:r>
      <w:r w:rsidRPr="002B67FB">
        <w:rPr>
          <w:sz w:val="16"/>
          <w:szCs w:val="16"/>
        </w:rPr>
        <w:t>. Declaración testimonial rendida ante la Fiscalía Séptima (7°) del estado de Táchira el 24 de mayo de 2006 (expediente de prueba, tomo XXX, anexo a la contestación del Estado, folio 8514).</w:t>
      </w:r>
    </w:p>
  </w:footnote>
  <w:footnote w:id="53">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Informe Caso Muerte de Johan Alexis Ortiz Hernández elaborado por Edgar Humberto Ortiz Ruiz y Zaida Hernández de Arellano de 1 de septiembre de 1998 (expediente de prueba, tomo XI, anexo 15 al sometimiento del caso, folios 3453 a 3465), y Nota dirigida al Presidente de la Fundación Justicia por Edgar Humberto Ortiz Ruiz y Zaida Hernández de Arellano el 5 de mayo de 1998 (expediente de prueba, tomo XI, anexo 16 al sometimiento del caso, folios 3467 a 3480).</w:t>
      </w:r>
    </w:p>
  </w:footnote>
  <w:footnote w:id="54">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Nota de prensa aparecida en el “Diario de La Nación” el 17 de febrero de 1998 titulada “Cuatro persona muertas” (expediente de prueba, tomo X, anexo 6 al sometimiento del caso, folio 3248).</w:t>
      </w:r>
    </w:p>
  </w:footnote>
  <w:footnote w:id="55">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Nota de prensa aparecida en el “Diario de Los Andes” el 17 de febrero de 1998 titulada “Muertes violentas” (expediente de prueba, tomo X, anexo 7 al sometimiento del caso, folios 3250 a 3251).</w:t>
      </w:r>
    </w:p>
  </w:footnote>
  <w:footnote w:id="56">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rPr>
        <w:t>Cfr.</w:t>
      </w:r>
      <w:r w:rsidRPr="002B67FB">
        <w:rPr>
          <w:sz w:val="16"/>
          <w:szCs w:val="16"/>
        </w:rPr>
        <w:t xml:space="preserve"> Declaración testimonial rendida por Antonio Elías Linares Villalobos ante la Fiscalía Séptima (7°) del estado de Táchira el 17 de junio de 2003 (expediente de prueba, tomo XXXII, anexo a la contestación del Estado, folios 9011 a 9013).</w:t>
      </w:r>
    </w:p>
  </w:footnote>
  <w:footnote w:id="57">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 xml:space="preserve">Cfr. </w:t>
      </w:r>
      <w:r w:rsidRPr="002B67FB">
        <w:rPr>
          <w:sz w:val="16"/>
          <w:szCs w:val="16"/>
        </w:rPr>
        <w:t>Parte especial remitido por el TCNEL (GN) Comandante del Destacamento de Comandos Rurales N° 19 al GRAL. BGDA. (EJ) Jefe del Teatro de Operaciones N° 1 el 15 de febrero de 1998 (expediente de prueba, tomo XIV, anexo a la contestación del Estado, folio 4558); Declaración testimonial rendida por Wilson Enrique Castillo Pedraza ante el Comando Regional N° 1, Destacamento de Comandos Rurales N° 19, el 18 de febrero de 1998 (expediente de prueba, tomo XIV, anexo a la contestación del Estado, folios 4795 a 4796), y Declaración testimonial rendida por Wilson Enrique Castillo Pedraza ante el Juzgado Militar de Primera Instancia Permanente de Guasdualito el 23 de abril de 1998</w:t>
      </w:r>
      <w:r w:rsidRPr="002B67FB">
        <w:rPr>
          <w:rFonts w:eastAsiaTheme="minorHAnsi" w:cstheme="minorBidi"/>
          <w:sz w:val="16"/>
          <w:szCs w:val="16"/>
          <w:lang w:eastAsia="en-US"/>
        </w:rPr>
        <w:t xml:space="preserve"> (tomo XV, </w:t>
      </w:r>
      <w:r w:rsidRPr="002B67FB">
        <w:rPr>
          <w:sz w:val="16"/>
          <w:szCs w:val="16"/>
        </w:rPr>
        <w:t>anexo a la contestación del Estado,</w:t>
      </w:r>
      <w:r w:rsidRPr="002B67FB">
        <w:rPr>
          <w:rFonts w:eastAsiaTheme="minorHAnsi" w:cstheme="minorBidi"/>
          <w:sz w:val="16"/>
          <w:szCs w:val="16"/>
          <w:lang w:eastAsia="en-US"/>
        </w:rPr>
        <w:t xml:space="preserve"> folios 5023 a 5024), sosteniendo que se le practicaron los primeros auxilios por parte del enfermero</w:t>
      </w:r>
      <w:r w:rsidRPr="002B67FB">
        <w:rPr>
          <w:sz w:val="16"/>
          <w:szCs w:val="16"/>
        </w:rPr>
        <w:t xml:space="preserve">. No obstante, la perito María del Carmen Bravo González afirmó que “[e]n el lugar del evento traumático (instalaciones de los Comandos Rurales) no se consigna ningún tratamiento médico realizado, sólo que fue trasladado a la urgencia del Hospital El Piñal”. </w:t>
      </w:r>
      <w:r w:rsidRPr="002B67FB">
        <w:rPr>
          <w:rFonts w:cs="Courier New"/>
          <w:noProof/>
          <w:sz w:val="16"/>
          <w:szCs w:val="16"/>
        </w:rPr>
        <w:t>Peritaje rendido ante fedatario público por María del Carmen Bravo González el 24 de enero de 2017</w:t>
      </w:r>
      <w:r w:rsidRPr="002B67FB">
        <w:rPr>
          <w:sz w:val="16"/>
          <w:szCs w:val="16"/>
        </w:rPr>
        <w:t xml:space="preserve"> (expediente de prueba, tomo XLII, affidávits, folio 10763).</w:t>
      </w:r>
    </w:p>
  </w:footnote>
  <w:footnote w:id="58">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t xml:space="preserve">Al respecto, la Dra. Rincón Bracho manifestó que: “no se localizó ningún tipo de punción ni a nivel del dorso de las manos, ni a nivel de los pliegues del codo, que indicasen de que hubo aunque sea la toma de una vía periférica para la reposición de los líquidos del cuerpo”. </w:t>
      </w:r>
      <w:r w:rsidRPr="002B67FB">
        <w:rPr>
          <w:sz w:val="16"/>
          <w:szCs w:val="16"/>
        </w:rPr>
        <w:t xml:space="preserve">Peritaje rendido por Ana Cecilia Rincón Bracho ante la Corte Interamericana en la audiencia pública celebrada el 9 de febrero de 2017. Por su parte, la Dra. Lucy Vega Chávez, quien era la médica de guardia, señaló que Ortiz Hernández llegó al Hospital de El Piñal con un apósito y un vendaje compresivo en la fosa supra-clavicular. </w:t>
      </w:r>
      <w:r w:rsidRPr="002B67FB">
        <w:rPr>
          <w:i/>
          <w:sz w:val="16"/>
          <w:szCs w:val="16"/>
        </w:rPr>
        <w:t xml:space="preserve">Cfr. </w:t>
      </w:r>
      <w:r w:rsidRPr="002B67FB">
        <w:rPr>
          <w:sz w:val="16"/>
          <w:szCs w:val="16"/>
        </w:rPr>
        <w:t xml:space="preserve">Declaración testimonial rendida por Lucy Vega Chávez ante el Juzgado Militar de Primera Instancia Permanente de Guasdualito el 24 de marzo de 1998 (expediente de prueba, tomo XV, anexo a la contestación del Estado, folio 4879). </w:t>
      </w:r>
    </w:p>
  </w:footnote>
  <w:footnote w:id="59">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rPr>
        <w:t xml:space="preserve">Cfr. </w:t>
      </w:r>
      <w:r w:rsidRPr="002B67FB">
        <w:rPr>
          <w:sz w:val="16"/>
          <w:szCs w:val="16"/>
        </w:rPr>
        <w:t>Declaración testimonial rendida por Lucy Vega Chávez ante el Juzgado Militar de Primera Instancia Permanente de Guasdualito el 24 de marzo de 1998 (expediente de prueba, tomo XV, anexo a la contestación del Estado, folio 4880).</w:t>
      </w:r>
    </w:p>
  </w:footnote>
  <w:footnote w:id="60">
    <w:p w:rsidR="0078681A" w:rsidRPr="002B67FB" w:rsidRDefault="0078681A" w:rsidP="002B67FB">
      <w:pPr>
        <w:pStyle w:val="FootnoteText"/>
        <w:tabs>
          <w:tab w:val="left" w:pos="567"/>
        </w:tabs>
        <w:spacing w:after="120"/>
        <w:rPr>
          <w:i/>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rFonts w:cs="Courier New"/>
          <w:noProof/>
          <w:sz w:val="16"/>
          <w:szCs w:val="16"/>
        </w:rPr>
        <w:t>Peritaje rendido ante fedatario público por María del Carmen Bravo González el 24 de enero de 2017 (expediente de prueba, tomo XLII, affidávits, folio 10768).</w:t>
      </w:r>
    </w:p>
  </w:footnote>
  <w:footnote w:id="61">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Parte especial remitido por el TCNEL (GN) Comandante del Destacamento de Comandos Rurales N° 19 al GRAL. BGDA. (EJ) Jefe del Teatro de Operaciones N° 1 el 15 de febrero de 1998 (expediente de prueba, tomo XIV, anexo a la contestación del Estado, folio 4558). Véase también, Declaración testimonial rendida por Antonio Elías Linares Villalobos ante la Fiscalía Séptima (7°) del estado de Táchira el 17 de junio de 2003 (expediente de prueba, tomo XXXII, anexo a la contestación del Estado, folios 9011 a 9013).</w:t>
      </w:r>
    </w:p>
  </w:footnote>
  <w:footnote w:id="62">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En efecto, existen tres informes médicos, y una declaración de la médica tratante que difieren al identificar los nombres y el número de las personas que se hicieron presentes con Johan Alexis Ortiz Hernández. En uno de estos informes se consignó el nombre del Capitán a cargo de la práctica. </w:t>
      </w:r>
      <w:r w:rsidRPr="002B67FB">
        <w:rPr>
          <w:i/>
          <w:sz w:val="16"/>
          <w:szCs w:val="16"/>
        </w:rPr>
        <w:t>Cfr</w:t>
      </w:r>
      <w:r w:rsidRPr="002B67FB">
        <w:rPr>
          <w:sz w:val="16"/>
          <w:szCs w:val="16"/>
        </w:rPr>
        <w:t xml:space="preserve">. Informe médico emitido por Lucy Vega Chávez el 15 de febrero de 1998 (expediente de prueba, tomo X, anexo 9 al sometimiento del caso, folio 3263). En otro, el del enfermero y el del Capitán a cargo de la práctica. </w:t>
      </w:r>
      <w:r w:rsidRPr="002B67FB">
        <w:rPr>
          <w:i/>
          <w:sz w:val="16"/>
          <w:szCs w:val="16"/>
        </w:rPr>
        <w:t>Cfr</w:t>
      </w:r>
      <w:r w:rsidRPr="002B67FB">
        <w:rPr>
          <w:sz w:val="16"/>
          <w:szCs w:val="16"/>
        </w:rPr>
        <w:t xml:space="preserve">. Historia de emergencia y observación (expediente de prueba, tomo X, anexo 12 al sometimiento del caso, folios 3286 a 3287). En el tercero, el del Subteniente que debía dirigir la práctica. </w:t>
      </w:r>
      <w:r w:rsidRPr="002B67FB">
        <w:rPr>
          <w:i/>
          <w:sz w:val="16"/>
          <w:szCs w:val="16"/>
        </w:rPr>
        <w:t>Cfr</w:t>
      </w:r>
      <w:r w:rsidRPr="002B67FB">
        <w:rPr>
          <w:sz w:val="16"/>
          <w:szCs w:val="16"/>
        </w:rPr>
        <w:t xml:space="preserve">. Informe médico emitido por Lucy Vega Chávez el 15 de febrero de 1998 a las 12.45 horas (expediente de prueba, tomo XIV, anexo a la contestación del Estado, folio 4775). En igual sentido se manifestó la médica tratante al prestar declaración ante el Juzgado Militar. </w:t>
      </w:r>
      <w:r w:rsidRPr="002B67FB">
        <w:rPr>
          <w:i/>
          <w:sz w:val="16"/>
          <w:szCs w:val="16"/>
        </w:rPr>
        <w:t xml:space="preserve">Cfr. </w:t>
      </w:r>
      <w:r w:rsidRPr="002B67FB">
        <w:rPr>
          <w:sz w:val="16"/>
          <w:szCs w:val="16"/>
        </w:rPr>
        <w:t xml:space="preserve">Declaración testimonial rendida por Lucy Vega Chávez ante el Juzgado Militar de Primera Instancia Permanente de Guasdualito el 24 de marzo de 1998 (expediente de prueba, tomo XV, anexo a la contestación del Estado, folio 4879). Mientras que en una posterior declaración, la profesional médica indicó que el Capitán “nunca se apersonó al cadáver”, sino que el único que lo hizo fue el enfermero y otro militar que decía ser también de la Guardia Nacional”. </w:t>
      </w:r>
      <w:r w:rsidRPr="002B67FB">
        <w:rPr>
          <w:i/>
          <w:sz w:val="16"/>
          <w:szCs w:val="16"/>
        </w:rPr>
        <w:t>Cfr</w:t>
      </w:r>
      <w:r w:rsidRPr="002B67FB">
        <w:rPr>
          <w:sz w:val="16"/>
          <w:szCs w:val="16"/>
        </w:rPr>
        <w:t>. Declaración rendida por Lucy Vega Chávez en el marco de la Inspección Judicial llevada a cabo por el Juzgado de los Municipios Libertador y Fernández Feo de la Circunscripción Judicial del estado de Táchira el 27 de agosto de 1998 (expediente de prueba, tomo X, anexo 9 al sometimiento del caso, folio 3271).</w:t>
      </w:r>
    </w:p>
  </w:footnote>
  <w:footnote w:id="63">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Informe médico emitido por Lucy Vega Chávez el 15 de febrero de 1998 (expediente de prueba, tomo X, anexo 9 al sometimiento del caso, folio 3263), e Historia de emergencia y observación (expediente de prueba, tomo X, anexo 12 al sometimiento del caso, folios 3286 a 3287).</w:t>
      </w:r>
    </w:p>
  </w:footnote>
  <w:footnote w:id="64">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Declaración testimonial rendida por Lucy Vega Chávez ante el Juzgado Militar de Primera Instancia Permanente de Guasdualito el 24 de marzo de 1998 (expediente de prueba, tomo XV, anexo a la contestación del Estado, folio 4879); Informe médico emitido por Lucy Vega Chávez el 15 de febrero de 1998 (expediente de prueba, tomo X, anexo 9 al sometimiento del caso, folio 3263); Historia de emergencia y observación (expediente de prueba, tomo X, anexo 12 al sometimiento del caso, folios 3286 a 3287), y Declaraciones testimoniales rendidas por Jovita Suárez, Ana Olga Velasco de Ramírez y Sonia Margarita Marquez Rosales ante la Fiscalía Séptima (7°) del estado de Táchira el 14, 16 y 17 de septiembre de 2004, respectivamente (expediente de prueba, tomo XXXIII, anexo a la contestación del Estado, folios 9166, 9174 a 9175 y 9178, respectivamente).</w:t>
      </w:r>
    </w:p>
  </w:footnote>
  <w:footnote w:id="65">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Declaración testimonial rendida por Camilo Alexander Bonilla Cárdenas ante la Fiscalía Séptima (7°) del estado de Táchira</w:t>
      </w:r>
      <w:r w:rsidRPr="002B67FB" w:rsidDel="0032528A">
        <w:rPr>
          <w:sz w:val="16"/>
          <w:szCs w:val="16"/>
        </w:rPr>
        <w:t xml:space="preserve"> </w:t>
      </w:r>
      <w:r w:rsidRPr="002B67FB">
        <w:rPr>
          <w:sz w:val="16"/>
          <w:szCs w:val="16"/>
        </w:rPr>
        <w:t>el 8 de mayo de 2003 (expediente de prueba, tomo XXXII, anexo a la contestación del Estado, folios 8969 a 8970).</w:t>
      </w:r>
    </w:p>
  </w:footnote>
  <w:footnote w:id="66">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Informe de autopsia N° 104/98 de 2 de marzo de 1998 (expediente de prueba, tomo XIV, anexo a la contestación del Estado, folio 4764).</w:t>
      </w:r>
    </w:p>
  </w:footnote>
  <w:footnote w:id="67">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xml:space="preserve">. Declaración rendida por la Dra. Ana Cecilia Rincón Bracho ante la Fiscalía Séptima (7°) del estado de Táchira el 20 de mayo de 2003 (expediente de prueba, tomo XXXI, anexo a la contestación del Estado, folio 8860). No se encuentra acreditado en el expediente de prueba quién efectuó las diferentes suturas en las heridas que presentaba el cuerpo de Johan Alexis. En efecto, la médica tratante sólo reconoció haber hecho una sola sutura, la de la región supraclavicular, porque la otra no estaba sangrando. </w:t>
      </w:r>
      <w:r w:rsidRPr="002B67FB">
        <w:rPr>
          <w:i/>
          <w:sz w:val="16"/>
          <w:szCs w:val="16"/>
        </w:rPr>
        <w:t>Cfr</w:t>
      </w:r>
      <w:r w:rsidRPr="002B67FB">
        <w:rPr>
          <w:sz w:val="16"/>
          <w:szCs w:val="16"/>
        </w:rPr>
        <w:t xml:space="preserve">. Declaración testimonial rendida por Lucy Vega Chávez ante la Fiscalía Séptima (7°) del estado de Táchira el 12 de enero de 2005 (expediente de prueba, tomo XXXIII, anexo a la contestación del Estado, folio 9261). Por su parte, dos de las enfermeras que atendieron a Johan Alexis manifestaron que quien sutura las heridas es siempre el médico. </w:t>
      </w:r>
      <w:r w:rsidRPr="002B67FB">
        <w:rPr>
          <w:i/>
          <w:sz w:val="16"/>
          <w:szCs w:val="16"/>
        </w:rPr>
        <w:t>Cfr</w:t>
      </w:r>
      <w:r w:rsidRPr="002B67FB">
        <w:rPr>
          <w:sz w:val="16"/>
          <w:szCs w:val="16"/>
        </w:rPr>
        <w:t>. Declaraciones testimoniales rendidas por Jovita Suárez y Ana Olga Velasco de Ramírez ante la Fiscalía Séptima (7°) del estado de Táchira el 14 y el 16 de septiembre de 2004, respectivamente (expediente de prueba, tomo XXXIII, anexo a la contestación del Estado, folios 9167 y 9175). Finalmente, la auxiliar de enfermería declaró que las heridas no fueron suturadas “[…] hasta el momento en que se encontraba en la emergencia y que el paciente no había muerto […]”. Declaración testimonial rendida por Sonia Margarita Marquez Rosales ante la Fiscalía Séptima (7°) del estado de Táchira el 17 de septiembre de 2004 (expediente de prueba, tomo XXXIII, anexo a la contestación del Estado, folio 9178).</w:t>
      </w:r>
    </w:p>
  </w:footnote>
  <w:footnote w:id="68">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En la audiencia pública ante esta Corte, la Dra. Rincón Bracho especificó que lo que ella extrajo del cuerpo de Ortiz Hernández al practicar la autopsia fueron un fragmento de blindaje y uno de plomo, mientras que lo que le fue exhibido en la sede fiscal fueron dos fragmentos de blindaje. Además, señaló que los proyectiles pueden modificar su colar externo dado su contacto con la sangre: “[… m]ientras mayor cantidad de sangre tengan más verde se tornan, pero eso es externamente, si usted toma un proyectil de eso y lo limpia en su características físico química interna del metal propiamente dicho, los proyectiles están caracterizados en que en este caso son proyectiles con blindaje o encamisado y ese encamisado tiene dos características fisicoquímicas. Los que son de color amarillo, se dice que son de latón porque están constituidos por plomo, antimonio y estaño. Y los otros que son rosados son porque tienen un baño electrolítico de cobre. Entonces yo puedo tornar una apariencia en otro color, pero cuando usted limpia ese proyectil él tiene que conservar sus características físico química, o es amarillo o es rosado. En una oportunidad, en la primera oportunidad yo los tuve amarillos, ahora eran rosados, entonces eso para mí no es compatible […]”.Peritaje rendido por Ana Cecilia Rincón Bracho ante la Corte Interamericana en la audiencia pública celebrada el 9 de febrero de 2017. En este mismo sentido se expidió la Secretaria VII adscripta a la Medicatura Forense del Cuerpo de Investigaciones Científicas Penales y Criminalísticas al prestar declaración testimonial en la sede fiscal. </w:t>
      </w:r>
      <w:r w:rsidRPr="002B67FB">
        <w:rPr>
          <w:i/>
          <w:sz w:val="16"/>
          <w:szCs w:val="16"/>
        </w:rPr>
        <w:t>Cfr</w:t>
      </w:r>
      <w:r w:rsidRPr="002B67FB">
        <w:rPr>
          <w:sz w:val="16"/>
          <w:szCs w:val="16"/>
        </w:rPr>
        <w:t>. Declaración testimonial rendida por Celmira Ruiz Velasco ante la Fiscalía Séptima (7°) del estado de Táchira el 25 de septiembre de 2003 (expediente de prueba, tomo XXXII, anexo a la contestación del Estado, folio 9041).</w:t>
      </w:r>
    </w:p>
  </w:footnote>
  <w:footnote w:id="69">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Declaración rendida por Ana Cecilia Rincón Bracho ante la Fiscalía Séptima (7°) del estado de Táchira el 20 de mayo de 2003 (expediente de prueba, tomo XXXI, anexo a la contestación del Estado, folios 8858 a 8868).</w:t>
      </w:r>
    </w:p>
  </w:footnote>
  <w:footnote w:id="70">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 xml:space="preserve">Cfr. </w:t>
      </w:r>
      <w:r w:rsidRPr="002B67FB">
        <w:rPr>
          <w:sz w:val="16"/>
          <w:szCs w:val="16"/>
        </w:rPr>
        <w:t>Peritaje rendido por Ana Cecilia Rincón Bracho ante la Corte Interamericana en la audiencia pública celebrada el 9 de febrero de 2017.</w:t>
      </w:r>
    </w:p>
  </w:footnote>
  <w:footnote w:id="71">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Acta de Inspección Ocular N° 650 de 15 de febrero de 1998 (expediente de prueba, tomo XV, anexo a la contestación del Estado, folio 4906); Declaración testimonial rendida por Camilo Alexander Bonilla Cárdenas ante la Fiscalía Séptima (7°) del estado de Táchira</w:t>
      </w:r>
      <w:r w:rsidRPr="002B67FB" w:rsidDel="0032528A">
        <w:rPr>
          <w:sz w:val="16"/>
          <w:szCs w:val="16"/>
        </w:rPr>
        <w:t xml:space="preserve"> </w:t>
      </w:r>
      <w:r w:rsidRPr="002B67FB">
        <w:rPr>
          <w:sz w:val="16"/>
          <w:szCs w:val="16"/>
        </w:rPr>
        <w:t>el 8 de mayo de 2003 (expediente de prueba, tomo XXXII, anexo a la contestación del Estado, folios 8969 a 8970), y Declaración rendida por Ana Cecilia Rincón Bracho ante la Fiscalía Séptima (7°) del estado de Táchira el 20 de mayo de 2003</w:t>
      </w:r>
      <w:r w:rsidR="00FF49AD">
        <w:rPr>
          <w:sz w:val="16"/>
          <w:szCs w:val="16"/>
        </w:rPr>
        <w:t xml:space="preserve"> </w:t>
      </w:r>
      <w:r w:rsidRPr="002B67FB">
        <w:rPr>
          <w:sz w:val="16"/>
          <w:szCs w:val="16"/>
        </w:rPr>
        <w:t>(expediente de prueba, tomo XXXI, anexo a la contestación del Estado, folios 8858 a 8868).</w:t>
      </w:r>
    </w:p>
  </w:footnote>
  <w:footnote w:id="72">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Declaración rendida por Fidel Camilo Rodríguez Barrolleta ante el Juzgado Militar de Primera Instancia Permanente de Guasdualito el 23 de marzo de 1998 (expediente de prueba, tomo XV, anexo a la contestación del Estado, folios 4865 a 4866).</w:t>
      </w:r>
    </w:p>
  </w:footnote>
  <w:footnote w:id="73">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Declaración testimonial rendida por Lucy Vega Chávez ante el Juzgado Militar de Primera Instancia Permanente de Guasdualito el 24 de marzo de 1998 (expediente de prueba, tomo XV, anexo a la contestación del Estado, folio 4879).</w:t>
      </w:r>
    </w:p>
  </w:footnote>
  <w:footnote w:id="74">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Declaración testimonial rendida por Sonia Margarita Marquez Rosales ante la Fiscalía Séptima (7°) del estado de Táchira el 17 de septiembre de 2004 (expediente de prueba, tomo XXXIII, anexo a la contestación del Estado, folio 9177).</w:t>
      </w:r>
    </w:p>
  </w:footnote>
  <w:footnote w:id="75">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Declaración rendida por Zaida Hernández de Arellano ante la Corte Interamericana en la audiencia pública celebrada el 9 de febrero de 2017.</w:t>
      </w:r>
    </w:p>
  </w:footnote>
  <w:footnote w:id="76">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Declaración rendida por Zaida Hernández de Arellano ante la Corte Interamericana en la audiencia pública celebrada el 9 de febrero de 2017.</w:t>
      </w:r>
    </w:p>
  </w:footnote>
  <w:footnote w:id="77">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 xml:space="preserve">Cfr. </w:t>
      </w:r>
      <w:r w:rsidRPr="002B67FB">
        <w:rPr>
          <w:sz w:val="16"/>
          <w:szCs w:val="16"/>
        </w:rPr>
        <w:t>Declaraciones rendidas por Zaida Hernández de Arellano y Edgar Humberto Ortiz Ruiz ante la Corte Interamericana en la audiencia pública celebrada el 9 de febrero de 2017.</w:t>
      </w:r>
    </w:p>
  </w:footnote>
  <w:footnote w:id="78">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Informe Caso Muerte de Johan Alexis Ortiz Hernández elaborado por Edgar Humberto Ortiz Ruiz y Zaida Hernández de Arellano de 1 de septiembre de 1998 (expediente de prueba, tomo XI, anexo 15 al sometimiento del caso, folio 3455), y Nota dirigida al Presidente de la Fundación Justicia por Edgar Humberto Ortiz Ruiz y Zaida Hernández de Arellano el 5 de mayo de 1998 (expediente de prueba, tomo XI, anexo 16 al sometimiento del caso, folios 3469 a 3470).</w:t>
      </w:r>
    </w:p>
  </w:footnote>
  <w:footnote w:id="79">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Orden de apertura de averiguación sumarial emitida el 5 de marzo de 1998 (expediente de prueba, tomo XIV, anexo a la contestación del Estado, folio 4551), y Auto emitido por el Juzgado Militar de Primera Instancia Permanente de Guasdualito el 5 de marzo de 1998 (expediente de prueba, tomo XIV, anexo a la contestación del Estado, folio 4560).</w:t>
      </w:r>
    </w:p>
  </w:footnote>
  <w:footnote w:id="80">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Escrito dirigido al Fiscal General de la Nación el 10 de marzo de 1998, suscripto por Edgar Humberto Ortiz Ruiz y Zaida Hernández (expediente de prueba, tomo XI, anexo 27 al sometimiento del caso, folios 3802 a 3805).</w:t>
      </w:r>
    </w:p>
  </w:footnote>
  <w:footnote w:id="81">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Acta de Inspección Ocular N° 649 de 15 de febrero de 1998 (expediente de prueba, tomo XV, anexo a la contestación del Estado, folios 4901 a 4905).</w:t>
      </w:r>
    </w:p>
  </w:footnote>
  <w:footnote w:id="82">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En sintonía con ello se expidió la perita María del Carmen Bravo González, quien tras analizar el acta de la exhumación, consideró que: “[s]e describe una ‘perforación de los lóbulos superior y medio del pulmón derecho por un proyectil de pequeño calibre, por el orificio producido en dicho parénquima’, esto orienta a pensar que no hubo mucha destrucción de parénquima de los órganos, muy por el contrario, se reconoce un trayecto pequeño sin destrucción mayor del parénquima pulmonar; infiriéndose que su origen no fue provocada por un proyectil de alta velocidad”. </w:t>
      </w:r>
      <w:r w:rsidRPr="002B67FB">
        <w:rPr>
          <w:rFonts w:cs="Courier New"/>
          <w:noProof/>
          <w:sz w:val="16"/>
          <w:szCs w:val="16"/>
        </w:rPr>
        <w:t>Peritaje rendido ante fedatario público por María del Carmen Bravo González el 24 de enero de 2017</w:t>
      </w:r>
      <w:r w:rsidRPr="002B67FB">
        <w:rPr>
          <w:sz w:val="16"/>
          <w:szCs w:val="16"/>
        </w:rPr>
        <w:t xml:space="preserve"> (expediente de prueba, tomo XLII, affidávits, folio 10766).</w:t>
      </w:r>
    </w:p>
  </w:footnote>
  <w:footnote w:id="83">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Acta de Exhumación del cadáver N° 271-98 suscripta el 15 de mayo de 1998 (expediente de prueba. Tomo XV, anexo a la contestación del Estado, folio 5124).</w:t>
      </w:r>
    </w:p>
  </w:footnote>
  <w:footnote w:id="84">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Acta labrada por el Secretario del Tribunal Militar de Primera Instancia Permanente de San Cristóbal el 12 de mayo de 1998 (expediente de prueba, tomo XV, anexo a la contestación del Estado, folio 5149).</w:t>
      </w:r>
    </w:p>
  </w:footnote>
  <w:footnote w:id="85">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Informe N° 9700-134-LCT-1685 elaborado por el Laboratorio Criminalístico Toxicológico del Cuerpo Técnico de Policía Judicial el 15 de mayo de 1998 (expediente de prueba, tomo XXXII, anexo a la contestación del Estado, folios 8941 a 8942).</w:t>
      </w:r>
    </w:p>
  </w:footnote>
  <w:footnote w:id="86">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xml:space="preserve"> Acta de Inspección en la Sede de la Escuela de Formación de Guardias Nacionales “Gral. Div. (GN-F) Víctor Anselmo Fernández Escobar el 29 de febrero de 2000 (expediente de prueba, tomo XIX, anexo a la contestación del Estado, folios 6281 a 6284). Según una diligencia policial realizada el 7 de enero de 2005, el arma presuntamente hurtada no se encontraba solicitada. </w:t>
      </w:r>
      <w:r w:rsidRPr="002B67FB">
        <w:rPr>
          <w:i/>
          <w:sz w:val="16"/>
          <w:szCs w:val="16"/>
        </w:rPr>
        <w:t>Cfr</w:t>
      </w:r>
      <w:r w:rsidRPr="002B67FB">
        <w:rPr>
          <w:sz w:val="16"/>
          <w:szCs w:val="16"/>
        </w:rPr>
        <w:t>. Acta de Investigación Penal del 7 de enero de 2005 (expediente de prueba, tomo XXXIII, anexo a la contestación del Estado, folio 9256).</w:t>
      </w:r>
    </w:p>
  </w:footnote>
  <w:footnote w:id="87">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Acta de audiencia preliminar emitida por el Tribunal Militar de Primera Instancia Permanente de San Cristóbal el 5 de octubre de 2001 (expediente de prueba, tomo XXV, anexo a la contestación del Estado, folios 7897 a 7900), y Sentencia emitida por el Tribunal Militar de Primera Instancia Permanente de San Cristóbal el 8 de octubre de 2001 (expediente de prueba, tomo XXV, anexo a la contestación del Estado, folios 7902 a 7913).</w:t>
      </w:r>
    </w:p>
  </w:footnote>
  <w:footnote w:id="88">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Oficio N° FM3-066 dirigido al señor Edgar Humberto Ortiz Ruiz el 27 de agosto de 1999, por el Fiscal Militar Tercero de San Cristóbal (expediente de prueba, tomo XII, anexo 53 al sometimiento del caso, folio 3982).</w:t>
      </w:r>
    </w:p>
  </w:footnote>
  <w:footnote w:id="89">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Acción de amparo ante la Sala Constitucional del Tribunal Supremo de Justicia presentada por Edgar Humberto Ortiz Ruiz el 19 de septiembre de 2001 (expediente de prueba, tomo XII, anexo 81 al sometimiento del caso, folios 4104 a 4115).</w:t>
      </w:r>
    </w:p>
  </w:footnote>
  <w:footnote w:id="90">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Acción de amparo ante la Sala Constitucional del Tribunal Supremo de Justicia presentada por Edgar Humberto Ortiz Ruiz el 19 de septiembre de 2001 (expediente de prueba, tomo XII, anexo 81 al sometimiento del caso, folios 4105 a 4113).</w:t>
      </w:r>
    </w:p>
  </w:footnote>
  <w:footnote w:id="91">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Sentencia emitida por la Sala Constitucional del Tribunal Supremo de Justicia el 11 de junio de 2002 (expediente de prueba, tomo XXXI, anexo a la contestación del Estado, folios 8586 a 8616).</w:t>
      </w:r>
    </w:p>
  </w:footnote>
  <w:footnote w:id="92">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Este artículo establece que: “[l]a jurisdicción penal militar es parte integrante del Poder Judicial, y sus jueces o juezas serán seleccionados o seleccionadas por concurso. Su ámbito de competencia, organización y modalidades de funcionamiento se regirán por el sistema acusatorio y de acuerdo con lo previsto en el Código Orgánico de Justicia Militar. La comisión de los delitos comunes, violaciones de derechos humanos y crímenes de lesa humanidad, serán juzgados por los tribunales ordinarios. La competencia de los tribunales militares se limita a delitos de naturaleza militar”. Constitución de la República Bolivariana de Venezuela del 20 de diciembre de 1999.</w:t>
      </w:r>
    </w:p>
  </w:footnote>
  <w:footnote w:id="93">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Auto de apertura de la investigación emitido por la Fiscalía Séptima (7°) del estado de Táchira el 7 de marzo de 2003 (expediente de prueba, tomo XXXI, anexo a la contestación del Estado, folio 8646).</w:t>
      </w:r>
    </w:p>
  </w:footnote>
  <w:footnote w:id="94">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Acusación formulada por los representantes del Ministerio Público el 27 de febrero de 2013 (expediente de prueba, tomo X, anexo 14 al sometimiento del caso, folios 3304 a 3451).</w:t>
      </w:r>
    </w:p>
  </w:footnote>
  <w:footnote w:id="95">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El experto en balística concluyó que: “1) [l]a víctima, para el momento en que recibe el disparo que le originó las heridas […] se encontraba de pie, de frente al victimario, con el torso inclinado y ubicado en sentido OESTE y adyacente a la entrada de la Conejera[;] 2) [e]l victimario, para el momento de efectuar los disparos hacia la humanidad de la víctima, se encontraba, de pie, de frente a la víctima, ubicado en sentido ESTE, y como área comprometida, después de la salida de la Conejera […]”. </w:t>
      </w:r>
      <w:r w:rsidRPr="002B67FB">
        <w:rPr>
          <w:i/>
          <w:sz w:val="16"/>
          <w:szCs w:val="16"/>
        </w:rPr>
        <w:t>Cfr</w:t>
      </w:r>
      <w:r w:rsidRPr="002B67FB">
        <w:rPr>
          <w:sz w:val="16"/>
          <w:szCs w:val="16"/>
        </w:rPr>
        <w:t>. Informe técnico realizado por el experto en balística del Cuerpo de Investigaciones Científicas Penales y Criminalística el 18 de agosto de 2005 (expediente de prueba, tomo XXXIV, anexo a la contestación del Estado, folio 9492).</w:t>
      </w:r>
    </w:p>
  </w:footnote>
  <w:footnote w:id="96">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Según el experto en balística que realizó la experticia sobre el arma (marca FN AFAG, modelo M61, calibre 7,62) “[…] el daño que produce este tipo de proyectil sobre un cuerpo humano, a un metro y medio de distancia…’ Es letal”. Asimismo, indicó que “[d]icho calibre es de gran poder de penetración motivo por el cual a esa distancia dicho proyectil debe traspasar el cuerpo humano”. </w:t>
      </w:r>
      <w:r w:rsidRPr="002B67FB">
        <w:rPr>
          <w:i/>
          <w:sz w:val="16"/>
          <w:szCs w:val="16"/>
        </w:rPr>
        <w:t>Cfr</w:t>
      </w:r>
      <w:r w:rsidRPr="002B67FB">
        <w:rPr>
          <w:sz w:val="16"/>
          <w:szCs w:val="16"/>
        </w:rPr>
        <w:t>. Experticia de Reconocimiento Técnico realizada por un funcionario del Cuerpo de Investigaciones Científicas, Penales y Criminalística el 9 de junio de 2005 (expediente de prueba, tomo XXXIII, anexo a la contestación del Estado, folio 9318).</w:t>
      </w:r>
    </w:p>
  </w:footnote>
  <w:footnote w:id="97">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Según el informe técnico, las piezas analizadas no presentaban característica como huellas de campo o huellas de estrías y giro helicoidal que permita individualizarlas con arma de fuego alguna. </w:t>
      </w:r>
      <w:r w:rsidRPr="002B67FB">
        <w:rPr>
          <w:i/>
          <w:sz w:val="16"/>
          <w:szCs w:val="16"/>
        </w:rPr>
        <w:t>Cfr</w:t>
      </w:r>
      <w:r w:rsidRPr="002B67FB">
        <w:rPr>
          <w:sz w:val="16"/>
          <w:szCs w:val="16"/>
        </w:rPr>
        <w:t>. Experticia de Reconocimiento Técnico realizada por un funcionario del Cuerpo de Investigaciones Científicas, Penales y Criminalística el 19 de septiembre de 2005 (expediente de prueba, tomo XXXIV, anexo a la contestación del Estado, folio 9404).</w:t>
      </w:r>
    </w:p>
  </w:footnote>
  <w:footnote w:id="98">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Experticia de Reconocimiento Técnico realizada por una experta del Cuerpo de Investigaciones Científicas, Penales y Criminalística el 26 de septiembre de 2005 (expediente de prueba, tomo XXXIV, anexo a la contestación del Estado, folios 9408 a 9411).</w:t>
      </w:r>
    </w:p>
  </w:footnote>
  <w:footnote w:id="99">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Acusación formulada por los representantes del Ministerio Público el 24 de noviembre de 2011 (expediente de prueba, tomo XXXV, anexo a la contestación del Estado, folios 9842 a 9981).</w:t>
      </w:r>
    </w:p>
  </w:footnote>
  <w:footnote w:id="100">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Nulidad interpuesta ante el Juez Penal de Primera Instancia en Función de Control N° 5 del Circuito Judicial Penal del estado de Táchira el 23 de marzo de 2012, por los señores Edgar Humberto Ortiz Ruiz y Zaida Hernández de Arellano (expediente de prueba, tomo XII, anexo 116 al sometimiento del caso, folios 4255 a 4261).</w:t>
      </w:r>
    </w:p>
  </w:footnote>
  <w:footnote w:id="101">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Acta de diferimiento de audiencia preliminar emitida por el Tribunal de Primera Instancia en Función de Control N° 5 el 23 de febrero de 2012 (expediente de prueba, tomo XXXV, anexo a la contestación del Estado, folio 9996); Auto de diferimiento de audiencia preliminar emitido por el Tribunal de Primera Instancia en Función de Control N° 5 el 19 de marzo de 2012 (expediente de prueba, tomo XXXVI, anexo a la contestación del Estado, folio 10020); Acta de diferimiento de audiencia preliminar emitida por el Tribunal de Primera Instancia en Función de Control N° 5 el 12 de abril de 2012 (expediente de prueba, tomo XXXVI, anexo a la contestación del Estado, folio 10044); Acta de diferimiento de audiencia preliminar emitida por el Tribunal de Primera Instancia en Función de Control N° 5 el 7 de mayo de 2012 (expediente de prueba, tomo XXXVI, anexo a la contestación del Estado, folio 10061); Acta de diferimiento de audiencia preliminar emitida por el Tribunal de Primera Instancia en Función de Control N° 5 el 22 de mayo de 2012 (expediente de prueba, tomo XXXVI, anexo a la contestación del Estado, folio 10079); Auto de diferimiento de audiencia preliminar emitida por el Tribunal de Primera Instancia en Función de Control N° 5 el 12 de junio de 2012 (expediente de prueba, tomo XXXVI, anexo a la contestación del Estado, folio 10083); Acta de diferimiento de audiencia preliminar emitida por el Tribunal de Primera Instancia en Función de Control N° 5 el 21 de junio de 2012 (expediente de prueba, tomo XXXVI, anexo a la contestación del Estado, folio 10103); Acta de diferimiento de audiencia preliminar emitida por el Tribunal de Primera Instancia en Función de Control N° 5 el 6 de julio de 2012 (expediente de prueba, tomo XXXVI, anexo a la contestación del Estado, folio 10142); Auto de diferimiento de audiencia preliminar emitido por el Tribunal de Primera Instancia en Función de Control N° 5 el 20 de julio de 2012 (expediente de prueba, tomo XXXVI, anexo a la contestación del Estado, folio 10148); Acta de diferimiento de audiencia preliminar emitida por el Tribunal de Primera Instancia en Función de Control N° 5 el 14 de agosto de 2012 (expediente de prueba, tomo XXXVI, anexo a la contestación del Estado, folios 10179 a 10180), y Auto de diferimiento de audiencia preliminar emitido por el Tribunal de Primera Instancia en Función de Control N° 5 el 7 de septiembre de 2012 (expediente de prueba, tomo XXXVII, anexo a la contestación del Estado, folio 10239).</w:t>
      </w:r>
    </w:p>
  </w:footnote>
  <w:footnote w:id="102">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Acta de Audiencia Preliminar emitida por el Juzgado de Primera Instancia en lo Penal en Función de Control N° 5 del Circuito Judicial Penal del estado de Táchira el 4 de octubre de 2012 (expediente de prueba, tomo XXXVII, anexo a la contestación del Estado, folios 10269 a 10275), y Sentencia emitida por el Juzgado de Primera Instancia en lo Penal en Función de Control N° 5 del Circuito Judicial Penal del estado de Táchira</w:t>
      </w:r>
      <w:r w:rsidRPr="002B67FB" w:rsidDel="00AE322D">
        <w:rPr>
          <w:sz w:val="16"/>
          <w:szCs w:val="16"/>
        </w:rPr>
        <w:t xml:space="preserve"> </w:t>
      </w:r>
      <w:r w:rsidRPr="002B67FB">
        <w:rPr>
          <w:sz w:val="16"/>
          <w:szCs w:val="16"/>
        </w:rPr>
        <w:t>el 5 de octubre de 2012 (expediente de prueba, tomo XXXVII, anexo a la contestación del Estado, folios 10355 a 10365).</w:t>
      </w:r>
    </w:p>
  </w:footnote>
  <w:footnote w:id="103">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Acusación formulada por los representantes del Ministerio Público el 27 de febrero de 2013 (expediente de prueba, tomo X, anexo 14 al sometimiento del caso, folios 3304 a 3451).</w:t>
      </w:r>
    </w:p>
  </w:footnote>
  <w:footnote w:id="104">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Según la fiscal Mejía Molina, en la investigación llevada a cabo por el Ministerio Público no se pudo determinar el objeto sobre el cual habría impactado el proyectil, para luego fragmentarse y ocasionar las heridas en el cuerpo de Ortiz Hernández. </w:t>
      </w:r>
      <w:r w:rsidRPr="002B67FB">
        <w:rPr>
          <w:i/>
          <w:sz w:val="16"/>
          <w:szCs w:val="16"/>
        </w:rPr>
        <w:t xml:space="preserve">Cfr. </w:t>
      </w:r>
      <w:r w:rsidRPr="002B67FB">
        <w:rPr>
          <w:sz w:val="16"/>
          <w:szCs w:val="16"/>
        </w:rPr>
        <w:t>Declaración rendida por Marelvis Mejía Molina ante la Corte Interamericana en la audiencia pública celebrada el 9 de febrero de 2017.</w:t>
      </w:r>
    </w:p>
  </w:footnote>
  <w:footnote w:id="105">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Acusación formulada por los representantes del Ministerio Público el 27 de febrero de 2013 (expediente de prueba, tomo X, anexo 14 al sometimiento del caso, folio 3307).</w:t>
      </w:r>
    </w:p>
  </w:footnote>
  <w:footnote w:id="106">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574EA0">
        <w:rPr>
          <w:i/>
          <w:sz w:val="16"/>
          <w:szCs w:val="16"/>
        </w:rPr>
        <w:t>Cfr.</w:t>
      </w:r>
      <w:r w:rsidRPr="002B67FB">
        <w:rPr>
          <w:sz w:val="16"/>
          <w:szCs w:val="16"/>
        </w:rPr>
        <w:t xml:space="preserve"> Auto de citación emitido por el Tribunal Penal de Primera Instancia Estadal en Funciones de Control el 5 de marzo de 2013 (expediente de prueba, tomo XXXVII, anexo a la contestación del Estado, folio 10378); Acta de diferimiento emitida por el Tribunal Penal de Primera Instancia Estadal en funciones de Control el 3 de abril de 2013 (expediente de prueba, tomo XXXVII, anexo a la contestación del Estado, folio 10385); Acta de diferimiento de audiencia emitida por el Tribunal Penal de Primera Instancia Estadal en funciones de Control el 30 de abril de 2013 (expediente de prueba, tomo XXXVII, anexo a la contestación del Estado, folio 10396); Boleta de notificación emitida por el Tribunal Penal de Primera Instancia Estadal en funciones de Control el 23 de mayo de 2013 (expediente de prueba, tomo XXXVIII, anexo a la contestación del Estado, folio 10410); Acta de diferimiento de Audiencia emitida por el Tribunal Penal de Primera Instancia Estadal en funciones de Control el 20 de junio de 2013 (expediente de prueba, tomo XXXVII, anexo a la contestación del Estado, folio 10435), y Acta de diferimiento de Audiencia emitida por el Tribunal Penal de Primera Instancia Estadal en funciones de Control el 18 de julio de 2013 (expediente de prueba, tomo XXXVIII, anexo a la contestación del Estado, folio 10451).</w:t>
      </w:r>
    </w:p>
  </w:footnote>
  <w:footnote w:id="107">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 xml:space="preserve">Cfr. </w:t>
      </w:r>
      <w:r w:rsidRPr="002B67FB">
        <w:rPr>
          <w:sz w:val="16"/>
          <w:szCs w:val="16"/>
        </w:rPr>
        <w:t>Acta de diferimiento de audiencia con solicitud de captura emitida por el Tribunal Penal de Primera Instancia Estadal en funciones de Control el 19 de agosto de 2013 (expediente de prueba, tomo XXXVIII, anexo a la contestación del Estado, folios 10472 a 10473).</w:t>
      </w:r>
    </w:p>
  </w:footnote>
  <w:footnote w:id="108">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Oficio N° 20-F20-2641-2015 emitido por la Fiscalía 20° del Ministerio Público de la circunscripción Judicial del estado de Táchira el 18 de agosto de 2015 (expediente de prueba, tomo XXXVIII, anexo a la contestación del Estado, folio 10506).</w:t>
      </w:r>
    </w:p>
  </w:footnote>
  <w:footnote w:id="109">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 xml:space="preserve">Cfr. </w:t>
      </w:r>
      <w:r w:rsidRPr="002B67FB">
        <w:rPr>
          <w:sz w:val="16"/>
          <w:szCs w:val="16"/>
        </w:rPr>
        <w:t>Declaración rendida por la señora Marelvis Mejía Molina ante la Corte Interamericana en la audiencia pública celebrada el 9 de febrero de 2017.</w:t>
      </w:r>
    </w:p>
  </w:footnote>
  <w:footnote w:id="110">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Entre estas actuaciones pueden señalarse las siguientes: a) el 17 de febrero de 1998 los padres de Ortiz Hernández solicitaron a la Fiscalía Cuarta del Ministerio Público una investigación por la muerte de Johan Alexis; b) el 25 de febrero de 1998 reiteraron dicha solicitud ante el Ministerio Público y denunciaron que desde el día 19 estaban recibiendo llamadas telefónicas anónimas donde, por un lado, les indicaban que averiguaran sobre la muerte de su hijo y, por otro, los amenazaban de muerte para que cesaran sus investigaciones; c) el 1 de abril del mismo año consignaron una copia de un papel encontrado en la ropa de Johan Alexis y manifestaron que su hijo les había comentado, días antes de su muerte, que junto a otros cinco alumnos estaban investigando por su cuenta la muerte de un alumno ocurrida en la misma escuela el año anterior. Además, informaron que habían recibido una llamada anónima donde les decían que lo acontecido con su hijo estaría relacionado con la investigación de dicha muerte. Por tal motivo, solicitaron que ello sea tenido en cuenta en la pesquisa judicial; d) el 29 de abril de 1998 solicitaron al Ministro de Defensa que se designara un juez instructor, se removiera al fiscal militar asignado por ser funcionario de la Guardia Nacional y que, en consecuencia, se designara un fiscal militar especial. Además, alegaron que el expediente debía ser conocido en otra instancia y jurisdicción. Finalmente, denunciaron irregularidades en la instrucción, vinculadas principalmente con las medidas adoptadas en materia de balística, experticia tanto al arma como al uniforme que portaba la víctima, prueba de luminol, exhumación del cadáver, entre otros; f) en octubre del mismo año solicitaron a la Fiscalía que se requiriera al Jefe de la Policía Técnica Judicial de San Cristóbal información sobre las actuaciones relativas a la experticia del arma vinculada con el hecho, el análisis de la trayectoria balística y planimetría y experticia al uniforme que portaba Johan Alexis; g) el 27 de octubre de 1998 consignaron ante el Consejo de Guerra Permanente de San Cristóbal una serie de pruebas recabadas como fruto de su propia investigación para que fueran tenidas en cuenta en el caso; h) similar comunicación dirigieron el 6 de noviembre al Fiscal General; i) en enero de 1999 realizaron dos solicitudes al Consejo de Guerra Permanente de San Cristóbal, a través de las cuales reclamaron la realización de diligencias investigativas y de experticia en el proceso, incluyendo la prueba de balística, al uniforme de Johan Alexis, al armamento de todo el personal militar perteneciente a la ESGUARNAC y al del personal de los Comandos Rurales del </w:t>
      </w:r>
      <w:r w:rsidR="003757A8">
        <w:rPr>
          <w:sz w:val="16"/>
          <w:szCs w:val="16"/>
        </w:rPr>
        <w:t>Destacamento N° 19, entre otras,</w:t>
      </w:r>
      <w:r w:rsidRPr="002B67FB">
        <w:rPr>
          <w:sz w:val="16"/>
          <w:szCs w:val="16"/>
        </w:rPr>
        <w:t xml:space="preserve"> y que todas ellas fueran realizadas por personal no perteneciente a la GN; j) el 5 de mayo de 1999 denunciaron ante la Fiscalía Superior del estado de Táchira que se estaban cometiendo irregularidades en el proceso ante la jurisdicción penal militar, que se les había negado el acceso a la información sobre las diligencias practicadas en el expediente; k) a mediados de 2000, denunciaron que el personal involucrado en el fallecimiento Johan Alexis había sido promovido, aun cuando la propia Ley Orgánica de las Fuerzas Armadas Naci</w:t>
      </w:r>
      <w:r w:rsidR="003757A8">
        <w:rPr>
          <w:sz w:val="16"/>
          <w:szCs w:val="16"/>
        </w:rPr>
        <w:t>onales vedaba dicha posibilidad, y</w:t>
      </w:r>
      <w:r w:rsidRPr="002B67FB">
        <w:rPr>
          <w:sz w:val="16"/>
          <w:szCs w:val="16"/>
        </w:rPr>
        <w:t xml:space="preserve"> l) requirieron en diversas oportunidades copias certificadas de la totalidad del expediente penal militar, sin que en alguna de ellas pudieran efectivamente conseguirlas.</w:t>
      </w:r>
    </w:p>
  </w:footnote>
  <w:footnote w:id="111">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Entre estas diligencias se encuentran las siguientes: i) el 7 de febrero de 2003 Edgar Humberto Ortiz Ruiz solicitó ante la Fiscalía Séptima que se practiquen determinadas medidas de prueba, entre ellas, la citación de la Dra. Rincón Bracho y la exhibición de los fragmentos del proyectil que se encontraban a disposición del órgano investigador; ii) el 26 de marzo de 2003 efectuó una nueva presentación, requiriendo se provean nuevas declaraciones testimoniales y afirmando que Johan Alexis fue herido antes de ingresar a “la conejera” y que éste fue asesinado por proyectiles enteros de pequeño calibre; iii) un mes después, el 29 de abril de 2003 reiteró la solicitud de que se cite a declarar a la Dra. Ana Cecilia Rincón Bracho, lo que efectivamente aconteció el 20 de mayo del mismo año; iv) el 5 de marzo de 2004 presentó un escrito ante la Fiscalía General del Ministerio Público denunciando que la investigación se encontraba paralizada; v) el 3 de diciembre de 2004 solicitó se oficie, entre otras autoridades, al Presidente de la República, con el objeto de poner en conocimiento los ascensos de los funcionarios militares involucrados en el hecho, en contravención del artículo 155 de la Ley Orgánica de las Fuerzas Armadas. Además, requirió otras diligencias tendientes a determinar el tipo de arma que causó la muerte de su hijo. La Fiscalía Séptima, negó la solicitud de oficio al Presidente y demás autoridades en relación con el tema de los ascensos de los funcionarios, pero acordó requerir a la empresa CAVIM un informe respecto de la incidencia de un proyectil de una AFAG en el cuerpo humano; vi) el 16 de agosto de 2005 Edgar Humberto Ortiz Ruiz y Zaida Hernández reiteraron su denuncia de retardo en el procedimiento y, a su vez, requirieron que se vuelvan a producir todas las diligencias llevadas a cabo en la investigación militar que luego fueron declaradas nulas por la Sala Constitucional, y vii) el 6 de noviembre de 2006 los progenitores de Johan Alexis efectuaron una nueva presentación en la que denunciaron que la casa de sus abogados fue baleada y, además, solicitaron que se realizara una reconstrucción de los hechos.</w:t>
      </w:r>
    </w:p>
  </w:footnote>
  <w:footnote w:id="112">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Solicitud presentada ante el Presidente de la Comisión de Derechos Humanos de la Asamblea Legislativa del estado de Táchira el 19 de mayo de 1998 por Edgar Humberto Ortiz Ruiz y Zaida Hernández (expediente de prueba, tomo XII, anexo 66 al sometimiento del caso, folios 4051 a 4052).</w:t>
      </w:r>
    </w:p>
  </w:footnote>
  <w:footnote w:id="113">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Informe de la Comisión Permanente de Derechos Humanos de la Asamblea Legislativa del estado de Táchira, emitido el 16 de enero de 1999 (expediente de prueba, tomo X, anexo 8 al sometimiento del caso, folios 3258 a 3259).</w:t>
      </w:r>
    </w:p>
  </w:footnote>
  <w:footnote w:id="114">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Durante el transcurso de la pesquisa seguida ante la justicia militar, Edgar Humberto Ortiz Ruiz y Zaida Hernández de Arellano denunciaron que sus letrados se vieron involucrados en el inicio de un procedimiento ante el Tribunal Disciplinario del Colegio de Abogados del estado de Táchira. Según éstos, dicho procedimiento, promovido de oficio, habría estado motivado por fuertes declaraciones públicas realizadas por la señora Zaida Hernández de Arellano en relación con la suerte de la investigación y fue considerado, por los propios padres de Johan Alexis, como una nueva jugada para colocarlos en “desventaja” y evitar el esclarecimiento de lo acontecido con su hijo. </w:t>
      </w:r>
      <w:r w:rsidRPr="002B67FB">
        <w:rPr>
          <w:i/>
          <w:sz w:val="16"/>
          <w:szCs w:val="16"/>
        </w:rPr>
        <w:t>Cfr.</w:t>
      </w:r>
      <w:r w:rsidRPr="002B67FB">
        <w:rPr>
          <w:sz w:val="16"/>
          <w:szCs w:val="16"/>
        </w:rPr>
        <w:t xml:space="preserve"> Nota de prensa aparecida en el diario “Los Andes” el 11 de agosto de 2000 titulada “Los padres de Johan Alexis denuncian nuevas manipulaciones” (expediente de prueba, tomo XII, anexo 75 al sometimiento del caso, folio 4083); Nota de prensa aparecida en el diario “La Nación” el 13 de agosto de 2000 titulada “Padres de Johan Alexis se enfrentan a un nuevo obstáculo por la verdad” (expediente de prueba, tomo XII, anexo 75 al sometimiento del caso, folio 4084), y Escrito presentado ante el Presidente del Tribunal Disciplinario del Colegio de Abogados del estado de Táchira el 10 de agosto de 2000, suscripto por Zaida Hernández y Edgar Ortiz (expediente de prueba, tomo XII, anexo 77 al sometimiento del caso, folio 4088).</w:t>
      </w:r>
    </w:p>
  </w:footnote>
  <w:footnote w:id="115">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En este sentido, cabe destacar las siguientes denuncias: i) el 25 de febrero de 1998 denunciaron ante el Ministerio Público que desde el día 19 estaban recibiendo llamadas telefónicas anónimas donde, por un lado, les indicaban que averiguaran sobre la muerte de su hijo y, por otro, los amenazaban de muerte para que cesaran sus investigaciones; ii) el 30 de noviembre de 1998 denunciaron nuevamente ante el Fiscal General de la República que luego de una serie de reportajes periodísticos habían recibido amenazas en su contra, en las que les pedían que dejen las averiguaciones ya que la vida de sus familiares corría peligro; iii) el 28 de junio del mismo año el señor Ortiz Ruiz denunció ante el Ministerio Público que se sentía amenazado por funcionarios de la Guardia Nacional y temía por su seguridad, la de su familia y la familia de la madre de Johan Alexis. En esta misma línea, el 6 de julio denunció ante la Fiscalía Militar que, luego de que fueran dictados autos de detención en contra de funcionarios de la Guardia Nacional vinculados al proceso, venía siendo amenazado, hostigado y perseguido por un capitán que estaba presente el día de la práctica en la que murió su hijo; iv) ambos progenitores denunciaron ante la fiscalía del estado de Táchira y la Defensoría del Pueblo que el 30 de septiembre de 1999 la vivienda del señor Ortiz Ruiz fue objeto de un disparo de arma de fuego. Previo a ello, habría recibido una llamada anónima en la que lo amenazaron y le advirtieron que “le darían un aviso”; v) durante el transcurso de la pesquisa seguida ante la justicia militar, denunciaron que sus letrados se vieron involucrados en el inicio de un procedimiento ante el Tribunal Disciplinario del Colegio de Abogados del estado de Táchira. Según éstos, dicho procedimiento, promovido de oficio, habría estado motivado por fuertes declaraciones públicas realizadas por la señora Zaida Hernández de Arellano en relación con la suerte de la investigación y fue considerado, por los propios padres de Johan Alexis, como una nueva jugada para colocarlos en “desventaja” y evitar el esclarecimiento de lo acontecido con su hijo; vi) el señor Ortiz Ruiz mencionó en la audiencia pública ante esta Corte Interamericana, que en el año 2006 fue golpeado por miembros de la Policía Técnica Judicial. Asimismo, que por este hecho fue denunciado, detenido y se le inició un proceso penal que se extendió por más de tres años, luego de lo cual, pese a sujetarse por ese período a diversas pautas de conducta, se dictó su sobreseimiento; vii) en dicha audiencia también indicaron que no recibieron ningún tipo de asistencia legal ni psicológica por parte del Estado y que, por el contrario, diferentes profesionales (psicólogos y notarios) les negaron sus servicios en atención al rol desempeñado en el presente caso.</w:t>
      </w:r>
    </w:p>
  </w:footnote>
  <w:footnote w:id="116">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El artículo 4.1 de la Convención establece que: “[t]oda persona tiene derecho a que se respete su vida. Este derecho estará protegido por la ley y, en general, a partir del momento de la concepción. Nadie puede ser privado de la vida arbitrariamente”.</w:t>
      </w:r>
    </w:p>
  </w:footnote>
  <w:footnote w:id="117">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El artículo 5.1 de la Convención dispone que: “[t]oda persona tiene derecho a que se respete su integridad física, psíquica y moral”.</w:t>
      </w:r>
    </w:p>
  </w:footnote>
  <w:footnote w:id="118">
    <w:p w:rsidR="0078681A" w:rsidRPr="002B67FB" w:rsidRDefault="0078681A" w:rsidP="002B67FB">
      <w:pPr>
        <w:tabs>
          <w:tab w:val="left" w:pos="567"/>
        </w:tabs>
        <w:spacing w:after="120" w:line="240" w:lineRule="auto"/>
        <w:rPr>
          <w:sz w:val="16"/>
          <w:szCs w:val="16"/>
          <w:lang w:val="es-A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Cfr</w:t>
      </w:r>
      <w:r w:rsidRPr="002B67FB">
        <w:rPr>
          <w:sz w:val="16"/>
          <w:szCs w:val="16"/>
          <w:lang w:val="es-AR"/>
        </w:rPr>
        <w:t xml:space="preserve">. </w:t>
      </w:r>
      <w:r w:rsidRPr="002B67FB">
        <w:rPr>
          <w:i/>
          <w:sz w:val="16"/>
          <w:szCs w:val="16"/>
          <w:lang w:val="es-AR"/>
        </w:rPr>
        <w:t>Caso de los “Niños de la Calle” (Villagrán Morales y otros) Vs. Guatemala. Fondo</w:t>
      </w:r>
      <w:r w:rsidRPr="002B67FB">
        <w:rPr>
          <w:sz w:val="16"/>
          <w:szCs w:val="16"/>
          <w:lang w:val="es-AR"/>
        </w:rPr>
        <w:t xml:space="preserve">. Sentencia de 19 de noviembre de 1999. Serie C No. 63, párr. 144, </w:t>
      </w:r>
      <w:r w:rsidRPr="002B67FB">
        <w:rPr>
          <w:sz w:val="16"/>
          <w:szCs w:val="16"/>
          <w:lang w:val="es-AR" w:eastAsia="es-ES"/>
        </w:rPr>
        <w:t xml:space="preserve">y </w:t>
      </w:r>
      <w:r w:rsidRPr="002B67FB">
        <w:rPr>
          <w:bCs/>
          <w:i/>
          <w:sz w:val="16"/>
          <w:szCs w:val="16"/>
          <w:lang w:val="pt-BR" w:eastAsia="es-ES"/>
        </w:rPr>
        <w:t>Caso Valencia Hinojosa y otra Vs. Ecuador. Excepciones Preliminares, Fondo, Reparaciones y Costas.</w:t>
      </w:r>
      <w:r w:rsidRPr="002B67FB">
        <w:rPr>
          <w:bCs/>
          <w:sz w:val="16"/>
          <w:szCs w:val="16"/>
          <w:lang w:val="pt-BR" w:eastAsia="es-ES"/>
        </w:rPr>
        <w:t xml:space="preserve"> Sentencia de 29 de noviembre de 2016. Serie C No. 327, párr. 130.</w:t>
      </w:r>
    </w:p>
  </w:footnote>
  <w:footnote w:id="119">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Cfr</w:t>
      </w:r>
      <w:r w:rsidRPr="002B67FB">
        <w:rPr>
          <w:sz w:val="16"/>
          <w:szCs w:val="16"/>
          <w:lang w:val="es-AR"/>
        </w:rPr>
        <w:t xml:space="preserve">. </w:t>
      </w:r>
      <w:r w:rsidRPr="002B67FB">
        <w:rPr>
          <w:i/>
          <w:sz w:val="16"/>
          <w:szCs w:val="16"/>
          <w:lang w:val="es-AR"/>
        </w:rPr>
        <w:t>Caso de los “Niños de la Calle” (Villagrán Morales y otros) Vs. Guatemala. Fondo</w:t>
      </w:r>
      <w:r w:rsidRPr="002B67FB">
        <w:rPr>
          <w:sz w:val="16"/>
          <w:szCs w:val="16"/>
          <w:lang w:val="es-AR"/>
        </w:rPr>
        <w:t xml:space="preserve">, </w:t>
      </w:r>
      <w:r w:rsidRPr="002B67FB">
        <w:rPr>
          <w:i/>
          <w:sz w:val="16"/>
          <w:szCs w:val="16"/>
          <w:lang w:val="es-AR"/>
        </w:rPr>
        <w:t>supra</w:t>
      </w:r>
      <w:r w:rsidRPr="002B67FB">
        <w:rPr>
          <w:sz w:val="16"/>
          <w:szCs w:val="16"/>
          <w:lang w:val="es-AR"/>
        </w:rPr>
        <w:t xml:space="preserve">, párr. 144, </w:t>
      </w:r>
      <w:r w:rsidRPr="002B67FB">
        <w:rPr>
          <w:sz w:val="16"/>
          <w:szCs w:val="16"/>
          <w:lang w:val="es-AR" w:eastAsia="es-ES"/>
        </w:rPr>
        <w:t xml:space="preserve">y </w:t>
      </w:r>
      <w:r w:rsidRPr="002B67FB">
        <w:rPr>
          <w:bCs/>
          <w:i/>
          <w:sz w:val="16"/>
          <w:szCs w:val="16"/>
          <w:lang w:val="pt-BR" w:eastAsia="es-ES"/>
        </w:rPr>
        <w:t>Caso Valencia Hinojosa y otra Vs. Ecuador</w:t>
      </w:r>
      <w:r w:rsidRPr="002B67FB">
        <w:rPr>
          <w:sz w:val="16"/>
          <w:szCs w:val="16"/>
          <w:lang w:val="es-AR"/>
        </w:rPr>
        <w:t xml:space="preserve">, </w:t>
      </w:r>
      <w:r w:rsidRPr="002B67FB">
        <w:rPr>
          <w:i/>
          <w:sz w:val="16"/>
          <w:szCs w:val="16"/>
          <w:lang w:val="es-AR"/>
        </w:rPr>
        <w:t>supra</w:t>
      </w:r>
      <w:r w:rsidRPr="002B67FB">
        <w:rPr>
          <w:bCs/>
          <w:sz w:val="16"/>
          <w:szCs w:val="16"/>
          <w:lang w:val="pt-BR" w:eastAsia="es-ES"/>
        </w:rPr>
        <w:t>, párr. 130.</w:t>
      </w:r>
    </w:p>
  </w:footnote>
  <w:footnote w:id="120">
    <w:p w:rsidR="0078681A" w:rsidRPr="002B67FB" w:rsidRDefault="0078681A" w:rsidP="002B67FB">
      <w:pPr>
        <w:tabs>
          <w:tab w:val="left" w:pos="567"/>
        </w:tabs>
        <w:spacing w:after="120" w:line="240" w:lineRule="auto"/>
        <w:rPr>
          <w:sz w:val="16"/>
          <w:szCs w:val="16"/>
          <w:lang w:val="pt-B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Cfr</w:t>
      </w:r>
      <w:r w:rsidRPr="002B67FB">
        <w:rPr>
          <w:sz w:val="16"/>
          <w:szCs w:val="16"/>
          <w:lang w:val="es-AR"/>
        </w:rPr>
        <w:t>.</w:t>
      </w:r>
      <w:r w:rsidRPr="002B67FB">
        <w:rPr>
          <w:rFonts w:eastAsiaTheme="minorEastAsia" w:cs="Courier New"/>
          <w:i/>
          <w:noProof/>
          <w:sz w:val="16"/>
          <w:szCs w:val="16"/>
          <w:lang w:val="pt-BR"/>
        </w:rPr>
        <w:t xml:space="preserve"> </w:t>
      </w:r>
      <w:r w:rsidRPr="002B67FB">
        <w:rPr>
          <w:i/>
          <w:sz w:val="16"/>
          <w:szCs w:val="16"/>
          <w:lang w:val="pt-BR"/>
        </w:rPr>
        <w:t>Caso Myrna Mack Chang Vs. Guatemala, supra</w:t>
      </w:r>
      <w:r w:rsidRPr="002B67FB">
        <w:rPr>
          <w:sz w:val="16"/>
          <w:szCs w:val="16"/>
          <w:lang w:val="pt-BR"/>
        </w:rPr>
        <w:t xml:space="preserve">, párr. 153, </w:t>
      </w:r>
      <w:r w:rsidRPr="002B67FB">
        <w:rPr>
          <w:sz w:val="16"/>
          <w:szCs w:val="16"/>
          <w:lang w:val="es-ES" w:eastAsia="es-ES"/>
        </w:rPr>
        <w:t xml:space="preserve">y </w:t>
      </w:r>
      <w:r w:rsidRPr="002B67FB">
        <w:rPr>
          <w:bCs/>
          <w:i/>
          <w:sz w:val="16"/>
          <w:szCs w:val="16"/>
          <w:lang w:val="pt-BR" w:eastAsia="es-ES"/>
        </w:rPr>
        <w:t>Caso Valencia Hinojosa y otra Vs. Ecuador</w:t>
      </w:r>
      <w:r w:rsidRPr="002B67FB">
        <w:rPr>
          <w:sz w:val="16"/>
          <w:szCs w:val="16"/>
          <w:lang w:val="es-AR"/>
        </w:rPr>
        <w:t xml:space="preserve">, </w:t>
      </w:r>
      <w:r w:rsidRPr="002B67FB">
        <w:rPr>
          <w:i/>
          <w:sz w:val="16"/>
          <w:szCs w:val="16"/>
          <w:lang w:val="es-AR"/>
        </w:rPr>
        <w:t>supra</w:t>
      </w:r>
      <w:r w:rsidRPr="002B67FB">
        <w:rPr>
          <w:bCs/>
          <w:sz w:val="16"/>
          <w:szCs w:val="16"/>
          <w:lang w:val="pt-BR" w:eastAsia="es-ES"/>
        </w:rPr>
        <w:t>, párr. 130.</w:t>
      </w:r>
    </w:p>
  </w:footnote>
  <w:footnote w:id="121">
    <w:p w:rsidR="0078681A" w:rsidRPr="002B67FB" w:rsidRDefault="0078681A" w:rsidP="002B67FB">
      <w:pPr>
        <w:tabs>
          <w:tab w:val="left" w:pos="567"/>
        </w:tabs>
        <w:spacing w:after="120" w:line="240" w:lineRule="auto"/>
        <w:rPr>
          <w:bCs/>
          <w:sz w:val="16"/>
          <w:szCs w:val="16"/>
          <w:lang w:val="pt-BR"/>
        </w:rPr>
      </w:pPr>
      <w:r w:rsidRPr="002B67FB">
        <w:rPr>
          <w:rStyle w:val="FootnoteReference"/>
          <w:sz w:val="16"/>
          <w:szCs w:val="16"/>
        </w:rPr>
        <w:footnoteRef/>
      </w:r>
      <w:r w:rsidRPr="002B67FB">
        <w:rPr>
          <w:sz w:val="16"/>
          <w:szCs w:val="16"/>
        </w:rPr>
        <w:tab/>
      </w:r>
      <w:r w:rsidRPr="002B67FB">
        <w:rPr>
          <w:i/>
          <w:sz w:val="16"/>
          <w:szCs w:val="16"/>
          <w:lang w:val="es-AR"/>
        </w:rPr>
        <w:t>Cfr</w:t>
      </w:r>
      <w:r w:rsidRPr="002B67FB">
        <w:rPr>
          <w:sz w:val="16"/>
          <w:szCs w:val="16"/>
          <w:lang w:val="es-AR"/>
        </w:rPr>
        <w:t xml:space="preserve">. </w:t>
      </w:r>
      <w:r w:rsidRPr="002B67FB">
        <w:rPr>
          <w:i/>
          <w:iCs/>
          <w:sz w:val="16"/>
          <w:szCs w:val="16"/>
          <w:lang w:val="es-AR"/>
        </w:rPr>
        <w:t>Caso de los “Niños de la Calle” (Villagrán Morales y otros) Vs. Guatemala. Fondo</w:t>
      </w:r>
      <w:r w:rsidRPr="002B67FB">
        <w:rPr>
          <w:iCs/>
          <w:sz w:val="16"/>
          <w:szCs w:val="16"/>
          <w:lang w:val="es-AR"/>
        </w:rPr>
        <w:t>,</w:t>
      </w:r>
      <w:r w:rsidRPr="002B67FB">
        <w:rPr>
          <w:i/>
          <w:iCs/>
          <w:sz w:val="16"/>
          <w:szCs w:val="16"/>
          <w:lang w:val="es-AR"/>
        </w:rPr>
        <w:t xml:space="preserve"> supra,</w:t>
      </w:r>
      <w:r w:rsidRPr="002B67FB">
        <w:rPr>
          <w:iCs/>
          <w:sz w:val="16"/>
          <w:szCs w:val="16"/>
          <w:lang w:val="es-AR"/>
        </w:rPr>
        <w:t xml:space="preserve"> párrs. </w:t>
      </w:r>
      <w:r w:rsidRPr="002B67FB">
        <w:rPr>
          <w:sz w:val="16"/>
          <w:szCs w:val="16"/>
          <w:lang w:val="es-AR"/>
        </w:rPr>
        <w:t xml:space="preserve">144 y 145, y </w:t>
      </w:r>
      <w:r w:rsidRPr="002B67FB">
        <w:rPr>
          <w:bCs/>
          <w:i/>
          <w:sz w:val="16"/>
          <w:szCs w:val="16"/>
          <w:lang w:val="pt-BR"/>
        </w:rPr>
        <w:t xml:space="preserve">Caso Cruz Sánchez y otros Vs. Perú. Excepciones Preliminares, Fondo, Reparaciones y Costas. </w:t>
      </w:r>
      <w:r w:rsidRPr="002B67FB">
        <w:rPr>
          <w:bCs/>
          <w:sz w:val="16"/>
          <w:szCs w:val="16"/>
          <w:lang w:val="pt-BR"/>
        </w:rPr>
        <w:t>Sentencia de 17 de abril de 2015. Serie C No. 292, párr. 259.</w:t>
      </w:r>
    </w:p>
  </w:footnote>
  <w:footnote w:id="122">
    <w:p w:rsidR="0078681A" w:rsidRPr="002B67FB" w:rsidRDefault="0078681A" w:rsidP="002B67FB">
      <w:pPr>
        <w:tabs>
          <w:tab w:val="left" w:pos="567"/>
          <w:tab w:val="left" w:pos="2265"/>
        </w:tabs>
        <w:spacing w:after="120" w:line="240" w:lineRule="auto"/>
        <w:rPr>
          <w:sz w:val="16"/>
          <w:szCs w:val="16"/>
          <w:lang w:val="es-ES"/>
        </w:rPr>
      </w:pPr>
      <w:r w:rsidRPr="002B67FB">
        <w:rPr>
          <w:rStyle w:val="FootnoteReference"/>
          <w:rFonts w:eastAsia="Times"/>
          <w:sz w:val="16"/>
          <w:szCs w:val="16"/>
        </w:rPr>
        <w:footnoteRef/>
      </w:r>
      <w:r w:rsidRPr="002B67FB">
        <w:rPr>
          <w:rFonts w:cs="Verdana"/>
          <w:bCs/>
          <w:iCs/>
          <w:sz w:val="16"/>
          <w:szCs w:val="16"/>
          <w:lang w:val="es-MX"/>
        </w:rPr>
        <w:tab/>
      </w:r>
      <w:r w:rsidRPr="002B67FB">
        <w:rPr>
          <w:i/>
          <w:sz w:val="16"/>
          <w:szCs w:val="16"/>
          <w:lang w:val="pt-BR"/>
        </w:rPr>
        <w:t>Caso Loayza Tamayo Vs. Perú. Fondo, supra</w:t>
      </w:r>
      <w:r w:rsidRPr="002B67FB">
        <w:rPr>
          <w:sz w:val="16"/>
          <w:szCs w:val="16"/>
          <w:lang w:val="pt-BR"/>
        </w:rPr>
        <w:t xml:space="preserve">, párr. 57, y </w:t>
      </w:r>
      <w:r w:rsidRPr="002B67FB">
        <w:rPr>
          <w:i/>
          <w:sz w:val="16"/>
          <w:szCs w:val="16"/>
          <w:lang w:val="es-ES"/>
        </w:rPr>
        <w:t>Caso I.V. Vs. Bolivia. Excepciones Preliminares, Fondo, Reparaciones y Costas.</w:t>
      </w:r>
      <w:r w:rsidRPr="002B67FB">
        <w:rPr>
          <w:sz w:val="16"/>
          <w:szCs w:val="16"/>
          <w:lang w:val="es-ES"/>
        </w:rPr>
        <w:t xml:space="preserve"> Sentencia de 30 de noviembre de 2016. Serie C No. 329, párr. 267.</w:t>
      </w:r>
    </w:p>
  </w:footnote>
  <w:footnote w:id="123">
    <w:p w:rsidR="0078681A" w:rsidRPr="002B67FB" w:rsidRDefault="0078681A" w:rsidP="002B67FB">
      <w:pPr>
        <w:tabs>
          <w:tab w:val="left" w:pos="567"/>
        </w:tabs>
        <w:spacing w:after="120" w:line="240" w:lineRule="auto"/>
        <w:rPr>
          <w:bCs/>
          <w:sz w:val="16"/>
          <w:szCs w:val="16"/>
          <w:lang w:val="pt-B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xml:space="preserve"> </w:t>
      </w:r>
      <w:r w:rsidRPr="002B67FB">
        <w:rPr>
          <w:i/>
          <w:sz w:val="16"/>
          <w:szCs w:val="16"/>
          <w:lang w:val="es-ES"/>
        </w:rPr>
        <w:t xml:space="preserve">Caso Montero Aranguren y otros (Retén de Catia) Vs. Venezuela. </w:t>
      </w:r>
      <w:r w:rsidRPr="002B67FB">
        <w:rPr>
          <w:i/>
          <w:sz w:val="16"/>
          <w:szCs w:val="16"/>
          <w:lang w:val="pt-BR"/>
        </w:rPr>
        <w:t xml:space="preserve">Excepción Preliminar, Fondo, Reparaciones y Costas. </w:t>
      </w:r>
      <w:r w:rsidRPr="002B67FB">
        <w:rPr>
          <w:sz w:val="16"/>
          <w:szCs w:val="16"/>
          <w:lang w:val="pt-BR"/>
        </w:rPr>
        <w:t>Sentencia de 5 de julio de 2006. Serie C No. 150</w:t>
      </w:r>
      <w:r w:rsidRPr="002B67FB">
        <w:rPr>
          <w:i/>
          <w:sz w:val="16"/>
          <w:szCs w:val="16"/>
          <w:lang w:val="pt-BR"/>
        </w:rPr>
        <w:t xml:space="preserve">, </w:t>
      </w:r>
      <w:r w:rsidRPr="002B67FB">
        <w:rPr>
          <w:sz w:val="16"/>
          <w:szCs w:val="16"/>
          <w:lang w:val="es-ES"/>
        </w:rPr>
        <w:t>párr. 68</w:t>
      </w:r>
      <w:r w:rsidRPr="002B67FB">
        <w:rPr>
          <w:sz w:val="16"/>
          <w:szCs w:val="16"/>
          <w:lang w:val="es-AR"/>
        </w:rPr>
        <w:t xml:space="preserve">, y </w:t>
      </w:r>
      <w:r w:rsidRPr="002B67FB">
        <w:rPr>
          <w:bCs/>
          <w:i/>
          <w:sz w:val="16"/>
          <w:szCs w:val="16"/>
          <w:lang w:val="pt-BR"/>
        </w:rPr>
        <w:t>Caso Cruz Sánchez y otros Vs. Perú</w:t>
      </w:r>
      <w:r w:rsidRPr="002B67FB">
        <w:rPr>
          <w:sz w:val="16"/>
          <w:szCs w:val="16"/>
          <w:lang w:val="es-AR"/>
        </w:rPr>
        <w:t xml:space="preserve">, </w:t>
      </w:r>
      <w:r w:rsidRPr="002B67FB">
        <w:rPr>
          <w:i/>
          <w:sz w:val="16"/>
          <w:szCs w:val="16"/>
          <w:lang w:val="es-AR"/>
        </w:rPr>
        <w:t>supra</w:t>
      </w:r>
      <w:r w:rsidRPr="002B67FB">
        <w:rPr>
          <w:bCs/>
          <w:sz w:val="16"/>
          <w:szCs w:val="16"/>
          <w:lang w:val="pt-BR"/>
        </w:rPr>
        <w:t>, párr. 261.</w:t>
      </w:r>
    </w:p>
  </w:footnote>
  <w:footnote w:id="124">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sz w:val="16"/>
          <w:szCs w:val="16"/>
        </w:rPr>
        <w:t xml:space="preserve">Por ejemplo, en el caso </w:t>
      </w:r>
      <w:r w:rsidRPr="002B67FB">
        <w:rPr>
          <w:i/>
          <w:sz w:val="16"/>
          <w:szCs w:val="16"/>
        </w:rPr>
        <w:t>Nadege Dorzema y otros Vs. República Dominicana</w:t>
      </w:r>
      <w:r w:rsidRPr="002B67FB">
        <w:rPr>
          <w:sz w:val="16"/>
          <w:szCs w:val="16"/>
        </w:rPr>
        <w:t xml:space="preserve">, la Corte analizó el uso de la fuerza militar en contra de ciudadanos haitianos que estaban siendo transportados en un camión dentro de la República Dominica, el cual no paró tras la orden militar en un puesto de control. Asimismo, en el caso de los </w:t>
      </w:r>
      <w:r w:rsidRPr="002B67FB">
        <w:rPr>
          <w:i/>
          <w:sz w:val="16"/>
          <w:szCs w:val="16"/>
        </w:rPr>
        <w:t>Hermanos Landaeta Mejías y otros Vs. Venezuela</w:t>
      </w:r>
      <w:r w:rsidRPr="002B67FB">
        <w:rPr>
          <w:sz w:val="16"/>
          <w:szCs w:val="16"/>
        </w:rPr>
        <w:t>, la Corte analizó el uso excesivo de la fuerza policial en el marco de una persecución en contra de un civil.</w:t>
      </w:r>
    </w:p>
  </w:footnote>
  <w:footnote w:id="125">
    <w:p w:rsidR="0078681A" w:rsidRPr="002B67FB" w:rsidRDefault="0078681A" w:rsidP="002B67FB">
      <w:pPr>
        <w:tabs>
          <w:tab w:val="left" w:pos="567"/>
        </w:tabs>
        <w:spacing w:after="120" w:line="240" w:lineRule="auto"/>
        <w:rPr>
          <w:i/>
          <w:sz w:val="16"/>
          <w:szCs w:val="16"/>
          <w:lang w:val="pt-BR"/>
        </w:rPr>
      </w:pPr>
      <w:r w:rsidRPr="002B67FB">
        <w:rPr>
          <w:rStyle w:val="FootnoteReference"/>
          <w:rFonts w:cs="Verdana"/>
          <w:sz w:val="16"/>
          <w:szCs w:val="16"/>
        </w:rPr>
        <w:footnoteRef/>
      </w:r>
      <w:r w:rsidRPr="002B67FB">
        <w:rPr>
          <w:rFonts w:cs="Verdana"/>
          <w:sz w:val="16"/>
          <w:szCs w:val="16"/>
        </w:rPr>
        <w:t xml:space="preserve"> </w:t>
      </w:r>
      <w:r w:rsidRPr="002B67FB">
        <w:rPr>
          <w:rFonts w:cs="Verdana"/>
          <w:sz w:val="16"/>
          <w:szCs w:val="16"/>
        </w:rPr>
        <w:tab/>
      </w:r>
      <w:r w:rsidRPr="002B67FB">
        <w:rPr>
          <w:i/>
          <w:sz w:val="16"/>
          <w:szCs w:val="16"/>
          <w:lang w:val="es-AR"/>
        </w:rPr>
        <w:t>Cfr.</w:t>
      </w:r>
      <w:r w:rsidRPr="002B67FB">
        <w:rPr>
          <w:sz w:val="16"/>
          <w:szCs w:val="16"/>
          <w:lang w:val="es-AR"/>
        </w:rPr>
        <w:t xml:space="preserve"> </w:t>
      </w:r>
      <w:r w:rsidRPr="002B67FB">
        <w:rPr>
          <w:i/>
          <w:sz w:val="16"/>
          <w:szCs w:val="16"/>
          <w:lang w:val="pt-BR"/>
        </w:rPr>
        <w:t>Caso Montero Aranguren y otros (Retén de Catia) Vs. Venezuela</w:t>
      </w:r>
      <w:r w:rsidRPr="002B67FB">
        <w:rPr>
          <w:sz w:val="16"/>
          <w:szCs w:val="16"/>
          <w:lang w:val="es-AR"/>
        </w:rPr>
        <w:t xml:space="preserve">, </w:t>
      </w:r>
      <w:r w:rsidRPr="002B67FB">
        <w:rPr>
          <w:i/>
          <w:sz w:val="16"/>
          <w:szCs w:val="16"/>
          <w:lang w:val="es-AR"/>
        </w:rPr>
        <w:t>supra</w:t>
      </w:r>
      <w:r w:rsidRPr="002B67FB">
        <w:rPr>
          <w:i/>
          <w:sz w:val="16"/>
          <w:szCs w:val="16"/>
          <w:lang w:val="pt-BR"/>
        </w:rPr>
        <w:t xml:space="preserve">, </w:t>
      </w:r>
      <w:r w:rsidRPr="002B67FB">
        <w:rPr>
          <w:sz w:val="16"/>
          <w:szCs w:val="16"/>
          <w:lang w:val="es-AR"/>
        </w:rPr>
        <w:t>párr. 82</w:t>
      </w:r>
      <w:r w:rsidRPr="002B67FB">
        <w:rPr>
          <w:sz w:val="16"/>
          <w:szCs w:val="16"/>
          <w:lang w:val="es-ES"/>
        </w:rPr>
        <w:t>, y</w:t>
      </w:r>
      <w:r w:rsidRPr="002B67FB">
        <w:rPr>
          <w:i/>
          <w:sz w:val="16"/>
          <w:szCs w:val="16"/>
          <w:lang w:val="es-AR"/>
        </w:rPr>
        <w:t xml:space="preserve"> </w:t>
      </w:r>
      <w:r w:rsidRPr="002B67FB">
        <w:rPr>
          <w:i/>
          <w:sz w:val="16"/>
          <w:szCs w:val="16"/>
          <w:lang w:val="pt-BR"/>
        </w:rPr>
        <w:t>Caso Cruz Sánchez y otros Vs. Perú</w:t>
      </w:r>
      <w:r w:rsidRPr="002B67FB">
        <w:rPr>
          <w:sz w:val="16"/>
          <w:szCs w:val="16"/>
          <w:lang w:val="es-AR"/>
        </w:rPr>
        <w:t xml:space="preserve">, </w:t>
      </w:r>
      <w:r w:rsidRPr="002B67FB">
        <w:rPr>
          <w:i/>
          <w:sz w:val="16"/>
          <w:szCs w:val="16"/>
          <w:lang w:val="es-AR"/>
        </w:rPr>
        <w:t>supra</w:t>
      </w:r>
      <w:r w:rsidRPr="002B67FB">
        <w:rPr>
          <w:sz w:val="16"/>
          <w:szCs w:val="16"/>
          <w:lang w:val="pt-BR"/>
        </w:rPr>
        <w:t>, párr. 266.</w:t>
      </w:r>
    </w:p>
  </w:footnote>
  <w:footnote w:id="126">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t>La Guardia Nacional de Venezuela o Guardia Nacional Bolivariana, es uno de los cuatro componentes que conforman la Fuerza Armada Nacional Bolivariana de Venezuela, de acuerdo al artículo 328 de la Constitución. La Guardia Nacional se encuentra encargada de conducir las operaciones exigidas para el mantenimiento del orden interno del país, cooperar en el desarrollo de las operaciones militares requeridas para asegurar la defensa de la Nación, ejercer las actividades de policía administrativa y de investigación penal que le atribuyan las leyes, así como también participar activamente en el desarrollo nacional, en el territorio y demás espacios geográficos de la República Bolivariana de Venezuela. Disponible en: http://www.guardia.mil.ve/</w:t>
      </w:r>
    </w:p>
  </w:footnote>
  <w:footnote w:id="127">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lang w:val="es-CR"/>
        </w:rPr>
        <w:t xml:space="preserve">Cfr. </w:t>
      </w:r>
      <w:r w:rsidRPr="002B67FB">
        <w:rPr>
          <w:rFonts w:cs="Courier New"/>
          <w:i/>
          <w:noProof/>
          <w:sz w:val="16"/>
          <w:szCs w:val="16"/>
        </w:rPr>
        <w:t>Caso Quispialaya Vilcapoma Vs. Perú. Excepciones Preliminares, Fondo, Reparaciones y Costas.</w:t>
      </w:r>
      <w:r w:rsidRPr="002B67FB">
        <w:rPr>
          <w:rFonts w:cs="Courier New"/>
          <w:noProof/>
          <w:sz w:val="16"/>
          <w:szCs w:val="16"/>
        </w:rPr>
        <w:t xml:space="preserve"> Sentencia de 23 de noviembre de 2015. Serie C No. 308, párrs. 119 y 123. Véase también, Peritaje rendido ante fedatario público por Elizabeth Salmón el 2 de febrero de 2017 (expediente de prueba, tomo XLII, affidávits, folios 10792 a 10810).</w:t>
      </w:r>
    </w:p>
  </w:footnote>
  <w:footnote w:id="128">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lang w:val="es-CR"/>
        </w:rPr>
        <w:t xml:space="preserve">Cfr. </w:t>
      </w:r>
      <w:r w:rsidRPr="002B67FB">
        <w:rPr>
          <w:rFonts w:cs="Courier New"/>
          <w:noProof/>
          <w:sz w:val="16"/>
          <w:szCs w:val="16"/>
        </w:rPr>
        <w:t>Peritaje rendido ante fedatario público por Elizabeth Salmón el 2 de febrero de 2017 (expediente de prueba, tomo XLII, affidávits, folios 10792 a 10810).</w:t>
      </w:r>
    </w:p>
  </w:footnote>
  <w:footnote w:id="129">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lang w:val="es-CR"/>
        </w:rPr>
        <w:t xml:space="preserve">Cfr., mutatis mutandi, </w:t>
      </w:r>
      <w:r w:rsidRPr="002B67FB">
        <w:rPr>
          <w:rFonts w:cs="Courier New"/>
          <w:i/>
          <w:noProof/>
          <w:sz w:val="16"/>
          <w:szCs w:val="16"/>
        </w:rPr>
        <w:t>Caso Quispialaya Vilcapoma Vs. Perú</w:t>
      </w:r>
      <w:r w:rsidRPr="002B67FB">
        <w:rPr>
          <w:sz w:val="16"/>
          <w:szCs w:val="16"/>
          <w:lang w:val="es-AR"/>
        </w:rPr>
        <w:t xml:space="preserve">, </w:t>
      </w:r>
      <w:r w:rsidRPr="002B67FB">
        <w:rPr>
          <w:i/>
          <w:sz w:val="16"/>
          <w:szCs w:val="16"/>
          <w:lang w:val="es-AR"/>
        </w:rPr>
        <w:t>supra</w:t>
      </w:r>
      <w:r w:rsidRPr="002B67FB">
        <w:rPr>
          <w:rFonts w:cs="Courier New"/>
          <w:noProof/>
          <w:sz w:val="16"/>
          <w:szCs w:val="16"/>
        </w:rPr>
        <w:t>, párr. 124.</w:t>
      </w:r>
    </w:p>
  </w:footnote>
  <w:footnote w:id="130">
    <w:p w:rsidR="0078681A" w:rsidRPr="002B67FB" w:rsidRDefault="0078681A" w:rsidP="002B67FB">
      <w:pPr>
        <w:tabs>
          <w:tab w:val="left" w:pos="567"/>
          <w:tab w:val="left" w:pos="2265"/>
        </w:tabs>
        <w:spacing w:after="120" w:line="240" w:lineRule="auto"/>
        <w:rPr>
          <w:rFonts w:cs="Courier New"/>
          <w:noProof/>
          <w:sz w:val="16"/>
          <w:szCs w:val="16"/>
          <w:lang w:val="pt-B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rFonts w:cs="Courier New"/>
          <w:i/>
          <w:noProof/>
          <w:sz w:val="16"/>
          <w:szCs w:val="16"/>
          <w:lang w:val="pt-BR"/>
        </w:rPr>
        <w:t xml:space="preserve">Cfr. Caso Ximenes Lopes Vs. Brasil. </w:t>
      </w:r>
      <w:r w:rsidRPr="002B67FB">
        <w:rPr>
          <w:rFonts w:cs="Courier New"/>
          <w:noProof/>
          <w:sz w:val="16"/>
          <w:szCs w:val="16"/>
          <w:lang w:val="pt-BR"/>
        </w:rPr>
        <w:t xml:space="preserve">Sentencia de 4 de julio de 2006. Serie C No. 149, párr. 125, y </w:t>
      </w:r>
      <w:r w:rsidRPr="002B67FB">
        <w:rPr>
          <w:rFonts w:cs="Courier New"/>
          <w:i/>
          <w:noProof/>
          <w:sz w:val="16"/>
          <w:szCs w:val="16"/>
          <w:lang w:val="pt-BR"/>
        </w:rPr>
        <w:t>Caso Gonzales Lluy y otros Vs. Ecuador. Excepciones Preliminares, Fondo, Reparaciones y Costas</w:t>
      </w:r>
      <w:r w:rsidRPr="002B67FB">
        <w:rPr>
          <w:rFonts w:cs="Courier New"/>
          <w:noProof/>
          <w:sz w:val="16"/>
          <w:szCs w:val="16"/>
          <w:lang w:val="pt-BR"/>
        </w:rPr>
        <w:t>. Sentencia de 1 de septiembre de 2015. Serie C No. 298, párr. 169.</w:t>
      </w:r>
    </w:p>
  </w:footnote>
  <w:footnote w:id="131">
    <w:p w:rsidR="0078681A" w:rsidRPr="002B67FB" w:rsidRDefault="0078681A" w:rsidP="002B67FB">
      <w:pPr>
        <w:tabs>
          <w:tab w:val="left" w:pos="567"/>
          <w:tab w:val="left" w:pos="2265"/>
        </w:tabs>
        <w:spacing w:after="120" w:line="240" w:lineRule="auto"/>
        <w:rPr>
          <w:sz w:val="16"/>
          <w:szCs w:val="16"/>
          <w:lang w:val="es-ES"/>
        </w:rPr>
      </w:pPr>
      <w:r w:rsidRPr="002B67FB">
        <w:rPr>
          <w:rStyle w:val="FootnoteReference"/>
          <w:sz w:val="16"/>
          <w:szCs w:val="16"/>
        </w:rPr>
        <w:footnoteRef/>
      </w:r>
      <w:r w:rsidRPr="002B67FB">
        <w:rPr>
          <w:sz w:val="16"/>
          <w:szCs w:val="16"/>
          <w:lang w:val="es-ES"/>
        </w:rPr>
        <w:t xml:space="preserve"> </w:t>
      </w:r>
      <w:r w:rsidRPr="002B67FB">
        <w:rPr>
          <w:sz w:val="16"/>
          <w:szCs w:val="16"/>
          <w:lang w:val="es-ES"/>
        </w:rPr>
        <w:tab/>
      </w:r>
      <w:r w:rsidRPr="002B67FB">
        <w:rPr>
          <w:i/>
          <w:sz w:val="16"/>
          <w:szCs w:val="16"/>
          <w:lang w:val="es-ES"/>
        </w:rPr>
        <w:t>Cfr.</w:t>
      </w:r>
      <w:r w:rsidRPr="002B67FB">
        <w:rPr>
          <w:i/>
          <w:iCs/>
          <w:sz w:val="16"/>
          <w:szCs w:val="16"/>
          <w:lang w:val="es-ES"/>
        </w:rPr>
        <w:t xml:space="preserve"> </w:t>
      </w:r>
      <w:r w:rsidRPr="002B67FB">
        <w:rPr>
          <w:bCs/>
          <w:i/>
          <w:sz w:val="16"/>
          <w:szCs w:val="16"/>
          <w:lang w:val="es-ES"/>
        </w:rPr>
        <w:t>Caso González y otras (“Campo Algodonero”) Vs. México</w:t>
      </w:r>
      <w:r w:rsidRPr="002B67FB">
        <w:rPr>
          <w:i/>
          <w:sz w:val="16"/>
          <w:szCs w:val="16"/>
          <w:lang w:val="es-ES"/>
        </w:rPr>
        <w:t xml:space="preserve">. Excepción Preliminar, Fondo, Reparaciones y Costas. </w:t>
      </w:r>
      <w:r w:rsidRPr="002B67FB">
        <w:rPr>
          <w:sz w:val="16"/>
          <w:szCs w:val="16"/>
          <w:lang w:val="es-ES"/>
        </w:rPr>
        <w:t xml:space="preserve">Sentencia de 16 de noviembre de 2009. </w:t>
      </w:r>
      <w:r w:rsidRPr="002B67FB">
        <w:rPr>
          <w:sz w:val="16"/>
          <w:szCs w:val="16"/>
        </w:rPr>
        <w:t>Serie C No. 205, párr. 243</w:t>
      </w:r>
      <w:r w:rsidRPr="002B67FB">
        <w:rPr>
          <w:i/>
          <w:sz w:val="16"/>
          <w:szCs w:val="16"/>
          <w:lang w:val="es-ES"/>
        </w:rPr>
        <w:t>,</w:t>
      </w:r>
      <w:r w:rsidRPr="002B67FB">
        <w:rPr>
          <w:sz w:val="16"/>
          <w:szCs w:val="16"/>
        </w:rPr>
        <w:t xml:space="preserve"> </w:t>
      </w:r>
      <w:r w:rsidRPr="002B67FB">
        <w:rPr>
          <w:sz w:val="16"/>
          <w:szCs w:val="16"/>
          <w:lang w:val="es-ES"/>
        </w:rPr>
        <w:t>y</w:t>
      </w:r>
      <w:r w:rsidRPr="002B67FB">
        <w:rPr>
          <w:rFonts w:eastAsiaTheme="minorEastAsia"/>
          <w:i/>
          <w:sz w:val="16"/>
          <w:szCs w:val="16"/>
          <w:lang w:val="es-ES"/>
        </w:rPr>
        <w:t xml:space="preserve"> </w:t>
      </w:r>
      <w:r w:rsidRPr="002B67FB">
        <w:rPr>
          <w:i/>
          <w:sz w:val="16"/>
          <w:szCs w:val="16"/>
          <w:lang w:val="es-ES"/>
        </w:rPr>
        <w:t>Caso I.V. Vs. Bolivia</w:t>
      </w:r>
      <w:r w:rsidRPr="002B67FB">
        <w:rPr>
          <w:sz w:val="16"/>
          <w:szCs w:val="16"/>
          <w:lang w:val="es-AR"/>
        </w:rPr>
        <w:t xml:space="preserve">, </w:t>
      </w:r>
      <w:r w:rsidRPr="002B67FB">
        <w:rPr>
          <w:i/>
          <w:sz w:val="16"/>
          <w:szCs w:val="16"/>
          <w:lang w:val="es-AR"/>
        </w:rPr>
        <w:t>supra</w:t>
      </w:r>
      <w:r w:rsidRPr="002B67FB">
        <w:rPr>
          <w:sz w:val="16"/>
          <w:szCs w:val="16"/>
          <w:lang w:val="es-ES"/>
        </w:rPr>
        <w:t>, párr. 206.</w:t>
      </w:r>
    </w:p>
  </w:footnote>
  <w:footnote w:id="132">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lang w:val="es-CR"/>
        </w:rPr>
        <w:t xml:space="preserve">Cfr. </w:t>
      </w:r>
      <w:r w:rsidRPr="002B67FB">
        <w:rPr>
          <w:rFonts w:cs="Courier New"/>
          <w:noProof/>
          <w:sz w:val="16"/>
          <w:szCs w:val="16"/>
        </w:rPr>
        <w:t>Peritaje rendido ante fedatario público por Elizabeth Salmón el 2 de febrero de 2017 (expediente de prueba, tomo XLII, affidávits, folios 10792 a 10810).</w:t>
      </w:r>
    </w:p>
  </w:footnote>
  <w:footnote w:id="133">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rFonts w:cs="Courier New"/>
          <w:noProof/>
          <w:sz w:val="16"/>
          <w:szCs w:val="16"/>
        </w:rPr>
        <w:t>Peritaje rendido ante fedatario público por Elizabeth Salmón el 2 de febrero de 2017 (expediente de prueba, tomo XLII, affidávits, folio 10806).</w:t>
      </w:r>
    </w:p>
  </w:footnote>
  <w:footnote w:id="134">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lang w:val="es-CR"/>
        </w:rPr>
        <w:t xml:space="preserve">Cfr. </w:t>
      </w:r>
      <w:r w:rsidRPr="002B67FB">
        <w:rPr>
          <w:rFonts w:cs="Courier New"/>
          <w:noProof/>
          <w:sz w:val="16"/>
          <w:szCs w:val="16"/>
        </w:rPr>
        <w:t>Peritaje rendido ante fedatario público por Maurice Gastón Larée Quevedo el 26 de enero de 2017 (expediente de prueba, tomo XLII, affidávits, folios 10754 a 10755).</w:t>
      </w:r>
    </w:p>
  </w:footnote>
  <w:footnote w:id="135">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Según una declaración, la Orden de Operaciones habría sido modificada por el Teniente Villasana Fernández, precisamente porque ésta lo hacía responsable de la práctica en la que se produjo el hecho. Esa modificación le habría atribuido responsabilidad sobre la misma al STTE Rodríguez Barrolleta y, además, habría eliminado las situaciones en las que presentaba fuego real, porque la ESGUARNAC no lo habría autorizado. </w:t>
      </w:r>
      <w:r w:rsidRPr="002B67FB">
        <w:rPr>
          <w:i/>
          <w:sz w:val="16"/>
          <w:szCs w:val="16"/>
        </w:rPr>
        <w:t>Cfr</w:t>
      </w:r>
      <w:r w:rsidRPr="002B67FB">
        <w:rPr>
          <w:sz w:val="16"/>
          <w:szCs w:val="16"/>
        </w:rPr>
        <w:t>. Declaración testimonial rendida por José Gregorio Perdomo Somaza ante la Fiscalía Séptima (7°) del estado de Táchira el 13 de enero de 2005 (expediente de prueba, tomo XXXIII, anexo a la contestación del Estado, folios 9264 a 9266).</w:t>
      </w:r>
    </w:p>
  </w:footnote>
  <w:footnote w:id="136">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Con fecha 24 de febrero de 2000 la Consultoría Jurídica del Ministerio de Defensa informó que el correspondiente instructivo es un acto administrativo de carácter general y que, por tanto, no puede ser modificado sino por otro acto de igual jerarquía, dictado por un órgano competente. Asimismo, especificó que un Teniente no tiene cualidad ni competencia para modificar los instructivos dictados por sus superiores jerárquicos. </w:t>
      </w:r>
      <w:r w:rsidRPr="002B67FB">
        <w:rPr>
          <w:i/>
          <w:sz w:val="16"/>
          <w:szCs w:val="16"/>
        </w:rPr>
        <w:t>Cfr.</w:t>
      </w:r>
      <w:r w:rsidRPr="002B67FB">
        <w:rPr>
          <w:sz w:val="16"/>
          <w:szCs w:val="16"/>
        </w:rPr>
        <w:t xml:space="preserve"> Oficio CJ-045 de la Consultoría Jurídica del Ministerio de Defensa del 24 de febrero de 2000 (expediente de prueba, tomo XIX, anexo a la contestación del Estado, folio 6293).</w:t>
      </w:r>
    </w:p>
  </w:footnote>
  <w:footnote w:id="137">
    <w:p w:rsidR="0078681A" w:rsidRPr="002B67FB" w:rsidRDefault="0078681A" w:rsidP="002B67FB">
      <w:pPr>
        <w:tabs>
          <w:tab w:val="left" w:pos="567"/>
        </w:tabs>
        <w:spacing w:after="120" w:line="240" w:lineRule="auto"/>
        <w:rPr>
          <w:sz w:val="16"/>
          <w:szCs w:val="16"/>
          <w:lang w:val="es-ES_tradnl"/>
        </w:rPr>
      </w:pPr>
      <w:r w:rsidRPr="002B67FB">
        <w:rPr>
          <w:rStyle w:val="FootnoteReference"/>
          <w:rFonts w:eastAsia="Batang"/>
          <w:sz w:val="16"/>
          <w:szCs w:val="16"/>
        </w:rPr>
        <w:footnoteRef/>
      </w:r>
      <w:r w:rsidRPr="002B67FB">
        <w:rPr>
          <w:sz w:val="16"/>
          <w:szCs w:val="16"/>
        </w:rPr>
        <w:t xml:space="preserve"> </w:t>
      </w:r>
      <w:r w:rsidRPr="002B67FB">
        <w:rPr>
          <w:sz w:val="16"/>
          <w:szCs w:val="16"/>
        </w:rPr>
        <w:tab/>
      </w:r>
      <w:r w:rsidRPr="002B67FB">
        <w:rPr>
          <w:i/>
          <w:sz w:val="16"/>
          <w:szCs w:val="16"/>
          <w:lang w:val="es-EC"/>
        </w:rPr>
        <w:t>Cfr.</w:t>
      </w:r>
      <w:r w:rsidRPr="002B67FB">
        <w:rPr>
          <w:sz w:val="16"/>
          <w:szCs w:val="16"/>
          <w:lang w:val="es-EC"/>
        </w:rPr>
        <w:t xml:space="preserve"> </w:t>
      </w:r>
      <w:r w:rsidRPr="002B67FB">
        <w:rPr>
          <w:i/>
          <w:sz w:val="16"/>
          <w:szCs w:val="16"/>
          <w:lang w:val="es-AR"/>
        </w:rPr>
        <w:t>Caso Albán Cornejo y otros. Vs. Ecuador. Fondo, Reparaciones y Costas</w:t>
      </w:r>
      <w:r w:rsidRPr="002B67FB">
        <w:rPr>
          <w:sz w:val="16"/>
          <w:szCs w:val="16"/>
          <w:lang w:val="es-AR"/>
        </w:rPr>
        <w:t>. Sentencia de 22 de noviembre de 2007. Serie C No. 171</w:t>
      </w:r>
      <w:r w:rsidRPr="002B67FB">
        <w:rPr>
          <w:sz w:val="16"/>
          <w:szCs w:val="16"/>
          <w:lang w:val="es-EC"/>
        </w:rPr>
        <w:t xml:space="preserve">, párr. 117, y </w:t>
      </w:r>
      <w:r w:rsidRPr="002B67FB">
        <w:rPr>
          <w:i/>
          <w:sz w:val="16"/>
          <w:szCs w:val="16"/>
          <w:lang w:val="pt-BR"/>
        </w:rPr>
        <w:t>Caso Chinchilla Sandoval y otros Vs. Guatemala. Excepción Preliminar, Fondo, Reparaciones y Costas</w:t>
      </w:r>
      <w:r w:rsidRPr="002B67FB">
        <w:rPr>
          <w:i/>
          <w:sz w:val="16"/>
          <w:szCs w:val="16"/>
          <w:lang w:val="es-ES"/>
        </w:rPr>
        <w:t xml:space="preserve">. </w:t>
      </w:r>
      <w:r w:rsidRPr="002B67FB">
        <w:rPr>
          <w:sz w:val="16"/>
          <w:szCs w:val="16"/>
          <w:lang w:val="es-ES"/>
        </w:rPr>
        <w:t>Sentencia de 29 de febrero de 2016. Serie C No. 312, párr. 170.</w:t>
      </w:r>
    </w:p>
  </w:footnote>
  <w:footnote w:id="138">
    <w:p w:rsidR="0078681A" w:rsidRPr="002B67FB" w:rsidRDefault="0078681A" w:rsidP="002B67FB">
      <w:pPr>
        <w:tabs>
          <w:tab w:val="left" w:pos="567"/>
        </w:tabs>
        <w:spacing w:after="120" w:line="240" w:lineRule="auto"/>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 xml:space="preserve">Cfr. Caso Tibi Vs. Ecuador. Excepciones Preliminares, Fondo, Reparaciones y Costas. </w:t>
      </w:r>
      <w:r w:rsidRPr="002B67FB">
        <w:rPr>
          <w:sz w:val="16"/>
          <w:szCs w:val="16"/>
        </w:rPr>
        <w:t xml:space="preserve">Sentencia de 7 de septiembre de 2004. Serie C No. 114, párr. 157, y </w:t>
      </w:r>
      <w:r w:rsidRPr="002B67FB">
        <w:rPr>
          <w:rFonts w:cs="Courier New"/>
          <w:i/>
          <w:noProof/>
          <w:sz w:val="16"/>
          <w:szCs w:val="16"/>
        </w:rPr>
        <w:t>Caso I.V. Vs. Bolivia</w:t>
      </w:r>
      <w:r w:rsidRPr="002B67FB">
        <w:rPr>
          <w:sz w:val="16"/>
          <w:szCs w:val="16"/>
          <w:lang w:val="es-AR"/>
        </w:rPr>
        <w:t xml:space="preserve">, </w:t>
      </w:r>
      <w:r w:rsidRPr="002B67FB">
        <w:rPr>
          <w:i/>
          <w:sz w:val="16"/>
          <w:szCs w:val="16"/>
          <w:lang w:val="es-AR"/>
        </w:rPr>
        <w:t>supra</w:t>
      </w:r>
      <w:r w:rsidRPr="002B67FB">
        <w:rPr>
          <w:sz w:val="16"/>
          <w:szCs w:val="16"/>
          <w:lang w:val="es-ES"/>
        </w:rPr>
        <w:t>, párr. 154.</w:t>
      </w:r>
    </w:p>
  </w:footnote>
  <w:footnote w:id="139">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lang w:val="es-CR"/>
        </w:rPr>
        <w:t xml:space="preserve">Cfr. </w:t>
      </w:r>
      <w:r w:rsidRPr="002B67FB">
        <w:rPr>
          <w:rFonts w:cs="Courier New"/>
          <w:noProof/>
          <w:sz w:val="16"/>
          <w:szCs w:val="16"/>
        </w:rPr>
        <w:t>Peritaje rendido ante fedatario público por Elizabeth Salmón el 2 de febrero de 2017 (expediente de prueba, tomo XLII, affidávits, folios 10806 a 10809).</w:t>
      </w:r>
    </w:p>
  </w:footnote>
  <w:footnote w:id="140">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lang w:val="es-CR"/>
        </w:rPr>
        <w:t xml:space="preserve">Cfr. </w:t>
      </w:r>
      <w:r w:rsidRPr="002B67FB">
        <w:rPr>
          <w:sz w:val="16"/>
          <w:szCs w:val="16"/>
          <w:lang w:val="es-CR"/>
        </w:rPr>
        <w:t>Orden Administrativa N° 1/98, para la Evacuación y Hospitalización (apartado 3) (expediente de prueba, tomo XXI, anexo a la contestación del Estado, folios 6718 a 6719).</w:t>
      </w:r>
    </w:p>
  </w:footnote>
  <w:footnote w:id="141">
    <w:p w:rsidR="0078681A" w:rsidRPr="002B67FB" w:rsidRDefault="0078681A" w:rsidP="002B67FB">
      <w:pPr>
        <w:pStyle w:val="FootnoteText"/>
        <w:tabs>
          <w:tab w:val="left" w:pos="567"/>
        </w:tabs>
        <w:spacing w:after="120"/>
        <w:rPr>
          <w:i/>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lang w:val="es-CR"/>
        </w:rPr>
        <w:t xml:space="preserve">Cfr. </w:t>
      </w:r>
      <w:r w:rsidRPr="002B67FB">
        <w:rPr>
          <w:rFonts w:cs="Courier New"/>
          <w:noProof/>
          <w:sz w:val="16"/>
          <w:szCs w:val="16"/>
        </w:rPr>
        <w:t>Peritaje rendido ante fedatario público por María del Carmen Bravo González el 24 de enero de 2017 (expediente de prueba, tomo XLII, affidávits, folios 10762 a 10764 y 10768).</w:t>
      </w:r>
    </w:p>
  </w:footnote>
  <w:footnote w:id="142">
    <w:p w:rsidR="0078681A" w:rsidRPr="002B67FB" w:rsidRDefault="0078681A" w:rsidP="002B67FB">
      <w:pPr>
        <w:pStyle w:val="FootnoteText"/>
        <w:tabs>
          <w:tab w:val="left" w:pos="567"/>
        </w:tabs>
        <w:spacing w:after="120"/>
        <w:rPr>
          <w:i/>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rFonts w:cs="Courier New"/>
          <w:noProof/>
          <w:sz w:val="16"/>
          <w:szCs w:val="16"/>
        </w:rPr>
        <w:t>Peritaje rendido ante fedatario público por María del Carmen Bravo González el 24 de enero de 2017 (expediente de prueba, tomo XLII, affidávits, folio 10763).</w:t>
      </w:r>
    </w:p>
  </w:footnote>
  <w:footnote w:id="143">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rPr>
        <w:t xml:space="preserve">Cfr. </w:t>
      </w:r>
      <w:r w:rsidRPr="002B67FB">
        <w:rPr>
          <w:sz w:val="16"/>
          <w:szCs w:val="16"/>
        </w:rPr>
        <w:t xml:space="preserve">Peritaje rendido por Ana Cecilia Rincón Bracho ante la Corte Interamericana en la audiencia pública celebrada el 9 de febrero de 2017, y </w:t>
      </w:r>
      <w:r w:rsidRPr="002B67FB">
        <w:rPr>
          <w:rFonts w:cs="Courier New"/>
          <w:noProof/>
          <w:sz w:val="16"/>
          <w:szCs w:val="16"/>
        </w:rPr>
        <w:t>Peritaje rendido ante fedatario público por María del Carmen Bravo González el 24 de enero de 2017 (expediente de prueba, tomo XLII, affidávits, folio 10768).</w:t>
      </w:r>
    </w:p>
  </w:footnote>
  <w:footnote w:id="144">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rPr>
        <w:t xml:space="preserve">Cfr. </w:t>
      </w:r>
      <w:r w:rsidRPr="002B67FB">
        <w:rPr>
          <w:sz w:val="16"/>
          <w:szCs w:val="16"/>
        </w:rPr>
        <w:t xml:space="preserve">Peritaje rendido por Ana Cecilia Rincón Bracho ante la Corte Interamericana en la audiencia pública celebrada el 9 de febrero de 2017, y </w:t>
      </w:r>
      <w:r w:rsidRPr="002B67FB">
        <w:rPr>
          <w:rFonts w:cs="Courier New"/>
          <w:noProof/>
          <w:sz w:val="16"/>
          <w:szCs w:val="16"/>
        </w:rPr>
        <w:t>Peritaje rendido ante fedatario público por María del Carmen Bravo González el 24 de enero de 2017 (expediente de prueba, tomo XLII, affidávits, folios 10762 a 10764 y 10768).</w:t>
      </w:r>
    </w:p>
  </w:footnote>
  <w:footnote w:id="145">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Según la declaración testimonial de la médica tratante, Dra. Lucy Vega Chávez, el hospital no se encontraba equipado para atender un paciente con el cuadro que presentaba Ortiz Hernández. En efecto, se trataba de un nosocomio tipo I, donde sólo se daba atención médica en las áreas de pediatría, medicina interna, obstetricia y eventualmente cirugías menores. Además, la médica destacó que en ese entonces no se contaba con quirófano, ni anestesiólogos, cirujano general, cirujano cardiovascular, cirujano de tórax ni con banco de sangre. </w:t>
      </w:r>
      <w:r w:rsidRPr="002B67FB">
        <w:rPr>
          <w:i/>
          <w:sz w:val="16"/>
          <w:szCs w:val="16"/>
        </w:rPr>
        <w:t>Cfr.</w:t>
      </w:r>
      <w:r w:rsidRPr="002B67FB">
        <w:rPr>
          <w:sz w:val="16"/>
          <w:szCs w:val="16"/>
        </w:rPr>
        <w:t xml:space="preserve"> Declaración testimonial rendida por Lucy Vega Chávez</w:t>
      </w:r>
      <w:r w:rsidRPr="002B67FB" w:rsidDel="00997E46">
        <w:rPr>
          <w:sz w:val="16"/>
          <w:szCs w:val="16"/>
        </w:rPr>
        <w:t xml:space="preserve"> </w:t>
      </w:r>
      <w:r w:rsidRPr="002B67FB">
        <w:rPr>
          <w:sz w:val="16"/>
          <w:szCs w:val="16"/>
        </w:rPr>
        <w:t>ante la Fiscalía Militar Tercera de San Cristóbal el 26 de octubre de 1999 (expediente de prueba, tomo XIX, anexo a la contestación del Estado, folio 6100).</w:t>
      </w:r>
    </w:p>
  </w:footnote>
  <w:footnote w:id="146">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rPr>
        <w:t xml:space="preserve">Cfr. </w:t>
      </w:r>
      <w:r w:rsidRPr="002B67FB">
        <w:rPr>
          <w:rFonts w:cs="Courier New"/>
          <w:noProof/>
          <w:sz w:val="16"/>
          <w:szCs w:val="16"/>
        </w:rPr>
        <w:t>Peritaje rendido ante fedatario público por María del Carmen Bravo González el 24 de enero de 2017 (expediente de prueba, tomo XLII, affidávits, folio 10763).</w:t>
      </w:r>
    </w:p>
  </w:footnote>
  <w:footnote w:id="147">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lang w:val="es-CR"/>
        </w:rPr>
        <w:t>Cfr. Caso</w:t>
      </w:r>
      <w:r w:rsidRPr="002B67FB">
        <w:rPr>
          <w:sz w:val="16"/>
          <w:szCs w:val="16"/>
          <w:lang w:val="es-CR"/>
        </w:rPr>
        <w:t xml:space="preserve"> </w:t>
      </w:r>
      <w:r w:rsidRPr="002B67FB">
        <w:rPr>
          <w:i/>
          <w:sz w:val="16"/>
          <w:szCs w:val="16"/>
          <w:lang w:val="es-CR"/>
        </w:rPr>
        <w:t>Cantoral Huamaní y García Santa Cruz Vs. Perú</w:t>
      </w:r>
      <w:r w:rsidRPr="002B67FB">
        <w:rPr>
          <w:sz w:val="16"/>
          <w:szCs w:val="16"/>
          <w:lang w:val="es-CR"/>
        </w:rPr>
        <w:t xml:space="preserve">. </w:t>
      </w:r>
      <w:r w:rsidRPr="002B67FB">
        <w:rPr>
          <w:i/>
          <w:sz w:val="16"/>
          <w:szCs w:val="16"/>
          <w:lang w:val="es-CR"/>
        </w:rPr>
        <w:t>Excepción Preliminar, Fondo, Reparaciones y Costas.</w:t>
      </w:r>
      <w:r w:rsidRPr="002B67FB">
        <w:rPr>
          <w:sz w:val="16"/>
          <w:szCs w:val="16"/>
          <w:lang w:val="es-CR"/>
        </w:rPr>
        <w:t xml:space="preserve"> Sentencia de 10 de julio de 2007. Serie C No. 167, párr. 99, y, </w:t>
      </w:r>
      <w:r w:rsidRPr="002B67FB">
        <w:rPr>
          <w:i/>
          <w:sz w:val="16"/>
          <w:szCs w:val="16"/>
          <w:lang w:val="es-CR"/>
        </w:rPr>
        <w:t>contrario sensu,</w:t>
      </w:r>
      <w:r w:rsidRPr="002B67FB">
        <w:rPr>
          <w:sz w:val="16"/>
          <w:szCs w:val="16"/>
          <w:lang w:val="es-CR"/>
        </w:rPr>
        <w:t xml:space="preserve"> </w:t>
      </w:r>
      <w:r w:rsidRPr="002B67FB">
        <w:rPr>
          <w:i/>
          <w:sz w:val="16"/>
          <w:szCs w:val="16"/>
          <w:lang w:val="es-CR"/>
        </w:rPr>
        <w:t>Caso</w:t>
      </w:r>
      <w:r w:rsidRPr="002B67FB">
        <w:rPr>
          <w:sz w:val="16"/>
          <w:szCs w:val="16"/>
          <w:lang w:val="es-CR"/>
        </w:rPr>
        <w:t xml:space="preserve"> </w:t>
      </w:r>
      <w:r w:rsidRPr="002B67FB">
        <w:rPr>
          <w:i/>
          <w:sz w:val="16"/>
          <w:szCs w:val="16"/>
          <w:lang w:val="es-CR"/>
        </w:rPr>
        <w:t>Uzcátegui y otros Vs. Venezuela</w:t>
      </w:r>
      <w:r w:rsidRPr="002B67FB">
        <w:rPr>
          <w:sz w:val="16"/>
          <w:szCs w:val="16"/>
          <w:lang w:val="es-CR"/>
        </w:rPr>
        <w:t xml:space="preserve">, </w:t>
      </w:r>
      <w:r w:rsidRPr="002B67FB">
        <w:rPr>
          <w:i/>
          <w:sz w:val="16"/>
          <w:szCs w:val="16"/>
          <w:lang w:val="es-CR"/>
        </w:rPr>
        <w:t>supra</w:t>
      </w:r>
      <w:r w:rsidRPr="002B67FB">
        <w:rPr>
          <w:sz w:val="16"/>
          <w:szCs w:val="16"/>
          <w:lang w:val="es-CR"/>
        </w:rPr>
        <w:t>, párr. 181.</w:t>
      </w:r>
    </w:p>
  </w:footnote>
  <w:footnote w:id="148">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rPr>
        <w:t>Cfr</w:t>
      </w:r>
      <w:r w:rsidRPr="002B67FB">
        <w:rPr>
          <w:sz w:val="16"/>
          <w:szCs w:val="16"/>
        </w:rPr>
        <w:t>. Declaraciones testimoniales rendidas ante la Fiscalía Séptima (7°) del estado de Táchira el 14 y 17 de septiembre de 2004, respectivamente (expediente de prueba, tomo XXXIII, anexo a la contestación del Estado, folios 9167 y 9178).</w:t>
      </w:r>
    </w:p>
  </w:footnote>
  <w:footnote w:id="149">
    <w:p w:rsidR="0078681A" w:rsidRPr="002B67FB" w:rsidRDefault="0078681A" w:rsidP="002B67FB">
      <w:pPr>
        <w:tabs>
          <w:tab w:val="left" w:pos="567"/>
        </w:tabs>
        <w:spacing w:after="120" w:line="240" w:lineRule="auto"/>
        <w:rPr>
          <w:bCs/>
          <w:sz w:val="16"/>
          <w:szCs w:val="16"/>
          <w:lang w:val="pt-B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rFonts w:cs="Verdana-Italic"/>
          <w:i/>
          <w:sz w:val="16"/>
          <w:szCs w:val="16"/>
          <w:lang w:val="es-AR" w:bidi="en-US"/>
        </w:rPr>
        <w:t xml:space="preserve">Cfr. </w:t>
      </w:r>
      <w:r w:rsidRPr="002B67FB">
        <w:rPr>
          <w:rFonts w:cs="Verdana-Italic"/>
          <w:i/>
          <w:sz w:val="16"/>
          <w:szCs w:val="16"/>
          <w:lang w:val="pt-BR" w:bidi="en-US"/>
        </w:rPr>
        <w:t xml:space="preserve">Caso Juan Humberto Sánchez Vs. Honduras. Excepción Preliminar, Fondo, Reparaciones y Costas. </w:t>
      </w:r>
      <w:r w:rsidRPr="002B67FB">
        <w:rPr>
          <w:rFonts w:cs="Verdana-Italic"/>
          <w:sz w:val="16"/>
          <w:szCs w:val="16"/>
          <w:lang w:val="pt-BR" w:bidi="en-US"/>
        </w:rPr>
        <w:t>Sentencia de 7 de junio de 2003. Serie C No. 99,</w:t>
      </w:r>
      <w:r w:rsidRPr="002B67FB">
        <w:rPr>
          <w:rFonts w:cs="Verdana-Italic"/>
          <w:i/>
          <w:sz w:val="16"/>
          <w:szCs w:val="16"/>
          <w:lang w:val="pt-BR" w:bidi="en-US"/>
        </w:rPr>
        <w:t xml:space="preserve"> </w:t>
      </w:r>
      <w:r w:rsidRPr="002B67FB">
        <w:rPr>
          <w:rFonts w:cs="Verdana-Italic"/>
          <w:sz w:val="16"/>
          <w:szCs w:val="16"/>
          <w:lang w:val="es-AR" w:bidi="en-US"/>
        </w:rPr>
        <w:t>p</w:t>
      </w:r>
      <w:r w:rsidRPr="002B67FB">
        <w:rPr>
          <w:rFonts w:cs="Arial"/>
          <w:sz w:val="16"/>
          <w:szCs w:val="16"/>
          <w:lang w:val="es-AR" w:eastAsia="zh-CN" w:bidi="en-US"/>
        </w:rPr>
        <w:t>árr. 111, y</w:t>
      </w:r>
      <w:r w:rsidRPr="002B67FB">
        <w:rPr>
          <w:sz w:val="16"/>
          <w:szCs w:val="16"/>
          <w:lang w:val="es-AR"/>
        </w:rPr>
        <w:t xml:space="preserve"> </w:t>
      </w:r>
      <w:r w:rsidRPr="002B67FB">
        <w:rPr>
          <w:bCs/>
          <w:i/>
          <w:sz w:val="16"/>
          <w:szCs w:val="16"/>
          <w:lang w:val="pt-BR"/>
        </w:rPr>
        <w:t xml:space="preserve">Caso Pollo Rivera y otros Vs. Perú. Fondo, Reparaciones y Costas. </w:t>
      </w:r>
      <w:r w:rsidRPr="002B67FB">
        <w:rPr>
          <w:bCs/>
          <w:sz w:val="16"/>
          <w:szCs w:val="16"/>
          <w:lang w:val="pt-BR"/>
        </w:rPr>
        <w:t>Sentencia de 21 de octubre de 2016. Serie C No. 319, párr. 147.</w:t>
      </w:r>
    </w:p>
  </w:footnote>
  <w:footnote w:id="150">
    <w:p w:rsidR="0078681A" w:rsidRPr="002B67FB" w:rsidRDefault="0078681A" w:rsidP="002B67FB">
      <w:pPr>
        <w:tabs>
          <w:tab w:val="left" w:pos="567"/>
        </w:tabs>
        <w:spacing w:after="120" w:line="240" w:lineRule="auto"/>
        <w:rPr>
          <w:bCs/>
          <w:sz w:val="16"/>
          <w:szCs w:val="16"/>
        </w:rPr>
      </w:pPr>
      <w:r w:rsidRPr="002B67FB">
        <w:rPr>
          <w:rStyle w:val="FootnoteReference"/>
          <w:sz w:val="16"/>
          <w:szCs w:val="16"/>
        </w:rPr>
        <w:footnoteRef/>
      </w:r>
      <w:r w:rsidRPr="002B67FB">
        <w:rPr>
          <w:sz w:val="16"/>
          <w:szCs w:val="16"/>
          <w:lang w:val="es-ES"/>
        </w:rPr>
        <w:t xml:space="preserve"> </w:t>
      </w:r>
      <w:r w:rsidRPr="002B67FB">
        <w:rPr>
          <w:sz w:val="16"/>
          <w:szCs w:val="16"/>
          <w:lang w:val="es-ES"/>
        </w:rPr>
        <w:tab/>
      </w:r>
      <w:r w:rsidRPr="002B67FB">
        <w:rPr>
          <w:i/>
          <w:sz w:val="16"/>
          <w:szCs w:val="16"/>
          <w:lang w:val="es-ES"/>
        </w:rPr>
        <w:t xml:space="preserve">Caso Nogueira de Carvalho y otros Vs. </w:t>
      </w:r>
      <w:r w:rsidRPr="002B67FB">
        <w:rPr>
          <w:i/>
          <w:sz w:val="16"/>
          <w:szCs w:val="16"/>
        </w:rPr>
        <w:t>Brasil. Excepciones Preliminares y Fondo.</w:t>
      </w:r>
      <w:r w:rsidRPr="002B67FB">
        <w:rPr>
          <w:sz w:val="16"/>
          <w:szCs w:val="16"/>
        </w:rPr>
        <w:t xml:space="preserve"> Sentencia de 28 de noviembre de 2006. Serie C No. 161</w:t>
      </w:r>
      <w:r w:rsidRPr="002B67FB">
        <w:rPr>
          <w:sz w:val="16"/>
          <w:szCs w:val="16"/>
          <w:lang w:val="es-ES"/>
        </w:rPr>
        <w:t xml:space="preserve">, párr. 80, y </w:t>
      </w:r>
      <w:r w:rsidRPr="002B67FB">
        <w:rPr>
          <w:bCs/>
          <w:i/>
          <w:sz w:val="16"/>
          <w:szCs w:val="16"/>
        </w:rPr>
        <w:t>Caso Acosta y otros Vs. Nicaragua, supra</w:t>
      </w:r>
      <w:r w:rsidRPr="002B67FB">
        <w:rPr>
          <w:bCs/>
          <w:sz w:val="16"/>
          <w:szCs w:val="16"/>
        </w:rPr>
        <w:t>, párr. 134.</w:t>
      </w:r>
    </w:p>
  </w:footnote>
  <w:footnote w:id="151">
    <w:p w:rsidR="0078681A" w:rsidRPr="002B67FB" w:rsidRDefault="0078681A" w:rsidP="002B67FB">
      <w:pPr>
        <w:tabs>
          <w:tab w:val="left" w:pos="567"/>
        </w:tabs>
        <w:spacing w:after="120" w:line="240" w:lineRule="auto"/>
        <w:rPr>
          <w:bCs/>
          <w:sz w:val="16"/>
          <w:szCs w:val="16"/>
          <w:lang w:val="pt-B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Cfr.</w:t>
      </w:r>
      <w:r w:rsidRPr="002B67FB">
        <w:rPr>
          <w:sz w:val="16"/>
          <w:szCs w:val="16"/>
          <w:lang w:val="es-AR"/>
        </w:rPr>
        <w:t xml:space="preserve"> </w:t>
      </w:r>
      <w:r w:rsidRPr="002B67FB">
        <w:rPr>
          <w:i/>
          <w:sz w:val="16"/>
          <w:szCs w:val="16"/>
          <w:lang w:val="es-AR"/>
        </w:rPr>
        <w:t xml:space="preserve">Caso Kawas Fernández Vs. Honduras. Fondo, Reparaciones y Costas. </w:t>
      </w:r>
      <w:r w:rsidRPr="002B67FB">
        <w:rPr>
          <w:sz w:val="16"/>
          <w:szCs w:val="16"/>
          <w:lang w:val="es-AR"/>
        </w:rPr>
        <w:t xml:space="preserve">Sentencia de 3 de abril de 2009. Serie C No. 196, párr. 96, y </w:t>
      </w:r>
      <w:r w:rsidRPr="002B67FB">
        <w:rPr>
          <w:bCs/>
          <w:i/>
          <w:sz w:val="16"/>
          <w:szCs w:val="16"/>
          <w:lang w:val="pt-BR"/>
        </w:rPr>
        <w:t>Caso Favela Nova Brasilia Vs. Brasil. Excepciones Preliminares, Fondo, Reparaciones y Costas.</w:t>
      </w:r>
      <w:r w:rsidRPr="002B67FB">
        <w:rPr>
          <w:bCs/>
          <w:sz w:val="16"/>
          <w:szCs w:val="16"/>
          <w:lang w:val="pt-BR"/>
        </w:rPr>
        <w:t xml:space="preserve"> Sentencia de 16 de febrero de 2017. Serie C No. 333, párr. 180.</w:t>
      </w:r>
    </w:p>
  </w:footnote>
  <w:footnote w:id="152">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Cabe recordar que, según una primera versión oficial de la ESGUARNAC, aproximadamente a las 12.40 horas del día 15 de febrero de 1998, mientras Ortiz Hernández se encontraba atravesando el obstáculo en cuestión recibió “[un] impacto de bala a la altura del hombro derecho con orificio de salida en el cuello, la herida fue producida por un proyectil calibre 7.62 disparada por AFAG, que estaba siendo manipulada por el G/Nal. MALPICA CALZADILLA JEAN CARLOS […]”. Luego, la propia ESGUARNAC destacó que el señor Ortiz Hernández recibió, en realidad, dos (2) impactos de bala, en atención a que el disparo de las ráfagas de proyectiles a cargo de Malpica Calzadilla estaba siendo efectuado, como medida de hostigamiento, con fuego real proveniente de una ametralladora AFAG, calibre 7,62 mm. No obstante esta discordancia en relación con el número de las heridas sufridas por Johan Alexis, ambos relatos coincidieron en señalar que lo ocurrido fue un “trágico accidente”. </w:t>
      </w:r>
      <w:r w:rsidRPr="002B67FB">
        <w:rPr>
          <w:i/>
          <w:sz w:val="16"/>
          <w:szCs w:val="16"/>
        </w:rPr>
        <w:t>Cfr</w:t>
      </w:r>
      <w:r w:rsidRPr="002B67FB">
        <w:rPr>
          <w:sz w:val="16"/>
          <w:szCs w:val="16"/>
        </w:rPr>
        <w:t>. Parte especial remitido por el TCNEL. (GN) J.S. de la Escuela de Formación de Guardias Nacionales Gral. Div. “Víctor Anselmo Fernández Escobar” al CNEL (EJ.) J.S. de la Segunda División de Infantería y Comando de Guarnición del estado de Táchira el 15 de febrero de 1998 (expediente de prueba, tomo XIV, anexo a la contestación del Estado, folio 4556), e Informe enviado por el TTE. Comandante de la Primera Compañía al TCNEL Comandante del Cuerpo Alumnos de ESGUARNAC-CORDERO el 12 de marzo de 1998 (expediente de prueba, tomo X, anexo 2 al sometimiento del caso, folios 3035 a 3036).</w:t>
      </w:r>
    </w:p>
  </w:footnote>
  <w:footnote w:id="153">
    <w:p w:rsidR="0078681A" w:rsidRPr="002B67FB" w:rsidRDefault="0078681A" w:rsidP="002B67FB">
      <w:pPr>
        <w:tabs>
          <w:tab w:val="left" w:pos="567"/>
        </w:tabs>
        <w:spacing w:after="120" w:line="240" w:lineRule="auto"/>
        <w:rPr>
          <w:bCs/>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Cfr.</w:t>
      </w:r>
      <w:r w:rsidRPr="002B67FB">
        <w:rPr>
          <w:sz w:val="16"/>
          <w:szCs w:val="16"/>
          <w:lang w:val="es-AR"/>
        </w:rPr>
        <w:t xml:space="preserve"> </w:t>
      </w:r>
      <w:r w:rsidRPr="002B67FB">
        <w:rPr>
          <w:i/>
          <w:sz w:val="16"/>
          <w:szCs w:val="16"/>
          <w:lang w:val="es-ES"/>
        </w:rPr>
        <w:t xml:space="preserve">Caso Suárez Rosero Vs. Ecuador. Fondo. </w:t>
      </w:r>
      <w:r w:rsidRPr="002B67FB">
        <w:rPr>
          <w:sz w:val="16"/>
          <w:szCs w:val="16"/>
          <w:lang w:val="es-ES"/>
        </w:rPr>
        <w:t>Sentencia de 12 de noviembre de 1997. Serie C No. 35, párr. 37, y</w:t>
      </w:r>
      <w:r w:rsidRPr="002B67FB">
        <w:rPr>
          <w:sz w:val="16"/>
          <w:szCs w:val="16"/>
          <w:lang w:val="es-AR"/>
        </w:rPr>
        <w:t xml:space="preserve"> </w:t>
      </w:r>
      <w:r w:rsidRPr="002B67FB">
        <w:rPr>
          <w:bCs/>
          <w:i/>
          <w:sz w:val="16"/>
          <w:szCs w:val="16"/>
        </w:rPr>
        <w:t>Caso Acosta y otros Vs. Nicaragua, supra</w:t>
      </w:r>
      <w:r w:rsidRPr="002B67FB">
        <w:rPr>
          <w:bCs/>
          <w:sz w:val="16"/>
          <w:szCs w:val="16"/>
        </w:rPr>
        <w:t>, párr. 134.</w:t>
      </w:r>
    </w:p>
  </w:footnote>
  <w:footnote w:id="154">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Acusación formulada por los representantes del Ministerio Público el 27 de febrero de 2013 (expediente de prueba, tomo X, anexo 14 al sometimiento del caso, folio 3307).</w:t>
      </w:r>
    </w:p>
  </w:footnote>
  <w:footnote w:id="155">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Informe de autopsia N° 104/98 de 2 de marzo de 1998 (expediente de prueba, tomo XIV, anexo a la contestación del Estado, folio 4764).</w:t>
      </w:r>
    </w:p>
  </w:footnote>
  <w:footnote w:id="156">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Declaración rendida por Ana Cecilia Rincón Bracho ante la Fiscalía Séptima (7°) del estado de Táchira el 20 de mayo de 2003 (expediente de prueba, tomo XXXI, anexo a la contestación del Estado, folios 8858 a 8868).</w:t>
      </w:r>
    </w:p>
  </w:footnote>
  <w:footnote w:id="157">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sz w:val="16"/>
          <w:szCs w:val="16"/>
        </w:rPr>
        <w:t>Peritaje rendido por Ana Cecilia Rincón Bracho ante la Corte Interamericana en la audiencia pública celebrada el 9 de febrero de 2017.</w:t>
      </w:r>
    </w:p>
  </w:footnote>
  <w:footnote w:id="158">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sz w:val="16"/>
          <w:szCs w:val="16"/>
        </w:rPr>
        <w:t>Peritaje rendido por Ana Cecilia Rincón Bracho ante la Corte Interamericana en la audiencia pública celebrada el 9 de febrero de 2017.</w:t>
      </w:r>
    </w:p>
  </w:footnote>
  <w:footnote w:id="159">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lang w:val="es-CR"/>
        </w:rPr>
        <w:t xml:space="preserve">Cfr. </w:t>
      </w:r>
      <w:r w:rsidRPr="002B67FB">
        <w:rPr>
          <w:sz w:val="16"/>
          <w:szCs w:val="16"/>
        </w:rPr>
        <w:t>Peritaje rendido por Ana Cecilia Rincón Bracho ante la Corte Interamericana en la audiencia pública celebrada el 9 de febrero de 2017.</w:t>
      </w:r>
    </w:p>
  </w:footnote>
  <w:footnote w:id="160">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Declaración testimonial rendida ante el Juzgado Militar de Primera Instancia Permanente de San Cristóbal por Cuauhtémoc Abundio Guerra el 10 de diciembre de 1998 (expediente de prueba, tomo XVII, anexo a la contestación del Estado, folios 5647 a 5649).</w:t>
      </w:r>
    </w:p>
  </w:footnote>
  <w:footnote w:id="161">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Declaración testimonial rendida ante el Juzgado Militar de Primera Instancia Permanente de Guasdualito por Franklin Alberto García Rivas el 8 de junio de 1998 (expediente de prueba, tomo XVI, anexo a la contestación del Estado, folios 5181 a 5182).</w:t>
      </w:r>
    </w:p>
  </w:footnote>
  <w:footnote w:id="162">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rFonts w:cs="Courier New"/>
          <w:noProof/>
          <w:sz w:val="16"/>
          <w:szCs w:val="16"/>
        </w:rPr>
        <w:t>Peritaje rendido ante fedatario público por María del Carmen Bravo González el 24 de enero de 2017 (expediente de prueba, tomo XLII, affidávits, folios 10759 a 10760).</w:t>
      </w:r>
    </w:p>
  </w:footnote>
  <w:footnote w:id="163">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rFonts w:cs="Courier New"/>
          <w:noProof/>
          <w:sz w:val="16"/>
          <w:szCs w:val="16"/>
        </w:rPr>
        <w:t>Peritaje rendido ante fedatario público por María del Carmen Bravo González el 24 de enero de 2017 (expediente de prueba, tomo XLII, affidávits, folio 10760).</w:t>
      </w:r>
    </w:p>
  </w:footnote>
  <w:footnote w:id="164">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rFonts w:cs="Courier New"/>
          <w:noProof/>
          <w:sz w:val="16"/>
          <w:szCs w:val="16"/>
        </w:rPr>
        <w:t>Peritaje rendido ante fedatario público por María del Carmen Bravo González el 24 de enero de 2017 (expediente de prueba, tomo XLII, affidávits, folio 10761).</w:t>
      </w:r>
    </w:p>
  </w:footnote>
  <w:footnote w:id="165">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lang w:val="es-CR"/>
        </w:rPr>
        <w:t xml:space="preserve">Cfr. </w:t>
      </w:r>
      <w:r w:rsidRPr="002B67FB">
        <w:rPr>
          <w:rFonts w:cs="Courier New"/>
          <w:noProof/>
          <w:sz w:val="16"/>
          <w:szCs w:val="16"/>
        </w:rPr>
        <w:t>Peritaje rendido ante fedatario público por Maurice Gastón Larée Quevedo el 26 de enero de 2017 (expediente de prueba, tomo XLII, affidávits, folios 10753 a 10754).</w:t>
      </w:r>
    </w:p>
  </w:footnote>
  <w:footnote w:id="166">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i/>
          <w:sz w:val="16"/>
          <w:szCs w:val="16"/>
          <w:lang w:val="es-CR"/>
        </w:rPr>
        <w:t xml:space="preserve">Cfr. </w:t>
      </w:r>
      <w:r w:rsidRPr="002B67FB">
        <w:rPr>
          <w:rFonts w:cs="Courier New"/>
          <w:noProof/>
          <w:sz w:val="16"/>
          <w:szCs w:val="16"/>
        </w:rPr>
        <w:t>Peritaje rendido ante fedatario público por Maurice Gastón Larée Quevedo el 26 de enero de 2017 (expediente de prueba, tomo XLII, affidávits, folios 10752 a 10754).</w:t>
      </w:r>
    </w:p>
  </w:footnote>
  <w:footnote w:id="167">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El artículo 8.1 de la Convención establece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68">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El artículo 25.1 de la Convención dispone que: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69">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t>El artículo 2 de la Convención prevé que: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170">
    <w:p w:rsidR="0078681A" w:rsidRPr="002B67FB" w:rsidRDefault="0078681A" w:rsidP="002B67FB">
      <w:pPr>
        <w:pStyle w:val="NormalWeb"/>
        <w:shd w:val="clear" w:color="auto" w:fill="FFFFFF"/>
        <w:tabs>
          <w:tab w:val="left" w:pos="567"/>
        </w:tabs>
        <w:spacing w:before="0" w:beforeAutospacing="0" w:after="120" w:afterAutospacing="0"/>
        <w:jc w:val="both"/>
        <w:rPr>
          <w:rFonts w:ascii="Verdana" w:hAnsi="Verdana"/>
          <w:sz w:val="16"/>
          <w:szCs w:val="16"/>
        </w:rPr>
      </w:pPr>
      <w:r w:rsidRPr="002B67FB">
        <w:rPr>
          <w:rStyle w:val="FootnoteReference"/>
          <w:rFonts w:ascii="Verdana" w:hAnsi="Verdana"/>
          <w:sz w:val="16"/>
          <w:szCs w:val="16"/>
        </w:rPr>
        <w:footnoteRef/>
      </w:r>
      <w:r w:rsidRPr="002B67FB">
        <w:rPr>
          <w:rFonts w:ascii="Verdana" w:hAnsi="Verdana"/>
          <w:sz w:val="16"/>
          <w:szCs w:val="16"/>
        </w:rPr>
        <w:t xml:space="preserve"> </w:t>
      </w:r>
      <w:r w:rsidRPr="002B67FB">
        <w:rPr>
          <w:rFonts w:ascii="Verdana" w:hAnsi="Verdana"/>
          <w:sz w:val="16"/>
          <w:szCs w:val="16"/>
        </w:rPr>
        <w:tab/>
        <w:t>El artículo 29 de la Constitución venezolana establece que “</w:t>
      </w:r>
      <w:r w:rsidRPr="002B67FB">
        <w:rPr>
          <w:rFonts w:ascii="Verdana" w:hAnsi="Verdana" w:cs="Arial"/>
          <w:sz w:val="16"/>
          <w:szCs w:val="16"/>
        </w:rPr>
        <w:t>[e]l Estado estará obligado a investigar y sancionar legalmente los delitos contra los derechos humanos cometidos por sus autoridades. Las acciones para sancionar los delitos de lesa humanidad, violaciones graves de los derechos humanos y los crímenes de guerra son imprescriptibles. Las violaciones de derechos humanos y los delitos de lesa humanidad serán investigados y juzgados por los tribunales ordinarios. Dichos delitos quedan excluidos de los beneficios que puedan conllevar su impunidad, incluidos el indulto y la amnistía”.</w:t>
      </w:r>
    </w:p>
  </w:footnote>
  <w:footnote w:id="171">
    <w:p w:rsidR="0078681A" w:rsidRPr="002B67FB" w:rsidRDefault="0078681A" w:rsidP="002B67FB">
      <w:pPr>
        <w:tabs>
          <w:tab w:val="left" w:pos="567"/>
        </w:tabs>
        <w:spacing w:after="120" w:line="240" w:lineRule="auto"/>
        <w:rPr>
          <w:bCs/>
          <w:iCs/>
          <w:sz w:val="16"/>
          <w:szCs w:val="16"/>
          <w:lang w:val="pt-BR" w:eastAsia="es-ES_tradnl"/>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 xml:space="preserve">Cfr. </w:t>
      </w:r>
      <w:r w:rsidRPr="002B67FB">
        <w:rPr>
          <w:rStyle w:val="Strong"/>
          <w:b w:val="0"/>
          <w:i/>
          <w:sz w:val="16"/>
          <w:szCs w:val="16"/>
          <w:shd w:val="clear" w:color="auto" w:fill="FFFFFF"/>
          <w:lang w:val="es-AR"/>
        </w:rPr>
        <w:t>Caso Zambrano Vélez y otros Vs. Ecuador, supra</w:t>
      </w:r>
      <w:r w:rsidRPr="002B67FB">
        <w:rPr>
          <w:sz w:val="16"/>
          <w:szCs w:val="16"/>
          <w:lang w:val="es-AR"/>
        </w:rPr>
        <w:t>, párr. 88</w:t>
      </w:r>
      <w:r w:rsidRPr="002B67FB">
        <w:rPr>
          <w:bCs/>
          <w:iCs/>
          <w:sz w:val="16"/>
          <w:szCs w:val="16"/>
          <w:lang w:val="es-GT" w:eastAsia="es-ES_tradnl"/>
        </w:rPr>
        <w:t xml:space="preserve">, y </w:t>
      </w:r>
      <w:r w:rsidRPr="002B67FB">
        <w:rPr>
          <w:bCs/>
          <w:i/>
          <w:iCs/>
          <w:sz w:val="16"/>
          <w:szCs w:val="16"/>
          <w:lang w:val="pt-BR" w:eastAsia="es-ES_tradnl"/>
        </w:rPr>
        <w:t>Caso Valencia Hinojosa y otra Vs. Ecuador</w:t>
      </w:r>
      <w:r w:rsidRPr="002B67FB">
        <w:rPr>
          <w:sz w:val="16"/>
          <w:szCs w:val="16"/>
          <w:lang w:val="es-AR"/>
        </w:rPr>
        <w:t xml:space="preserve">, </w:t>
      </w:r>
      <w:r w:rsidRPr="002B67FB">
        <w:rPr>
          <w:i/>
          <w:sz w:val="16"/>
          <w:szCs w:val="16"/>
          <w:lang w:val="es-AR"/>
        </w:rPr>
        <w:t>supra</w:t>
      </w:r>
      <w:r w:rsidRPr="002B67FB">
        <w:rPr>
          <w:bCs/>
          <w:iCs/>
          <w:sz w:val="16"/>
          <w:szCs w:val="16"/>
          <w:lang w:val="pt-BR" w:eastAsia="es-ES_tradnl"/>
        </w:rPr>
        <w:t>, párr. 131.</w:t>
      </w:r>
    </w:p>
  </w:footnote>
  <w:footnote w:id="172">
    <w:p w:rsidR="0078681A" w:rsidRPr="002B67FB" w:rsidRDefault="0078681A" w:rsidP="002B67FB">
      <w:pPr>
        <w:tabs>
          <w:tab w:val="left" w:pos="567"/>
        </w:tabs>
        <w:spacing w:after="120" w:line="240" w:lineRule="auto"/>
        <w:rPr>
          <w:rFonts w:cs="Arial"/>
          <w:bCs/>
          <w:noProof/>
          <w:sz w:val="16"/>
          <w:szCs w:val="16"/>
          <w:lang w:val="pt-BR"/>
        </w:rPr>
      </w:pPr>
      <w:r w:rsidRPr="002B67FB">
        <w:rPr>
          <w:rStyle w:val="FootnoteReference"/>
          <w:sz w:val="16"/>
          <w:szCs w:val="16"/>
        </w:rPr>
        <w:footnoteRef/>
      </w:r>
      <w:r w:rsidRPr="002B67FB">
        <w:rPr>
          <w:sz w:val="16"/>
          <w:szCs w:val="16"/>
        </w:rPr>
        <w:tab/>
      </w:r>
      <w:r w:rsidRPr="002B67FB">
        <w:rPr>
          <w:rFonts w:cs="Arial"/>
          <w:i/>
          <w:sz w:val="16"/>
          <w:szCs w:val="16"/>
          <w:lang w:val="es-AR"/>
        </w:rPr>
        <w:t xml:space="preserve">Cfr. </w:t>
      </w:r>
      <w:r w:rsidRPr="002B67FB">
        <w:rPr>
          <w:rFonts w:cs="Arial"/>
          <w:i/>
          <w:sz w:val="16"/>
          <w:szCs w:val="16"/>
          <w:lang w:val="pt-BR"/>
        </w:rPr>
        <w:t>Caso Velásquez Rodríguez Vs. Honduras. Fondo, supra</w:t>
      </w:r>
      <w:r w:rsidRPr="002B67FB">
        <w:rPr>
          <w:rFonts w:cs="Arial"/>
          <w:sz w:val="16"/>
          <w:szCs w:val="16"/>
          <w:lang w:val="es-AR"/>
        </w:rPr>
        <w:t>, párr. 177</w:t>
      </w:r>
      <w:r w:rsidRPr="002B67FB">
        <w:rPr>
          <w:rFonts w:cs="Arial"/>
          <w:bCs/>
          <w:iCs/>
          <w:sz w:val="16"/>
          <w:szCs w:val="16"/>
          <w:lang w:val="es-GT" w:eastAsia="es-ES_tradnl"/>
        </w:rPr>
        <w:t xml:space="preserve">, y </w:t>
      </w:r>
      <w:r w:rsidRPr="002B67FB">
        <w:rPr>
          <w:rFonts w:cs="Arial"/>
          <w:bCs/>
          <w:i/>
          <w:noProof/>
          <w:sz w:val="16"/>
          <w:szCs w:val="16"/>
          <w:lang w:val="pt-BR"/>
        </w:rPr>
        <w:t>Caso Valencia Hinojosa y otra Vs. Ecuador</w:t>
      </w:r>
      <w:r w:rsidRPr="002B67FB">
        <w:rPr>
          <w:sz w:val="16"/>
          <w:szCs w:val="16"/>
          <w:lang w:val="es-AR"/>
        </w:rPr>
        <w:t xml:space="preserve">, </w:t>
      </w:r>
      <w:r w:rsidRPr="002B67FB">
        <w:rPr>
          <w:i/>
          <w:sz w:val="16"/>
          <w:szCs w:val="16"/>
          <w:lang w:val="es-AR"/>
        </w:rPr>
        <w:t>supra</w:t>
      </w:r>
      <w:r w:rsidRPr="002B67FB">
        <w:rPr>
          <w:rFonts w:cs="Arial"/>
          <w:bCs/>
          <w:noProof/>
          <w:sz w:val="16"/>
          <w:szCs w:val="16"/>
          <w:lang w:val="pt-BR"/>
        </w:rPr>
        <w:t>, párr.</w:t>
      </w:r>
      <w:r w:rsidR="00AD23EF">
        <w:rPr>
          <w:rFonts w:cs="Arial"/>
          <w:bCs/>
          <w:noProof/>
          <w:sz w:val="16"/>
          <w:szCs w:val="16"/>
          <w:lang w:val="pt-BR"/>
        </w:rPr>
        <w:t xml:space="preserve"> </w:t>
      </w:r>
      <w:r w:rsidRPr="002B67FB">
        <w:rPr>
          <w:rFonts w:cs="Arial"/>
          <w:bCs/>
          <w:noProof/>
          <w:sz w:val="16"/>
          <w:szCs w:val="16"/>
          <w:lang w:val="pt-BR"/>
        </w:rPr>
        <w:t>131.</w:t>
      </w:r>
    </w:p>
  </w:footnote>
  <w:footnote w:id="173">
    <w:p w:rsidR="0078681A" w:rsidRPr="002B67FB" w:rsidRDefault="0078681A" w:rsidP="002B67FB">
      <w:pPr>
        <w:tabs>
          <w:tab w:val="left" w:pos="567"/>
        </w:tabs>
        <w:spacing w:after="120" w:line="240" w:lineRule="auto"/>
        <w:rPr>
          <w:sz w:val="16"/>
          <w:szCs w:val="16"/>
          <w:lang w:val="es-ES"/>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ES"/>
        </w:rPr>
        <w:t>Cfr.</w:t>
      </w:r>
      <w:r w:rsidRPr="002B67FB">
        <w:rPr>
          <w:sz w:val="16"/>
          <w:szCs w:val="16"/>
          <w:lang w:val="es-ES"/>
        </w:rPr>
        <w:t xml:space="preserve"> </w:t>
      </w:r>
      <w:r w:rsidRPr="002B67FB">
        <w:rPr>
          <w:i/>
          <w:sz w:val="16"/>
          <w:szCs w:val="16"/>
          <w:lang w:val="es-MX"/>
        </w:rPr>
        <w:t xml:space="preserve">Caso Durand y Ugarte Vs. Perú. Fondo. </w:t>
      </w:r>
      <w:r w:rsidRPr="002B67FB">
        <w:rPr>
          <w:sz w:val="16"/>
          <w:szCs w:val="16"/>
          <w:lang w:val="pt-BR"/>
        </w:rPr>
        <w:t xml:space="preserve">Sentencia de 16 de agosto de 2000. Serie C No. 68, párr. </w:t>
      </w:r>
      <w:r w:rsidRPr="002B67FB">
        <w:rPr>
          <w:sz w:val="16"/>
          <w:szCs w:val="16"/>
          <w:lang w:val="es-ES"/>
        </w:rPr>
        <w:t xml:space="preserve">130, y </w:t>
      </w:r>
      <w:r w:rsidRPr="002B67FB">
        <w:rPr>
          <w:i/>
          <w:sz w:val="16"/>
          <w:szCs w:val="16"/>
          <w:lang w:val="pt-BR"/>
        </w:rPr>
        <w:t xml:space="preserve">Caso Nadege Dorzema y otros Vs. República Dominicana. Fondo, Reparaciones y Costas. </w:t>
      </w:r>
      <w:r w:rsidRPr="002B67FB">
        <w:rPr>
          <w:sz w:val="16"/>
          <w:szCs w:val="16"/>
          <w:lang w:val="pt-BR"/>
        </w:rPr>
        <w:t>Sentencia de 24 de octubre de 2012. Serie C No. 251, párr. 199.</w:t>
      </w:r>
    </w:p>
  </w:footnote>
  <w:footnote w:id="174">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rFonts w:cs="Courier New"/>
          <w:i/>
          <w:noProof/>
          <w:sz w:val="16"/>
          <w:szCs w:val="16"/>
          <w:lang w:val="es-AR"/>
        </w:rPr>
        <w:t>Cfr. Caso Velásquez Rodríguez Vs. Honduras. Fondo,</w:t>
      </w:r>
      <w:r w:rsidRPr="002B67FB">
        <w:rPr>
          <w:rFonts w:cs="Arial"/>
          <w:i/>
          <w:sz w:val="16"/>
          <w:szCs w:val="16"/>
          <w:lang w:val="pt-BR"/>
        </w:rPr>
        <w:t xml:space="preserve"> supra</w:t>
      </w:r>
      <w:r w:rsidRPr="002B67FB">
        <w:rPr>
          <w:rFonts w:cs="Courier New"/>
          <w:noProof/>
          <w:sz w:val="16"/>
          <w:szCs w:val="16"/>
          <w:lang w:val="es-AR"/>
        </w:rPr>
        <w:t>, párr. 177</w:t>
      </w:r>
      <w:r w:rsidRPr="002B67FB">
        <w:rPr>
          <w:rFonts w:cs="Courier New"/>
          <w:i/>
          <w:noProof/>
          <w:sz w:val="16"/>
          <w:szCs w:val="16"/>
          <w:lang w:val="es-AR"/>
        </w:rPr>
        <w:t xml:space="preserve">, </w:t>
      </w:r>
      <w:r w:rsidRPr="002B67FB">
        <w:rPr>
          <w:sz w:val="16"/>
          <w:szCs w:val="16"/>
        </w:rPr>
        <w:t xml:space="preserve">y </w:t>
      </w:r>
      <w:r w:rsidRPr="002B67FB">
        <w:rPr>
          <w:i/>
          <w:sz w:val="16"/>
          <w:szCs w:val="16"/>
          <w:lang w:val="es-AR"/>
        </w:rPr>
        <w:t>Caso Acosta y otros Vs. Nicaragua, supra</w:t>
      </w:r>
      <w:r w:rsidRPr="002B67FB">
        <w:rPr>
          <w:sz w:val="16"/>
          <w:szCs w:val="16"/>
          <w:lang w:val="es-AR"/>
        </w:rPr>
        <w:t>, párr. 132.</w:t>
      </w:r>
    </w:p>
  </w:footnote>
  <w:footnote w:id="175">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rFonts w:cs="Courier New"/>
          <w:i/>
          <w:noProof/>
          <w:sz w:val="16"/>
          <w:szCs w:val="16"/>
          <w:lang w:val="es-AR"/>
        </w:rPr>
        <w:t xml:space="preserve">Cfr. Caso Velásquez Rodríguez Vs. Honduras. Fondo, </w:t>
      </w:r>
      <w:r w:rsidRPr="002B67FB">
        <w:rPr>
          <w:rFonts w:cs="Arial"/>
          <w:i/>
          <w:sz w:val="16"/>
          <w:szCs w:val="16"/>
          <w:lang w:val="pt-BR"/>
        </w:rPr>
        <w:t>supra</w:t>
      </w:r>
      <w:r w:rsidRPr="002B67FB">
        <w:rPr>
          <w:rFonts w:cs="Courier New"/>
          <w:noProof/>
          <w:sz w:val="16"/>
          <w:szCs w:val="16"/>
          <w:lang w:val="es-AR"/>
        </w:rPr>
        <w:t>, párr. 177</w:t>
      </w:r>
      <w:r w:rsidRPr="002B67FB">
        <w:rPr>
          <w:rFonts w:cs="Courier New"/>
          <w:i/>
          <w:noProof/>
          <w:sz w:val="16"/>
          <w:szCs w:val="16"/>
          <w:lang w:val="es-AR"/>
        </w:rPr>
        <w:t xml:space="preserve">, </w:t>
      </w:r>
      <w:r w:rsidRPr="002B67FB">
        <w:rPr>
          <w:sz w:val="16"/>
          <w:szCs w:val="16"/>
        </w:rPr>
        <w:t xml:space="preserve">y </w:t>
      </w:r>
      <w:r w:rsidRPr="002B67FB">
        <w:rPr>
          <w:i/>
          <w:sz w:val="16"/>
          <w:szCs w:val="16"/>
          <w:lang w:val="es-AR"/>
        </w:rPr>
        <w:t>Caso Acosta y otros Vs. Nicaragua, supra</w:t>
      </w:r>
      <w:r w:rsidRPr="002B67FB">
        <w:rPr>
          <w:sz w:val="16"/>
          <w:szCs w:val="16"/>
          <w:lang w:val="es-AR"/>
        </w:rPr>
        <w:t>, párr. 132.</w:t>
      </w:r>
    </w:p>
  </w:footnote>
  <w:footnote w:id="176">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Caso Myrna Mack Chang Vs. Guatemala, supra</w:t>
      </w:r>
      <w:r w:rsidRPr="002B67FB">
        <w:rPr>
          <w:sz w:val="16"/>
          <w:szCs w:val="16"/>
        </w:rPr>
        <w:t xml:space="preserve">, párr. 211, y </w:t>
      </w:r>
      <w:r w:rsidRPr="002B67FB">
        <w:rPr>
          <w:rFonts w:cs="Courier New"/>
          <w:i/>
          <w:noProof/>
          <w:sz w:val="16"/>
          <w:szCs w:val="16"/>
        </w:rPr>
        <w:t xml:space="preserve">Caso García Ibarra y otros Vs. Ecuador. Excepciones Preliminares, Fondo, Reparaciones y Costas. </w:t>
      </w:r>
      <w:r w:rsidRPr="002B67FB">
        <w:rPr>
          <w:rFonts w:cs="Courier New"/>
          <w:noProof/>
          <w:sz w:val="16"/>
          <w:szCs w:val="16"/>
        </w:rPr>
        <w:t>Sentencia de 17 de noviembre de 2015. Serie C No. 306</w:t>
      </w:r>
      <w:r w:rsidRPr="002B67FB">
        <w:rPr>
          <w:sz w:val="16"/>
          <w:szCs w:val="16"/>
        </w:rPr>
        <w:t>, párr. 132.</w:t>
      </w:r>
    </w:p>
  </w:footnote>
  <w:footnote w:id="177">
    <w:p w:rsidR="0078681A" w:rsidRPr="002B67FB" w:rsidRDefault="0078681A" w:rsidP="002B67FB">
      <w:pPr>
        <w:tabs>
          <w:tab w:val="left" w:pos="567"/>
        </w:tabs>
        <w:spacing w:after="120" w:line="240" w:lineRule="auto"/>
        <w:rPr>
          <w:sz w:val="16"/>
          <w:szCs w:val="16"/>
          <w:lang w:val="es-AR"/>
        </w:rPr>
      </w:pPr>
      <w:r w:rsidRPr="002B67FB">
        <w:rPr>
          <w:rStyle w:val="FootnoteReference"/>
          <w:sz w:val="16"/>
          <w:szCs w:val="16"/>
          <w:lang w:val="es-ES"/>
        </w:rPr>
        <w:footnoteRef/>
      </w:r>
      <w:r w:rsidRPr="002B67FB">
        <w:rPr>
          <w:sz w:val="16"/>
          <w:szCs w:val="16"/>
          <w:lang w:val="es-ES"/>
        </w:rPr>
        <w:t xml:space="preserve"> </w:t>
      </w:r>
      <w:r w:rsidRPr="002B67FB">
        <w:rPr>
          <w:sz w:val="16"/>
          <w:szCs w:val="16"/>
          <w:lang w:val="es-ES"/>
        </w:rPr>
        <w:tab/>
      </w:r>
      <w:r w:rsidRPr="002B67FB">
        <w:rPr>
          <w:i/>
          <w:sz w:val="16"/>
          <w:szCs w:val="16"/>
          <w:lang w:val="es-ES"/>
        </w:rPr>
        <w:t>Cfr.</w:t>
      </w:r>
      <w:r w:rsidRPr="002B67FB">
        <w:rPr>
          <w:sz w:val="16"/>
          <w:szCs w:val="16"/>
          <w:lang w:val="es-ES"/>
        </w:rPr>
        <w:t xml:space="preserve"> </w:t>
      </w:r>
      <w:r w:rsidRPr="002B67FB">
        <w:rPr>
          <w:i/>
          <w:sz w:val="16"/>
          <w:szCs w:val="16"/>
          <w:lang w:val="es-ES"/>
        </w:rPr>
        <w:t>Caso Durand y Ugarte Vs. Perú</w:t>
      </w:r>
      <w:r w:rsidRPr="002B67FB">
        <w:rPr>
          <w:sz w:val="16"/>
          <w:szCs w:val="16"/>
          <w:lang w:val="es-ES"/>
        </w:rPr>
        <w:t xml:space="preserve">. </w:t>
      </w:r>
      <w:r w:rsidRPr="002B67FB">
        <w:rPr>
          <w:i/>
          <w:sz w:val="16"/>
          <w:szCs w:val="16"/>
          <w:lang w:val="es-ES"/>
        </w:rPr>
        <w:t>Fondo</w:t>
      </w:r>
      <w:r w:rsidRPr="002B67FB">
        <w:rPr>
          <w:sz w:val="16"/>
          <w:szCs w:val="16"/>
          <w:lang w:val="es-AR"/>
        </w:rPr>
        <w:t xml:space="preserve">, </w:t>
      </w:r>
      <w:r w:rsidRPr="002B67FB">
        <w:rPr>
          <w:i/>
          <w:sz w:val="16"/>
          <w:szCs w:val="16"/>
          <w:lang w:val="es-AR"/>
        </w:rPr>
        <w:t>supra</w:t>
      </w:r>
      <w:r w:rsidRPr="002B67FB">
        <w:rPr>
          <w:sz w:val="16"/>
          <w:szCs w:val="16"/>
          <w:lang w:val="es-ES"/>
        </w:rPr>
        <w:t xml:space="preserve">, párr. 117, y </w:t>
      </w:r>
      <w:r w:rsidRPr="002B67FB">
        <w:rPr>
          <w:i/>
          <w:sz w:val="16"/>
          <w:szCs w:val="16"/>
          <w:lang w:val="pt-BR"/>
        </w:rPr>
        <w:t>Caso Tenorio Roca y otros Vs. Perú. Excepciones Preliminares, Fondo, Reparaciones y Costas</w:t>
      </w:r>
      <w:r w:rsidRPr="002B67FB">
        <w:rPr>
          <w:i/>
          <w:sz w:val="16"/>
          <w:szCs w:val="16"/>
          <w:lang w:val="es-ES"/>
        </w:rPr>
        <w:t xml:space="preserve">. </w:t>
      </w:r>
      <w:r w:rsidRPr="002B67FB">
        <w:rPr>
          <w:sz w:val="16"/>
          <w:szCs w:val="16"/>
          <w:lang w:val="es-ES"/>
        </w:rPr>
        <w:t>Sentencia de 22 de junio de 2016. Serie C No. 314, párr.</w:t>
      </w:r>
      <w:r w:rsidR="005A55C8">
        <w:rPr>
          <w:sz w:val="16"/>
          <w:szCs w:val="16"/>
          <w:lang w:val="es-ES"/>
        </w:rPr>
        <w:t xml:space="preserve"> </w:t>
      </w:r>
      <w:r w:rsidRPr="002B67FB">
        <w:rPr>
          <w:sz w:val="16"/>
          <w:szCs w:val="16"/>
          <w:lang w:val="es-ES"/>
        </w:rPr>
        <w:t>194.</w:t>
      </w:r>
    </w:p>
  </w:footnote>
  <w:footnote w:id="178">
    <w:p w:rsidR="0078681A" w:rsidRPr="002B67FB" w:rsidRDefault="0078681A" w:rsidP="002B67FB">
      <w:pPr>
        <w:tabs>
          <w:tab w:val="left" w:pos="567"/>
        </w:tabs>
        <w:spacing w:after="120" w:line="240" w:lineRule="auto"/>
        <w:rPr>
          <w:sz w:val="16"/>
          <w:szCs w:val="16"/>
          <w:lang w:val="es-AR"/>
        </w:rPr>
      </w:pPr>
      <w:r w:rsidRPr="002B67FB">
        <w:rPr>
          <w:rStyle w:val="FootnoteReference"/>
          <w:sz w:val="16"/>
          <w:szCs w:val="16"/>
          <w:lang w:val="es-ES"/>
        </w:rPr>
        <w:footnoteRef/>
      </w:r>
      <w:r w:rsidRPr="002B67FB">
        <w:rPr>
          <w:sz w:val="16"/>
          <w:szCs w:val="16"/>
          <w:lang w:val="es-ES"/>
        </w:rPr>
        <w:t xml:space="preserve"> </w:t>
      </w:r>
      <w:r w:rsidRPr="002B67FB">
        <w:rPr>
          <w:sz w:val="16"/>
          <w:szCs w:val="16"/>
          <w:lang w:val="es-ES"/>
        </w:rPr>
        <w:tab/>
      </w:r>
      <w:r w:rsidRPr="002B67FB">
        <w:rPr>
          <w:i/>
          <w:iCs/>
          <w:sz w:val="16"/>
          <w:szCs w:val="16"/>
          <w:lang w:val="es-ES"/>
        </w:rPr>
        <w:t xml:space="preserve">Cfr. </w:t>
      </w:r>
      <w:r w:rsidRPr="002B67FB">
        <w:rPr>
          <w:i/>
          <w:sz w:val="16"/>
          <w:szCs w:val="16"/>
          <w:lang w:val="es-ES"/>
        </w:rPr>
        <w:t>Caso Castillo Petruzzi y otros Vs. Perú. Fondo, Reparaciones y Costas.</w:t>
      </w:r>
      <w:r w:rsidRPr="002B67FB">
        <w:rPr>
          <w:sz w:val="16"/>
          <w:szCs w:val="16"/>
          <w:lang w:val="es-ES"/>
        </w:rPr>
        <w:t xml:space="preserve"> Sentencia de 30 de mayo de 1999. Serie C No. 52</w:t>
      </w:r>
      <w:r w:rsidRPr="002B67FB">
        <w:rPr>
          <w:iCs/>
          <w:sz w:val="16"/>
          <w:szCs w:val="16"/>
          <w:lang w:val="es-ES"/>
        </w:rPr>
        <w:t xml:space="preserve">, párr. 128, y </w:t>
      </w:r>
      <w:r w:rsidRPr="002B67FB">
        <w:rPr>
          <w:i/>
          <w:sz w:val="16"/>
          <w:szCs w:val="16"/>
          <w:lang w:val="pt-BR"/>
        </w:rPr>
        <w:t>Caso Tenorio Roca y otros Vs. Perú</w:t>
      </w:r>
      <w:r w:rsidRPr="002B67FB">
        <w:rPr>
          <w:sz w:val="16"/>
          <w:szCs w:val="16"/>
          <w:lang w:val="es-AR"/>
        </w:rPr>
        <w:t xml:space="preserve">, </w:t>
      </w:r>
      <w:r w:rsidRPr="002B67FB">
        <w:rPr>
          <w:i/>
          <w:sz w:val="16"/>
          <w:szCs w:val="16"/>
          <w:lang w:val="es-AR"/>
        </w:rPr>
        <w:t>supra</w:t>
      </w:r>
      <w:r w:rsidRPr="002B67FB">
        <w:rPr>
          <w:sz w:val="16"/>
          <w:szCs w:val="16"/>
          <w:lang w:val="es-ES"/>
        </w:rPr>
        <w:t>, párr. 194.</w:t>
      </w:r>
    </w:p>
  </w:footnote>
  <w:footnote w:id="179">
    <w:p w:rsidR="0078681A" w:rsidRPr="002B67FB" w:rsidRDefault="0078681A" w:rsidP="002B67FB">
      <w:pPr>
        <w:tabs>
          <w:tab w:val="left" w:pos="567"/>
        </w:tabs>
        <w:autoSpaceDE w:val="0"/>
        <w:autoSpaceDN w:val="0"/>
        <w:spacing w:after="120" w:line="240" w:lineRule="auto"/>
        <w:rPr>
          <w:sz w:val="16"/>
          <w:szCs w:val="16"/>
          <w:lang w:val="es-ES"/>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Cfr.</w:t>
      </w:r>
      <w:r w:rsidRPr="002B67FB">
        <w:rPr>
          <w:sz w:val="16"/>
          <w:szCs w:val="16"/>
          <w:lang w:val="es-AR"/>
        </w:rPr>
        <w:t xml:space="preserve"> </w:t>
      </w:r>
      <w:r w:rsidRPr="002B67FB">
        <w:rPr>
          <w:i/>
          <w:sz w:val="16"/>
          <w:szCs w:val="16"/>
          <w:lang w:val="es-AR"/>
        </w:rPr>
        <w:t>Caso Radilla Pacheco Vs. México</w:t>
      </w:r>
      <w:r w:rsidRPr="002B67FB">
        <w:rPr>
          <w:sz w:val="16"/>
          <w:szCs w:val="16"/>
          <w:lang w:val="es-AR"/>
        </w:rPr>
        <w:t xml:space="preserve">. </w:t>
      </w:r>
      <w:r w:rsidRPr="002B67FB">
        <w:rPr>
          <w:rStyle w:val="Strong"/>
          <w:b w:val="0"/>
          <w:i/>
          <w:color w:val="000000"/>
          <w:sz w:val="16"/>
          <w:szCs w:val="16"/>
          <w:shd w:val="clear" w:color="auto" w:fill="FFFFFF"/>
        </w:rPr>
        <w:t>Excepciones Preliminares, Fondo, Reparaciones y Costas.</w:t>
      </w:r>
      <w:r w:rsidRPr="002B67FB">
        <w:rPr>
          <w:rStyle w:val="Strong"/>
          <w:b w:val="0"/>
          <w:color w:val="000000"/>
          <w:sz w:val="16"/>
          <w:szCs w:val="16"/>
          <w:shd w:val="clear" w:color="auto" w:fill="FFFFFF"/>
        </w:rPr>
        <w:t xml:space="preserve"> Sentencia de 23 de noviembre de 2009. Serie C No. 209, </w:t>
      </w:r>
      <w:r w:rsidRPr="002B67FB">
        <w:rPr>
          <w:sz w:val="16"/>
          <w:szCs w:val="16"/>
          <w:lang w:val="es-AR"/>
        </w:rPr>
        <w:t xml:space="preserve">párr. 274, y </w:t>
      </w:r>
      <w:r w:rsidRPr="002B67FB">
        <w:rPr>
          <w:rFonts w:cs="Courier New"/>
          <w:i/>
          <w:noProof/>
          <w:sz w:val="16"/>
          <w:szCs w:val="16"/>
          <w:lang w:val="es-AR"/>
        </w:rPr>
        <w:t>Caso Quispialaya Vilcapoma Vs. Perú</w:t>
      </w:r>
      <w:r w:rsidRPr="002B67FB">
        <w:rPr>
          <w:sz w:val="16"/>
          <w:szCs w:val="16"/>
          <w:lang w:val="es-AR"/>
        </w:rPr>
        <w:t xml:space="preserve">, </w:t>
      </w:r>
      <w:r w:rsidRPr="002B67FB">
        <w:rPr>
          <w:i/>
          <w:sz w:val="16"/>
          <w:szCs w:val="16"/>
          <w:lang w:val="es-AR"/>
        </w:rPr>
        <w:t>supra</w:t>
      </w:r>
      <w:r w:rsidRPr="002B67FB">
        <w:rPr>
          <w:rFonts w:cs="Courier New"/>
          <w:noProof/>
          <w:sz w:val="16"/>
          <w:szCs w:val="16"/>
          <w:lang w:val="es-AR"/>
        </w:rPr>
        <w:t xml:space="preserve">, </w:t>
      </w:r>
      <w:r w:rsidRPr="002B67FB">
        <w:rPr>
          <w:sz w:val="16"/>
          <w:szCs w:val="16"/>
          <w:lang w:val="es-ES"/>
        </w:rPr>
        <w:t>párr. 147.</w:t>
      </w:r>
    </w:p>
  </w:footnote>
  <w:footnote w:id="180">
    <w:p w:rsidR="0078681A" w:rsidRPr="002B67FB" w:rsidRDefault="0078681A" w:rsidP="002B67FB">
      <w:pPr>
        <w:tabs>
          <w:tab w:val="left" w:pos="567"/>
        </w:tabs>
        <w:autoSpaceDE w:val="0"/>
        <w:autoSpaceDN w:val="0"/>
        <w:spacing w:after="120" w:line="240" w:lineRule="auto"/>
        <w:rPr>
          <w:rFonts w:cs="Courier New"/>
          <w:noProof/>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Cfr.</w:t>
      </w:r>
      <w:r w:rsidRPr="002B67FB">
        <w:rPr>
          <w:sz w:val="16"/>
          <w:szCs w:val="16"/>
          <w:lang w:val="es-AR"/>
        </w:rPr>
        <w:t xml:space="preserve"> </w:t>
      </w:r>
      <w:r w:rsidRPr="002B67FB">
        <w:rPr>
          <w:i/>
          <w:sz w:val="16"/>
          <w:szCs w:val="16"/>
          <w:lang w:val="es-AR"/>
        </w:rPr>
        <w:t xml:space="preserve">Caso </w:t>
      </w:r>
      <w:r w:rsidRPr="002B67FB">
        <w:rPr>
          <w:bCs/>
          <w:i/>
          <w:sz w:val="16"/>
          <w:szCs w:val="16"/>
          <w:lang w:val="es-AR"/>
        </w:rPr>
        <w:t>Cantoral Benavides Vs. Perú. Fondo.</w:t>
      </w:r>
      <w:r w:rsidRPr="002B67FB">
        <w:rPr>
          <w:rFonts w:eastAsia="Calibri"/>
          <w:bCs/>
          <w:sz w:val="16"/>
          <w:szCs w:val="16"/>
          <w:shd w:val="clear" w:color="auto" w:fill="FFFFFF"/>
          <w:lang w:val="es-AR"/>
        </w:rPr>
        <w:t xml:space="preserve"> </w:t>
      </w:r>
      <w:r w:rsidRPr="002B67FB">
        <w:rPr>
          <w:bCs/>
          <w:sz w:val="16"/>
          <w:szCs w:val="16"/>
          <w:lang w:val="es-AR"/>
        </w:rPr>
        <w:t>Sentencia de 18 de agosto de 2000. Serie C No. 69</w:t>
      </w:r>
      <w:r w:rsidRPr="002B67FB">
        <w:rPr>
          <w:sz w:val="16"/>
          <w:szCs w:val="16"/>
          <w:lang w:val="es-AR"/>
        </w:rPr>
        <w:t xml:space="preserve">, párr. 112, y </w:t>
      </w:r>
      <w:r w:rsidRPr="002B67FB">
        <w:rPr>
          <w:rFonts w:cs="Courier New"/>
          <w:i/>
          <w:noProof/>
          <w:sz w:val="16"/>
          <w:szCs w:val="16"/>
          <w:lang w:val="es-AR"/>
        </w:rPr>
        <w:t>Caso Quispialaya Vilcapoma Vs. Perú</w:t>
      </w:r>
      <w:r w:rsidRPr="002B67FB">
        <w:rPr>
          <w:sz w:val="16"/>
          <w:szCs w:val="16"/>
          <w:lang w:val="es-AR"/>
        </w:rPr>
        <w:t xml:space="preserve">, </w:t>
      </w:r>
      <w:r w:rsidRPr="002B67FB">
        <w:rPr>
          <w:i/>
          <w:sz w:val="16"/>
          <w:szCs w:val="16"/>
          <w:lang w:val="es-AR"/>
        </w:rPr>
        <w:t>supra</w:t>
      </w:r>
      <w:r w:rsidRPr="002B67FB">
        <w:rPr>
          <w:rFonts w:cs="Courier New"/>
          <w:noProof/>
          <w:sz w:val="16"/>
          <w:szCs w:val="16"/>
        </w:rPr>
        <w:t xml:space="preserve">, </w:t>
      </w:r>
      <w:r w:rsidRPr="002B67FB">
        <w:rPr>
          <w:sz w:val="16"/>
          <w:szCs w:val="16"/>
          <w:lang w:val="es-ES"/>
        </w:rPr>
        <w:t>párr. 147.</w:t>
      </w:r>
    </w:p>
  </w:footnote>
  <w:footnote w:id="181">
    <w:p w:rsidR="0078681A" w:rsidRPr="002B67FB" w:rsidRDefault="0078681A" w:rsidP="002B67FB">
      <w:pPr>
        <w:pStyle w:val="FootnoteText"/>
        <w:tabs>
          <w:tab w:val="left" w:pos="567"/>
        </w:tabs>
        <w:spacing w:after="120"/>
        <w:rPr>
          <w:b/>
          <w:sz w:val="16"/>
          <w:szCs w:val="16"/>
          <w:lang w:val="es-ES"/>
        </w:rPr>
      </w:pPr>
      <w:r w:rsidRPr="002B67FB">
        <w:rPr>
          <w:rStyle w:val="FootnoteReference"/>
          <w:sz w:val="16"/>
          <w:szCs w:val="16"/>
          <w:lang w:val="es-ES"/>
        </w:rPr>
        <w:footnoteRef/>
      </w:r>
      <w:r w:rsidRPr="002B67FB">
        <w:rPr>
          <w:sz w:val="16"/>
          <w:szCs w:val="16"/>
          <w:lang w:val="es-ES"/>
        </w:rPr>
        <w:t xml:space="preserve"> </w:t>
      </w:r>
      <w:r w:rsidRPr="002B67FB">
        <w:rPr>
          <w:sz w:val="16"/>
          <w:szCs w:val="16"/>
          <w:lang w:val="es-ES"/>
        </w:rPr>
        <w:tab/>
      </w:r>
      <w:r w:rsidRPr="002B67FB">
        <w:rPr>
          <w:i/>
          <w:sz w:val="16"/>
          <w:szCs w:val="16"/>
          <w:lang w:val="es-ES"/>
        </w:rPr>
        <w:t>Cfr.</w:t>
      </w:r>
      <w:r w:rsidRPr="002B67FB">
        <w:rPr>
          <w:rFonts w:cs="Courier New"/>
          <w:i/>
          <w:noProof/>
          <w:sz w:val="16"/>
          <w:szCs w:val="16"/>
          <w:lang w:val="es-AR"/>
        </w:rPr>
        <w:t xml:space="preserve"> Caso La Cantuta Vs. Perú. Fondo, Reparaciones y Costas. </w:t>
      </w:r>
      <w:r w:rsidRPr="002B67FB">
        <w:rPr>
          <w:rFonts w:cs="Courier New"/>
          <w:noProof/>
          <w:sz w:val="16"/>
          <w:szCs w:val="16"/>
          <w:lang w:val="es-AR"/>
        </w:rPr>
        <w:t xml:space="preserve">Sentencia de 29 de noviembre de 2006. Serie C No. 162, párr. 142, y </w:t>
      </w:r>
      <w:r w:rsidRPr="002B67FB">
        <w:rPr>
          <w:rStyle w:val="Strong"/>
          <w:b w:val="0"/>
          <w:i/>
          <w:color w:val="000000"/>
          <w:sz w:val="16"/>
          <w:szCs w:val="16"/>
          <w:shd w:val="clear" w:color="auto" w:fill="FFFFFF"/>
          <w:lang w:val="es-CR"/>
        </w:rPr>
        <w:t>Caso Tenorio Roca y otros Vs. Perú</w:t>
      </w:r>
      <w:r w:rsidRPr="002B67FB">
        <w:rPr>
          <w:sz w:val="16"/>
          <w:szCs w:val="16"/>
          <w:lang w:val="es-AR"/>
        </w:rPr>
        <w:t xml:space="preserve">, </w:t>
      </w:r>
      <w:r w:rsidRPr="002B67FB">
        <w:rPr>
          <w:i/>
          <w:sz w:val="16"/>
          <w:szCs w:val="16"/>
          <w:lang w:val="es-AR"/>
        </w:rPr>
        <w:t>supra</w:t>
      </w:r>
      <w:r w:rsidRPr="002B67FB">
        <w:rPr>
          <w:rStyle w:val="Strong"/>
          <w:b w:val="0"/>
          <w:color w:val="000000"/>
          <w:sz w:val="16"/>
          <w:szCs w:val="16"/>
          <w:shd w:val="clear" w:color="auto" w:fill="FFFFFF"/>
          <w:lang w:val="es-CR"/>
        </w:rPr>
        <w:t>, párr. 194.</w:t>
      </w:r>
    </w:p>
  </w:footnote>
  <w:footnote w:id="182">
    <w:p w:rsidR="0078681A" w:rsidRPr="002B67FB" w:rsidRDefault="0078681A" w:rsidP="002B67FB">
      <w:pPr>
        <w:tabs>
          <w:tab w:val="left" w:pos="567"/>
          <w:tab w:val="left" w:pos="1350"/>
        </w:tabs>
        <w:spacing w:after="120" w:line="240" w:lineRule="auto"/>
        <w:rPr>
          <w:sz w:val="16"/>
          <w:szCs w:val="16"/>
          <w:lang w:val="es-ES"/>
        </w:rPr>
      </w:pPr>
      <w:r w:rsidRPr="002B67FB">
        <w:rPr>
          <w:rStyle w:val="FootnoteReference"/>
          <w:sz w:val="16"/>
          <w:szCs w:val="16"/>
        </w:rPr>
        <w:footnoteRef/>
      </w:r>
      <w:r w:rsidRPr="002B67FB">
        <w:rPr>
          <w:rStyle w:val="FootnoteReference"/>
          <w:sz w:val="16"/>
          <w:szCs w:val="16"/>
        </w:rPr>
        <w:t xml:space="preserve"> </w:t>
      </w:r>
      <w:r w:rsidRPr="002B67FB">
        <w:rPr>
          <w:sz w:val="16"/>
          <w:szCs w:val="16"/>
        </w:rPr>
        <w:tab/>
      </w:r>
      <w:r w:rsidRPr="002B67FB">
        <w:rPr>
          <w:bCs/>
          <w:i/>
          <w:sz w:val="16"/>
          <w:szCs w:val="16"/>
          <w:lang w:val="es-AR"/>
        </w:rPr>
        <w:t xml:space="preserve">Cfr. </w:t>
      </w:r>
      <w:r w:rsidRPr="002B67FB">
        <w:rPr>
          <w:rFonts w:cs="Courier New"/>
          <w:i/>
          <w:noProof/>
          <w:sz w:val="16"/>
          <w:szCs w:val="16"/>
          <w:lang w:val="es-AR"/>
        </w:rPr>
        <w:t>Caso Quispialaya Vilcapoma Vs. Perú</w:t>
      </w:r>
      <w:r w:rsidRPr="002B67FB">
        <w:rPr>
          <w:sz w:val="16"/>
          <w:szCs w:val="16"/>
          <w:lang w:val="es-AR"/>
        </w:rPr>
        <w:t xml:space="preserve">, </w:t>
      </w:r>
      <w:r w:rsidRPr="002B67FB">
        <w:rPr>
          <w:i/>
          <w:sz w:val="16"/>
          <w:szCs w:val="16"/>
          <w:lang w:val="es-AR"/>
        </w:rPr>
        <w:t>supra</w:t>
      </w:r>
      <w:r w:rsidRPr="002B67FB">
        <w:rPr>
          <w:rFonts w:cs="Courier New"/>
          <w:noProof/>
          <w:sz w:val="16"/>
          <w:szCs w:val="16"/>
          <w:lang w:val="es-AR"/>
        </w:rPr>
        <w:t xml:space="preserve">, </w:t>
      </w:r>
      <w:r w:rsidRPr="002B67FB">
        <w:rPr>
          <w:sz w:val="16"/>
          <w:szCs w:val="16"/>
          <w:lang w:val="es-ES"/>
        </w:rPr>
        <w:t>párr. 145.</w:t>
      </w:r>
    </w:p>
  </w:footnote>
  <w:footnote w:id="183">
    <w:p w:rsidR="0078681A" w:rsidRPr="002B67FB" w:rsidRDefault="0078681A" w:rsidP="002B67FB">
      <w:pPr>
        <w:tabs>
          <w:tab w:val="left" w:pos="567"/>
        </w:tabs>
        <w:spacing w:after="120" w:line="240" w:lineRule="auto"/>
        <w:rPr>
          <w:bCs/>
          <w:i/>
          <w:sz w:val="16"/>
          <w:szCs w:val="16"/>
          <w:shd w:val="clear" w:color="auto" w:fill="FFFFFF"/>
          <w:lang w:val="pt-BR"/>
        </w:rPr>
      </w:pPr>
      <w:r w:rsidRPr="002B67FB">
        <w:rPr>
          <w:rStyle w:val="FootnoteReference"/>
          <w:sz w:val="16"/>
          <w:szCs w:val="16"/>
        </w:rPr>
        <w:footnoteRef/>
      </w:r>
      <w:r w:rsidRPr="002B67FB">
        <w:rPr>
          <w:rStyle w:val="Strong"/>
          <w:b w:val="0"/>
          <w:i/>
          <w:sz w:val="16"/>
          <w:szCs w:val="16"/>
          <w:shd w:val="clear" w:color="auto" w:fill="FFFFFF"/>
          <w:lang w:val="es-MX"/>
        </w:rPr>
        <w:t xml:space="preserve"> </w:t>
      </w:r>
      <w:r w:rsidRPr="002B67FB">
        <w:rPr>
          <w:rStyle w:val="Strong"/>
          <w:b w:val="0"/>
          <w:i/>
          <w:sz w:val="16"/>
          <w:szCs w:val="16"/>
          <w:shd w:val="clear" w:color="auto" w:fill="FFFFFF"/>
          <w:lang w:val="es-MX"/>
        </w:rPr>
        <w:tab/>
        <w:t xml:space="preserve">Cfr. </w:t>
      </w:r>
      <w:r w:rsidRPr="002B67FB">
        <w:rPr>
          <w:rFonts w:cs="Courier New"/>
          <w:i/>
          <w:noProof/>
          <w:sz w:val="16"/>
          <w:szCs w:val="16"/>
          <w:lang w:val="es-AR"/>
        </w:rPr>
        <w:t>Caso Quispialaya Vilcapoma Vs. Perú</w:t>
      </w:r>
      <w:r w:rsidRPr="002B67FB">
        <w:rPr>
          <w:sz w:val="16"/>
          <w:szCs w:val="16"/>
          <w:lang w:val="es-AR"/>
        </w:rPr>
        <w:t xml:space="preserve">, </w:t>
      </w:r>
      <w:r w:rsidRPr="002B67FB">
        <w:rPr>
          <w:i/>
          <w:sz w:val="16"/>
          <w:szCs w:val="16"/>
          <w:lang w:val="es-AR"/>
        </w:rPr>
        <w:t>supra</w:t>
      </w:r>
      <w:r w:rsidRPr="002B67FB">
        <w:rPr>
          <w:sz w:val="16"/>
          <w:szCs w:val="16"/>
          <w:lang w:val="es-ES"/>
        </w:rPr>
        <w:t>, párr. 147</w:t>
      </w:r>
      <w:r w:rsidRPr="002B67FB">
        <w:rPr>
          <w:bCs/>
          <w:sz w:val="16"/>
          <w:szCs w:val="16"/>
          <w:lang w:val="es-ES"/>
        </w:rPr>
        <w:t>.</w:t>
      </w:r>
    </w:p>
  </w:footnote>
  <w:footnote w:id="184">
    <w:p w:rsidR="0078681A" w:rsidRPr="002B67FB" w:rsidRDefault="0078681A" w:rsidP="002B67FB">
      <w:pPr>
        <w:tabs>
          <w:tab w:val="left" w:pos="567"/>
        </w:tabs>
        <w:spacing w:after="120" w:line="240" w:lineRule="auto"/>
        <w:rPr>
          <w:b/>
          <w:sz w:val="16"/>
          <w:szCs w:val="16"/>
          <w:lang w:val="es-ES"/>
        </w:rPr>
      </w:pPr>
      <w:r w:rsidRPr="002B67FB">
        <w:rPr>
          <w:rStyle w:val="FootnoteReference"/>
          <w:sz w:val="16"/>
          <w:szCs w:val="16"/>
        </w:rPr>
        <w:footnoteRef/>
      </w:r>
      <w:r w:rsidRPr="002B67FB">
        <w:rPr>
          <w:sz w:val="16"/>
          <w:szCs w:val="16"/>
        </w:rPr>
        <w:t xml:space="preserve"> </w:t>
      </w:r>
      <w:r w:rsidRPr="002B67FB">
        <w:rPr>
          <w:sz w:val="16"/>
          <w:szCs w:val="16"/>
        </w:rPr>
        <w:tab/>
      </w:r>
      <w:r w:rsidRPr="002B67FB">
        <w:rPr>
          <w:rStyle w:val="Strong"/>
          <w:b w:val="0"/>
          <w:i/>
          <w:sz w:val="16"/>
          <w:szCs w:val="16"/>
          <w:shd w:val="clear" w:color="auto" w:fill="FFFFFF"/>
          <w:lang w:val="es-MX"/>
        </w:rPr>
        <w:t xml:space="preserve">Cfr. </w:t>
      </w:r>
      <w:r w:rsidRPr="002B67FB">
        <w:rPr>
          <w:rFonts w:cs="Courier New"/>
          <w:i/>
          <w:noProof/>
          <w:sz w:val="16"/>
          <w:szCs w:val="16"/>
          <w:lang w:val="es-AR"/>
        </w:rPr>
        <w:t>Caso Durand y Ugarte Vs. Perú. Fondo</w:t>
      </w:r>
      <w:r w:rsidRPr="002B67FB">
        <w:rPr>
          <w:sz w:val="16"/>
          <w:szCs w:val="16"/>
          <w:lang w:val="es-AR"/>
        </w:rPr>
        <w:t xml:space="preserve">, </w:t>
      </w:r>
      <w:r w:rsidRPr="002B67FB">
        <w:rPr>
          <w:i/>
          <w:sz w:val="16"/>
          <w:szCs w:val="16"/>
          <w:lang w:val="es-AR"/>
        </w:rPr>
        <w:t>supra</w:t>
      </w:r>
      <w:r w:rsidRPr="002B67FB">
        <w:rPr>
          <w:rFonts w:cs="Courier New"/>
          <w:noProof/>
          <w:sz w:val="16"/>
          <w:szCs w:val="16"/>
          <w:lang w:val="es-AR"/>
        </w:rPr>
        <w:t>, párr. 118</w:t>
      </w:r>
      <w:r w:rsidRPr="002B67FB">
        <w:rPr>
          <w:rStyle w:val="Strong"/>
          <w:b w:val="0"/>
          <w:sz w:val="16"/>
          <w:szCs w:val="16"/>
          <w:shd w:val="clear" w:color="auto" w:fill="FFFFFF"/>
          <w:lang w:val="es-MX"/>
        </w:rPr>
        <w:t>, y</w:t>
      </w:r>
      <w:r w:rsidRPr="002B67FB">
        <w:rPr>
          <w:rFonts w:cs="Courier New"/>
          <w:i/>
          <w:noProof/>
          <w:sz w:val="16"/>
          <w:szCs w:val="16"/>
          <w:lang w:val="es-AR"/>
        </w:rPr>
        <w:t xml:space="preserve"> Caso Quispialaya Vilcapoma Vs. Perú</w:t>
      </w:r>
      <w:r w:rsidRPr="002B67FB">
        <w:rPr>
          <w:sz w:val="16"/>
          <w:szCs w:val="16"/>
          <w:lang w:val="es-AR"/>
        </w:rPr>
        <w:t xml:space="preserve">, </w:t>
      </w:r>
      <w:r w:rsidRPr="002B67FB">
        <w:rPr>
          <w:i/>
          <w:sz w:val="16"/>
          <w:szCs w:val="16"/>
          <w:lang w:val="es-AR"/>
        </w:rPr>
        <w:t>supra</w:t>
      </w:r>
      <w:r w:rsidRPr="002B67FB">
        <w:rPr>
          <w:sz w:val="16"/>
          <w:szCs w:val="16"/>
          <w:lang w:val="es-ES"/>
        </w:rPr>
        <w:t>, párr. 147</w:t>
      </w:r>
      <w:r w:rsidRPr="002B67FB">
        <w:rPr>
          <w:bCs/>
          <w:sz w:val="16"/>
          <w:szCs w:val="16"/>
          <w:lang w:val="es-ES"/>
        </w:rPr>
        <w:t>.</w:t>
      </w:r>
    </w:p>
  </w:footnote>
  <w:footnote w:id="185">
    <w:p w:rsidR="0078681A" w:rsidRPr="002B67FB" w:rsidRDefault="0078681A" w:rsidP="002B67FB">
      <w:pPr>
        <w:tabs>
          <w:tab w:val="left" w:pos="567"/>
        </w:tabs>
        <w:spacing w:after="120" w:line="240" w:lineRule="auto"/>
        <w:rPr>
          <w:b/>
          <w:sz w:val="16"/>
          <w:szCs w:val="16"/>
          <w:lang w:val="es-ES"/>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xml:space="preserve"> </w:t>
      </w:r>
      <w:r w:rsidRPr="002B67FB">
        <w:rPr>
          <w:rStyle w:val="Strong"/>
          <w:b w:val="0"/>
          <w:i/>
          <w:sz w:val="16"/>
          <w:szCs w:val="16"/>
          <w:shd w:val="clear" w:color="auto" w:fill="FFFFFF"/>
        </w:rPr>
        <w:t>Casos</w:t>
      </w:r>
      <w:r w:rsidRPr="002B67FB">
        <w:rPr>
          <w:rStyle w:val="Strong"/>
          <w:b w:val="0"/>
          <w:sz w:val="16"/>
          <w:szCs w:val="16"/>
          <w:shd w:val="clear" w:color="auto" w:fill="FFFFFF"/>
        </w:rPr>
        <w:t xml:space="preserve"> </w:t>
      </w:r>
      <w:r w:rsidRPr="002B67FB">
        <w:rPr>
          <w:rStyle w:val="Strong"/>
          <w:b w:val="0"/>
          <w:i/>
          <w:sz w:val="16"/>
          <w:szCs w:val="16"/>
          <w:shd w:val="clear" w:color="auto" w:fill="FFFFFF"/>
        </w:rPr>
        <w:t>Radilla Pacheco, Fernández Ortega y otros, y Rosendo Cantú y otra Vs. México. Supervisión de Cumplimiento de Sentencia.</w:t>
      </w:r>
      <w:r w:rsidRPr="002B67FB">
        <w:rPr>
          <w:rStyle w:val="Strong"/>
          <w:b w:val="0"/>
          <w:sz w:val="16"/>
          <w:szCs w:val="16"/>
          <w:shd w:val="clear" w:color="auto" w:fill="FFFFFF"/>
        </w:rPr>
        <w:t xml:space="preserve"> Resolución de la Corte Interamericana de Derechos Humanos de 17 de abril de 2015</w:t>
      </w:r>
      <w:r w:rsidRPr="002B67FB">
        <w:rPr>
          <w:sz w:val="16"/>
          <w:szCs w:val="16"/>
        </w:rPr>
        <w:t>,</w:t>
      </w:r>
      <w:r w:rsidR="009D3DB9">
        <w:rPr>
          <w:sz w:val="16"/>
          <w:szCs w:val="16"/>
        </w:rPr>
        <w:t xml:space="preserve"> considerando 20,</w:t>
      </w:r>
      <w:r w:rsidRPr="002B67FB">
        <w:rPr>
          <w:sz w:val="16"/>
          <w:szCs w:val="16"/>
        </w:rPr>
        <w:t xml:space="preserve"> y </w:t>
      </w:r>
      <w:r w:rsidRPr="002B67FB">
        <w:rPr>
          <w:rFonts w:cs="Courier New"/>
          <w:i/>
          <w:noProof/>
          <w:sz w:val="16"/>
          <w:szCs w:val="16"/>
          <w:lang w:val="es-AR"/>
        </w:rPr>
        <w:t>Caso Quispialaya Vilcapoma Vs. Perú</w:t>
      </w:r>
      <w:r w:rsidRPr="002B67FB">
        <w:rPr>
          <w:sz w:val="16"/>
          <w:szCs w:val="16"/>
          <w:lang w:val="es-AR"/>
        </w:rPr>
        <w:t xml:space="preserve">, </w:t>
      </w:r>
      <w:r w:rsidRPr="002B67FB">
        <w:rPr>
          <w:i/>
          <w:sz w:val="16"/>
          <w:szCs w:val="16"/>
          <w:lang w:val="es-AR"/>
        </w:rPr>
        <w:t>supra</w:t>
      </w:r>
      <w:r w:rsidRPr="002B67FB">
        <w:rPr>
          <w:sz w:val="16"/>
          <w:szCs w:val="16"/>
          <w:lang w:val="es-ES"/>
        </w:rPr>
        <w:t>, párr. 147</w:t>
      </w:r>
      <w:r w:rsidRPr="002B67FB">
        <w:rPr>
          <w:bCs/>
          <w:sz w:val="16"/>
          <w:szCs w:val="16"/>
          <w:lang w:val="es-ES"/>
        </w:rPr>
        <w:t>.</w:t>
      </w:r>
    </w:p>
  </w:footnote>
  <w:footnote w:id="186">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Escrito dirigido al Fiscal General de la Nación el 10 de marzo de 1998, suscripto por Edgar Ortiz y Zaida Hernández (expediente de prueba, tomo XI, anexo 27 al sometimiento del caso, folios 3802 a 3805).</w:t>
      </w:r>
    </w:p>
  </w:footnote>
  <w:footnote w:id="187">
    <w:p w:rsidR="0078681A" w:rsidRPr="002B67FB" w:rsidRDefault="0078681A" w:rsidP="002B67FB">
      <w:pPr>
        <w:tabs>
          <w:tab w:val="left" w:pos="567"/>
        </w:tabs>
        <w:spacing w:after="120" w:line="240" w:lineRule="auto"/>
        <w:ind w:right="4"/>
        <w:rPr>
          <w:i/>
          <w:sz w:val="16"/>
          <w:szCs w:val="16"/>
          <w:lang w:val="pt-BR"/>
        </w:rPr>
      </w:pPr>
      <w:r w:rsidRPr="002B67FB">
        <w:rPr>
          <w:rStyle w:val="FootnoteReference"/>
          <w:sz w:val="16"/>
          <w:szCs w:val="16"/>
          <w:lang w:val="es-ES"/>
        </w:rPr>
        <w:footnoteRef/>
      </w:r>
      <w:r w:rsidRPr="002B67FB">
        <w:rPr>
          <w:sz w:val="16"/>
          <w:szCs w:val="16"/>
          <w:lang w:val="es-ES"/>
        </w:rPr>
        <w:t xml:space="preserve"> </w:t>
      </w:r>
      <w:r w:rsidRPr="002B67FB">
        <w:rPr>
          <w:sz w:val="16"/>
          <w:szCs w:val="16"/>
          <w:lang w:val="es-ES"/>
        </w:rPr>
        <w:tab/>
      </w:r>
      <w:r w:rsidRPr="002B67FB">
        <w:rPr>
          <w:i/>
          <w:sz w:val="16"/>
          <w:szCs w:val="16"/>
          <w:lang w:val="es-ES"/>
        </w:rPr>
        <w:t>Caso Castillo Petruzzi y otros Vs. Perú</w:t>
      </w:r>
      <w:r w:rsidRPr="002B67FB">
        <w:rPr>
          <w:sz w:val="16"/>
          <w:szCs w:val="16"/>
          <w:lang w:val="es-AR"/>
        </w:rPr>
        <w:t xml:space="preserve">, </w:t>
      </w:r>
      <w:r w:rsidRPr="002B67FB">
        <w:rPr>
          <w:i/>
          <w:sz w:val="16"/>
          <w:szCs w:val="16"/>
          <w:lang w:val="es-AR"/>
        </w:rPr>
        <w:t>supra</w:t>
      </w:r>
      <w:r w:rsidRPr="002B67FB">
        <w:rPr>
          <w:sz w:val="16"/>
          <w:szCs w:val="16"/>
          <w:lang w:val="pt-BR"/>
        </w:rPr>
        <w:t>,</w:t>
      </w:r>
      <w:r w:rsidRPr="002B67FB">
        <w:rPr>
          <w:i/>
          <w:sz w:val="16"/>
          <w:szCs w:val="16"/>
          <w:lang w:val="pt-BR"/>
        </w:rPr>
        <w:t xml:space="preserve"> </w:t>
      </w:r>
      <w:r w:rsidRPr="002B67FB">
        <w:rPr>
          <w:bCs/>
          <w:sz w:val="16"/>
          <w:szCs w:val="16"/>
          <w:lang w:val="es-ES"/>
        </w:rPr>
        <w:t>párr. 128, y</w:t>
      </w:r>
      <w:r w:rsidRPr="002B67FB">
        <w:rPr>
          <w:sz w:val="16"/>
          <w:szCs w:val="16"/>
          <w:lang w:val="es-AR"/>
        </w:rPr>
        <w:t xml:space="preserve"> </w:t>
      </w:r>
      <w:r w:rsidRPr="002B67FB">
        <w:rPr>
          <w:i/>
          <w:sz w:val="16"/>
          <w:szCs w:val="16"/>
          <w:lang w:val="pt-BR"/>
        </w:rPr>
        <w:t>Caso Tenorio Roca y otros Vs. Perú</w:t>
      </w:r>
      <w:r w:rsidRPr="002B67FB">
        <w:rPr>
          <w:sz w:val="16"/>
          <w:szCs w:val="16"/>
          <w:lang w:val="es-AR"/>
        </w:rPr>
        <w:t xml:space="preserve">, </w:t>
      </w:r>
      <w:r w:rsidRPr="002B67FB">
        <w:rPr>
          <w:i/>
          <w:sz w:val="16"/>
          <w:szCs w:val="16"/>
          <w:lang w:val="es-AR"/>
        </w:rPr>
        <w:t>supra</w:t>
      </w:r>
      <w:r w:rsidRPr="002B67FB">
        <w:rPr>
          <w:sz w:val="16"/>
          <w:szCs w:val="16"/>
          <w:lang w:val="es-ES"/>
        </w:rPr>
        <w:t>, párr. 195.</w:t>
      </w:r>
    </w:p>
  </w:footnote>
  <w:footnote w:id="188">
    <w:p w:rsidR="0078681A" w:rsidRPr="002B67FB" w:rsidRDefault="0078681A" w:rsidP="002B67FB">
      <w:pPr>
        <w:tabs>
          <w:tab w:val="left" w:pos="567"/>
        </w:tabs>
        <w:spacing w:after="120" w:line="240" w:lineRule="auto"/>
        <w:rPr>
          <w:sz w:val="16"/>
          <w:szCs w:val="16"/>
          <w:lang w:val="es-ES"/>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xml:space="preserve"> </w:t>
      </w:r>
      <w:r w:rsidRPr="002B67FB">
        <w:rPr>
          <w:i/>
          <w:sz w:val="16"/>
          <w:szCs w:val="16"/>
          <w:lang w:val="pt-BR"/>
        </w:rPr>
        <w:t>Caso Tenorio Roca y otros Vs. Perú</w:t>
      </w:r>
      <w:r w:rsidRPr="002B67FB">
        <w:rPr>
          <w:sz w:val="16"/>
          <w:szCs w:val="16"/>
          <w:lang w:val="es-AR"/>
        </w:rPr>
        <w:t xml:space="preserve">, </w:t>
      </w:r>
      <w:r w:rsidRPr="002B67FB">
        <w:rPr>
          <w:i/>
          <w:sz w:val="16"/>
          <w:szCs w:val="16"/>
          <w:lang w:val="es-AR"/>
        </w:rPr>
        <w:t>supra</w:t>
      </w:r>
      <w:r w:rsidRPr="002B67FB">
        <w:rPr>
          <w:sz w:val="16"/>
          <w:szCs w:val="16"/>
          <w:lang w:val="es-ES"/>
        </w:rPr>
        <w:t>, párr. 198.</w:t>
      </w:r>
    </w:p>
  </w:footnote>
  <w:footnote w:id="189">
    <w:p w:rsidR="0078681A" w:rsidRPr="002B67FB" w:rsidRDefault="0078681A" w:rsidP="002B67FB">
      <w:pPr>
        <w:tabs>
          <w:tab w:val="left" w:pos="567"/>
        </w:tabs>
        <w:spacing w:after="120" w:line="240" w:lineRule="auto"/>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Cfr. Caso Almonacid Arellano y otros Vs. Chile. Excepciones Preliminares, Fondo, Reparaciones y Costas</w:t>
      </w:r>
      <w:r w:rsidRPr="002B67FB">
        <w:rPr>
          <w:sz w:val="16"/>
          <w:szCs w:val="16"/>
          <w:lang w:val="es-AR"/>
        </w:rPr>
        <w:t xml:space="preserve">. Sentencia de 26 de septiembre de 2006. Serie C No. 154, párr. 123, y </w:t>
      </w:r>
      <w:r w:rsidRPr="002B67FB">
        <w:rPr>
          <w:rFonts w:cs="Courier New"/>
          <w:i/>
          <w:noProof/>
          <w:sz w:val="16"/>
          <w:szCs w:val="16"/>
          <w:lang w:val="es-AR"/>
        </w:rPr>
        <w:t>Caso Cruz Sánchez y otros Vs. Perú</w:t>
      </w:r>
      <w:r w:rsidRPr="002B67FB">
        <w:rPr>
          <w:sz w:val="16"/>
          <w:szCs w:val="16"/>
          <w:lang w:val="es-AR"/>
        </w:rPr>
        <w:t xml:space="preserve">, </w:t>
      </w:r>
      <w:r w:rsidRPr="002B67FB">
        <w:rPr>
          <w:i/>
          <w:sz w:val="16"/>
          <w:szCs w:val="16"/>
          <w:lang w:val="es-AR"/>
        </w:rPr>
        <w:t>supra</w:t>
      </w:r>
      <w:r w:rsidRPr="002B67FB">
        <w:rPr>
          <w:rFonts w:cs="Courier New"/>
          <w:noProof/>
          <w:sz w:val="16"/>
          <w:szCs w:val="16"/>
          <w:lang w:val="es-AR"/>
        </w:rPr>
        <w:t>, párr. 411.</w:t>
      </w:r>
    </w:p>
  </w:footnote>
  <w:footnote w:id="190">
    <w:p w:rsidR="0078681A" w:rsidRPr="002B67FB" w:rsidRDefault="0078681A" w:rsidP="002B67FB">
      <w:pPr>
        <w:tabs>
          <w:tab w:val="left" w:pos="567"/>
        </w:tabs>
        <w:spacing w:after="120" w:line="240" w:lineRule="auto"/>
        <w:rPr>
          <w:rFonts w:cs="Courier New"/>
          <w:noProof/>
          <w:sz w:val="16"/>
          <w:szCs w:val="16"/>
          <w:lang w:val="es-A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 xml:space="preserve">Cfr. </w:t>
      </w:r>
      <w:r w:rsidRPr="002B67FB">
        <w:rPr>
          <w:rStyle w:val="Strong"/>
          <w:b w:val="0"/>
          <w:i/>
          <w:sz w:val="16"/>
          <w:szCs w:val="16"/>
          <w:lang w:val="es-AR"/>
        </w:rPr>
        <w:t>Caso Gomes Lund y otros ("Guerrilha do Araguaia") Vs. Brasil. Excepciones Preliminares, Fondo, Reparaciones y Costas</w:t>
      </w:r>
      <w:r w:rsidRPr="002B67FB">
        <w:rPr>
          <w:rStyle w:val="Strong"/>
          <w:b w:val="0"/>
          <w:sz w:val="16"/>
          <w:szCs w:val="16"/>
          <w:lang w:val="es-AR"/>
        </w:rPr>
        <w:t>. Sentencia de 24 de noviembre de 2010. Serie C No. 219,</w:t>
      </w:r>
      <w:r w:rsidRPr="002B67FB">
        <w:rPr>
          <w:sz w:val="16"/>
          <w:szCs w:val="16"/>
          <w:lang w:val="es-AR"/>
        </w:rPr>
        <w:t xml:space="preserve"> párrs. 172 y 174, y </w:t>
      </w:r>
      <w:r w:rsidRPr="002B67FB">
        <w:rPr>
          <w:rFonts w:cs="Courier New"/>
          <w:i/>
          <w:noProof/>
          <w:sz w:val="16"/>
          <w:szCs w:val="16"/>
          <w:lang w:val="es-AR"/>
        </w:rPr>
        <w:t>Caso Cruz Sánchez y otros Vs. Perú</w:t>
      </w:r>
      <w:r w:rsidRPr="002B67FB">
        <w:rPr>
          <w:sz w:val="16"/>
          <w:szCs w:val="16"/>
          <w:lang w:val="es-AR"/>
        </w:rPr>
        <w:t xml:space="preserve">, </w:t>
      </w:r>
      <w:r w:rsidRPr="002B67FB">
        <w:rPr>
          <w:i/>
          <w:sz w:val="16"/>
          <w:szCs w:val="16"/>
          <w:lang w:val="es-AR"/>
        </w:rPr>
        <w:t>supra</w:t>
      </w:r>
      <w:r w:rsidRPr="002B67FB">
        <w:rPr>
          <w:rFonts w:cs="Courier New"/>
          <w:noProof/>
          <w:sz w:val="16"/>
          <w:szCs w:val="16"/>
          <w:lang w:val="es-AR"/>
        </w:rPr>
        <w:t>, párr. 411.</w:t>
      </w:r>
    </w:p>
  </w:footnote>
  <w:footnote w:id="191">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t xml:space="preserve">El artículo 29 </w:t>
      </w:r>
      <w:r w:rsidRPr="002B67FB">
        <w:rPr>
          <w:sz w:val="16"/>
          <w:szCs w:val="16"/>
        </w:rPr>
        <w:t>de la Constitución de Venezuela dispone, en lo pertinente, que “</w:t>
      </w:r>
      <w:r w:rsidRPr="002B67FB">
        <w:rPr>
          <w:sz w:val="16"/>
          <w:szCs w:val="16"/>
          <w:lang w:val="es-CR"/>
        </w:rPr>
        <w:t>[l]as violaciones de derechos humanos y los delitos de lesa humanidad serán investigados y juzgados por los tribunales ordinarios. Dichos delitos quedan excluidos de los beneficios que puedan conllevar su impunidad, incluidos el indulto y la amnistía”.</w:t>
      </w:r>
    </w:p>
  </w:footnote>
  <w:footnote w:id="192">
    <w:p w:rsidR="0078681A" w:rsidRPr="002B67FB" w:rsidRDefault="0078681A" w:rsidP="002B67FB">
      <w:pPr>
        <w:tabs>
          <w:tab w:val="left" w:pos="567"/>
        </w:tabs>
        <w:autoSpaceDE w:val="0"/>
        <w:autoSpaceDN w:val="0"/>
        <w:spacing w:after="120" w:line="240" w:lineRule="auto"/>
        <w:rPr>
          <w:iCs/>
          <w:sz w:val="16"/>
          <w:szCs w:val="16"/>
        </w:rPr>
      </w:pPr>
      <w:r w:rsidRPr="002B67FB">
        <w:rPr>
          <w:rStyle w:val="FootnoteReference"/>
          <w:sz w:val="16"/>
          <w:szCs w:val="16"/>
        </w:rPr>
        <w:footnoteRef/>
      </w:r>
      <w:r w:rsidRPr="002B67FB">
        <w:rPr>
          <w:sz w:val="16"/>
          <w:szCs w:val="16"/>
        </w:rPr>
        <w:t xml:space="preserve"> </w:t>
      </w:r>
      <w:r w:rsidRPr="002B67FB">
        <w:rPr>
          <w:sz w:val="16"/>
          <w:szCs w:val="16"/>
        </w:rPr>
        <w:tab/>
        <w:t>El artículo 261 de la Constitución de Venezuela establece que: “[l]</w:t>
      </w:r>
      <w:r w:rsidRPr="002B67FB">
        <w:rPr>
          <w:iCs/>
          <w:sz w:val="16"/>
          <w:szCs w:val="16"/>
        </w:rPr>
        <w:t xml:space="preserve">a jurisdicción penal militar es parte integrante del Poder Judicial, y sus jueces o juezas serán seleccionados o seleccionadas por concurso. Su ámbito de competencia, organización y modalidades de funcionamiento se regirán por el sistema acusatorio y de acuerdo con lo previsto en el Código Orgánico de Justicia Militar. </w:t>
      </w:r>
      <w:r w:rsidRPr="002B67FB">
        <w:rPr>
          <w:rFonts w:cs="Arial"/>
          <w:iCs/>
          <w:sz w:val="16"/>
          <w:szCs w:val="16"/>
        </w:rPr>
        <w:t xml:space="preserve">La </w:t>
      </w:r>
      <w:r w:rsidRPr="002B67FB">
        <w:rPr>
          <w:iCs/>
          <w:sz w:val="16"/>
          <w:szCs w:val="16"/>
        </w:rPr>
        <w:t xml:space="preserve">comisión de los delitos comunes, violaciones de derechos humanos </w:t>
      </w:r>
      <w:r w:rsidRPr="002B67FB">
        <w:rPr>
          <w:rFonts w:cs="Arial"/>
          <w:iCs/>
          <w:sz w:val="16"/>
          <w:szCs w:val="16"/>
        </w:rPr>
        <w:t xml:space="preserve">y </w:t>
      </w:r>
      <w:r w:rsidRPr="002B67FB">
        <w:rPr>
          <w:iCs/>
          <w:sz w:val="16"/>
          <w:szCs w:val="16"/>
        </w:rPr>
        <w:t xml:space="preserve">crímenes de lesa humanidad, serán juzgados por los tribunales ordinarios. </w:t>
      </w:r>
      <w:r w:rsidRPr="002B67FB">
        <w:rPr>
          <w:rFonts w:cs="Arial"/>
          <w:iCs/>
          <w:sz w:val="16"/>
          <w:szCs w:val="16"/>
        </w:rPr>
        <w:t xml:space="preserve">La </w:t>
      </w:r>
      <w:r w:rsidRPr="002B67FB">
        <w:rPr>
          <w:iCs/>
          <w:sz w:val="16"/>
          <w:szCs w:val="16"/>
        </w:rPr>
        <w:t xml:space="preserve">competencia de los tribunales militares se limita a delitos de naturaleza militar”. </w:t>
      </w:r>
      <w:r w:rsidRPr="002B67FB">
        <w:rPr>
          <w:sz w:val="16"/>
          <w:szCs w:val="16"/>
        </w:rPr>
        <w:t>Constitución de la República Bolivariana de Venezuela, adoptada el 15 de diciembre de 1999 y en vigencia desde el 30 de diciembre de 1999, citado en la Sentencia emitida por la Sala Constitucional del Tribunal Supremo de Justicia el 11 de junio de 2002 (expediente de prueba, tomo XII, anexo 87 al sometimiento del caso, folio 4145).</w:t>
      </w:r>
    </w:p>
  </w:footnote>
  <w:footnote w:id="193">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sz w:val="16"/>
          <w:szCs w:val="16"/>
          <w:lang w:val="es-ES"/>
        </w:rPr>
        <w:t xml:space="preserve">Tal decisión se basó en que, conforme a la normativa citada, la muerte de Johan Alexis Ortiz Hernández ocurrió dentro del Destacamento de Comandos Rurales No. 19 y sólo personal militar se encontraba presuntamente vinculado. </w:t>
      </w:r>
      <w:r w:rsidRPr="002B67FB">
        <w:rPr>
          <w:i/>
          <w:sz w:val="16"/>
          <w:szCs w:val="16"/>
        </w:rPr>
        <w:t>Cfr</w:t>
      </w:r>
      <w:r w:rsidRPr="002B67FB">
        <w:rPr>
          <w:sz w:val="16"/>
          <w:szCs w:val="16"/>
        </w:rPr>
        <w:t>. Sentencia emitida por la Corte Marcial de la República Bolivariana de Venezuela el 22 de agosto de 2001 (expediente de prueba, tomo XII, anexo 49 al sometimiento del caso, folios 3958 a 3959), y Sentencia emitida por la Sala Constitucional del Tribunal Supremo de Justicia el 11 de junio de 2002 (expediente de prueba, tomo XII, anexo 87 al sometimiento del caso, folios 4142 y 4145).</w:t>
      </w:r>
    </w:p>
  </w:footnote>
  <w:footnote w:id="194">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sz w:val="16"/>
          <w:szCs w:val="16"/>
          <w:lang w:val="es-CR"/>
        </w:rPr>
        <w:t xml:space="preserve">El inciso 3 del artículo 123 del Código Orgánico de Justicia Militar vigente en la época establecía que “[l]a jurisdicción penal militar comprende: 3. Los delitos comunes cometidos por militares en unidades, cuarteles, guarniciones, institutos educativos, establecimientos militares o en instalaciones de entes descentralizados de las Fuerzas Armadas, en funciones militares, en actos de servicio, en comisiones o con ocasión de ellas”. Código Orgánico de Justicia Militar publicado en la Gaceta Oficial No. 5.263, Extraordinario del 17 de septiembre de 1998, el cual derogó el Código de Justicia Militar y Naval de 21 de julio de 1933, citado en </w:t>
      </w:r>
      <w:r w:rsidRPr="002B67FB">
        <w:rPr>
          <w:sz w:val="16"/>
          <w:szCs w:val="16"/>
        </w:rPr>
        <w:t>Sentencia emitida por la Sala Constitucional del Tribunal Supremo de Justicia el 11 de junio de 2002 (expediente de prueba, tomo XII, anexo 87 al sometimiento del caso, folio 4147).</w:t>
      </w:r>
    </w:p>
  </w:footnote>
  <w:footnote w:id="195">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rPr>
        <w:tab/>
        <w:t>Sentencia emitida por la Sala Constitucional del Tribunal Supremo de Justicia el 11 de junio de 2002 (expediente de prueba, tomo XII, anexo 87 al sometimiento del caso, folios 4146 a 4147).</w:t>
      </w:r>
    </w:p>
  </w:footnote>
  <w:footnote w:id="196">
    <w:p w:rsidR="0078681A" w:rsidRPr="002B67FB" w:rsidRDefault="0078681A" w:rsidP="002B67FB">
      <w:pPr>
        <w:tabs>
          <w:tab w:val="left" w:pos="567"/>
        </w:tabs>
        <w:spacing w:after="120" w:line="240" w:lineRule="auto"/>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 xml:space="preserve">Cfr. </w:t>
      </w:r>
      <w:r w:rsidRPr="002B67FB">
        <w:rPr>
          <w:rStyle w:val="Strong"/>
          <w:b w:val="0"/>
          <w:i/>
          <w:color w:val="000000"/>
          <w:sz w:val="16"/>
          <w:szCs w:val="16"/>
          <w:shd w:val="clear" w:color="auto" w:fill="FFFFFF"/>
        </w:rPr>
        <w:t>Caso Luna López Vs. Honduras. Fondo, Reparaciones y Costas.</w:t>
      </w:r>
      <w:r w:rsidRPr="002B67FB">
        <w:rPr>
          <w:rStyle w:val="Strong"/>
          <w:b w:val="0"/>
          <w:color w:val="000000"/>
          <w:sz w:val="16"/>
          <w:szCs w:val="16"/>
          <w:shd w:val="clear" w:color="auto" w:fill="FFFFFF"/>
        </w:rPr>
        <w:t xml:space="preserve"> Sentencia de 10 de octubre de 2013. Serie C No. 269, </w:t>
      </w:r>
      <w:r w:rsidRPr="002B67FB">
        <w:rPr>
          <w:sz w:val="16"/>
          <w:szCs w:val="16"/>
        </w:rPr>
        <w:t xml:space="preserve">párr. 167, y </w:t>
      </w:r>
      <w:r w:rsidRPr="002B67FB">
        <w:rPr>
          <w:rFonts w:cs="Courier New"/>
          <w:i/>
          <w:noProof/>
          <w:sz w:val="16"/>
          <w:szCs w:val="16"/>
        </w:rPr>
        <w:t>Caso García Ibarra y otros Vs. Ecuador</w:t>
      </w:r>
      <w:r w:rsidRPr="002B67FB">
        <w:rPr>
          <w:sz w:val="16"/>
          <w:szCs w:val="16"/>
          <w:lang w:val="es-AR"/>
        </w:rPr>
        <w:t xml:space="preserve">, </w:t>
      </w:r>
      <w:r w:rsidRPr="002B67FB">
        <w:rPr>
          <w:i/>
          <w:sz w:val="16"/>
          <w:szCs w:val="16"/>
          <w:lang w:val="es-AR"/>
        </w:rPr>
        <w:t>supra</w:t>
      </w:r>
      <w:r w:rsidRPr="002B67FB">
        <w:rPr>
          <w:sz w:val="16"/>
          <w:szCs w:val="16"/>
        </w:rPr>
        <w:t>, párr. 139.</w:t>
      </w:r>
    </w:p>
  </w:footnote>
  <w:footnote w:id="197">
    <w:p w:rsidR="0078681A" w:rsidRPr="002B67FB" w:rsidRDefault="0078681A" w:rsidP="002B67FB">
      <w:pPr>
        <w:tabs>
          <w:tab w:val="left" w:pos="567"/>
        </w:tabs>
        <w:spacing w:after="120" w:line="240" w:lineRule="auto"/>
        <w:rPr>
          <w:sz w:val="16"/>
          <w:szCs w:val="16"/>
          <w:lang w:val="pt-B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Cfr</w:t>
      </w:r>
      <w:r w:rsidRPr="002B67FB">
        <w:rPr>
          <w:sz w:val="16"/>
          <w:szCs w:val="16"/>
          <w:lang w:val="es-AR"/>
        </w:rPr>
        <w:t xml:space="preserve">. </w:t>
      </w:r>
      <w:r w:rsidRPr="002B67FB">
        <w:rPr>
          <w:i/>
          <w:sz w:val="16"/>
          <w:szCs w:val="16"/>
          <w:lang w:val="es-AR"/>
        </w:rPr>
        <w:t>Caso Servellón García y otros Vs. Honduras. Fondo, Reparaciones y Costas</w:t>
      </w:r>
      <w:r w:rsidRPr="002B67FB">
        <w:rPr>
          <w:sz w:val="16"/>
          <w:szCs w:val="16"/>
          <w:lang w:val="es-AR"/>
        </w:rPr>
        <w:t xml:space="preserve">. Sentencia de 21 de septiembre de 2006. Serie C No. 152, párr. 120, y </w:t>
      </w:r>
      <w:r w:rsidRPr="002B67FB">
        <w:rPr>
          <w:i/>
          <w:sz w:val="16"/>
          <w:szCs w:val="16"/>
          <w:lang w:val="pt-BR"/>
        </w:rPr>
        <w:t>Caso Velásquez Paiz y otros Vs. Guatemala. Excepciones Preliminares, Fondo, Reparaciones y Costas</w:t>
      </w:r>
      <w:r w:rsidRPr="002B67FB">
        <w:rPr>
          <w:sz w:val="16"/>
          <w:szCs w:val="16"/>
          <w:lang w:val="pt-BR"/>
        </w:rPr>
        <w:t>. Sentencia de 19 de noviembre de 2015. Serie C No. 307, párr. 150.</w:t>
      </w:r>
    </w:p>
  </w:footnote>
  <w:footnote w:id="198">
    <w:p w:rsidR="0078681A" w:rsidRPr="002B67FB" w:rsidRDefault="0078681A" w:rsidP="002B67FB">
      <w:pPr>
        <w:tabs>
          <w:tab w:val="left" w:pos="567"/>
        </w:tabs>
        <w:spacing w:after="120" w:line="240" w:lineRule="auto"/>
        <w:rPr>
          <w:sz w:val="16"/>
          <w:szCs w:val="16"/>
          <w:lang w:val="es-A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iCs/>
          <w:sz w:val="16"/>
          <w:szCs w:val="16"/>
          <w:lang w:val="es-AR"/>
        </w:rPr>
        <w:t>Cfr. Caso Juan Humberto Sánchez</w:t>
      </w:r>
      <w:r w:rsidRPr="002B67FB">
        <w:rPr>
          <w:i/>
          <w:sz w:val="16"/>
          <w:szCs w:val="16"/>
          <w:lang w:val="es-AR"/>
        </w:rPr>
        <w:t xml:space="preserve"> </w:t>
      </w:r>
      <w:r w:rsidRPr="002B67FB">
        <w:rPr>
          <w:i/>
          <w:sz w:val="16"/>
          <w:szCs w:val="16"/>
          <w:lang w:val="pt-BR"/>
        </w:rPr>
        <w:t>Vs. Honduras</w:t>
      </w:r>
      <w:r w:rsidRPr="002B67FB">
        <w:rPr>
          <w:sz w:val="16"/>
          <w:szCs w:val="16"/>
          <w:lang w:val="es-AR"/>
        </w:rPr>
        <w:t xml:space="preserve">, </w:t>
      </w:r>
      <w:r w:rsidRPr="002B67FB">
        <w:rPr>
          <w:i/>
          <w:sz w:val="16"/>
          <w:szCs w:val="16"/>
          <w:lang w:val="es-AR"/>
        </w:rPr>
        <w:t>supra</w:t>
      </w:r>
      <w:r w:rsidRPr="002B67FB">
        <w:rPr>
          <w:sz w:val="16"/>
          <w:szCs w:val="16"/>
          <w:lang w:val="pt-BR"/>
        </w:rPr>
        <w:t xml:space="preserve">, </w:t>
      </w:r>
      <w:r w:rsidRPr="002B67FB">
        <w:rPr>
          <w:sz w:val="16"/>
          <w:szCs w:val="16"/>
          <w:lang w:val="es-AR"/>
        </w:rPr>
        <w:t xml:space="preserve">párr. 127, y </w:t>
      </w:r>
      <w:r w:rsidRPr="002B67FB">
        <w:rPr>
          <w:i/>
          <w:sz w:val="16"/>
          <w:szCs w:val="16"/>
          <w:lang w:val="pt-BR"/>
        </w:rPr>
        <w:t>Caso Velásquez Paiz y otros Vs. Guatemala</w:t>
      </w:r>
      <w:r w:rsidRPr="002B67FB">
        <w:rPr>
          <w:sz w:val="16"/>
          <w:szCs w:val="16"/>
          <w:lang w:val="es-AR"/>
        </w:rPr>
        <w:t xml:space="preserve">, </w:t>
      </w:r>
      <w:r w:rsidRPr="002B67FB">
        <w:rPr>
          <w:i/>
          <w:sz w:val="16"/>
          <w:szCs w:val="16"/>
          <w:lang w:val="es-AR"/>
        </w:rPr>
        <w:t>supra</w:t>
      </w:r>
      <w:r w:rsidRPr="002B67FB">
        <w:rPr>
          <w:sz w:val="16"/>
          <w:szCs w:val="16"/>
          <w:lang w:val="pt-BR"/>
        </w:rPr>
        <w:t xml:space="preserve">, párr. 151. </w:t>
      </w:r>
      <w:r w:rsidRPr="002B67FB">
        <w:rPr>
          <w:i/>
          <w:iCs/>
          <w:sz w:val="16"/>
          <w:szCs w:val="16"/>
        </w:rPr>
        <w:t>Cfr.</w:t>
      </w:r>
      <w:r w:rsidRPr="002B67FB">
        <w:rPr>
          <w:sz w:val="16"/>
          <w:szCs w:val="16"/>
        </w:rPr>
        <w:t xml:space="preserve"> ONU, Manual sobre la Prevención e Investigación Efectiva de Ejecuciones Extrajudiciales, Arbitrarias y Sumarias de Naciones Unidas (“Protocolo de Minnesota”), Doc. E/ST/CSDHA/.12 (1991). </w:t>
      </w:r>
    </w:p>
  </w:footnote>
  <w:footnote w:id="199">
    <w:p w:rsidR="0078681A" w:rsidRPr="002B67FB" w:rsidRDefault="0078681A" w:rsidP="002B67FB">
      <w:pPr>
        <w:tabs>
          <w:tab w:val="left" w:pos="567"/>
        </w:tabs>
        <w:spacing w:after="120" w:line="240" w:lineRule="auto"/>
        <w:rPr>
          <w:sz w:val="16"/>
          <w:szCs w:val="16"/>
          <w:lang w:val="pt-B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iCs/>
          <w:sz w:val="16"/>
          <w:szCs w:val="16"/>
        </w:rPr>
        <w:t>Cfr.</w:t>
      </w:r>
      <w:r w:rsidRPr="002B67FB">
        <w:rPr>
          <w:i/>
          <w:sz w:val="16"/>
          <w:szCs w:val="16"/>
        </w:rPr>
        <w:t xml:space="preserve"> Caso González y otras (“Campo Algodonero”) Vs. México</w:t>
      </w:r>
      <w:r w:rsidRPr="002B67FB">
        <w:rPr>
          <w:sz w:val="16"/>
          <w:szCs w:val="16"/>
          <w:lang w:val="es-AR"/>
        </w:rPr>
        <w:t xml:space="preserve">, </w:t>
      </w:r>
      <w:r w:rsidRPr="002B67FB">
        <w:rPr>
          <w:i/>
          <w:sz w:val="16"/>
          <w:szCs w:val="16"/>
          <w:lang w:val="es-AR"/>
        </w:rPr>
        <w:t>supra</w:t>
      </w:r>
      <w:r w:rsidRPr="002B67FB">
        <w:rPr>
          <w:sz w:val="16"/>
          <w:szCs w:val="16"/>
          <w:lang w:val="pt-BR"/>
        </w:rPr>
        <w:t>,</w:t>
      </w:r>
      <w:r w:rsidRPr="002B67FB">
        <w:rPr>
          <w:i/>
          <w:sz w:val="16"/>
          <w:szCs w:val="16"/>
          <w:lang w:val="pt-BR"/>
        </w:rPr>
        <w:t xml:space="preserve"> </w:t>
      </w:r>
      <w:r w:rsidRPr="002B67FB">
        <w:rPr>
          <w:sz w:val="16"/>
          <w:szCs w:val="16"/>
        </w:rPr>
        <w:t>párr. 301, citando</w:t>
      </w:r>
      <w:r w:rsidRPr="002B67FB">
        <w:rPr>
          <w:i/>
          <w:sz w:val="16"/>
          <w:szCs w:val="16"/>
        </w:rPr>
        <w:t xml:space="preserve"> </w:t>
      </w:r>
      <w:r w:rsidRPr="002B67FB">
        <w:rPr>
          <w:sz w:val="16"/>
          <w:szCs w:val="16"/>
        </w:rPr>
        <w:t xml:space="preserve">el Protocolo de Minnesota, y </w:t>
      </w:r>
      <w:r w:rsidRPr="002B67FB">
        <w:rPr>
          <w:i/>
          <w:sz w:val="16"/>
          <w:szCs w:val="16"/>
          <w:lang w:val="pt-BR"/>
        </w:rPr>
        <w:t>Caso Velásquez Paiz y otros Vs. Guatemala</w:t>
      </w:r>
      <w:r w:rsidRPr="002B67FB">
        <w:rPr>
          <w:sz w:val="16"/>
          <w:szCs w:val="16"/>
          <w:lang w:val="pt-BR"/>
        </w:rPr>
        <w:t xml:space="preserve">, </w:t>
      </w:r>
      <w:r w:rsidRPr="002B67FB">
        <w:rPr>
          <w:i/>
          <w:sz w:val="16"/>
          <w:szCs w:val="16"/>
          <w:lang w:val="pt-BR"/>
        </w:rPr>
        <w:t>supra</w:t>
      </w:r>
      <w:r w:rsidRPr="002B67FB">
        <w:rPr>
          <w:sz w:val="16"/>
          <w:szCs w:val="16"/>
          <w:lang w:val="pt-BR"/>
        </w:rPr>
        <w:t>, párr. 152.</w:t>
      </w:r>
    </w:p>
  </w:footnote>
  <w:footnote w:id="200">
    <w:p w:rsidR="0078681A" w:rsidRPr="002B67FB" w:rsidRDefault="0078681A" w:rsidP="002B67FB">
      <w:pPr>
        <w:tabs>
          <w:tab w:val="left" w:pos="567"/>
        </w:tabs>
        <w:spacing w:after="120" w:line="240" w:lineRule="auto"/>
        <w:rPr>
          <w:b/>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xml:space="preserve"> </w:t>
      </w:r>
      <w:r w:rsidRPr="002B67FB">
        <w:rPr>
          <w:rStyle w:val="Strong"/>
          <w:b w:val="0"/>
          <w:i/>
          <w:sz w:val="16"/>
          <w:szCs w:val="16"/>
        </w:rPr>
        <w:t>Caso Hermanos Landaeta Mejías y otros Vs. Venezuela, supra</w:t>
      </w:r>
      <w:r w:rsidRPr="002B67FB">
        <w:rPr>
          <w:rStyle w:val="Strong"/>
          <w:b w:val="0"/>
          <w:sz w:val="16"/>
          <w:szCs w:val="16"/>
        </w:rPr>
        <w:t>, párr. 254.</w:t>
      </w:r>
    </w:p>
  </w:footnote>
  <w:footnote w:id="201">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ONU, Manual sobre la Prevención e Investigación Efectiva de Ejecuciones Extrajudiciales, Arbitrarias y Sumarias de Naciones Unidas (“Protocolo de Minnesota”), Doc. E/ST/CSDHA/.12 (1991).</w:t>
      </w:r>
    </w:p>
  </w:footnote>
  <w:footnote w:id="202">
    <w:p w:rsidR="0078681A" w:rsidRPr="002B67FB" w:rsidRDefault="0078681A" w:rsidP="002B67FB">
      <w:pPr>
        <w:tabs>
          <w:tab w:val="left" w:pos="567"/>
        </w:tabs>
        <w:spacing w:after="120" w:line="240" w:lineRule="auto"/>
        <w:rPr>
          <w:sz w:val="16"/>
          <w:szCs w:val="16"/>
          <w:lang w:val="es-A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iCs/>
          <w:sz w:val="16"/>
          <w:szCs w:val="16"/>
          <w:lang w:val="es-AR"/>
        </w:rPr>
        <w:t>Cfr.</w:t>
      </w:r>
      <w:r w:rsidRPr="002B67FB">
        <w:rPr>
          <w:i/>
          <w:sz w:val="16"/>
          <w:szCs w:val="16"/>
          <w:lang w:val="es-AR"/>
        </w:rPr>
        <w:t xml:space="preserve"> Caso González y otras (“Campo Algodonero”)</w:t>
      </w:r>
      <w:r w:rsidRPr="002B67FB">
        <w:rPr>
          <w:i/>
          <w:sz w:val="16"/>
          <w:szCs w:val="16"/>
        </w:rPr>
        <w:t xml:space="preserve"> Vs. México</w:t>
      </w:r>
      <w:r w:rsidRPr="002B67FB">
        <w:rPr>
          <w:sz w:val="16"/>
          <w:szCs w:val="16"/>
          <w:lang w:val="es-AR"/>
        </w:rPr>
        <w:t xml:space="preserve">, </w:t>
      </w:r>
      <w:r w:rsidRPr="002B67FB">
        <w:rPr>
          <w:i/>
          <w:sz w:val="16"/>
          <w:szCs w:val="16"/>
          <w:lang w:val="es-AR"/>
        </w:rPr>
        <w:t>supra</w:t>
      </w:r>
      <w:r w:rsidRPr="002B67FB">
        <w:rPr>
          <w:sz w:val="16"/>
          <w:szCs w:val="16"/>
          <w:lang w:val="es-AR"/>
        </w:rPr>
        <w:t>,</w:t>
      </w:r>
      <w:r w:rsidRPr="002B67FB">
        <w:rPr>
          <w:i/>
          <w:sz w:val="16"/>
          <w:szCs w:val="16"/>
          <w:lang w:val="es-AR"/>
        </w:rPr>
        <w:t xml:space="preserve"> </w:t>
      </w:r>
      <w:r w:rsidRPr="002B67FB">
        <w:rPr>
          <w:sz w:val="16"/>
          <w:szCs w:val="16"/>
          <w:lang w:val="es-AR"/>
        </w:rPr>
        <w:t xml:space="preserve">párr. 305, y </w:t>
      </w:r>
      <w:r w:rsidRPr="002B67FB">
        <w:rPr>
          <w:i/>
          <w:sz w:val="16"/>
          <w:szCs w:val="16"/>
          <w:lang w:val="pt-BR"/>
        </w:rPr>
        <w:t>Caso Velásquez Paiz y otros Vs. Guatemala</w:t>
      </w:r>
      <w:r w:rsidRPr="002B67FB">
        <w:rPr>
          <w:sz w:val="16"/>
          <w:szCs w:val="16"/>
          <w:lang w:val="es-AR"/>
        </w:rPr>
        <w:t xml:space="preserve">, </w:t>
      </w:r>
      <w:r w:rsidRPr="002B67FB">
        <w:rPr>
          <w:i/>
          <w:sz w:val="16"/>
          <w:szCs w:val="16"/>
          <w:lang w:val="es-AR"/>
        </w:rPr>
        <w:t>supra</w:t>
      </w:r>
      <w:r w:rsidRPr="002B67FB">
        <w:rPr>
          <w:sz w:val="16"/>
          <w:szCs w:val="16"/>
          <w:lang w:val="pt-BR"/>
        </w:rPr>
        <w:t>,</w:t>
      </w:r>
      <w:r w:rsidRPr="002B67FB">
        <w:rPr>
          <w:sz w:val="16"/>
          <w:szCs w:val="16"/>
          <w:lang w:val="es-AR"/>
        </w:rPr>
        <w:t xml:space="preserve"> párr. 153.</w:t>
      </w:r>
    </w:p>
  </w:footnote>
  <w:footnote w:id="203">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Acta de Inspección Ocular N° 649 de 15 de febrero de 1998 (expediente de prueba, tomo XV, anexo a la contestación del Estado, folios 4901 a 4905).</w:t>
      </w:r>
    </w:p>
  </w:footnote>
  <w:footnote w:id="204">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Acta de Inspección Ocular N° 650 de 15 de febrero de 1998 (expediente de prueba, tomo XV, anexo a la contestación del Estado, folio 4906); Declaración testimonial rendida por Camilo Alexander Bonilla Cárdenas ante la Fiscalía Séptima (7°) del estado de Táchira</w:t>
      </w:r>
      <w:r w:rsidRPr="002B67FB" w:rsidDel="0032528A">
        <w:rPr>
          <w:sz w:val="16"/>
          <w:szCs w:val="16"/>
        </w:rPr>
        <w:t xml:space="preserve"> </w:t>
      </w:r>
      <w:r w:rsidRPr="002B67FB">
        <w:rPr>
          <w:sz w:val="16"/>
          <w:szCs w:val="16"/>
        </w:rPr>
        <w:t>el 8 de mayo de 2003 (expediente de prueba, tomo XXXII, anexo a la contestación del Estado, folios 8969 a 8970), y Declaración rendida por Ana Cecilia Rincón Bracho ante la Fiscalía Séptima (7°) del estado de Táchira el 20 de mayo de 2003 (expediente de prueba, tomo XXXI, anexo a la contestación del Estado, folios 8858 a 8868).</w:t>
      </w:r>
    </w:p>
  </w:footnote>
  <w:footnote w:id="205">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Declaración rendida por Fidel Camilo Rodríguez Barrolleta ante el Juzgado Militar de Primera Instancia Permanente de Guasdualito el 23 de marzo de 1998 (expediente de prueba, tomo XV, anexo a la contestación del Estado, folios 4865 a 4866).</w:t>
      </w:r>
    </w:p>
  </w:footnote>
  <w:footnote w:id="206">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Declaración rendida por Ana Cecilia Rincón Bracho ante la Fiscalía Séptima (7°) del estado de Táchira el 20 de mayo de 2003 (expediente de prueba, tomo XXXI, anexo a la contestación del Estado, folios 8858 a 8868).</w:t>
      </w:r>
    </w:p>
  </w:footnote>
  <w:footnote w:id="207">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Declaración rendida por Celmira Ruiz Velasco ante la Fiscalía Séptima (7°) del estado de Táchira</w:t>
      </w:r>
      <w:r w:rsidRPr="002B67FB" w:rsidDel="00212B46">
        <w:rPr>
          <w:sz w:val="16"/>
          <w:szCs w:val="16"/>
        </w:rPr>
        <w:t xml:space="preserve"> </w:t>
      </w:r>
      <w:r w:rsidRPr="002B67FB">
        <w:rPr>
          <w:sz w:val="16"/>
          <w:szCs w:val="16"/>
        </w:rPr>
        <w:t>el 25 de septiembre de 2003 (expediente de prueba, tomo XXXII, anexo a la contestación del Estado, folio 9041).</w:t>
      </w:r>
    </w:p>
  </w:footnote>
  <w:footnote w:id="208">
    <w:p w:rsidR="0078681A" w:rsidRPr="002B67FB" w:rsidRDefault="0078681A" w:rsidP="002B67FB">
      <w:pPr>
        <w:tabs>
          <w:tab w:val="left" w:pos="567"/>
        </w:tabs>
        <w:spacing w:after="120" w:line="240" w:lineRule="auto"/>
        <w:rPr>
          <w:bCs/>
          <w:sz w:val="16"/>
          <w:szCs w:val="16"/>
          <w:lang w:val="es-A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xml:space="preserve">. </w:t>
      </w:r>
      <w:r w:rsidRPr="002B67FB">
        <w:rPr>
          <w:i/>
          <w:sz w:val="16"/>
          <w:szCs w:val="16"/>
        </w:rPr>
        <w:t>Caso Cantoral Huamaní y García Santa Cruz</w:t>
      </w:r>
      <w:r w:rsidRPr="002B67FB">
        <w:rPr>
          <w:sz w:val="16"/>
          <w:szCs w:val="16"/>
          <w:lang w:val="es-AR"/>
        </w:rPr>
        <w:t xml:space="preserve">, </w:t>
      </w:r>
      <w:r w:rsidRPr="002B67FB">
        <w:rPr>
          <w:i/>
          <w:sz w:val="16"/>
          <w:szCs w:val="16"/>
          <w:lang w:val="es-AR"/>
        </w:rPr>
        <w:t>supra</w:t>
      </w:r>
      <w:r w:rsidRPr="002B67FB">
        <w:rPr>
          <w:i/>
          <w:sz w:val="16"/>
          <w:szCs w:val="16"/>
        </w:rPr>
        <w:t xml:space="preserve">, </w:t>
      </w:r>
      <w:r w:rsidRPr="002B67FB">
        <w:rPr>
          <w:sz w:val="16"/>
          <w:szCs w:val="16"/>
        </w:rPr>
        <w:t xml:space="preserve">párr. 87, y </w:t>
      </w:r>
      <w:r w:rsidRPr="002B67FB">
        <w:rPr>
          <w:rFonts w:cs="Courier New"/>
          <w:i/>
          <w:noProof/>
          <w:sz w:val="16"/>
          <w:szCs w:val="16"/>
          <w:lang w:val="es-AR"/>
        </w:rPr>
        <w:t>Caso Velásquez Paiz y otros Vs. Guatemala</w:t>
      </w:r>
      <w:r w:rsidRPr="002B67FB">
        <w:rPr>
          <w:sz w:val="16"/>
          <w:szCs w:val="16"/>
          <w:lang w:val="es-AR"/>
        </w:rPr>
        <w:t xml:space="preserve">, </w:t>
      </w:r>
      <w:r w:rsidRPr="002B67FB">
        <w:rPr>
          <w:i/>
          <w:sz w:val="16"/>
          <w:szCs w:val="16"/>
          <w:lang w:val="es-AR"/>
        </w:rPr>
        <w:t>supra</w:t>
      </w:r>
      <w:r w:rsidRPr="002B67FB">
        <w:rPr>
          <w:rFonts w:cs="Courier New"/>
          <w:noProof/>
          <w:sz w:val="16"/>
          <w:szCs w:val="16"/>
          <w:lang w:val="es-AR"/>
        </w:rPr>
        <w:t>, párr. 169.</w:t>
      </w:r>
    </w:p>
  </w:footnote>
  <w:footnote w:id="209">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 xml:space="preserve">Cfr. </w:t>
      </w:r>
      <w:r w:rsidRPr="002B67FB">
        <w:rPr>
          <w:sz w:val="16"/>
          <w:szCs w:val="16"/>
        </w:rPr>
        <w:t>Acta de diferimiento de Audiencia con solicitud de captura emitida por el Tribunal Penal de Primera Instancia Estadal en funciones de Control el 19 de agosto de 2013 (expediente de prueba, tomo XXXVIII, anexo a la contestación del Estado, folios 10472 a 10473).</w:t>
      </w:r>
    </w:p>
  </w:footnote>
  <w:footnote w:id="210">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Oficio N° 20-F20-2641-2015 emitido por la Fiscalía 20° del Ministerio Público de la circunscripción Judicial del estado de Táchira el 18 de agosto de 2015 (expediente de prueba, tomo XXXVIII, anexo a la contestación del Estado, folio 10506).</w:t>
      </w:r>
    </w:p>
  </w:footnote>
  <w:footnote w:id="211">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 xml:space="preserve">Cfr. </w:t>
      </w:r>
      <w:r w:rsidRPr="002B67FB">
        <w:rPr>
          <w:sz w:val="16"/>
          <w:szCs w:val="16"/>
        </w:rPr>
        <w:t>Declaración rendida por Marelvis Mejía Molina ante la Corte Interamericana en la audiencia pública celebrada el 9 de febrero de 2017.</w:t>
      </w:r>
    </w:p>
  </w:footnote>
  <w:footnote w:id="212">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El artículo 5.1 de la Convención dispone que: “[t]oda persona tiene derecho a que se respete su integridad física, psíquica y moral”.</w:t>
      </w:r>
    </w:p>
  </w:footnote>
  <w:footnote w:id="213">
    <w:p w:rsidR="0078681A" w:rsidRPr="002B67FB" w:rsidRDefault="0078681A" w:rsidP="002B67FB">
      <w:pPr>
        <w:tabs>
          <w:tab w:val="left" w:pos="567"/>
        </w:tabs>
        <w:spacing w:after="120" w:line="240" w:lineRule="auto"/>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xml:space="preserve"> Declaración rendida por Zaida Hernández de Arellano ante la Corte Interamericana en la audiencia pública celebrada el 9 de febrero de 2017; Declaración rendida por Edgar Humberto Ortiz Ruiz ante la Corte Interamericana en la audiencia pública celebrada el 9 de febrero de 2017, e Informe psiquiátrico de 18 de mayo de 2015 (expediente de prueba, tomo XIII, anexo 20 al escrito de solicitudes, argumentos y prueba, folios 4517 a 4529).</w:t>
      </w:r>
    </w:p>
  </w:footnote>
  <w:footnote w:id="214">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lang w:val="es-CR"/>
        </w:rPr>
        <w:t xml:space="preserve"> </w:t>
      </w:r>
      <w:r w:rsidRPr="002B67FB">
        <w:rPr>
          <w:sz w:val="16"/>
          <w:szCs w:val="16"/>
          <w:lang w:val="es-CR"/>
        </w:rPr>
        <w:tab/>
      </w:r>
      <w:r w:rsidRPr="002B67FB">
        <w:rPr>
          <w:i/>
          <w:sz w:val="16"/>
          <w:szCs w:val="16"/>
          <w:lang w:val="es-CR"/>
        </w:rPr>
        <w:t>Cfr.</w:t>
      </w:r>
      <w:r w:rsidRPr="002B67FB">
        <w:rPr>
          <w:sz w:val="16"/>
          <w:szCs w:val="16"/>
          <w:lang w:val="es-CR"/>
        </w:rPr>
        <w:t xml:space="preserve"> Declaración rendida por </w:t>
      </w:r>
      <w:r w:rsidRPr="002B67FB">
        <w:rPr>
          <w:sz w:val="16"/>
          <w:szCs w:val="16"/>
        </w:rPr>
        <w:t xml:space="preserve">Zaida Hernández de Arellano </w:t>
      </w:r>
      <w:r w:rsidRPr="002B67FB">
        <w:rPr>
          <w:sz w:val="16"/>
          <w:szCs w:val="16"/>
          <w:lang w:val="es-CR"/>
        </w:rPr>
        <w:t xml:space="preserve">ante la Corte Interamericana en la audiencia pública celebrada el 9 de febrero de 2017; Declaración rendida ante fedatario público por Zaida Dariana Arellano Hernández el 26 de enero de 2017 (expediente de prueba, tomo XLII, </w:t>
      </w:r>
      <w:r w:rsidRPr="00C36D4A">
        <w:rPr>
          <w:sz w:val="16"/>
          <w:szCs w:val="16"/>
          <w:lang w:val="es-CR"/>
        </w:rPr>
        <w:t>affidávits</w:t>
      </w:r>
      <w:r w:rsidRPr="002B67FB">
        <w:rPr>
          <w:sz w:val="16"/>
          <w:szCs w:val="16"/>
          <w:lang w:val="es-CR"/>
        </w:rPr>
        <w:t xml:space="preserve">, folio 10774 a 10775), e </w:t>
      </w:r>
      <w:r w:rsidRPr="002B67FB">
        <w:rPr>
          <w:sz w:val="16"/>
          <w:szCs w:val="16"/>
        </w:rPr>
        <w:t>Informe socio-económico y familiar emitido por el Licenciado Frank Félix Sosa el 4 de agosto de 2015 (expediente de prueba, tomo XIII, anexo 21 al escrito de solicitudes, argumentos y prueba, folios 4539 a 4540)</w:t>
      </w:r>
      <w:r w:rsidRPr="002B67FB">
        <w:rPr>
          <w:sz w:val="16"/>
          <w:szCs w:val="16"/>
          <w:lang w:val="es-CR"/>
        </w:rPr>
        <w:t>.</w:t>
      </w:r>
    </w:p>
  </w:footnote>
  <w:footnote w:id="215">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lang w:val="es-CR"/>
        </w:rPr>
        <w:t xml:space="preserve"> </w:t>
      </w:r>
      <w:r w:rsidRPr="002B67FB">
        <w:rPr>
          <w:sz w:val="16"/>
          <w:szCs w:val="16"/>
          <w:lang w:val="es-CR"/>
        </w:rPr>
        <w:tab/>
      </w:r>
      <w:r w:rsidRPr="002B67FB">
        <w:rPr>
          <w:i/>
          <w:sz w:val="16"/>
          <w:szCs w:val="16"/>
          <w:lang w:val="es-CR"/>
        </w:rPr>
        <w:t>Cfr.</w:t>
      </w:r>
      <w:r w:rsidRPr="002B67FB">
        <w:rPr>
          <w:sz w:val="16"/>
          <w:szCs w:val="16"/>
          <w:lang w:val="es-CR"/>
        </w:rPr>
        <w:t xml:space="preserve"> Declaración rendida ante fedatario público por Zaida Dariana Arellano Hernández el 26 de enero de 2017 (expediente de prueba, tomo XLII, </w:t>
      </w:r>
      <w:r w:rsidRPr="00C36D4A">
        <w:rPr>
          <w:sz w:val="16"/>
          <w:szCs w:val="16"/>
          <w:lang w:val="es-CR"/>
        </w:rPr>
        <w:t>affidávits</w:t>
      </w:r>
      <w:r w:rsidRPr="002B67FB">
        <w:rPr>
          <w:sz w:val="16"/>
          <w:szCs w:val="16"/>
          <w:lang w:val="es-CR"/>
        </w:rPr>
        <w:t>, folio 10773).</w:t>
      </w:r>
    </w:p>
  </w:footnote>
  <w:footnote w:id="216">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lang w:val="es-CR"/>
        </w:rPr>
        <w:t xml:space="preserve"> </w:t>
      </w:r>
      <w:r w:rsidRPr="002B67FB">
        <w:rPr>
          <w:sz w:val="16"/>
          <w:szCs w:val="16"/>
          <w:lang w:val="es-CR"/>
        </w:rPr>
        <w:tab/>
      </w:r>
      <w:r w:rsidRPr="002B67FB">
        <w:rPr>
          <w:i/>
          <w:sz w:val="16"/>
          <w:szCs w:val="16"/>
          <w:lang w:val="es-CR"/>
        </w:rPr>
        <w:t>Cfr.</w:t>
      </w:r>
      <w:r w:rsidRPr="002B67FB">
        <w:rPr>
          <w:sz w:val="16"/>
          <w:szCs w:val="16"/>
          <w:lang w:val="es-CR"/>
        </w:rPr>
        <w:t xml:space="preserve"> Declaración rendida por Edgar Humberto Ortiz Ruiz ante la Corte Interamericana en la audiencia pública celebrada el 9 de febrero de 2017, y Declaración rendida ante fedatario público por Jeckson Edgardo Ortiz González el 26 de enero de 2017 (expediente de prueba, tomo XLII, </w:t>
      </w:r>
      <w:r w:rsidRPr="00C36D4A">
        <w:rPr>
          <w:sz w:val="16"/>
          <w:szCs w:val="16"/>
          <w:lang w:val="es-CR"/>
        </w:rPr>
        <w:t>affidávits</w:t>
      </w:r>
      <w:r w:rsidRPr="002B67FB">
        <w:rPr>
          <w:sz w:val="16"/>
          <w:szCs w:val="16"/>
          <w:lang w:val="es-CR"/>
        </w:rPr>
        <w:t>, folio 10779).</w:t>
      </w:r>
    </w:p>
  </w:footnote>
  <w:footnote w:id="217">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lang w:val="es-CR"/>
        </w:rPr>
        <w:t xml:space="preserve"> </w:t>
      </w:r>
      <w:r w:rsidRPr="002B67FB">
        <w:rPr>
          <w:sz w:val="16"/>
          <w:szCs w:val="16"/>
          <w:lang w:val="es-CR"/>
        </w:rPr>
        <w:tab/>
        <w:t>Declaración rendida por Edgar Humberto Ortiz Ruiz ante la Corte Interamericana en la audiencia pública celebrada el 9 de febrero de 2017.</w:t>
      </w:r>
    </w:p>
  </w:footnote>
  <w:footnote w:id="218">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lang w:val="es-CR"/>
        </w:rPr>
        <w:t xml:space="preserve"> </w:t>
      </w:r>
      <w:r w:rsidRPr="002B67FB">
        <w:rPr>
          <w:sz w:val="16"/>
          <w:szCs w:val="16"/>
          <w:lang w:val="es-CR"/>
        </w:rPr>
        <w:tab/>
      </w:r>
      <w:r w:rsidRPr="002B67FB">
        <w:rPr>
          <w:i/>
          <w:sz w:val="16"/>
          <w:szCs w:val="16"/>
          <w:lang w:val="es-CR"/>
        </w:rPr>
        <w:t>Cfr.</w:t>
      </w:r>
      <w:r w:rsidRPr="002B67FB">
        <w:rPr>
          <w:sz w:val="16"/>
          <w:szCs w:val="16"/>
          <w:lang w:val="es-CR"/>
        </w:rPr>
        <w:t xml:space="preserve"> Declaración rendida ante fedatario público por Zaida Dariana Arellano Hernández el 26 de enero de 2017 (expediente de prueba, tomo XLII, </w:t>
      </w:r>
      <w:r w:rsidRPr="00C36D4A">
        <w:rPr>
          <w:sz w:val="16"/>
          <w:szCs w:val="16"/>
          <w:lang w:val="es-CR"/>
        </w:rPr>
        <w:t>affidávits</w:t>
      </w:r>
      <w:r w:rsidRPr="002B67FB">
        <w:rPr>
          <w:sz w:val="16"/>
          <w:szCs w:val="16"/>
          <w:lang w:val="es-CR"/>
        </w:rPr>
        <w:t>, folio 10773).</w:t>
      </w:r>
    </w:p>
  </w:footnote>
  <w:footnote w:id="219">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lang w:val="es-CR"/>
        </w:rPr>
        <w:t xml:space="preserve"> </w:t>
      </w:r>
      <w:r w:rsidRPr="002B67FB">
        <w:rPr>
          <w:sz w:val="16"/>
          <w:szCs w:val="16"/>
          <w:lang w:val="es-CR"/>
        </w:rPr>
        <w:tab/>
      </w:r>
      <w:r w:rsidRPr="002B67FB">
        <w:rPr>
          <w:i/>
          <w:sz w:val="16"/>
          <w:szCs w:val="16"/>
          <w:lang w:val="es-CR"/>
        </w:rPr>
        <w:t>Cfr.</w:t>
      </w:r>
      <w:r w:rsidRPr="002B67FB">
        <w:rPr>
          <w:sz w:val="16"/>
          <w:szCs w:val="16"/>
          <w:lang w:val="es-CR"/>
        </w:rPr>
        <w:t xml:space="preserve"> Declaración rendida ante fedatario público por Jeckson Edgardo Ortiz González el 26 de enero de 2017 (expediente de prueba, tomo XLII, </w:t>
      </w:r>
      <w:r w:rsidRPr="00C36D4A">
        <w:rPr>
          <w:sz w:val="16"/>
          <w:szCs w:val="16"/>
          <w:lang w:val="es-CR"/>
        </w:rPr>
        <w:t>affidávits</w:t>
      </w:r>
      <w:r w:rsidRPr="002B67FB">
        <w:rPr>
          <w:sz w:val="16"/>
          <w:szCs w:val="16"/>
          <w:lang w:val="es-CR"/>
        </w:rPr>
        <w:t>, folio 10779).</w:t>
      </w:r>
    </w:p>
  </w:footnote>
  <w:footnote w:id="220">
    <w:p w:rsidR="0078681A" w:rsidRPr="002B67FB" w:rsidRDefault="0078681A" w:rsidP="002B67FB">
      <w:pPr>
        <w:pStyle w:val="FootnoteText"/>
        <w:tabs>
          <w:tab w:val="left" w:pos="567"/>
        </w:tabs>
        <w:spacing w:after="120"/>
        <w:rPr>
          <w:sz w:val="16"/>
          <w:szCs w:val="16"/>
          <w:lang w:val="es-ES"/>
        </w:rPr>
      </w:pPr>
      <w:r w:rsidRPr="002B67FB">
        <w:rPr>
          <w:rStyle w:val="FootnoteReference"/>
          <w:sz w:val="16"/>
          <w:szCs w:val="16"/>
          <w:lang w:val="es-ES"/>
        </w:rPr>
        <w:footnoteRef/>
      </w:r>
      <w:r w:rsidRPr="002B67FB">
        <w:rPr>
          <w:sz w:val="16"/>
          <w:szCs w:val="16"/>
          <w:lang w:val="es-ES"/>
        </w:rPr>
        <w:t xml:space="preserve"> </w:t>
      </w:r>
      <w:r w:rsidRPr="002B67FB">
        <w:rPr>
          <w:sz w:val="16"/>
          <w:szCs w:val="16"/>
          <w:lang w:val="es-ES"/>
        </w:rPr>
        <w:tab/>
        <w:t>El artículo 63.1 de la Convención dispone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221">
    <w:p w:rsidR="0078681A" w:rsidRPr="002B67FB" w:rsidRDefault="0078681A" w:rsidP="002B67FB">
      <w:pPr>
        <w:tabs>
          <w:tab w:val="left" w:pos="567"/>
        </w:tabs>
        <w:spacing w:after="120" w:line="240" w:lineRule="auto"/>
        <w:rPr>
          <w:bCs/>
          <w:i/>
          <w:sz w:val="16"/>
          <w:szCs w:val="16"/>
        </w:rPr>
      </w:pPr>
      <w:r w:rsidRPr="002B67FB">
        <w:rPr>
          <w:rStyle w:val="FootnoteReference"/>
          <w:sz w:val="16"/>
          <w:szCs w:val="16"/>
          <w:lang w:val="es-ES"/>
        </w:rPr>
        <w:footnoteRef/>
      </w:r>
      <w:r w:rsidRPr="002B67FB">
        <w:rPr>
          <w:sz w:val="16"/>
          <w:szCs w:val="16"/>
          <w:lang w:val="es-ES"/>
        </w:rPr>
        <w:t xml:space="preserve"> </w:t>
      </w:r>
      <w:r w:rsidRPr="002B67FB">
        <w:rPr>
          <w:sz w:val="16"/>
          <w:szCs w:val="16"/>
          <w:lang w:val="es-ES"/>
        </w:rPr>
        <w:tab/>
      </w:r>
      <w:r w:rsidRPr="002B67FB">
        <w:rPr>
          <w:i/>
          <w:sz w:val="16"/>
          <w:szCs w:val="16"/>
          <w:lang w:val="es-ES"/>
        </w:rPr>
        <w:t>Cfr.</w:t>
      </w:r>
      <w:r w:rsidRPr="002B67FB">
        <w:rPr>
          <w:bCs/>
          <w:i/>
          <w:sz w:val="16"/>
          <w:szCs w:val="16"/>
          <w:lang w:val="es-ES"/>
        </w:rPr>
        <w:t xml:space="preserve"> Caso Velásquez Rodríguez Vs. Honduras. </w:t>
      </w:r>
      <w:r w:rsidRPr="002B67FB">
        <w:rPr>
          <w:i/>
          <w:sz w:val="16"/>
          <w:szCs w:val="16"/>
          <w:lang w:val="es-ES"/>
        </w:rPr>
        <w:t>Reparaciones y Costas</w:t>
      </w:r>
      <w:r w:rsidRPr="002B67FB">
        <w:rPr>
          <w:sz w:val="16"/>
          <w:szCs w:val="16"/>
          <w:lang w:val="es-ES"/>
        </w:rPr>
        <w:t xml:space="preserve">. Sentencia de 21 de julio de 1989. Serie C No. 7, párr. 25, y </w:t>
      </w:r>
      <w:r w:rsidRPr="002B67FB">
        <w:rPr>
          <w:bCs/>
          <w:i/>
          <w:sz w:val="16"/>
          <w:szCs w:val="16"/>
        </w:rPr>
        <w:t>Caso Acosta y otros Vs. Nicaragua, supra</w:t>
      </w:r>
      <w:r w:rsidRPr="002B67FB">
        <w:rPr>
          <w:bCs/>
          <w:sz w:val="16"/>
          <w:szCs w:val="16"/>
        </w:rPr>
        <w:t>, párr. 209.</w:t>
      </w:r>
    </w:p>
  </w:footnote>
  <w:footnote w:id="222">
    <w:p w:rsidR="0078681A" w:rsidRPr="002B67FB" w:rsidRDefault="0078681A" w:rsidP="002B67FB">
      <w:pPr>
        <w:tabs>
          <w:tab w:val="left" w:pos="567"/>
        </w:tabs>
        <w:spacing w:after="120" w:line="240" w:lineRule="auto"/>
        <w:rPr>
          <w:sz w:val="16"/>
          <w:szCs w:val="16"/>
          <w:lang w:val="es-ES"/>
        </w:rPr>
      </w:pPr>
      <w:r w:rsidRPr="002B67FB">
        <w:rPr>
          <w:rStyle w:val="FootnoteReference"/>
          <w:rFonts w:eastAsia="MS Mincho"/>
          <w:sz w:val="16"/>
          <w:szCs w:val="16"/>
          <w:lang w:val="es-ES"/>
        </w:rPr>
        <w:footnoteRef/>
      </w:r>
      <w:r w:rsidRPr="002B67FB">
        <w:rPr>
          <w:sz w:val="16"/>
          <w:szCs w:val="16"/>
          <w:lang w:val="es-ES"/>
        </w:rPr>
        <w:t xml:space="preserve"> </w:t>
      </w:r>
      <w:r w:rsidRPr="002B67FB">
        <w:rPr>
          <w:sz w:val="16"/>
          <w:szCs w:val="16"/>
          <w:lang w:val="es-ES"/>
        </w:rPr>
        <w:tab/>
      </w:r>
      <w:r w:rsidRPr="002B67FB">
        <w:rPr>
          <w:i/>
          <w:sz w:val="16"/>
          <w:szCs w:val="16"/>
          <w:lang w:val="es-ES"/>
        </w:rPr>
        <w:t>Cfr.</w:t>
      </w:r>
      <w:r w:rsidRPr="002B67FB">
        <w:rPr>
          <w:bCs/>
          <w:i/>
          <w:sz w:val="16"/>
          <w:szCs w:val="16"/>
          <w:lang w:val="es-ES"/>
        </w:rPr>
        <w:t xml:space="preserve"> Caso Velásquez Rodríguez Vs. Honduras. </w:t>
      </w:r>
      <w:r w:rsidRPr="002B67FB">
        <w:rPr>
          <w:i/>
          <w:sz w:val="16"/>
          <w:szCs w:val="16"/>
          <w:lang w:val="es-ES"/>
        </w:rPr>
        <w:t>Reparaciones y Costas</w:t>
      </w:r>
      <w:r w:rsidRPr="002B67FB">
        <w:rPr>
          <w:sz w:val="16"/>
          <w:szCs w:val="16"/>
          <w:lang w:val="pt-BR"/>
        </w:rPr>
        <w:t xml:space="preserve">, </w:t>
      </w:r>
      <w:r w:rsidRPr="002B67FB">
        <w:rPr>
          <w:i/>
          <w:sz w:val="16"/>
          <w:szCs w:val="16"/>
          <w:lang w:val="pt-BR"/>
        </w:rPr>
        <w:t>supra</w:t>
      </w:r>
      <w:r w:rsidRPr="002B67FB">
        <w:rPr>
          <w:sz w:val="16"/>
          <w:szCs w:val="16"/>
          <w:lang w:val="es-ES"/>
        </w:rPr>
        <w:t xml:space="preserve">, párr. 26, y </w:t>
      </w:r>
      <w:r w:rsidRPr="002B67FB">
        <w:rPr>
          <w:bCs/>
          <w:i/>
          <w:sz w:val="16"/>
          <w:szCs w:val="16"/>
          <w:lang w:val="es-ES"/>
        </w:rPr>
        <w:t>Caso Acosta y otros Vs. Nicaragua</w:t>
      </w:r>
      <w:r w:rsidRPr="002B67FB">
        <w:rPr>
          <w:sz w:val="16"/>
          <w:szCs w:val="16"/>
          <w:lang w:val="pt-BR"/>
        </w:rPr>
        <w:t xml:space="preserve">, </w:t>
      </w:r>
      <w:r w:rsidRPr="002B67FB">
        <w:rPr>
          <w:i/>
          <w:sz w:val="16"/>
          <w:szCs w:val="16"/>
          <w:lang w:val="pt-BR"/>
        </w:rPr>
        <w:t>supra</w:t>
      </w:r>
      <w:r w:rsidRPr="002B67FB">
        <w:rPr>
          <w:bCs/>
          <w:i/>
          <w:sz w:val="16"/>
          <w:szCs w:val="16"/>
          <w:lang w:val="es-ES"/>
        </w:rPr>
        <w:t xml:space="preserve">, </w:t>
      </w:r>
      <w:r w:rsidRPr="002B67FB">
        <w:rPr>
          <w:bCs/>
          <w:sz w:val="16"/>
          <w:szCs w:val="16"/>
          <w:lang w:val="es-ES"/>
        </w:rPr>
        <w:t>párr. 210</w:t>
      </w:r>
      <w:r w:rsidRPr="002B67FB">
        <w:rPr>
          <w:sz w:val="16"/>
          <w:szCs w:val="16"/>
          <w:lang w:val="es-ES"/>
        </w:rPr>
        <w:t>.</w:t>
      </w:r>
    </w:p>
  </w:footnote>
  <w:footnote w:id="223">
    <w:p w:rsidR="0078681A" w:rsidRPr="002B67FB" w:rsidRDefault="0078681A" w:rsidP="002B67FB">
      <w:pPr>
        <w:tabs>
          <w:tab w:val="left" w:pos="567"/>
        </w:tabs>
        <w:spacing w:after="120" w:line="240" w:lineRule="auto"/>
        <w:rPr>
          <w:rFonts w:cs="Courier New"/>
          <w:bCs/>
          <w:noProof/>
          <w:sz w:val="16"/>
          <w:szCs w:val="16"/>
          <w:lang w:val="pt-BR"/>
        </w:rPr>
      </w:pPr>
      <w:r w:rsidRPr="002B67FB">
        <w:rPr>
          <w:rStyle w:val="FootnoteReference"/>
          <w:sz w:val="16"/>
          <w:szCs w:val="16"/>
          <w:lang w:val="es-ES"/>
        </w:rPr>
        <w:footnoteRef/>
      </w:r>
      <w:r w:rsidRPr="002B67FB">
        <w:rPr>
          <w:sz w:val="16"/>
          <w:szCs w:val="16"/>
          <w:lang w:val="es-ES"/>
        </w:rPr>
        <w:t xml:space="preserve"> </w:t>
      </w:r>
      <w:r w:rsidRPr="002B67FB">
        <w:rPr>
          <w:sz w:val="16"/>
          <w:szCs w:val="16"/>
          <w:lang w:val="es-ES"/>
        </w:rPr>
        <w:tab/>
      </w:r>
      <w:r w:rsidRPr="002B67FB">
        <w:rPr>
          <w:i/>
          <w:sz w:val="16"/>
          <w:szCs w:val="16"/>
          <w:lang w:val="es-ES"/>
        </w:rPr>
        <w:t>Cfr.</w:t>
      </w:r>
      <w:r w:rsidRPr="002B67FB">
        <w:rPr>
          <w:bCs/>
          <w:i/>
          <w:sz w:val="16"/>
          <w:szCs w:val="16"/>
          <w:lang w:val="es-ES"/>
        </w:rPr>
        <w:t xml:space="preserve"> Caso Cantoral Benavides Vs. Perú. </w:t>
      </w:r>
      <w:r w:rsidRPr="002B67FB">
        <w:rPr>
          <w:i/>
          <w:sz w:val="16"/>
          <w:szCs w:val="16"/>
          <w:lang w:val="es-ES"/>
        </w:rPr>
        <w:t>Reparaciones y Costas</w:t>
      </w:r>
      <w:r w:rsidRPr="002B67FB">
        <w:rPr>
          <w:sz w:val="16"/>
          <w:szCs w:val="16"/>
          <w:lang w:val="es-ES"/>
        </w:rPr>
        <w:t xml:space="preserve">. Sentencia de 3 de diciembre de 2001. Serie C No. 88, párrs. 79 a 81, y </w:t>
      </w:r>
      <w:r w:rsidRPr="002B67FB">
        <w:rPr>
          <w:rFonts w:cs="Courier New"/>
          <w:bCs/>
          <w:i/>
          <w:noProof/>
          <w:sz w:val="16"/>
          <w:szCs w:val="16"/>
          <w:lang w:val="pt-BR"/>
        </w:rPr>
        <w:t xml:space="preserve">Caso Vásquez Durand y otros Vs. Ecuador. Excepciones Preliminares, Fondo, Reparaciones y Costas. </w:t>
      </w:r>
      <w:r w:rsidRPr="002B67FB">
        <w:rPr>
          <w:rFonts w:cs="Courier New"/>
          <w:bCs/>
          <w:noProof/>
          <w:sz w:val="16"/>
          <w:szCs w:val="16"/>
          <w:lang w:val="pt-BR"/>
        </w:rPr>
        <w:t>Sentencia de 15 de febrero de 2017. Serie C No. 332, párr. 187.</w:t>
      </w:r>
    </w:p>
  </w:footnote>
  <w:footnote w:id="224">
    <w:p w:rsidR="0078681A" w:rsidRPr="002B67FB" w:rsidRDefault="0078681A" w:rsidP="002B67FB">
      <w:pPr>
        <w:tabs>
          <w:tab w:val="left" w:pos="567"/>
        </w:tabs>
        <w:spacing w:after="120" w:line="240" w:lineRule="auto"/>
        <w:rPr>
          <w:bCs/>
          <w:sz w:val="16"/>
          <w:szCs w:val="16"/>
        </w:rPr>
      </w:pPr>
      <w:r w:rsidRPr="002B67FB">
        <w:rPr>
          <w:rStyle w:val="FootnoteReference"/>
          <w:sz w:val="16"/>
          <w:szCs w:val="16"/>
          <w:lang w:val="es-ES"/>
        </w:rPr>
        <w:footnoteRef/>
      </w:r>
      <w:r w:rsidRPr="002B67FB">
        <w:rPr>
          <w:sz w:val="16"/>
          <w:szCs w:val="16"/>
          <w:lang w:val="es-ES"/>
        </w:rPr>
        <w:t xml:space="preserve"> </w:t>
      </w:r>
      <w:r w:rsidRPr="002B67FB">
        <w:rPr>
          <w:sz w:val="16"/>
          <w:szCs w:val="16"/>
          <w:lang w:val="es-ES"/>
        </w:rPr>
        <w:tab/>
      </w:r>
      <w:r w:rsidRPr="002B67FB">
        <w:rPr>
          <w:i/>
          <w:sz w:val="16"/>
          <w:szCs w:val="16"/>
          <w:lang w:val="es-ES"/>
        </w:rPr>
        <w:t xml:space="preserve">Cfr. Caso Ticona Estrada Vs. Bolivia. </w:t>
      </w:r>
      <w:r w:rsidRPr="002B67FB">
        <w:rPr>
          <w:i/>
          <w:sz w:val="16"/>
          <w:szCs w:val="16"/>
          <w:lang w:val="pt-BR"/>
        </w:rPr>
        <w:t xml:space="preserve">Fondo, Reparaciones y Costas. </w:t>
      </w:r>
      <w:r w:rsidRPr="002B67FB">
        <w:rPr>
          <w:sz w:val="16"/>
          <w:szCs w:val="16"/>
          <w:lang w:val="pt-BR"/>
        </w:rPr>
        <w:t xml:space="preserve">Sentencia de 27 de noviembre de 2008. Serie C No. 191, párr. 110, y </w:t>
      </w:r>
      <w:r w:rsidRPr="002B67FB">
        <w:rPr>
          <w:bCs/>
          <w:i/>
          <w:sz w:val="16"/>
          <w:szCs w:val="16"/>
        </w:rPr>
        <w:t>Caso Acosta y otros Vs. Nicaragua, supra</w:t>
      </w:r>
      <w:r w:rsidRPr="002B67FB">
        <w:rPr>
          <w:bCs/>
          <w:sz w:val="16"/>
          <w:szCs w:val="16"/>
        </w:rPr>
        <w:t>, párr. 210.</w:t>
      </w:r>
    </w:p>
  </w:footnote>
  <w:footnote w:id="225">
    <w:p w:rsidR="0078681A" w:rsidRPr="002B67FB" w:rsidRDefault="0078681A" w:rsidP="002B67FB">
      <w:pPr>
        <w:tabs>
          <w:tab w:val="left" w:pos="567"/>
        </w:tabs>
        <w:spacing w:after="120" w:line="240" w:lineRule="auto"/>
        <w:rPr>
          <w:bCs/>
          <w:i/>
          <w:sz w:val="16"/>
          <w:szCs w:val="16"/>
        </w:rPr>
      </w:pPr>
      <w:r w:rsidRPr="002B67FB">
        <w:rPr>
          <w:rStyle w:val="FootnoteReference"/>
          <w:sz w:val="16"/>
          <w:szCs w:val="16"/>
        </w:rPr>
        <w:footnoteRef/>
      </w:r>
      <w:r w:rsidRPr="002B67FB">
        <w:rPr>
          <w:rFonts w:cs="Verdana"/>
          <w:bCs/>
          <w:i/>
          <w:sz w:val="16"/>
          <w:szCs w:val="16"/>
        </w:rPr>
        <w:tab/>
      </w:r>
      <w:r w:rsidRPr="002B67FB">
        <w:rPr>
          <w:i/>
          <w:sz w:val="16"/>
          <w:szCs w:val="16"/>
          <w:lang w:val="es-ES"/>
        </w:rPr>
        <w:t>Cfr.</w:t>
      </w:r>
      <w:r w:rsidRPr="002B67FB">
        <w:rPr>
          <w:bCs/>
          <w:i/>
          <w:sz w:val="16"/>
          <w:szCs w:val="16"/>
          <w:lang w:val="es-ES"/>
        </w:rPr>
        <w:t xml:space="preserve"> Caso Velásquez Rodríguez Vs. Honduras. </w:t>
      </w:r>
      <w:r w:rsidRPr="002B67FB">
        <w:rPr>
          <w:i/>
          <w:sz w:val="16"/>
          <w:szCs w:val="16"/>
          <w:lang w:val="es-ES"/>
        </w:rPr>
        <w:t>Reparaciones y Costas</w:t>
      </w:r>
      <w:r w:rsidRPr="002B67FB">
        <w:rPr>
          <w:sz w:val="16"/>
          <w:szCs w:val="16"/>
          <w:lang w:val="pt-BR"/>
        </w:rPr>
        <w:t xml:space="preserve">, </w:t>
      </w:r>
      <w:r w:rsidRPr="002B67FB">
        <w:rPr>
          <w:i/>
          <w:sz w:val="16"/>
          <w:szCs w:val="16"/>
          <w:lang w:val="pt-BR"/>
        </w:rPr>
        <w:t>supra</w:t>
      </w:r>
      <w:r w:rsidRPr="002B67FB">
        <w:rPr>
          <w:sz w:val="16"/>
          <w:szCs w:val="16"/>
          <w:lang w:val="es-ES"/>
        </w:rPr>
        <w:t xml:space="preserve">, párrs. 25 a 27, y </w:t>
      </w:r>
      <w:r w:rsidRPr="002B67FB">
        <w:rPr>
          <w:bCs/>
          <w:i/>
          <w:sz w:val="16"/>
          <w:szCs w:val="16"/>
        </w:rPr>
        <w:t>Caso Acosta y otros Vs. Nicaragua, supra</w:t>
      </w:r>
      <w:r w:rsidRPr="002B67FB">
        <w:rPr>
          <w:bCs/>
          <w:sz w:val="16"/>
          <w:szCs w:val="16"/>
        </w:rPr>
        <w:t>, párr. 211.</w:t>
      </w:r>
    </w:p>
  </w:footnote>
  <w:footnote w:id="226">
    <w:p w:rsidR="0078681A" w:rsidRPr="002B67FB" w:rsidRDefault="0078681A" w:rsidP="002B67FB">
      <w:pPr>
        <w:tabs>
          <w:tab w:val="left" w:pos="567"/>
        </w:tabs>
        <w:spacing w:after="120" w:line="240" w:lineRule="auto"/>
        <w:rPr>
          <w:sz w:val="16"/>
          <w:szCs w:val="16"/>
          <w:lang w:val="es-AR"/>
        </w:rPr>
      </w:pPr>
      <w:r w:rsidRPr="002B67FB">
        <w:rPr>
          <w:rStyle w:val="FootnoteReference"/>
          <w:sz w:val="16"/>
          <w:szCs w:val="16"/>
          <w:lang w:val="es-ES"/>
        </w:rPr>
        <w:footnoteRef/>
      </w:r>
      <w:r w:rsidRPr="002B67FB">
        <w:rPr>
          <w:sz w:val="16"/>
          <w:szCs w:val="16"/>
          <w:lang w:val="es-ES"/>
        </w:rPr>
        <w:t xml:space="preserve"> </w:t>
      </w:r>
      <w:r w:rsidRPr="002B67FB">
        <w:rPr>
          <w:sz w:val="16"/>
          <w:szCs w:val="16"/>
          <w:lang w:val="es-ES"/>
        </w:rPr>
        <w:tab/>
      </w:r>
      <w:r w:rsidRPr="002B67FB">
        <w:rPr>
          <w:i/>
          <w:sz w:val="16"/>
          <w:szCs w:val="16"/>
          <w:lang w:val="es-ES"/>
        </w:rPr>
        <w:t>Cfr.</w:t>
      </w:r>
      <w:r w:rsidRPr="002B67FB">
        <w:rPr>
          <w:sz w:val="16"/>
          <w:szCs w:val="16"/>
          <w:lang w:val="es-ES"/>
        </w:rPr>
        <w:t xml:space="preserve"> </w:t>
      </w:r>
      <w:r w:rsidRPr="002B67FB">
        <w:rPr>
          <w:i/>
          <w:sz w:val="16"/>
          <w:szCs w:val="16"/>
          <w:lang w:val="es-ES"/>
        </w:rPr>
        <w:t>Caso Velásquez Rodríguez Vs. Honduras. Fondo</w:t>
      </w:r>
      <w:r w:rsidRPr="002B67FB">
        <w:rPr>
          <w:sz w:val="16"/>
          <w:szCs w:val="16"/>
          <w:lang w:val="es-ES"/>
        </w:rPr>
        <w:t xml:space="preserve">, </w:t>
      </w:r>
      <w:r w:rsidRPr="002B67FB">
        <w:rPr>
          <w:rFonts w:cs="Arial"/>
          <w:i/>
          <w:sz w:val="16"/>
          <w:szCs w:val="16"/>
          <w:lang w:val="pt-BR"/>
        </w:rPr>
        <w:t>supra</w:t>
      </w:r>
      <w:r w:rsidRPr="002B67FB">
        <w:rPr>
          <w:sz w:val="16"/>
          <w:szCs w:val="16"/>
          <w:lang w:val="pt-BR"/>
        </w:rPr>
        <w:t xml:space="preserve">, párr. 174, </w:t>
      </w:r>
      <w:r w:rsidRPr="002B67FB">
        <w:rPr>
          <w:sz w:val="16"/>
          <w:szCs w:val="16"/>
          <w:lang w:val="es-ES"/>
        </w:rPr>
        <w:t xml:space="preserve">y </w:t>
      </w:r>
      <w:r w:rsidRPr="002B67FB">
        <w:rPr>
          <w:bCs/>
          <w:i/>
          <w:sz w:val="16"/>
          <w:szCs w:val="16"/>
          <w:lang w:val="pt-BR"/>
        </w:rPr>
        <w:t>Caso Vásquez Durand y otros Vs. Ecuador</w:t>
      </w:r>
      <w:r w:rsidRPr="002B67FB">
        <w:rPr>
          <w:sz w:val="16"/>
          <w:szCs w:val="16"/>
          <w:lang w:val="pt-BR"/>
        </w:rPr>
        <w:t xml:space="preserve">, </w:t>
      </w:r>
      <w:r w:rsidRPr="002B67FB">
        <w:rPr>
          <w:i/>
          <w:sz w:val="16"/>
          <w:szCs w:val="16"/>
          <w:lang w:val="pt-BR"/>
        </w:rPr>
        <w:t>supra</w:t>
      </w:r>
      <w:r w:rsidRPr="002B67FB">
        <w:rPr>
          <w:bCs/>
          <w:sz w:val="16"/>
          <w:szCs w:val="16"/>
          <w:lang w:val="pt-BR"/>
        </w:rPr>
        <w:t>, párr. 203.</w:t>
      </w:r>
    </w:p>
  </w:footnote>
  <w:footnote w:id="227">
    <w:p w:rsidR="0078681A" w:rsidRPr="002B67FB" w:rsidRDefault="0078681A" w:rsidP="002B67FB">
      <w:pPr>
        <w:tabs>
          <w:tab w:val="left" w:pos="567"/>
        </w:tabs>
        <w:spacing w:after="120" w:line="240" w:lineRule="auto"/>
        <w:ind w:right="-90"/>
        <w:rPr>
          <w:sz w:val="16"/>
          <w:szCs w:val="16"/>
          <w:lang w:val="es-ES"/>
        </w:rPr>
      </w:pPr>
      <w:r w:rsidRPr="002B67FB">
        <w:rPr>
          <w:rStyle w:val="FootnoteReference"/>
          <w:sz w:val="16"/>
          <w:szCs w:val="16"/>
          <w:lang w:val="es-ES"/>
        </w:rPr>
        <w:footnoteRef/>
      </w:r>
      <w:r w:rsidRPr="002B67FB">
        <w:rPr>
          <w:sz w:val="16"/>
          <w:szCs w:val="16"/>
          <w:lang w:val="es-ES"/>
        </w:rPr>
        <w:t xml:space="preserve"> </w:t>
      </w:r>
      <w:r w:rsidRPr="002B67FB">
        <w:rPr>
          <w:sz w:val="16"/>
          <w:szCs w:val="16"/>
          <w:lang w:val="es-ES"/>
        </w:rPr>
        <w:tab/>
      </w:r>
      <w:r w:rsidRPr="002B67FB">
        <w:rPr>
          <w:i/>
          <w:sz w:val="16"/>
          <w:szCs w:val="16"/>
          <w:lang w:val="es-ES"/>
        </w:rPr>
        <w:t xml:space="preserve">Cfr. </w:t>
      </w:r>
      <w:r w:rsidRPr="002B67FB">
        <w:rPr>
          <w:i/>
          <w:sz w:val="16"/>
          <w:szCs w:val="16"/>
        </w:rPr>
        <w:t>Caso Myrna Mack Chang Vs. Guatemala, supra</w:t>
      </w:r>
      <w:r w:rsidRPr="002B67FB">
        <w:rPr>
          <w:sz w:val="16"/>
          <w:szCs w:val="16"/>
          <w:lang w:val="es-ES"/>
        </w:rPr>
        <w:t xml:space="preserve">, párr. 277, y </w:t>
      </w:r>
      <w:r w:rsidRPr="002B67FB">
        <w:rPr>
          <w:bCs/>
          <w:i/>
          <w:sz w:val="16"/>
          <w:szCs w:val="16"/>
          <w:lang w:val="pt-BR"/>
        </w:rPr>
        <w:t>Caso Vásquez Durand y otros Vs. Ecuador</w:t>
      </w:r>
      <w:r w:rsidRPr="002B67FB">
        <w:rPr>
          <w:sz w:val="16"/>
          <w:szCs w:val="16"/>
          <w:lang w:val="pt-BR"/>
        </w:rPr>
        <w:t xml:space="preserve">, </w:t>
      </w:r>
      <w:r w:rsidRPr="002B67FB">
        <w:rPr>
          <w:i/>
          <w:sz w:val="16"/>
          <w:szCs w:val="16"/>
          <w:lang w:val="pt-BR"/>
        </w:rPr>
        <w:t>supra</w:t>
      </w:r>
      <w:r w:rsidRPr="002B67FB">
        <w:rPr>
          <w:bCs/>
          <w:sz w:val="16"/>
          <w:szCs w:val="16"/>
          <w:lang w:val="pt-BR"/>
        </w:rPr>
        <w:t>, párr. 203.</w:t>
      </w:r>
    </w:p>
  </w:footnote>
  <w:footnote w:id="228">
    <w:p w:rsidR="0078681A" w:rsidRPr="002B67FB" w:rsidRDefault="0078681A" w:rsidP="002B67FB">
      <w:pPr>
        <w:tabs>
          <w:tab w:val="left" w:pos="567"/>
          <w:tab w:val="left" w:pos="1290"/>
        </w:tabs>
        <w:spacing w:after="120" w:line="240" w:lineRule="auto"/>
        <w:rPr>
          <w:bCs/>
          <w:sz w:val="16"/>
          <w:szCs w:val="16"/>
          <w:lang w:val="pt-BR"/>
        </w:rPr>
      </w:pPr>
      <w:r w:rsidRPr="002B67FB">
        <w:rPr>
          <w:rStyle w:val="FootnoteReference"/>
          <w:sz w:val="16"/>
          <w:szCs w:val="16"/>
          <w:lang w:val="es-ES"/>
        </w:rPr>
        <w:footnoteRef/>
      </w:r>
      <w:r w:rsidRPr="002B67FB">
        <w:rPr>
          <w:sz w:val="16"/>
          <w:szCs w:val="16"/>
          <w:lang w:val="es-ES"/>
        </w:rPr>
        <w:tab/>
      </w:r>
      <w:r w:rsidRPr="002B67FB">
        <w:rPr>
          <w:i/>
          <w:iCs/>
          <w:sz w:val="16"/>
          <w:szCs w:val="16"/>
          <w:lang w:val="es-ES"/>
        </w:rPr>
        <w:t>Cfr.</w:t>
      </w:r>
      <w:r w:rsidRPr="002B67FB">
        <w:rPr>
          <w:i/>
          <w:sz w:val="16"/>
          <w:szCs w:val="16"/>
          <w:lang w:val="es-ES"/>
        </w:rPr>
        <w:t xml:space="preserve"> Caso del Caracazo Vs. Venezuela. Reparaciones y Costas. </w:t>
      </w:r>
      <w:r w:rsidRPr="002B67FB">
        <w:rPr>
          <w:sz w:val="16"/>
          <w:szCs w:val="16"/>
          <w:lang w:val="es-ES"/>
        </w:rPr>
        <w:t xml:space="preserve">Sentencia de 29 de agosto de 2002. Serie C No. 95, párr. 118, y </w:t>
      </w:r>
      <w:r w:rsidRPr="002B67FB">
        <w:rPr>
          <w:bCs/>
          <w:i/>
          <w:sz w:val="16"/>
          <w:szCs w:val="16"/>
          <w:lang w:val="pt-BR"/>
        </w:rPr>
        <w:t>Caso Vásquez Durand y otros Vs. Ecuador</w:t>
      </w:r>
      <w:r w:rsidRPr="002B67FB">
        <w:rPr>
          <w:sz w:val="16"/>
          <w:szCs w:val="16"/>
          <w:lang w:val="pt-BR"/>
        </w:rPr>
        <w:t xml:space="preserve">, </w:t>
      </w:r>
      <w:r w:rsidRPr="002B67FB">
        <w:rPr>
          <w:i/>
          <w:sz w:val="16"/>
          <w:szCs w:val="16"/>
          <w:lang w:val="pt-BR"/>
        </w:rPr>
        <w:t>supra</w:t>
      </w:r>
      <w:r w:rsidRPr="002B67FB">
        <w:rPr>
          <w:bCs/>
          <w:sz w:val="16"/>
          <w:szCs w:val="16"/>
          <w:lang w:val="pt-BR"/>
        </w:rPr>
        <w:t>, párr. 204.</w:t>
      </w:r>
    </w:p>
  </w:footnote>
  <w:footnote w:id="229">
    <w:p w:rsidR="0078681A" w:rsidRPr="002B67FB" w:rsidRDefault="0078681A" w:rsidP="002B67FB">
      <w:pPr>
        <w:tabs>
          <w:tab w:val="left" w:pos="567"/>
        </w:tabs>
        <w:autoSpaceDE w:val="0"/>
        <w:autoSpaceDN w:val="0"/>
        <w:spacing w:after="120" w:line="240" w:lineRule="auto"/>
        <w:rPr>
          <w:rFonts w:cs="MaiandraGD-Regula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Las representantes informaron a la Corte que el 22 de febrero de 2017, con posterioridad a la celebración de la audiencia pública del caso, los señores Edgar Humberto Ortiz Ruiz y Zaida Hernández de Arellano se reunieron con el Sub-Director con competencia en materia de Protección de Derechos Fundamentales, el cual les presentó un formulario de solicitud de aplicación de medidas de protección, descritas en la Ley de Protección de Víctimas, Testigos y demás Sujetos Procesales, </w:t>
      </w:r>
      <w:r w:rsidRPr="002B67FB">
        <w:rPr>
          <w:rFonts w:cs="MaiandraGD-Regular"/>
          <w:sz w:val="16"/>
          <w:szCs w:val="16"/>
        </w:rPr>
        <w:t xml:space="preserve">“sin embargo, ambos ciudadanos no est[uvieron] de acuerdo con las mismas, puesto que, limitarían en gran medida sus derechos al libre tránsito, a la confidencialidad de las comunicaciones telefónicas, escritas, periodística, entre otros, lo cual está debidamente consignado en Acta de Comparecencia ante la Fiscalía […]” adjuntada como prueba junto con el escrito de alegatos finales. </w:t>
      </w:r>
      <w:r w:rsidRPr="002B67FB">
        <w:rPr>
          <w:rFonts w:cs="MaiandraGD-Regular"/>
          <w:i/>
          <w:sz w:val="16"/>
          <w:szCs w:val="16"/>
        </w:rPr>
        <w:t>Cfr.</w:t>
      </w:r>
      <w:r w:rsidRPr="002B67FB">
        <w:rPr>
          <w:rFonts w:cs="MaiandraGD-Regular"/>
          <w:sz w:val="16"/>
          <w:szCs w:val="16"/>
        </w:rPr>
        <w:t xml:space="preserve"> Acta Fiscal de la Fiscalía Vigésima (20°) de la Circunscripción Judicial del estado de Táchira de 22 de febrero de 2017 (expediente de prueba, tomo XLIII, anexo al escrito de alegatos finales de los representantes, folio 10844).</w:t>
      </w:r>
    </w:p>
  </w:footnote>
  <w:footnote w:id="230">
    <w:p w:rsidR="0078681A" w:rsidRPr="002B67FB" w:rsidRDefault="0078681A" w:rsidP="002B67FB">
      <w:pPr>
        <w:tabs>
          <w:tab w:val="left" w:pos="567"/>
          <w:tab w:val="left" w:pos="1290"/>
        </w:tabs>
        <w:spacing w:after="120" w:line="240" w:lineRule="auto"/>
        <w:rPr>
          <w:bCs/>
          <w:sz w:val="16"/>
          <w:szCs w:val="16"/>
          <w:lang w:val="pt-BR"/>
        </w:rPr>
      </w:pPr>
      <w:r w:rsidRPr="002B67FB">
        <w:rPr>
          <w:rStyle w:val="FootnoteReference"/>
          <w:sz w:val="16"/>
          <w:szCs w:val="16"/>
          <w:lang w:val="es-ES"/>
        </w:rPr>
        <w:footnoteRef/>
      </w:r>
      <w:r w:rsidRPr="002B67FB">
        <w:rPr>
          <w:rFonts w:cs="Verdana"/>
          <w:bCs/>
          <w:sz w:val="16"/>
          <w:szCs w:val="16"/>
          <w:lang w:val="es-ES"/>
        </w:rPr>
        <w:tab/>
      </w:r>
      <w:r w:rsidRPr="002B67FB">
        <w:rPr>
          <w:i/>
          <w:iCs/>
          <w:sz w:val="16"/>
          <w:szCs w:val="16"/>
          <w:lang w:val="es-ES"/>
        </w:rPr>
        <w:t xml:space="preserve">Cfr. </w:t>
      </w:r>
      <w:r w:rsidRPr="002B67FB">
        <w:rPr>
          <w:i/>
          <w:iCs/>
          <w:sz w:val="16"/>
          <w:szCs w:val="16"/>
          <w:lang w:val="pt-BR"/>
        </w:rPr>
        <w:t>Caso Barrios Altos Vs. Perú. Reparaciones y Costas. Sentencia de 30 de noviembre de 2001. Serie C No. 87,</w:t>
      </w:r>
      <w:r w:rsidRPr="002B67FB">
        <w:rPr>
          <w:sz w:val="16"/>
          <w:szCs w:val="16"/>
          <w:lang w:val="es-ES"/>
        </w:rPr>
        <w:t xml:space="preserve"> párrs. 42 y 45, y </w:t>
      </w:r>
      <w:r w:rsidRPr="002B67FB">
        <w:rPr>
          <w:bCs/>
          <w:i/>
          <w:sz w:val="16"/>
          <w:szCs w:val="16"/>
          <w:lang w:val="pt-BR"/>
        </w:rPr>
        <w:t>Caso Vásquez Durand y otros Vs. Ecuador</w:t>
      </w:r>
      <w:r w:rsidRPr="002B67FB">
        <w:rPr>
          <w:sz w:val="16"/>
          <w:szCs w:val="16"/>
          <w:lang w:val="pt-BR"/>
        </w:rPr>
        <w:t xml:space="preserve">, </w:t>
      </w:r>
      <w:r w:rsidRPr="002B67FB">
        <w:rPr>
          <w:i/>
          <w:sz w:val="16"/>
          <w:szCs w:val="16"/>
          <w:lang w:val="pt-BR"/>
        </w:rPr>
        <w:t>supra</w:t>
      </w:r>
      <w:r w:rsidRPr="002B67FB">
        <w:rPr>
          <w:bCs/>
          <w:sz w:val="16"/>
          <w:szCs w:val="16"/>
          <w:lang w:val="pt-BR"/>
        </w:rPr>
        <w:t>, párr. 216.</w:t>
      </w:r>
    </w:p>
  </w:footnote>
  <w:footnote w:id="231">
    <w:p w:rsidR="0078681A" w:rsidRPr="002B67FB" w:rsidRDefault="0078681A" w:rsidP="002B67FB">
      <w:pPr>
        <w:pStyle w:val="FootnoteText"/>
        <w:tabs>
          <w:tab w:val="left" w:pos="567"/>
        </w:tabs>
        <w:spacing w:after="120"/>
        <w:rPr>
          <w:sz w:val="16"/>
          <w:szCs w:val="16"/>
          <w:lang w:val="es-ES"/>
        </w:rPr>
      </w:pPr>
      <w:r w:rsidRPr="002B67FB">
        <w:rPr>
          <w:rStyle w:val="FootnoteReference"/>
          <w:sz w:val="16"/>
          <w:szCs w:val="16"/>
          <w:lang w:val="es-ES"/>
        </w:rPr>
        <w:footnoteRef/>
      </w:r>
      <w:r w:rsidRPr="002B67FB">
        <w:rPr>
          <w:sz w:val="16"/>
          <w:szCs w:val="16"/>
          <w:lang w:val="es-ES"/>
        </w:rPr>
        <w:t xml:space="preserve"> </w:t>
      </w:r>
      <w:r w:rsidRPr="002B67FB">
        <w:rPr>
          <w:sz w:val="16"/>
          <w:szCs w:val="16"/>
          <w:lang w:val="es-ES"/>
        </w:rPr>
        <w:tab/>
      </w:r>
      <w:r w:rsidRPr="002B67FB">
        <w:rPr>
          <w:i/>
          <w:iCs/>
          <w:sz w:val="16"/>
          <w:szCs w:val="16"/>
          <w:lang w:val="es-ES"/>
        </w:rPr>
        <w:t>Cfr. Caso Heliodoro Portugal Vs. Panamá</w:t>
      </w:r>
      <w:r w:rsidRPr="002B67FB">
        <w:rPr>
          <w:sz w:val="16"/>
          <w:szCs w:val="16"/>
          <w:lang w:val="es-ES"/>
        </w:rPr>
        <w:t>.</w:t>
      </w:r>
      <w:r w:rsidRPr="002B67FB">
        <w:rPr>
          <w:rFonts w:cs="Verdana"/>
          <w:bCs/>
          <w:i/>
          <w:sz w:val="16"/>
          <w:szCs w:val="16"/>
          <w:lang w:val="es-ES"/>
        </w:rPr>
        <w:t xml:space="preserve"> Supervisión de Cumplimiento de Sentencia.</w:t>
      </w:r>
      <w:r w:rsidRPr="002B67FB">
        <w:rPr>
          <w:rFonts w:cs="Verdana"/>
          <w:bCs/>
          <w:sz w:val="16"/>
          <w:szCs w:val="16"/>
          <w:lang w:val="es-ES"/>
        </w:rPr>
        <w:t xml:space="preserve"> Resolución emitida por la Corte Interam</w:t>
      </w:r>
      <w:r w:rsidR="001A175F">
        <w:rPr>
          <w:rFonts w:cs="Verdana"/>
          <w:bCs/>
          <w:sz w:val="16"/>
          <w:szCs w:val="16"/>
          <w:lang w:val="es-ES"/>
        </w:rPr>
        <w:t>ericana el 28 de mayo de 2010, c</w:t>
      </w:r>
      <w:r w:rsidRPr="002B67FB">
        <w:rPr>
          <w:rFonts w:cs="Verdana"/>
          <w:bCs/>
          <w:sz w:val="16"/>
          <w:szCs w:val="16"/>
          <w:lang w:val="es-ES"/>
        </w:rPr>
        <w:t xml:space="preserve">onsiderando 28, y </w:t>
      </w:r>
      <w:r w:rsidRPr="002B67FB">
        <w:rPr>
          <w:bCs/>
          <w:i/>
          <w:sz w:val="16"/>
          <w:szCs w:val="16"/>
          <w:lang w:val="es-ES"/>
        </w:rPr>
        <w:t>Caso I.V. Vs. Bolivia</w:t>
      </w:r>
      <w:r w:rsidRPr="002B67FB">
        <w:rPr>
          <w:sz w:val="16"/>
          <w:szCs w:val="16"/>
          <w:lang w:val="pt-BR"/>
        </w:rPr>
        <w:t xml:space="preserve">, </w:t>
      </w:r>
      <w:r w:rsidRPr="002B67FB">
        <w:rPr>
          <w:i/>
          <w:sz w:val="16"/>
          <w:szCs w:val="16"/>
          <w:lang w:val="pt-BR"/>
        </w:rPr>
        <w:t>supra</w:t>
      </w:r>
      <w:r w:rsidRPr="002B67FB">
        <w:rPr>
          <w:sz w:val="16"/>
          <w:szCs w:val="16"/>
          <w:lang w:val="es-ES"/>
        </w:rPr>
        <w:t>, párr. 332</w:t>
      </w:r>
      <w:r w:rsidRPr="002B67FB">
        <w:rPr>
          <w:bCs/>
          <w:sz w:val="16"/>
          <w:szCs w:val="16"/>
          <w:lang w:val="es-ES"/>
        </w:rPr>
        <w:t>.</w:t>
      </w:r>
    </w:p>
  </w:footnote>
  <w:footnote w:id="232">
    <w:p w:rsidR="0078681A" w:rsidRPr="002B67FB" w:rsidRDefault="0078681A" w:rsidP="002B67FB">
      <w:pPr>
        <w:tabs>
          <w:tab w:val="left" w:pos="567"/>
        </w:tabs>
        <w:spacing w:after="120" w:line="240" w:lineRule="auto"/>
        <w:rPr>
          <w:b/>
          <w:sz w:val="16"/>
          <w:szCs w:val="16"/>
        </w:rPr>
      </w:pPr>
      <w:r w:rsidRPr="002B67FB">
        <w:rPr>
          <w:rStyle w:val="FootnoteReference"/>
          <w:sz w:val="16"/>
          <w:szCs w:val="16"/>
          <w:lang w:val="es-ES"/>
        </w:rPr>
        <w:footnoteRef/>
      </w:r>
      <w:r w:rsidRPr="002B67FB">
        <w:rPr>
          <w:sz w:val="16"/>
          <w:szCs w:val="16"/>
          <w:lang w:val="es-ES"/>
        </w:rPr>
        <w:t xml:space="preserve"> </w:t>
      </w:r>
      <w:r w:rsidRPr="002B67FB">
        <w:rPr>
          <w:sz w:val="16"/>
          <w:szCs w:val="16"/>
          <w:lang w:val="es-ES"/>
        </w:rPr>
        <w:tab/>
      </w:r>
      <w:r w:rsidRPr="002B67FB">
        <w:rPr>
          <w:i/>
          <w:iCs/>
          <w:sz w:val="16"/>
          <w:szCs w:val="16"/>
          <w:lang w:val="es-ES"/>
        </w:rPr>
        <w:t xml:space="preserve">Cfr. </w:t>
      </w:r>
      <w:r w:rsidRPr="002B67FB">
        <w:rPr>
          <w:rStyle w:val="Strong"/>
          <w:b w:val="0"/>
          <w:i/>
          <w:color w:val="000000"/>
          <w:sz w:val="16"/>
          <w:szCs w:val="16"/>
          <w:shd w:val="clear" w:color="auto" w:fill="FFFFFF"/>
        </w:rPr>
        <w:t>Caso de la Masacre de Las Dos Erres Vs. Guatemala. Excepción Preliminar, Fondo, Reparaciones y Costas.</w:t>
      </w:r>
      <w:r w:rsidRPr="002B67FB">
        <w:rPr>
          <w:rStyle w:val="Strong"/>
          <w:b w:val="0"/>
          <w:color w:val="000000"/>
          <w:sz w:val="16"/>
          <w:szCs w:val="16"/>
          <w:shd w:val="clear" w:color="auto" w:fill="FFFFFF"/>
        </w:rPr>
        <w:t xml:space="preserve"> Sentencia de 24 de noviembre de 2009. Serie C No. 211, </w:t>
      </w:r>
      <w:r w:rsidRPr="002B67FB">
        <w:rPr>
          <w:sz w:val="16"/>
          <w:szCs w:val="16"/>
          <w:lang w:val="es-ES"/>
        </w:rPr>
        <w:t>párr. 270,</w:t>
      </w:r>
      <w:r w:rsidRPr="002B67FB">
        <w:rPr>
          <w:rFonts w:cs="Verdana"/>
          <w:bCs/>
          <w:sz w:val="16"/>
          <w:szCs w:val="16"/>
          <w:lang w:val="es-ES"/>
        </w:rPr>
        <w:t xml:space="preserve"> y </w:t>
      </w:r>
      <w:r w:rsidRPr="002B67FB">
        <w:rPr>
          <w:bCs/>
          <w:i/>
          <w:sz w:val="16"/>
          <w:szCs w:val="16"/>
          <w:lang w:val="es-ES"/>
        </w:rPr>
        <w:t>Caso I.V. Vs. Bolivia</w:t>
      </w:r>
      <w:r w:rsidRPr="002B67FB">
        <w:rPr>
          <w:sz w:val="16"/>
          <w:szCs w:val="16"/>
          <w:lang w:val="pt-BR"/>
        </w:rPr>
        <w:t xml:space="preserve">, </w:t>
      </w:r>
      <w:r w:rsidRPr="002B67FB">
        <w:rPr>
          <w:i/>
          <w:sz w:val="16"/>
          <w:szCs w:val="16"/>
          <w:lang w:val="pt-BR"/>
        </w:rPr>
        <w:t>supra</w:t>
      </w:r>
      <w:r w:rsidRPr="002B67FB">
        <w:rPr>
          <w:sz w:val="16"/>
          <w:szCs w:val="16"/>
          <w:lang w:val="es-ES"/>
        </w:rPr>
        <w:t>, párr. 332</w:t>
      </w:r>
      <w:r w:rsidRPr="002B67FB">
        <w:rPr>
          <w:bCs/>
          <w:sz w:val="16"/>
          <w:szCs w:val="16"/>
          <w:lang w:val="es-ES"/>
        </w:rPr>
        <w:t>.</w:t>
      </w:r>
    </w:p>
  </w:footnote>
  <w:footnote w:id="233">
    <w:p w:rsidR="0078681A" w:rsidRPr="002B67FB" w:rsidRDefault="0078681A" w:rsidP="002B67FB">
      <w:pPr>
        <w:pStyle w:val="FootnoteText"/>
        <w:tabs>
          <w:tab w:val="left" w:pos="567"/>
        </w:tabs>
        <w:spacing w:after="120"/>
        <w:rPr>
          <w:sz w:val="16"/>
          <w:szCs w:val="16"/>
          <w:lang w:val="es-ES"/>
        </w:rPr>
      </w:pPr>
      <w:r w:rsidRPr="002B67FB">
        <w:rPr>
          <w:rStyle w:val="FootnoteReference"/>
          <w:sz w:val="16"/>
          <w:szCs w:val="16"/>
          <w:lang w:val="es-ES"/>
        </w:rPr>
        <w:footnoteRef/>
      </w:r>
      <w:r w:rsidRPr="002B67FB">
        <w:rPr>
          <w:rFonts w:cs="Verdana"/>
          <w:bCs/>
          <w:sz w:val="16"/>
          <w:szCs w:val="16"/>
          <w:lang w:val="es-ES"/>
        </w:rPr>
        <w:tab/>
      </w:r>
      <w:r w:rsidRPr="002B67FB">
        <w:rPr>
          <w:i/>
          <w:iCs/>
          <w:sz w:val="16"/>
          <w:szCs w:val="16"/>
          <w:lang w:val="es-ES"/>
        </w:rPr>
        <w:t xml:space="preserve">Cfr. </w:t>
      </w:r>
      <w:r w:rsidRPr="002B67FB">
        <w:rPr>
          <w:rStyle w:val="Strong"/>
          <w:b w:val="0"/>
          <w:i/>
          <w:color w:val="000000"/>
          <w:sz w:val="16"/>
          <w:szCs w:val="16"/>
          <w:shd w:val="clear" w:color="auto" w:fill="FFFFFF"/>
          <w:lang w:val="es-CR"/>
        </w:rPr>
        <w:t>Caso de la Masacre de Las Dos Erres Vs. Guatemala</w:t>
      </w:r>
      <w:r w:rsidRPr="002B67FB">
        <w:rPr>
          <w:sz w:val="16"/>
          <w:szCs w:val="16"/>
          <w:lang w:val="pt-BR"/>
        </w:rPr>
        <w:t xml:space="preserve">, </w:t>
      </w:r>
      <w:r w:rsidRPr="002B67FB">
        <w:rPr>
          <w:i/>
          <w:sz w:val="16"/>
          <w:szCs w:val="16"/>
          <w:lang w:val="pt-BR"/>
        </w:rPr>
        <w:t>supra</w:t>
      </w:r>
      <w:r w:rsidRPr="002B67FB">
        <w:rPr>
          <w:rStyle w:val="Strong"/>
          <w:b w:val="0"/>
          <w:color w:val="000000"/>
          <w:sz w:val="16"/>
          <w:szCs w:val="16"/>
          <w:shd w:val="clear" w:color="auto" w:fill="FFFFFF"/>
        </w:rPr>
        <w:t xml:space="preserve">, </w:t>
      </w:r>
      <w:r w:rsidRPr="002B67FB">
        <w:rPr>
          <w:sz w:val="16"/>
          <w:szCs w:val="16"/>
          <w:lang w:val="es-ES"/>
        </w:rPr>
        <w:t>párr. 270,</w:t>
      </w:r>
      <w:r w:rsidRPr="002B67FB">
        <w:rPr>
          <w:rFonts w:cs="Verdana"/>
          <w:bCs/>
          <w:sz w:val="16"/>
          <w:szCs w:val="16"/>
          <w:lang w:val="es-ES"/>
        </w:rPr>
        <w:t xml:space="preserve"> y </w:t>
      </w:r>
      <w:r w:rsidRPr="002B67FB">
        <w:rPr>
          <w:bCs/>
          <w:i/>
          <w:sz w:val="16"/>
          <w:szCs w:val="16"/>
          <w:lang w:val="es-ES"/>
        </w:rPr>
        <w:t>Caso I.V. Vs. Bolivia</w:t>
      </w:r>
      <w:r w:rsidRPr="002B67FB">
        <w:rPr>
          <w:sz w:val="16"/>
          <w:szCs w:val="16"/>
          <w:lang w:val="pt-BR"/>
        </w:rPr>
        <w:t xml:space="preserve">, </w:t>
      </w:r>
      <w:r w:rsidRPr="002B67FB">
        <w:rPr>
          <w:i/>
          <w:sz w:val="16"/>
          <w:szCs w:val="16"/>
          <w:lang w:val="pt-BR"/>
        </w:rPr>
        <w:t>supra</w:t>
      </w:r>
      <w:r w:rsidRPr="002B67FB">
        <w:rPr>
          <w:sz w:val="16"/>
          <w:szCs w:val="16"/>
          <w:lang w:val="es-ES"/>
        </w:rPr>
        <w:t>, párr. 332</w:t>
      </w:r>
      <w:r w:rsidRPr="002B67FB">
        <w:rPr>
          <w:bCs/>
          <w:sz w:val="16"/>
          <w:szCs w:val="16"/>
          <w:lang w:val="es-ES"/>
        </w:rPr>
        <w:t>.</w:t>
      </w:r>
    </w:p>
  </w:footnote>
  <w:footnote w:id="234">
    <w:p w:rsidR="0078681A" w:rsidRPr="002B67FB" w:rsidRDefault="0078681A" w:rsidP="002B67FB">
      <w:pPr>
        <w:pStyle w:val="FootnoteText"/>
        <w:tabs>
          <w:tab w:val="left" w:pos="567"/>
        </w:tabs>
        <w:spacing w:after="120"/>
        <w:rPr>
          <w:sz w:val="16"/>
          <w:szCs w:val="16"/>
          <w:lang w:val="es-ES"/>
        </w:rPr>
      </w:pPr>
      <w:r w:rsidRPr="002B67FB">
        <w:rPr>
          <w:rStyle w:val="FootnoteReference"/>
          <w:sz w:val="16"/>
          <w:szCs w:val="16"/>
          <w:lang w:val="es-ES"/>
        </w:rPr>
        <w:footnoteRef/>
      </w:r>
      <w:r w:rsidRPr="002B67FB">
        <w:rPr>
          <w:sz w:val="16"/>
          <w:szCs w:val="16"/>
          <w:lang w:val="es-ES"/>
        </w:rPr>
        <w:t xml:space="preserve"> </w:t>
      </w:r>
      <w:r w:rsidRPr="002B67FB">
        <w:rPr>
          <w:sz w:val="16"/>
          <w:szCs w:val="16"/>
          <w:lang w:val="es-ES"/>
        </w:rPr>
        <w:tab/>
      </w:r>
      <w:r w:rsidRPr="002B67FB">
        <w:rPr>
          <w:i/>
          <w:iCs/>
          <w:sz w:val="16"/>
          <w:szCs w:val="16"/>
          <w:lang w:val="es-ES"/>
        </w:rPr>
        <w:t>Cfr.</w:t>
      </w:r>
      <w:r w:rsidRPr="002B67FB">
        <w:rPr>
          <w:i/>
          <w:sz w:val="16"/>
          <w:szCs w:val="16"/>
          <w:lang w:val="es-ES"/>
        </w:rPr>
        <w:t xml:space="preserve"> Caso Rosendo Cantú y otra Vs. México. </w:t>
      </w:r>
      <w:r w:rsidRPr="002B67FB">
        <w:rPr>
          <w:i/>
          <w:sz w:val="16"/>
          <w:szCs w:val="16"/>
          <w:lang w:val="pt-BR"/>
        </w:rPr>
        <w:t xml:space="preserve">Excepción Preliminar, Fondo, Reparaciones y Costas. </w:t>
      </w:r>
      <w:r w:rsidRPr="002B67FB">
        <w:rPr>
          <w:sz w:val="16"/>
          <w:szCs w:val="16"/>
          <w:lang w:val="pt-BR"/>
        </w:rPr>
        <w:t xml:space="preserve">Sentencia de 31 de agosto de 2010. Serie C No. 216, </w:t>
      </w:r>
      <w:r w:rsidRPr="002B67FB">
        <w:rPr>
          <w:sz w:val="16"/>
          <w:szCs w:val="16"/>
          <w:lang w:val="es-ES"/>
        </w:rPr>
        <w:t xml:space="preserve">párr. 253, </w:t>
      </w:r>
      <w:r w:rsidRPr="002B67FB">
        <w:rPr>
          <w:rFonts w:cs="Verdana"/>
          <w:bCs/>
          <w:sz w:val="16"/>
          <w:szCs w:val="16"/>
          <w:lang w:val="es-ES"/>
        </w:rPr>
        <w:t xml:space="preserve">y </w:t>
      </w:r>
      <w:r w:rsidRPr="002B67FB">
        <w:rPr>
          <w:bCs/>
          <w:i/>
          <w:sz w:val="16"/>
          <w:szCs w:val="16"/>
          <w:lang w:val="es-ES"/>
        </w:rPr>
        <w:t>Caso I.V. Vs. Bolivia</w:t>
      </w:r>
      <w:r w:rsidRPr="002B67FB">
        <w:rPr>
          <w:sz w:val="16"/>
          <w:szCs w:val="16"/>
          <w:lang w:val="pt-BR"/>
        </w:rPr>
        <w:t xml:space="preserve">, </w:t>
      </w:r>
      <w:r w:rsidRPr="002B67FB">
        <w:rPr>
          <w:i/>
          <w:sz w:val="16"/>
          <w:szCs w:val="16"/>
          <w:lang w:val="pt-BR"/>
        </w:rPr>
        <w:t>supra</w:t>
      </w:r>
      <w:r w:rsidRPr="002B67FB">
        <w:rPr>
          <w:sz w:val="16"/>
          <w:szCs w:val="16"/>
          <w:lang w:val="es-ES"/>
        </w:rPr>
        <w:t>, párr. 332</w:t>
      </w:r>
      <w:r w:rsidRPr="002B67FB">
        <w:rPr>
          <w:bCs/>
          <w:sz w:val="16"/>
          <w:szCs w:val="16"/>
          <w:lang w:val="es-ES"/>
        </w:rPr>
        <w:t>.</w:t>
      </w:r>
    </w:p>
  </w:footnote>
  <w:footnote w:id="235">
    <w:p w:rsidR="0078681A" w:rsidRPr="002B67FB" w:rsidRDefault="0078681A" w:rsidP="002B67FB">
      <w:pPr>
        <w:tabs>
          <w:tab w:val="left" w:pos="567"/>
        </w:tabs>
        <w:spacing w:after="120" w:line="240" w:lineRule="auto"/>
        <w:rPr>
          <w:bCs/>
          <w:i/>
          <w:sz w:val="16"/>
          <w:szCs w:val="16"/>
          <w:lang w:eastAsia="es-ES"/>
        </w:rPr>
      </w:pPr>
      <w:r w:rsidRPr="002B67FB">
        <w:rPr>
          <w:rStyle w:val="FootnoteReference"/>
          <w:sz w:val="16"/>
          <w:szCs w:val="16"/>
          <w:lang w:val="es-ES"/>
        </w:rPr>
        <w:footnoteRef/>
      </w:r>
      <w:r w:rsidRPr="002B67FB">
        <w:rPr>
          <w:sz w:val="16"/>
          <w:szCs w:val="16"/>
          <w:lang w:val="es-ES"/>
        </w:rPr>
        <w:t xml:space="preserve"> </w:t>
      </w:r>
      <w:r w:rsidRPr="002B67FB">
        <w:rPr>
          <w:sz w:val="16"/>
          <w:szCs w:val="16"/>
          <w:lang w:val="es-ES"/>
        </w:rPr>
        <w:tab/>
      </w:r>
      <w:r w:rsidRPr="002B67FB">
        <w:rPr>
          <w:i/>
          <w:iCs/>
          <w:sz w:val="16"/>
          <w:szCs w:val="16"/>
          <w:lang w:val="es-ES" w:eastAsia="es-ES"/>
        </w:rPr>
        <w:t>Cfr.</w:t>
      </w:r>
      <w:r w:rsidRPr="002B67FB">
        <w:rPr>
          <w:bCs/>
          <w:i/>
          <w:sz w:val="16"/>
          <w:szCs w:val="16"/>
          <w:lang w:val="es-ES" w:eastAsia="es-ES"/>
        </w:rPr>
        <w:t xml:space="preserve"> Caso Cantoral Benavides Vs. Perú. </w:t>
      </w:r>
      <w:r w:rsidRPr="002B67FB">
        <w:rPr>
          <w:i/>
          <w:sz w:val="16"/>
          <w:szCs w:val="16"/>
          <w:lang w:val="es-ES" w:eastAsia="es-ES"/>
        </w:rPr>
        <w:t>Reparaciones y Costas</w:t>
      </w:r>
      <w:r w:rsidRPr="002B67FB">
        <w:rPr>
          <w:sz w:val="16"/>
          <w:szCs w:val="16"/>
          <w:lang w:val="pt-BR"/>
        </w:rPr>
        <w:t xml:space="preserve">, </w:t>
      </w:r>
      <w:r w:rsidRPr="002B67FB">
        <w:rPr>
          <w:i/>
          <w:sz w:val="16"/>
          <w:szCs w:val="16"/>
          <w:lang w:val="pt-BR"/>
        </w:rPr>
        <w:t>supra</w:t>
      </w:r>
      <w:r w:rsidRPr="002B67FB">
        <w:rPr>
          <w:sz w:val="16"/>
          <w:szCs w:val="16"/>
          <w:lang w:val="pt-BR" w:eastAsia="es-ES"/>
        </w:rPr>
        <w:t xml:space="preserve">, </w:t>
      </w:r>
      <w:r w:rsidRPr="002B67FB">
        <w:rPr>
          <w:sz w:val="16"/>
          <w:szCs w:val="16"/>
          <w:lang w:val="es-ES" w:eastAsia="es-ES"/>
        </w:rPr>
        <w:t>párr. 79, y</w:t>
      </w:r>
      <w:r w:rsidRPr="002B67FB">
        <w:rPr>
          <w:bCs/>
          <w:sz w:val="16"/>
          <w:szCs w:val="16"/>
          <w:lang w:val="es-ES" w:eastAsia="es-ES"/>
        </w:rPr>
        <w:t xml:space="preserve"> </w:t>
      </w:r>
      <w:r w:rsidRPr="002B67FB">
        <w:rPr>
          <w:bCs/>
          <w:i/>
          <w:sz w:val="16"/>
          <w:szCs w:val="16"/>
          <w:lang w:eastAsia="es-ES"/>
        </w:rPr>
        <w:t>Caso Acosta y otros Vs. Nicaragua, supra</w:t>
      </w:r>
      <w:r w:rsidRPr="002B67FB">
        <w:rPr>
          <w:bCs/>
          <w:sz w:val="16"/>
          <w:szCs w:val="16"/>
          <w:lang w:eastAsia="es-ES"/>
        </w:rPr>
        <w:t>, párr. 218.</w:t>
      </w:r>
    </w:p>
  </w:footnote>
  <w:footnote w:id="236">
    <w:p w:rsidR="0078681A" w:rsidRPr="002B67FB" w:rsidRDefault="0078681A" w:rsidP="002B67FB">
      <w:pPr>
        <w:tabs>
          <w:tab w:val="left" w:pos="567"/>
        </w:tabs>
        <w:spacing w:after="120" w:line="240" w:lineRule="auto"/>
        <w:rPr>
          <w:i/>
          <w:sz w:val="16"/>
          <w:szCs w:val="16"/>
          <w:lang w:val="pt-B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Cfr.</w:t>
      </w:r>
      <w:r w:rsidRPr="002B67FB">
        <w:rPr>
          <w:sz w:val="16"/>
          <w:szCs w:val="16"/>
          <w:lang w:val="es-AR"/>
        </w:rPr>
        <w:t xml:space="preserve"> </w:t>
      </w:r>
      <w:r w:rsidRPr="002B67FB">
        <w:rPr>
          <w:i/>
          <w:sz w:val="16"/>
          <w:szCs w:val="16"/>
          <w:lang w:val="es-AR"/>
        </w:rPr>
        <w:t xml:space="preserve">Caso Comunidad Indígena Yakye Axa </w:t>
      </w:r>
      <w:r w:rsidRPr="002B67FB">
        <w:rPr>
          <w:i/>
          <w:sz w:val="16"/>
          <w:szCs w:val="16"/>
          <w:lang w:val="pt-BR"/>
        </w:rPr>
        <w:t xml:space="preserve">Vs. Paraguay. Fondo Reparaciones y Costas. </w:t>
      </w:r>
      <w:r w:rsidRPr="002B67FB">
        <w:rPr>
          <w:sz w:val="16"/>
          <w:szCs w:val="16"/>
          <w:lang w:val="pt-BR"/>
        </w:rPr>
        <w:t xml:space="preserve">Sentencia 17 de junio de 2005. Serie C No. 125, </w:t>
      </w:r>
      <w:r w:rsidRPr="002B67FB">
        <w:rPr>
          <w:sz w:val="16"/>
          <w:szCs w:val="16"/>
          <w:lang w:val="es-AR"/>
        </w:rPr>
        <w:t xml:space="preserve">párr. 227, y </w:t>
      </w:r>
      <w:r w:rsidRPr="002B67FB">
        <w:rPr>
          <w:i/>
          <w:sz w:val="16"/>
          <w:szCs w:val="16"/>
          <w:lang w:val="es-AR"/>
        </w:rPr>
        <w:t xml:space="preserve">Caso Pueblos Kaliña y Lokono Vs. Surinam. Fondo, Reparaciones y Costas. </w:t>
      </w:r>
      <w:r w:rsidRPr="002B67FB">
        <w:rPr>
          <w:sz w:val="16"/>
          <w:szCs w:val="16"/>
          <w:lang w:val="es-AR"/>
        </w:rPr>
        <w:t>Sentencia de 25 de noviembre de 2015. Serie C. No. 309, párr. 313.</w:t>
      </w:r>
    </w:p>
  </w:footnote>
  <w:footnote w:id="237">
    <w:p w:rsidR="0078681A" w:rsidRPr="002B67FB" w:rsidRDefault="0078681A" w:rsidP="002B67FB">
      <w:pPr>
        <w:tabs>
          <w:tab w:val="left" w:pos="567"/>
        </w:tabs>
        <w:spacing w:after="120" w:line="240" w:lineRule="auto"/>
        <w:rPr>
          <w:sz w:val="16"/>
          <w:szCs w:val="16"/>
          <w:lang w:val="es-AR"/>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rPr>
        <w:t>Cfr.</w:t>
      </w:r>
      <w:r w:rsidRPr="002B67FB">
        <w:rPr>
          <w:rFonts w:cs="Courier New"/>
          <w:i/>
          <w:noProof/>
          <w:sz w:val="16"/>
          <w:szCs w:val="16"/>
          <w:lang w:val="es-AR"/>
        </w:rPr>
        <w:t xml:space="preserve"> </w:t>
      </w:r>
      <w:r w:rsidRPr="002B67FB">
        <w:rPr>
          <w:i/>
          <w:sz w:val="16"/>
          <w:szCs w:val="16"/>
          <w:lang w:val="es-AR"/>
        </w:rPr>
        <w:t>Caso de los “Niños de la Calle” (Villagrán Morales y otros) Vs. Guatemala. Reparaciones y Costas.</w:t>
      </w:r>
      <w:r w:rsidRPr="002B67FB">
        <w:rPr>
          <w:sz w:val="16"/>
          <w:szCs w:val="16"/>
          <w:lang w:val="es-AR"/>
        </w:rPr>
        <w:t xml:space="preserve"> Sentencia de 26 de mayo de 2001. Serie C No. 77, párr. 84, y </w:t>
      </w:r>
      <w:r w:rsidRPr="002B67FB">
        <w:rPr>
          <w:i/>
          <w:sz w:val="16"/>
          <w:szCs w:val="16"/>
          <w:lang w:val="es-AR"/>
        </w:rPr>
        <w:t>Caso García y familiares Vs. Guatemala. Fondo Reparaciones y Costas</w:t>
      </w:r>
      <w:r w:rsidRPr="002B67FB">
        <w:rPr>
          <w:sz w:val="16"/>
          <w:szCs w:val="16"/>
          <w:lang w:val="es-AR"/>
        </w:rPr>
        <w:t>. Sentencia de 29 noviembre de 2012. Serie C No. 258, párr. 213.</w:t>
      </w:r>
    </w:p>
  </w:footnote>
  <w:footnote w:id="238">
    <w:p w:rsidR="0078681A" w:rsidRPr="002B67FB" w:rsidRDefault="0078681A" w:rsidP="002B67FB">
      <w:pPr>
        <w:tabs>
          <w:tab w:val="left" w:pos="567"/>
        </w:tabs>
        <w:spacing w:after="120" w:line="240" w:lineRule="auto"/>
        <w:rPr>
          <w:sz w:val="16"/>
          <w:szCs w:val="16"/>
          <w:lang w:val="es-AR" w:eastAsia="es-ES"/>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lang w:val="es-AR" w:eastAsia="es-ES"/>
        </w:rPr>
        <w:t>Cfr.</w:t>
      </w:r>
      <w:r w:rsidRPr="002B67FB">
        <w:rPr>
          <w:sz w:val="16"/>
          <w:szCs w:val="16"/>
          <w:lang w:val="es-AR" w:eastAsia="es-ES"/>
        </w:rPr>
        <w:t xml:space="preserve"> </w:t>
      </w:r>
      <w:r w:rsidRPr="002B67FB">
        <w:rPr>
          <w:i/>
          <w:sz w:val="16"/>
          <w:szCs w:val="16"/>
          <w:lang w:val="pt-BR" w:eastAsia="es-ES"/>
        </w:rPr>
        <w:t>Caso Rodríguez Vera y otros (Desaparecidos del Palacio de Justicia) Vs. Colombia. Excepciones Preliminares, Fondo, Reparaciones y Costas</w:t>
      </w:r>
      <w:r w:rsidRPr="002B67FB">
        <w:rPr>
          <w:sz w:val="16"/>
          <w:szCs w:val="16"/>
          <w:lang w:val="pt-BR" w:eastAsia="es-ES"/>
        </w:rPr>
        <w:t xml:space="preserve">. Sentencia de 14 de noviembre de 2014. Serie C No. 287, </w:t>
      </w:r>
      <w:r w:rsidRPr="002B67FB">
        <w:rPr>
          <w:sz w:val="16"/>
          <w:szCs w:val="16"/>
          <w:lang w:val="es-AR" w:eastAsia="es-ES"/>
        </w:rPr>
        <w:t>párr. 576.</w:t>
      </w:r>
    </w:p>
  </w:footnote>
  <w:footnote w:id="239">
    <w:p w:rsidR="0078681A" w:rsidRPr="002B67FB" w:rsidRDefault="0078681A" w:rsidP="002B67FB">
      <w:pPr>
        <w:tabs>
          <w:tab w:val="left" w:pos="567"/>
        </w:tabs>
        <w:spacing w:after="120" w:line="240" w:lineRule="auto"/>
        <w:rPr>
          <w:sz w:val="16"/>
          <w:szCs w:val="16"/>
          <w:lang w:val="es-AR"/>
        </w:rPr>
      </w:pPr>
      <w:r w:rsidRPr="002B67FB">
        <w:rPr>
          <w:rStyle w:val="FootnoteReference"/>
          <w:rFonts w:eastAsiaTheme="majorEastAsia"/>
          <w:sz w:val="16"/>
          <w:szCs w:val="16"/>
        </w:rPr>
        <w:footnoteRef/>
      </w:r>
      <w:r w:rsidRPr="002B67FB">
        <w:rPr>
          <w:sz w:val="16"/>
          <w:szCs w:val="16"/>
        </w:rPr>
        <w:t xml:space="preserve"> </w:t>
      </w:r>
      <w:r w:rsidRPr="002B67FB">
        <w:rPr>
          <w:sz w:val="16"/>
          <w:szCs w:val="16"/>
        </w:rPr>
        <w:tab/>
      </w:r>
      <w:r w:rsidRPr="002B67FB">
        <w:rPr>
          <w:i/>
          <w:sz w:val="16"/>
          <w:szCs w:val="16"/>
        </w:rPr>
        <w:t>Cfr. Caso Cantoral Benavides Vs. Perú. Reparaciones y Costas</w:t>
      </w:r>
      <w:r w:rsidRPr="002B67FB">
        <w:rPr>
          <w:sz w:val="16"/>
          <w:szCs w:val="16"/>
          <w:lang w:val="pt-BR"/>
        </w:rPr>
        <w:t xml:space="preserve">, </w:t>
      </w:r>
      <w:r w:rsidRPr="002B67FB">
        <w:rPr>
          <w:i/>
          <w:sz w:val="16"/>
          <w:szCs w:val="16"/>
          <w:lang w:val="pt-BR"/>
        </w:rPr>
        <w:t>supra</w:t>
      </w:r>
      <w:r w:rsidRPr="002B67FB">
        <w:rPr>
          <w:i/>
          <w:sz w:val="16"/>
          <w:szCs w:val="16"/>
        </w:rPr>
        <w:t xml:space="preserve">, </w:t>
      </w:r>
      <w:r w:rsidRPr="002B67FB">
        <w:rPr>
          <w:sz w:val="16"/>
          <w:szCs w:val="16"/>
        </w:rPr>
        <w:t>párr. 81, y</w:t>
      </w:r>
      <w:r w:rsidRPr="002B67FB">
        <w:rPr>
          <w:sz w:val="16"/>
          <w:szCs w:val="16"/>
          <w:lang w:val="es-AR"/>
        </w:rPr>
        <w:t xml:space="preserve"> </w:t>
      </w:r>
      <w:r w:rsidRPr="002B67FB">
        <w:rPr>
          <w:bCs/>
          <w:i/>
          <w:sz w:val="16"/>
          <w:szCs w:val="16"/>
          <w:lang w:val="pt-BR"/>
        </w:rPr>
        <w:t>Caso Favela Nova Brasilia Vs. Brasil</w:t>
      </w:r>
      <w:r w:rsidRPr="002B67FB">
        <w:rPr>
          <w:sz w:val="16"/>
          <w:szCs w:val="16"/>
          <w:lang w:val="es-AR"/>
        </w:rPr>
        <w:t xml:space="preserve">, </w:t>
      </w:r>
      <w:r w:rsidRPr="002B67FB">
        <w:rPr>
          <w:i/>
          <w:sz w:val="16"/>
          <w:szCs w:val="16"/>
          <w:lang w:val="es-AR"/>
        </w:rPr>
        <w:t>supra</w:t>
      </w:r>
      <w:r w:rsidRPr="002B67FB">
        <w:rPr>
          <w:bCs/>
          <w:sz w:val="16"/>
          <w:szCs w:val="16"/>
          <w:lang w:val="pt-BR"/>
        </w:rPr>
        <w:t>, párr. 305.</w:t>
      </w:r>
    </w:p>
  </w:footnote>
  <w:footnote w:id="240">
    <w:p w:rsidR="0078681A" w:rsidRPr="002B67FB" w:rsidRDefault="0078681A" w:rsidP="002B67FB">
      <w:pPr>
        <w:pStyle w:val="FootnoteText"/>
        <w:tabs>
          <w:tab w:val="left" w:pos="567"/>
          <w:tab w:val="left" w:pos="709"/>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Se ordenó al Estado que adoptara “las medidas necesarias para formar y capacitar a todos los miembros de sus cuerpos armados y de sus organismos de seguridad sobre los principios y normas de protección de los derechos humanos y sobre los límites a los que debe estar sometido, aún bajo estados de excepción, el uso de las armas por parte de los funcionarios encargados de hacer cumplir la ley”. </w:t>
      </w:r>
      <w:r w:rsidRPr="002B67FB">
        <w:rPr>
          <w:i/>
          <w:iCs/>
          <w:sz w:val="16"/>
          <w:szCs w:val="16"/>
        </w:rPr>
        <w:t>Cfr.</w:t>
      </w:r>
      <w:r w:rsidRPr="002B67FB">
        <w:rPr>
          <w:i/>
          <w:sz w:val="16"/>
          <w:szCs w:val="16"/>
        </w:rPr>
        <w:t xml:space="preserve"> Caso del Caracazo Vs. Venezuela. Reparaciones y Costas, supra, </w:t>
      </w:r>
      <w:r w:rsidRPr="002B67FB">
        <w:rPr>
          <w:sz w:val="16"/>
          <w:szCs w:val="16"/>
        </w:rPr>
        <w:t>párr. 127 y punto resolutivo 4.a).</w:t>
      </w:r>
    </w:p>
  </w:footnote>
  <w:footnote w:id="241">
    <w:p w:rsidR="0078681A" w:rsidRPr="002B67FB" w:rsidRDefault="0078681A" w:rsidP="002B67FB">
      <w:pPr>
        <w:pStyle w:val="FootnoteText"/>
        <w:tabs>
          <w:tab w:val="left" w:pos="567"/>
          <w:tab w:val="left" w:pos="709"/>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t xml:space="preserve">Se ordenó al Estado a “[e]ntrenar y capacitar adecuadamente a los miembros de los cuerpos de seguridad para garantizar efectivamente el derecho a la vida, y evitar el uso desproporcionado de la fuerza” y a “diseñar e implementar un programa de capacitación sobre derechos humanos y estándares internacionales en materia de personas privadas de la libertad, dirigido a agentes policiales y penitenciarios”. </w:t>
      </w:r>
      <w:r w:rsidRPr="002B67FB">
        <w:rPr>
          <w:i/>
          <w:iCs/>
          <w:sz w:val="16"/>
          <w:szCs w:val="16"/>
        </w:rPr>
        <w:t>Cfr.</w:t>
      </w:r>
      <w:r w:rsidRPr="002B67FB">
        <w:rPr>
          <w:i/>
          <w:sz w:val="16"/>
          <w:szCs w:val="16"/>
        </w:rPr>
        <w:t xml:space="preserve"> Caso Montero Aranguren y otros (Retén de Catia) Vs. Venezuela, supra, </w:t>
      </w:r>
      <w:r w:rsidRPr="002B67FB">
        <w:rPr>
          <w:sz w:val="16"/>
          <w:szCs w:val="16"/>
        </w:rPr>
        <w:t>párr. 149 y punto resolutivo 11.</w:t>
      </w:r>
    </w:p>
  </w:footnote>
  <w:footnote w:id="242">
    <w:p w:rsidR="0078681A" w:rsidRPr="002B67FB" w:rsidRDefault="0078681A" w:rsidP="002B67FB">
      <w:pPr>
        <w:pStyle w:val="FootnoteText"/>
        <w:tabs>
          <w:tab w:val="left" w:pos="567"/>
        </w:tabs>
        <w:spacing w:after="120"/>
        <w:rPr>
          <w:sz w:val="16"/>
          <w:szCs w:val="16"/>
          <w:lang w:val="es-CR"/>
        </w:rPr>
      </w:pPr>
      <w:r w:rsidRPr="002B67FB">
        <w:rPr>
          <w:rStyle w:val="FootnoteReference"/>
          <w:sz w:val="16"/>
          <w:szCs w:val="16"/>
        </w:rPr>
        <w:footnoteRef/>
      </w:r>
      <w:r w:rsidRPr="002B67FB">
        <w:rPr>
          <w:sz w:val="16"/>
          <w:szCs w:val="16"/>
        </w:rPr>
        <w:t xml:space="preserve"> </w:t>
      </w:r>
      <w:r w:rsidRPr="002B67FB">
        <w:rPr>
          <w:sz w:val="16"/>
          <w:szCs w:val="16"/>
          <w:lang w:val="es-CR"/>
        </w:rPr>
        <w:tab/>
      </w:r>
      <w:r w:rsidRPr="002B67FB">
        <w:rPr>
          <w:sz w:val="16"/>
          <w:szCs w:val="16"/>
        </w:rPr>
        <w:t>El Estado alegó que la medida debería</w:t>
      </w:r>
      <w:r w:rsidR="003757A8">
        <w:rPr>
          <w:sz w:val="16"/>
          <w:szCs w:val="16"/>
        </w:rPr>
        <w:t xml:space="preserve"> ser desestimada debido a que: i</w:t>
      </w:r>
      <w:r w:rsidRPr="002B67FB">
        <w:rPr>
          <w:sz w:val="16"/>
          <w:szCs w:val="16"/>
        </w:rPr>
        <w:t>) los supuestos amedrentamientos cometidos por presuntos agentes del Estado no se encuentran cont</w:t>
      </w:r>
      <w:r w:rsidR="003757A8">
        <w:rPr>
          <w:sz w:val="16"/>
          <w:szCs w:val="16"/>
        </w:rPr>
        <w:t>enidos en el informe de fondo; ii</w:t>
      </w:r>
      <w:r w:rsidRPr="002B67FB">
        <w:rPr>
          <w:sz w:val="16"/>
          <w:szCs w:val="16"/>
        </w:rPr>
        <w:t xml:space="preserve">) el señor Ortiz Ruiz ni siquiera recordó con certeza la última vez que había sido amenazado; </w:t>
      </w:r>
      <w:r w:rsidR="003757A8">
        <w:rPr>
          <w:sz w:val="16"/>
          <w:szCs w:val="16"/>
        </w:rPr>
        <w:t>iii</w:t>
      </w:r>
      <w:r w:rsidRPr="002B67FB">
        <w:rPr>
          <w:sz w:val="16"/>
          <w:szCs w:val="16"/>
        </w:rPr>
        <w:t xml:space="preserve">) la existencia de dichas presuntas amenazas no han sido comprobadas ni existe constancia alguna que hayan sido objeto de denuncia formal ante las autoridades competentes, y </w:t>
      </w:r>
      <w:r w:rsidR="003757A8">
        <w:rPr>
          <w:sz w:val="16"/>
          <w:szCs w:val="16"/>
        </w:rPr>
        <w:t>iv</w:t>
      </w:r>
      <w:r w:rsidRPr="002B67FB">
        <w:rPr>
          <w:sz w:val="16"/>
          <w:szCs w:val="16"/>
        </w:rPr>
        <w:t>) la medida de protección solicitada no resulta procedente de conformidad con el ordenamiento jurídico en Venezuela, ya que el artículo 8 de la Ley de Protección de Víctimas, Testigos y demás Sujetos Procesales, establece una gama de medidas de protección integral dentro del territorio nacional, que no incluye la posibilidad de enviar a la víctima a otro país.</w:t>
      </w:r>
    </w:p>
  </w:footnote>
  <w:footnote w:id="243">
    <w:p w:rsidR="0078681A" w:rsidRPr="002B67FB" w:rsidRDefault="0078681A" w:rsidP="002B67FB">
      <w:pPr>
        <w:tabs>
          <w:tab w:val="left" w:pos="567"/>
        </w:tabs>
        <w:spacing w:after="120" w:line="240" w:lineRule="auto"/>
        <w:rPr>
          <w:sz w:val="16"/>
          <w:szCs w:val="16"/>
          <w:lang w:val="es-AR" w:eastAsia="es-ES"/>
        </w:rPr>
      </w:pPr>
      <w:r w:rsidRPr="002B67FB">
        <w:rPr>
          <w:rStyle w:val="FootnoteReference"/>
          <w:rFonts w:eastAsia="MS ????"/>
          <w:sz w:val="16"/>
          <w:szCs w:val="16"/>
        </w:rPr>
        <w:footnoteRef/>
      </w:r>
      <w:r w:rsidRPr="002B67FB">
        <w:rPr>
          <w:sz w:val="16"/>
          <w:szCs w:val="16"/>
          <w:lang w:val="es-MX"/>
        </w:rPr>
        <w:tab/>
      </w:r>
      <w:r w:rsidRPr="002B67FB">
        <w:rPr>
          <w:bCs/>
          <w:i/>
          <w:sz w:val="16"/>
          <w:szCs w:val="16"/>
        </w:rPr>
        <w:t xml:space="preserve">Caso Bámaca Velásquez Vs. Guatemala. </w:t>
      </w:r>
      <w:r w:rsidRPr="002B67FB">
        <w:rPr>
          <w:i/>
          <w:sz w:val="16"/>
          <w:szCs w:val="16"/>
        </w:rPr>
        <w:t>Reparaciones y Costas</w:t>
      </w:r>
      <w:r w:rsidRPr="002B67FB">
        <w:rPr>
          <w:sz w:val="16"/>
          <w:szCs w:val="16"/>
        </w:rPr>
        <w:t xml:space="preserve">. Sentencia de 22 de febrero de 2002. Serie C No. 91, párr. 43, y </w:t>
      </w:r>
      <w:r w:rsidRPr="002B67FB">
        <w:rPr>
          <w:bCs/>
          <w:i/>
          <w:sz w:val="16"/>
          <w:szCs w:val="16"/>
        </w:rPr>
        <w:t>Caso Acosta y otros Vs. Nicaragua, supra</w:t>
      </w:r>
      <w:r w:rsidRPr="002B67FB">
        <w:rPr>
          <w:bCs/>
          <w:sz w:val="16"/>
          <w:szCs w:val="16"/>
        </w:rPr>
        <w:t>, párr. 233.</w:t>
      </w:r>
    </w:p>
  </w:footnote>
  <w:footnote w:id="244">
    <w:p w:rsidR="0078681A" w:rsidRPr="002B67FB" w:rsidRDefault="0078681A" w:rsidP="002B67FB">
      <w:pPr>
        <w:pStyle w:val="FootnoteText"/>
        <w:tabs>
          <w:tab w:val="left" w:pos="567"/>
        </w:tabs>
        <w:spacing w:after="120"/>
        <w:rPr>
          <w:sz w:val="16"/>
          <w:szCs w:val="16"/>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 xml:space="preserve">Cfr. </w:t>
      </w:r>
      <w:r w:rsidRPr="002B67FB">
        <w:rPr>
          <w:i/>
          <w:sz w:val="16"/>
          <w:szCs w:val="16"/>
          <w:lang w:val="es-ES"/>
        </w:rPr>
        <w:t>Caso de los Niños de la Calle (Villagrán Morales y otros) Vs. Guatemala.</w:t>
      </w:r>
      <w:r w:rsidRPr="002B67FB">
        <w:rPr>
          <w:sz w:val="16"/>
          <w:szCs w:val="16"/>
          <w:lang w:val="es-ES"/>
        </w:rPr>
        <w:t xml:space="preserve"> </w:t>
      </w:r>
      <w:r w:rsidRPr="002B67FB">
        <w:rPr>
          <w:i/>
          <w:sz w:val="16"/>
          <w:szCs w:val="16"/>
          <w:lang w:val="es-ES"/>
        </w:rPr>
        <w:t>Reparaciones y Costas</w:t>
      </w:r>
      <w:r w:rsidRPr="002B67FB">
        <w:rPr>
          <w:sz w:val="16"/>
          <w:szCs w:val="16"/>
          <w:lang w:val="es-ES"/>
        </w:rPr>
        <w:t xml:space="preserve">, </w:t>
      </w:r>
      <w:r w:rsidRPr="002B67FB">
        <w:rPr>
          <w:i/>
          <w:sz w:val="16"/>
          <w:szCs w:val="16"/>
          <w:lang w:val="pt-BR"/>
        </w:rPr>
        <w:t>supra</w:t>
      </w:r>
      <w:r w:rsidRPr="002B67FB">
        <w:rPr>
          <w:rFonts w:cs="Courier New"/>
          <w:noProof/>
          <w:sz w:val="16"/>
          <w:szCs w:val="16"/>
          <w:lang w:val="es-AR"/>
        </w:rPr>
        <w:t xml:space="preserve">, </w:t>
      </w:r>
      <w:r w:rsidRPr="002B67FB">
        <w:rPr>
          <w:sz w:val="16"/>
          <w:szCs w:val="16"/>
          <w:lang w:val="es-ES"/>
        </w:rPr>
        <w:t>párr. 81,</w:t>
      </w:r>
      <w:r w:rsidRPr="002B67FB">
        <w:rPr>
          <w:bCs/>
          <w:i/>
          <w:sz w:val="16"/>
          <w:szCs w:val="16"/>
          <w:lang w:val="es-ES"/>
        </w:rPr>
        <w:t xml:space="preserve"> </w:t>
      </w:r>
      <w:r w:rsidRPr="002B67FB">
        <w:rPr>
          <w:bCs/>
          <w:sz w:val="16"/>
          <w:szCs w:val="16"/>
          <w:lang w:val="es-ES"/>
        </w:rPr>
        <w:t xml:space="preserve">y </w:t>
      </w:r>
      <w:r w:rsidRPr="002B67FB">
        <w:rPr>
          <w:i/>
          <w:sz w:val="16"/>
          <w:szCs w:val="16"/>
        </w:rPr>
        <w:t>Caso del Caracazo Vs. Venezuela. Reparaciones y Costas</w:t>
      </w:r>
      <w:r w:rsidRPr="002B67FB">
        <w:rPr>
          <w:sz w:val="16"/>
          <w:szCs w:val="16"/>
          <w:lang w:val="pt-BR"/>
        </w:rPr>
        <w:t xml:space="preserve">, </w:t>
      </w:r>
      <w:r w:rsidRPr="002B67FB">
        <w:rPr>
          <w:i/>
          <w:sz w:val="16"/>
          <w:szCs w:val="16"/>
          <w:lang w:val="pt-BR"/>
        </w:rPr>
        <w:t>supra</w:t>
      </w:r>
      <w:r w:rsidRPr="002B67FB">
        <w:rPr>
          <w:sz w:val="16"/>
          <w:szCs w:val="16"/>
        </w:rPr>
        <w:t>, párr. 88.</w:t>
      </w:r>
    </w:p>
  </w:footnote>
  <w:footnote w:id="245">
    <w:p w:rsidR="0078681A" w:rsidRPr="002B67FB" w:rsidRDefault="0078681A" w:rsidP="002B67FB">
      <w:pPr>
        <w:tabs>
          <w:tab w:val="left" w:pos="567"/>
        </w:tabs>
        <w:spacing w:after="120" w:line="240" w:lineRule="auto"/>
        <w:rPr>
          <w:rFonts w:cs="Arial"/>
          <w:sz w:val="16"/>
          <w:szCs w:val="16"/>
          <w:lang w:val="es-AR" w:eastAsia="es-ES"/>
        </w:rPr>
      </w:pPr>
      <w:r w:rsidRPr="002B67FB">
        <w:rPr>
          <w:rStyle w:val="FootnoteReference"/>
          <w:sz w:val="16"/>
          <w:szCs w:val="16"/>
          <w:lang w:val="es-ES"/>
        </w:rPr>
        <w:footnoteRef/>
      </w:r>
      <w:r w:rsidRPr="002B67FB">
        <w:rPr>
          <w:sz w:val="16"/>
          <w:szCs w:val="16"/>
          <w:lang w:val="es-ES"/>
        </w:rPr>
        <w:tab/>
      </w:r>
      <w:r w:rsidRPr="002B67FB">
        <w:rPr>
          <w:i/>
          <w:sz w:val="16"/>
          <w:szCs w:val="16"/>
          <w:lang w:val="es-ES"/>
        </w:rPr>
        <w:t xml:space="preserve">Cfr. Caso Suárez Rosero Vs. Ecuador. Reparaciones y Costas. </w:t>
      </w:r>
      <w:r w:rsidRPr="002B67FB">
        <w:rPr>
          <w:sz w:val="16"/>
          <w:szCs w:val="16"/>
          <w:lang w:val="es-ES"/>
        </w:rPr>
        <w:t>Sentencia de 20 de enero de 1999. Serie C No. 44, párr. 72,</w:t>
      </w:r>
      <w:r w:rsidRPr="002B67FB">
        <w:rPr>
          <w:bCs/>
          <w:i/>
          <w:sz w:val="16"/>
          <w:szCs w:val="16"/>
          <w:lang w:val="es-ES"/>
        </w:rPr>
        <w:t xml:space="preserve"> </w:t>
      </w:r>
      <w:r w:rsidRPr="002B67FB">
        <w:rPr>
          <w:sz w:val="16"/>
          <w:szCs w:val="16"/>
          <w:lang w:val="es-ES"/>
        </w:rPr>
        <w:t xml:space="preserve">y </w:t>
      </w:r>
      <w:r w:rsidRPr="002B67FB">
        <w:rPr>
          <w:bCs/>
          <w:i/>
          <w:sz w:val="16"/>
          <w:szCs w:val="16"/>
        </w:rPr>
        <w:t>Caso Acosta y otros Vs. Nicaragua, supra</w:t>
      </w:r>
      <w:r w:rsidRPr="002B67FB">
        <w:rPr>
          <w:bCs/>
          <w:sz w:val="16"/>
          <w:szCs w:val="16"/>
        </w:rPr>
        <w:t>, párr. 252, punto resolutivo 8.</w:t>
      </w:r>
    </w:p>
  </w:footnote>
  <w:footnote w:id="246">
    <w:p w:rsidR="0078681A" w:rsidRPr="002B67FB" w:rsidRDefault="0078681A" w:rsidP="002B67FB">
      <w:pPr>
        <w:tabs>
          <w:tab w:val="left" w:pos="567"/>
        </w:tabs>
        <w:spacing w:after="120" w:line="240" w:lineRule="auto"/>
        <w:rPr>
          <w:sz w:val="16"/>
          <w:szCs w:val="16"/>
          <w:lang w:val="es-ES"/>
        </w:rPr>
      </w:pPr>
      <w:r w:rsidRPr="002B67FB">
        <w:rPr>
          <w:rStyle w:val="FootnoteReference"/>
          <w:sz w:val="16"/>
          <w:szCs w:val="16"/>
          <w:lang w:val="es-ES"/>
        </w:rPr>
        <w:footnoteRef/>
      </w:r>
      <w:r w:rsidRPr="002B67FB">
        <w:rPr>
          <w:rStyle w:val="FootnoteReference"/>
          <w:sz w:val="16"/>
          <w:szCs w:val="16"/>
          <w:lang w:val="es-ES"/>
        </w:rPr>
        <w:t xml:space="preserve"> </w:t>
      </w:r>
      <w:r w:rsidRPr="002B67FB">
        <w:rPr>
          <w:sz w:val="16"/>
          <w:szCs w:val="16"/>
          <w:lang w:val="es-ES"/>
        </w:rPr>
        <w:tab/>
      </w:r>
      <w:r w:rsidRPr="002B67FB">
        <w:rPr>
          <w:i/>
          <w:sz w:val="16"/>
          <w:szCs w:val="16"/>
          <w:lang w:val="es-ES"/>
        </w:rPr>
        <w:t>Caso de los Niños de la Calle (Villagrán Morales y otros) Vs. Guatemala.</w:t>
      </w:r>
      <w:r w:rsidRPr="002B67FB">
        <w:rPr>
          <w:sz w:val="16"/>
          <w:szCs w:val="16"/>
          <w:lang w:val="es-ES"/>
        </w:rPr>
        <w:t xml:space="preserve"> </w:t>
      </w:r>
      <w:r w:rsidRPr="002B67FB">
        <w:rPr>
          <w:i/>
          <w:sz w:val="16"/>
          <w:szCs w:val="16"/>
          <w:lang w:val="es-ES"/>
        </w:rPr>
        <w:t>Reparaciones y Costas</w:t>
      </w:r>
      <w:r w:rsidRPr="002B67FB">
        <w:rPr>
          <w:sz w:val="16"/>
          <w:szCs w:val="16"/>
          <w:lang w:val="es-ES"/>
        </w:rPr>
        <w:t xml:space="preserve">, </w:t>
      </w:r>
      <w:r w:rsidRPr="002B67FB">
        <w:rPr>
          <w:i/>
          <w:sz w:val="16"/>
          <w:szCs w:val="16"/>
          <w:lang w:val="pt-BR"/>
        </w:rPr>
        <w:t>supra</w:t>
      </w:r>
      <w:r w:rsidRPr="002B67FB">
        <w:rPr>
          <w:rFonts w:cs="Courier New"/>
          <w:noProof/>
          <w:sz w:val="16"/>
          <w:szCs w:val="16"/>
          <w:lang w:val="es-AR"/>
        </w:rPr>
        <w:t xml:space="preserve">, </w:t>
      </w:r>
      <w:r w:rsidRPr="002B67FB">
        <w:rPr>
          <w:sz w:val="16"/>
          <w:szCs w:val="16"/>
          <w:lang w:val="es-ES"/>
        </w:rPr>
        <w:t>párr. 84,</w:t>
      </w:r>
      <w:r w:rsidRPr="002B67FB">
        <w:rPr>
          <w:bCs/>
          <w:i/>
          <w:sz w:val="16"/>
          <w:szCs w:val="16"/>
          <w:lang w:val="es-ES"/>
        </w:rPr>
        <w:t xml:space="preserve"> </w:t>
      </w:r>
      <w:r w:rsidRPr="002B67FB">
        <w:rPr>
          <w:sz w:val="16"/>
          <w:szCs w:val="16"/>
          <w:lang w:val="es-ES"/>
        </w:rPr>
        <w:t xml:space="preserve">y </w:t>
      </w:r>
      <w:r w:rsidRPr="002B67FB">
        <w:rPr>
          <w:bCs/>
          <w:i/>
          <w:sz w:val="16"/>
          <w:szCs w:val="16"/>
        </w:rPr>
        <w:t>Caso Acosta y otros Vs. Nicaragua, supra</w:t>
      </w:r>
      <w:r w:rsidRPr="002B67FB">
        <w:rPr>
          <w:bCs/>
          <w:sz w:val="16"/>
          <w:szCs w:val="16"/>
        </w:rPr>
        <w:t>, párr. 236.</w:t>
      </w:r>
    </w:p>
  </w:footnote>
  <w:footnote w:id="247">
    <w:p w:rsidR="0078681A" w:rsidRPr="002B67FB" w:rsidRDefault="0078681A" w:rsidP="002B67FB">
      <w:pPr>
        <w:tabs>
          <w:tab w:val="left" w:pos="567"/>
        </w:tabs>
        <w:spacing w:after="120" w:line="240" w:lineRule="auto"/>
        <w:rPr>
          <w:b/>
          <w:sz w:val="16"/>
          <w:szCs w:val="16"/>
          <w:highlight w:val="yellow"/>
        </w:rPr>
      </w:pPr>
      <w:r w:rsidRPr="002B67FB">
        <w:rPr>
          <w:rStyle w:val="FootnoteReference"/>
          <w:sz w:val="16"/>
          <w:szCs w:val="16"/>
        </w:rPr>
        <w:footnoteRef/>
      </w:r>
      <w:r w:rsidRPr="002B67FB">
        <w:rPr>
          <w:sz w:val="16"/>
          <w:szCs w:val="16"/>
        </w:rPr>
        <w:t xml:space="preserve"> </w:t>
      </w:r>
      <w:r w:rsidRPr="002B67FB">
        <w:rPr>
          <w:sz w:val="16"/>
          <w:szCs w:val="16"/>
        </w:rPr>
        <w:tab/>
      </w:r>
      <w:r w:rsidRPr="002B67FB">
        <w:rPr>
          <w:i/>
          <w:sz w:val="16"/>
          <w:szCs w:val="16"/>
        </w:rPr>
        <w:t>Cfr.</w:t>
      </w:r>
      <w:r w:rsidRPr="002B67FB">
        <w:rPr>
          <w:sz w:val="16"/>
          <w:szCs w:val="16"/>
        </w:rPr>
        <w:t xml:space="preserve"> </w:t>
      </w:r>
      <w:r w:rsidRPr="002B67FB">
        <w:rPr>
          <w:bCs/>
          <w:i/>
          <w:sz w:val="16"/>
          <w:szCs w:val="16"/>
          <w:lang w:val="es-ES"/>
        </w:rPr>
        <w:t>Caso González y otras (“Campo Algodonero”) Vs. México</w:t>
      </w:r>
      <w:r w:rsidRPr="002B67FB">
        <w:rPr>
          <w:sz w:val="16"/>
          <w:szCs w:val="16"/>
          <w:lang w:val="es-AR"/>
        </w:rPr>
        <w:t xml:space="preserve">, </w:t>
      </w:r>
      <w:r w:rsidRPr="002B67FB">
        <w:rPr>
          <w:i/>
          <w:sz w:val="16"/>
          <w:szCs w:val="16"/>
          <w:lang w:val="es-AR"/>
        </w:rPr>
        <w:t>supra</w:t>
      </w:r>
      <w:r w:rsidRPr="002B67FB">
        <w:rPr>
          <w:sz w:val="16"/>
          <w:szCs w:val="16"/>
        </w:rPr>
        <w:t>, párr. 589.</w:t>
      </w:r>
    </w:p>
  </w:footnote>
  <w:footnote w:id="248">
    <w:p w:rsidR="0078681A" w:rsidRPr="002B67FB" w:rsidRDefault="0078681A" w:rsidP="002B67FB">
      <w:pPr>
        <w:tabs>
          <w:tab w:val="left" w:pos="567"/>
        </w:tabs>
        <w:spacing w:after="120" w:line="240" w:lineRule="auto"/>
        <w:rPr>
          <w:bCs/>
          <w:sz w:val="16"/>
          <w:szCs w:val="16"/>
        </w:rPr>
      </w:pPr>
      <w:r w:rsidRPr="002B67FB">
        <w:rPr>
          <w:rStyle w:val="FootnoteReference"/>
          <w:sz w:val="16"/>
          <w:szCs w:val="16"/>
          <w:lang w:val="es-ES"/>
        </w:rPr>
        <w:footnoteRef/>
      </w:r>
      <w:r w:rsidRPr="002B67FB">
        <w:rPr>
          <w:sz w:val="16"/>
          <w:szCs w:val="16"/>
          <w:lang w:val="es-ES"/>
        </w:rPr>
        <w:t xml:space="preserve"> </w:t>
      </w:r>
      <w:r w:rsidRPr="002B67FB">
        <w:rPr>
          <w:sz w:val="16"/>
          <w:szCs w:val="16"/>
          <w:lang w:val="es-ES"/>
        </w:rPr>
        <w:tab/>
      </w:r>
      <w:r w:rsidRPr="002B67FB">
        <w:rPr>
          <w:i/>
          <w:sz w:val="16"/>
          <w:szCs w:val="16"/>
          <w:lang w:val="es-ES"/>
        </w:rPr>
        <w:t>Cfr. Caso Velásquez Rodríguez Vs. Honduras.</w:t>
      </w:r>
      <w:r w:rsidRPr="002B67FB">
        <w:rPr>
          <w:sz w:val="16"/>
          <w:szCs w:val="16"/>
          <w:lang w:val="es-ES"/>
        </w:rPr>
        <w:t xml:space="preserve"> </w:t>
      </w:r>
      <w:r w:rsidRPr="002B67FB">
        <w:rPr>
          <w:i/>
          <w:sz w:val="16"/>
          <w:szCs w:val="16"/>
          <w:lang w:val="es-ES"/>
        </w:rPr>
        <w:t>Reparaciones y Costas</w:t>
      </w:r>
      <w:r w:rsidRPr="002B67FB">
        <w:rPr>
          <w:sz w:val="16"/>
          <w:szCs w:val="16"/>
          <w:lang w:val="pt-BR"/>
        </w:rPr>
        <w:t xml:space="preserve">, </w:t>
      </w:r>
      <w:r w:rsidRPr="002B67FB">
        <w:rPr>
          <w:i/>
          <w:sz w:val="16"/>
          <w:szCs w:val="16"/>
          <w:lang w:val="pt-BR"/>
        </w:rPr>
        <w:t>supra</w:t>
      </w:r>
      <w:r w:rsidRPr="002B67FB">
        <w:rPr>
          <w:sz w:val="16"/>
          <w:szCs w:val="16"/>
          <w:lang w:val="es-ES"/>
        </w:rPr>
        <w:t>, párr. 42,</w:t>
      </w:r>
      <w:r w:rsidRPr="002B67FB">
        <w:rPr>
          <w:bCs/>
          <w:i/>
          <w:sz w:val="16"/>
          <w:szCs w:val="16"/>
          <w:lang w:val="es-ES"/>
        </w:rPr>
        <w:t xml:space="preserve"> </w:t>
      </w:r>
      <w:r w:rsidRPr="002B67FB">
        <w:rPr>
          <w:sz w:val="16"/>
          <w:szCs w:val="16"/>
          <w:lang w:val="es-ES"/>
        </w:rPr>
        <w:t xml:space="preserve">y </w:t>
      </w:r>
      <w:r w:rsidRPr="002B67FB">
        <w:rPr>
          <w:bCs/>
          <w:i/>
          <w:sz w:val="16"/>
          <w:szCs w:val="16"/>
        </w:rPr>
        <w:t>Caso Acosta y otros Vs. Nicaragua, supra</w:t>
      </w:r>
      <w:r w:rsidRPr="002B67FB">
        <w:rPr>
          <w:bCs/>
          <w:sz w:val="16"/>
          <w:szCs w:val="16"/>
        </w:rPr>
        <w:t>, párr. 241.</w:t>
      </w:r>
    </w:p>
  </w:footnote>
  <w:footnote w:id="249">
    <w:p w:rsidR="0078681A" w:rsidRPr="002B67FB" w:rsidRDefault="0078681A" w:rsidP="002B67FB">
      <w:pPr>
        <w:tabs>
          <w:tab w:val="left" w:pos="567"/>
        </w:tabs>
        <w:spacing w:after="120" w:line="240" w:lineRule="auto"/>
        <w:rPr>
          <w:bCs/>
          <w:sz w:val="16"/>
          <w:szCs w:val="16"/>
        </w:rPr>
      </w:pPr>
      <w:r w:rsidRPr="002B67FB">
        <w:rPr>
          <w:rStyle w:val="FootnoteReference"/>
          <w:sz w:val="16"/>
          <w:szCs w:val="16"/>
          <w:lang w:val="es-ES"/>
        </w:rPr>
        <w:footnoteRef/>
      </w:r>
      <w:r w:rsidRPr="002B67FB">
        <w:rPr>
          <w:sz w:val="16"/>
          <w:szCs w:val="16"/>
          <w:lang w:val="es-ES"/>
        </w:rPr>
        <w:t xml:space="preserve"> </w:t>
      </w:r>
      <w:r w:rsidRPr="002B67FB">
        <w:rPr>
          <w:sz w:val="16"/>
          <w:szCs w:val="16"/>
          <w:lang w:val="es-ES"/>
        </w:rPr>
        <w:tab/>
      </w:r>
      <w:r w:rsidRPr="002B67FB">
        <w:rPr>
          <w:i/>
          <w:sz w:val="16"/>
          <w:szCs w:val="16"/>
          <w:lang w:val="es-ES"/>
        </w:rPr>
        <w:t>Cfr. Caso Garrido y Baigorria Vs. Argentina. Reparaciones y Costas</w:t>
      </w:r>
      <w:r w:rsidRPr="002B67FB">
        <w:rPr>
          <w:sz w:val="16"/>
          <w:szCs w:val="16"/>
          <w:lang w:val="es-ES"/>
        </w:rPr>
        <w:t>. Sentencia de 27 de agosto de 1998. Serie C No. 39, párr. 82, y</w:t>
      </w:r>
      <w:r w:rsidRPr="002B67FB">
        <w:rPr>
          <w:i/>
          <w:sz w:val="16"/>
          <w:szCs w:val="16"/>
          <w:lang w:val="es-ES"/>
        </w:rPr>
        <w:t xml:space="preserve"> </w:t>
      </w:r>
      <w:r w:rsidRPr="002B67FB">
        <w:rPr>
          <w:bCs/>
          <w:i/>
          <w:sz w:val="16"/>
          <w:szCs w:val="16"/>
        </w:rPr>
        <w:t>Caso Acosta y otros Vs. Nicaragua, supra</w:t>
      </w:r>
      <w:r w:rsidRPr="002B67FB">
        <w:rPr>
          <w:bCs/>
          <w:sz w:val="16"/>
          <w:szCs w:val="16"/>
        </w:rPr>
        <w:t>, párr. 241.</w:t>
      </w:r>
    </w:p>
  </w:footnote>
  <w:footnote w:id="250">
    <w:p w:rsidR="0078681A" w:rsidRPr="002B67FB" w:rsidRDefault="0078681A" w:rsidP="002B67FB">
      <w:pPr>
        <w:tabs>
          <w:tab w:val="left" w:pos="567"/>
          <w:tab w:val="left" w:pos="1245"/>
        </w:tabs>
        <w:spacing w:after="120" w:line="240" w:lineRule="auto"/>
        <w:rPr>
          <w:sz w:val="16"/>
          <w:szCs w:val="16"/>
          <w:lang w:val="es-ES"/>
        </w:rPr>
      </w:pPr>
      <w:r w:rsidRPr="002B67FB">
        <w:rPr>
          <w:rStyle w:val="FootnoteReference"/>
          <w:sz w:val="16"/>
          <w:szCs w:val="16"/>
          <w:lang w:val="es-ES"/>
        </w:rPr>
        <w:footnoteRef/>
      </w:r>
      <w:r w:rsidRPr="002B67FB">
        <w:rPr>
          <w:sz w:val="16"/>
          <w:szCs w:val="16"/>
          <w:lang w:val="es-ES"/>
        </w:rPr>
        <w:tab/>
      </w:r>
      <w:r w:rsidRPr="002B67FB">
        <w:rPr>
          <w:i/>
          <w:sz w:val="16"/>
          <w:szCs w:val="16"/>
          <w:lang w:val="es-ES"/>
        </w:rPr>
        <w:t>Caso Garrido y Baigorria Vs. Argentina. Reparaciones y Costas, supra</w:t>
      </w:r>
      <w:r w:rsidRPr="002B67FB">
        <w:rPr>
          <w:sz w:val="16"/>
          <w:szCs w:val="16"/>
          <w:lang w:val="es-ES"/>
        </w:rPr>
        <w:t>, párrs. 79 y 82, y</w:t>
      </w:r>
      <w:r w:rsidRPr="002B67FB">
        <w:rPr>
          <w:i/>
          <w:sz w:val="16"/>
          <w:szCs w:val="16"/>
          <w:lang w:val="es-ES"/>
        </w:rPr>
        <w:t xml:space="preserve"> </w:t>
      </w:r>
      <w:r w:rsidRPr="002B67FB">
        <w:rPr>
          <w:bCs/>
          <w:i/>
          <w:sz w:val="16"/>
          <w:szCs w:val="16"/>
          <w:lang w:val="pt-BR"/>
        </w:rPr>
        <w:t>Caso Vásquez Durand y otros Vs. Ecuador</w:t>
      </w:r>
      <w:r w:rsidRPr="002B67FB">
        <w:rPr>
          <w:sz w:val="16"/>
          <w:szCs w:val="16"/>
          <w:lang w:val="pt-BR"/>
        </w:rPr>
        <w:t xml:space="preserve">, </w:t>
      </w:r>
      <w:r w:rsidRPr="002B67FB">
        <w:rPr>
          <w:i/>
          <w:sz w:val="16"/>
          <w:szCs w:val="16"/>
          <w:lang w:val="pt-BR"/>
        </w:rPr>
        <w:t>supra</w:t>
      </w:r>
      <w:r w:rsidRPr="002B67FB">
        <w:rPr>
          <w:bCs/>
          <w:sz w:val="16"/>
          <w:szCs w:val="16"/>
          <w:lang w:val="pt-BR"/>
        </w:rPr>
        <w:t>, párr. 237.</w:t>
      </w:r>
    </w:p>
  </w:footnote>
  <w:footnote w:id="251">
    <w:p w:rsidR="0078681A" w:rsidRPr="002B67FB" w:rsidRDefault="0078681A" w:rsidP="002B67FB">
      <w:pPr>
        <w:tabs>
          <w:tab w:val="left" w:pos="567"/>
        </w:tabs>
        <w:spacing w:after="120" w:line="240" w:lineRule="auto"/>
        <w:rPr>
          <w:sz w:val="16"/>
          <w:szCs w:val="16"/>
          <w:lang w:val="es-ES"/>
        </w:rPr>
      </w:pPr>
      <w:r w:rsidRPr="002B67FB">
        <w:rPr>
          <w:rStyle w:val="FootnoteReference"/>
          <w:sz w:val="16"/>
          <w:szCs w:val="16"/>
          <w:lang w:val="es-ES"/>
        </w:rPr>
        <w:footnoteRef/>
      </w:r>
      <w:r w:rsidRPr="002B67FB">
        <w:rPr>
          <w:sz w:val="16"/>
          <w:szCs w:val="16"/>
          <w:lang w:val="es-ES"/>
        </w:rPr>
        <w:t xml:space="preserve"> </w:t>
      </w:r>
      <w:r w:rsidRPr="002B67FB">
        <w:rPr>
          <w:sz w:val="16"/>
          <w:szCs w:val="16"/>
          <w:lang w:val="es-ES"/>
        </w:rPr>
        <w:tab/>
      </w:r>
      <w:r w:rsidRPr="002B67FB">
        <w:rPr>
          <w:i/>
          <w:sz w:val="16"/>
          <w:szCs w:val="16"/>
          <w:lang w:val="es-ES"/>
        </w:rPr>
        <w:t>Cfr. Caso Chaparro Álvarez y Lapo Íñiguez Vs. Ecuador. Excepciones Preliminares, Fondo, Reparaciones y Costas</w:t>
      </w:r>
      <w:r w:rsidRPr="002B67FB">
        <w:rPr>
          <w:sz w:val="16"/>
          <w:szCs w:val="16"/>
          <w:lang w:val="es-ES"/>
        </w:rPr>
        <w:t>. Sentencia de 21 de noviembre de 2007. Serie C No. 170, párr. 277, y</w:t>
      </w:r>
      <w:r w:rsidRPr="002B67FB">
        <w:rPr>
          <w:bCs/>
          <w:i/>
          <w:sz w:val="16"/>
          <w:szCs w:val="16"/>
          <w:lang w:val="es-ES"/>
        </w:rPr>
        <w:t xml:space="preserve"> </w:t>
      </w:r>
      <w:r w:rsidRPr="002B67FB">
        <w:rPr>
          <w:bCs/>
          <w:i/>
          <w:sz w:val="16"/>
          <w:szCs w:val="16"/>
          <w:lang w:val="pt-BR"/>
        </w:rPr>
        <w:t>Caso Vásquez Durand y otros Vs. Ecuador</w:t>
      </w:r>
      <w:r w:rsidRPr="002B67FB">
        <w:rPr>
          <w:sz w:val="16"/>
          <w:szCs w:val="16"/>
          <w:lang w:val="pt-BR"/>
        </w:rPr>
        <w:t xml:space="preserve">, </w:t>
      </w:r>
      <w:r w:rsidRPr="002B67FB">
        <w:rPr>
          <w:i/>
          <w:sz w:val="16"/>
          <w:szCs w:val="16"/>
          <w:lang w:val="pt-BR"/>
        </w:rPr>
        <w:t>supra</w:t>
      </w:r>
      <w:r w:rsidRPr="002B67FB">
        <w:rPr>
          <w:bCs/>
          <w:sz w:val="16"/>
          <w:szCs w:val="16"/>
          <w:lang w:val="pt-BR"/>
        </w:rPr>
        <w:t>, párr. 237.</w:t>
      </w:r>
    </w:p>
  </w:footnote>
  <w:footnote w:id="252">
    <w:p w:rsidR="0078681A" w:rsidRPr="002B67FB" w:rsidRDefault="0078681A" w:rsidP="002B67FB">
      <w:pPr>
        <w:pStyle w:val="FootnoteText"/>
        <w:tabs>
          <w:tab w:val="left" w:pos="567"/>
        </w:tabs>
        <w:spacing w:after="120"/>
        <w:rPr>
          <w:sz w:val="16"/>
          <w:szCs w:val="16"/>
          <w:u w:val="single"/>
          <w:lang w:val="es-ES"/>
        </w:rPr>
      </w:pPr>
      <w:r w:rsidRPr="002B67FB">
        <w:rPr>
          <w:rStyle w:val="FootnoteReference"/>
          <w:sz w:val="16"/>
          <w:szCs w:val="16"/>
          <w:lang w:val="es-ES"/>
        </w:rPr>
        <w:footnoteRef/>
      </w:r>
      <w:r w:rsidRPr="002B67FB">
        <w:rPr>
          <w:sz w:val="16"/>
          <w:szCs w:val="16"/>
          <w:lang w:val="es-ES"/>
        </w:rPr>
        <w:t xml:space="preserve"> </w:t>
      </w:r>
      <w:r w:rsidRPr="002B67FB">
        <w:rPr>
          <w:sz w:val="16"/>
          <w:szCs w:val="16"/>
          <w:lang w:val="es-ES"/>
        </w:rPr>
        <w:tab/>
      </w:r>
      <w:r w:rsidRPr="002B67FB">
        <w:rPr>
          <w:bCs/>
          <w:sz w:val="16"/>
          <w:szCs w:val="16"/>
          <w:lang w:val="es-ES"/>
        </w:rPr>
        <w:t>AG/RES. 2426 (XXXVIII-O/08),</w:t>
      </w:r>
      <w:r w:rsidRPr="002B67FB">
        <w:rPr>
          <w:rFonts w:cs="Verdana"/>
          <w:sz w:val="16"/>
          <w:szCs w:val="16"/>
          <w:lang w:val="es-ES"/>
        </w:rPr>
        <w:t xml:space="preserve"> </w:t>
      </w:r>
      <w:r w:rsidRPr="002B67FB">
        <w:rPr>
          <w:sz w:val="16"/>
          <w:szCs w:val="16"/>
          <w:lang w:val="es-ES"/>
        </w:rPr>
        <w:t xml:space="preserve">Resolución adoptada por la Asamblea General de la OEA </w:t>
      </w:r>
      <w:r w:rsidRPr="002B67FB">
        <w:rPr>
          <w:rFonts w:cs="Verdana"/>
          <w:sz w:val="16"/>
          <w:szCs w:val="16"/>
          <w:lang w:val="es-ES"/>
        </w:rPr>
        <w:t>durante la celebración del XXXVIII Período Ordinario de Sesiones de la OEA,</w:t>
      </w:r>
      <w:r w:rsidRPr="002B67FB">
        <w:rPr>
          <w:bCs/>
          <w:sz w:val="16"/>
          <w:szCs w:val="16"/>
          <w:lang w:val="es-ES"/>
        </w:rPr>
        <w:t xml:space="preserve"> </w:t>
      </w:r>
      <w:r w:rsidRPr="002B67FB">
        <w:rPr>
          <w:sz w:val="16"/>
          <w:szCs w:val="16"/>
          <w:lang w:val="es-ES"/>
        </w:rPr>
        <w:t>en la cuarta sesión plenaria,</w:t>
      </w:r>
      <w:r w:rsidRPr="002B67FB">
        <w:rPr>
          <w:bCs/>
          <w:sz w:val="16"/>
          <w:szCs w:val="16"/>
          <w:lang w:val="es-ES"/>
        </w:rPr>
        <w:t xml:space="preserve"> </w:t>
      </w:r>
      <w:r w:rsidRPr="002B67FB">
        <w:rPr>
          <w:sz w:val="16"/>
          <w:szCs w:val="16"/>
          <w:lang w:val="es-ES"/>
        </w:rPr>
        <w:t xml:space="preserve">celebrada el 3 de junio de 2008, </w:t>
      </w:r>
      <w:r w:rsidRPr="002B67FB">
        <w:rPr>
          <w:i/>
          <w:sz w:val="16"/>
          <w:szCs w:val="16"/>
          <w:lang w:val="es-ES"/>
        </w:rPr>
        <w:t>“Creación del Fondo de Asistencia Legal del Sistema Interamericano de Derechos Humanos</w:t>
      </w:r>
      <w:r w:rsidRPr="002B67FB">
        <w:rPr>
          <w:sz w:val="16"/>
          <w:szCs w:val="16"/>
          <w:lang w:val="es-ES"/>
        </w:rPr>
        <w:t>”, Punto Resolutivo 2.a</w:t>
      </w:r>
      <w:r w:rsidRPr="002B67FB">
        <w:rPr>
          <w:rFonts w:cs="Verdana"/>
          <w:sz w:val="16"/>
          <w:szCs w:val="16"/>
          <w:lang w:val="es-ES"/>
        </w:rPr>
        <w:t xml:space="preserve">), y </w:t>
      </w:r>
      <w:r w:rsidRPr="002B67FB">
        <w:rPr>
          <w:sz w:val="16"/>
          <w:szCs w:val="16"/>
          <w:lang w:val="es-ES"/>
        </w:rPr>
        <w:t>CP/RES. 963 (1728/09), Resolución adoptada el 11 de noviembre de 2009 por el Consejo Permanente de la OEA, “</w:t>
      </w:r>
      <w:r w:rsidRPr="002B67FB">
        <w:rPr>
          <w:i/>
          <w:iCs/>
          <w:sz w:val="16"/>
          <w:szCs w:val="16"/>
          <w:lang w:val="es-ES"/>
        </w:rPr>
        <w:t xml:space="preserve">Reglamento para el Funcionamiento del Fondo de Asistencia </w:t>
      </w:r>
      <w:r w:rsidRPr="002B67FB">
        <w:rPr>
          <w:iCs/>
          <w:sz w:val="16"/>
          <w:szCs w:val="16"/>
          <w:lang w:val="es-ES"/>
        </w:rPr>
        <w:t>Legal</w:t>
      </w:r>
      <w:r w:rsidRPr="002B67FB">
        <w:rPr>
          <w:i/>
          <w:iCs/>
          <w:sz w:val="16"/>
          <w:szCs w:val="16"/>
          <w:lang w:val="es-ES"/>
        </w:rPr>
        <w:t xml:space="preserve"> del Sistema Interamericano de Derechos Humanos</w:t>
      </w:r>
      <w:r w:rsidRPr="002B67FB">
        <w:rPr>
          <w:sz w:val="16"/>
          <w:szCs w:val="16"/>
          <w:lang w:val="es-ES"/>
        </w:rPr>
        <w:t>”, artículo 1.1.</w:t>
      </w:r>
    </w:p>
  </w:footnote>
  <w:footnote w:id="253">
    <w:p w:rsidR="0078681A" w:rsidRPr="002B67FB" w:rsidRDefault="0078681A" w:rsidP="002B67FB">
      <w:pPr>
        <w:tabs>
          <w:tab w:val="left" w:pos="567"/>
        </w:tabs>
        <w:spacing w:after="120" w:line="240" w:lineRule="auto"/>
        <w:rPr>
          <w:sz w:val="16"/>
          <w:szCs w:val="16"/>
          <w:lang w:val="pt-BR"/>
        </w:rPr>
      </w:pPr>
      <w:r w:rsidRPr="002B67FB">
        <w:rPr>
          <w:rStyle w:val="FootnoteReference"/>
          <w:sz w:val="16"/>
          <w:szCs w:val="16"/>
        </w:rPr>
        <w:footnoteRef/>
      </w:r>
      <w:r w:rsidRPr="002B67FB">
        <w:rPr>
          <w:sz w:val="16"/>
          <w:szCs w:val="16"/>
        </w:rPr>
        <w:t xml:space="preserve"> </w:t>
      </w:r>
      <w:r w:rsidRPr="002B67FB">
        <w:rPr>
          <w:sz w:val="16"/>
          <w:szCs w:val="16"/>
          <w:lang w:val="es-ES"/>
        </w:rPr>
        <w:tab/>
      </w:r>
      <w:r w:rsidRPr="002B67FB">
        <w:rPr>
          <w:i/>
          <w:sz w:val="16"/>
          <w:szCs w:val="16"/>
          <w:lang w:val="es-ES"/>
        </w:rPr>
        <w:t xml:space="preserve">Cfr. </w:t>
      </w:r>
      <w:r w:rsidRPr="002B67FB">
        <w:rPr>
          <w:i/>
          <w:sz w:val="16"/>
          <w:szCs w:val="16"/>
          <w:lang w:val="es-AR"/>
        </w:rPr>
        <w:t>Caso Cantoral Benavides Vs. Perú. Excepciones Preliminares</w:t>
      </w:r>
      <w:r w:rsidRPr="002B67FB">
        <w:rPr>
          <w:sz w:val="16"/>
          <w:szCs w:val="16"/>
          <w:lang w:val="es-AR"/>
        </w:rPr>
        <w:t xml:space="preserve">. Sentencia de 3 de septiembre de 1998. Serie C No. 40, párr. 30, y </w:t>
      </w:r>
      <w:r w:rsidRPr="002B67FB">
        <w:rPr>
          <w:i/>
          <w:sz w:val="16"/>
          <w:szCs w:val="16"/>
          <w:lang w:val="pt-BR"/>
        </w:rPr>
        <w:t>Caso Galindo Cárdenas y otros Vs. Perú. Excepciones Preliminares, Fondo, Reparaciones y Costas</w:t>
      </w:r>
      <w:r w:rsidRPr="002B67FB">
        <w:rPr>
          <w:sz w:val="16"/>
          <w:szCs w:val="16"/>
          <w:lang w:val="pt-BR"/>
        </w:rPr>
        <w:t>. Sentencia de 2 de octubre de 2015. Serie C No. 301, párr.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81A" w:rsidRPr="006A7984" w:rsidRDefault="0078681A" w:rsidP="007A558B">
    <w:pPr>
      <w:pStyle w:val="Header"/>
      <w:jc w:val="center"/>
      <w:rPr>
        <w:rFonts w:ascii="Verdana" w:hAnsi="Verdana"/>
        <w:sz w:val="20"/>
        <w:szCs w:val="20"/>
      </w:rPr>
    </w:pPr>
    <w:r>
      <w:fldChar w:fldCharType="begin"/>
    </w:r>
    <w:r>
      <w:instrText xml:space="preserve"> PAGE   \* MERGEFORMAT </w:instrText>
    </w:r>
    <w:r>
      <w:fldChar w:fldCharType="separate"/>
    </w:r>
    <w:r w:rsidR="004E3A56" w:rsidRPr="004E3A56">
      <w:rPr>
        <w:rFonts w:ascii="Verdana" w:hAnsi="Verdana"/>
        <w:noProof/>
        <w:sz w:val="20"/>
        <w:szCs w:val="20"/>
      </w:rPr>
      <w:t>2</w:t>
    </w:r>
    <w:r>
      <w:rPr>
        <w:rFonts w:ascii="Verdana" w:hAnsi="Verdana"/>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604"/>
    <w:multiLevelType w:val="hybridMultilevel"/>
    <w:tmpl w:val="84D44B80"/>
    <w:lvl w:ilvl="0" w:tplc="82625A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582C75"/>
    <w:multiLevelType w:val="hybridMultilevel"/>
    <w:tmpl w:val="B866CEC6"/>
    <w:lvl w:ilvl="0" w:tplc="2D185678">
      <w:start w:val="1"/>
      <w:numFmt w:val="upperRoman"/>
      <w:lvlText w:val="%1."/>
      <w:lvlJc w:val="left"/>
      <w:pPr>
        <w:ind w:left="1425" w:hanging="72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2">
    <w:nsid w:val="06C15938"/>
    <w:multiLevelType w:val="hybridMultilevel"/>
    <w:tmpl w:val="EB665254"/>
    <w:lvl w:ilvl="0" w:tplc="140A0017">
      <w:start w:val="1"/>
      <w:numFmt w:val="lowerLetter"/>
      <w:lvlText w:val="%1)"/>
      <w:lvlJc w:val="left"/>
      <w:pPr>
        <w:ind w:left="720" w:hanging="360"/>
      </w:pPr>
      <w:rPr>
        <w:rFonts w:hint="default"/>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06A66DB"/>
    <w:multiLevelType w:val="hybridMultilevel"/>
    <w:tmpl w:val="FD600E4A"/>
    <w:lvl w:ilvl="0" w:tplc="9D821424">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2353322"/>
    <w:multiLevelType w:val="hybridMultilevel"/>
    <w:tmpl w:val="E97485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56010"/>
    <w:multiLevelType w:val="hybridMultilevel"/>
    <w:tmpl w:val="7338CB8A"/>
    <w:lvl w:ilvl="0" w:tplc="2164699E">
      <w:start w:val="1"/>
      <w:numFmt w:val="lowerRoman"/>
      <w:lvlText w:val="%1)"/>
      <w:lvlJc w:val="left"/>
      <w:pPr>
        <w:ind w:left="1080" w:hanging="720"/>
      </w:pPr>
      <w:rPr>
        <w:rFonts w:hint="default"/>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A9B6CE7"/>
    <w:multiLevelType w:val="multilevel"/>
    <w:tmpl w:val="D2A46D70"/>
    <w:lvl w:ilvl="0">
      <w:start w:val="1"/>
      <w:numFmt w:val="decimal"/>
      <w:lvlText w:val="%1."/>
      <w:lvlJc w:val="left"/>
      <w:pPr>
        <w:tabs>
          <w:tab w:val="num" w:pos="680"/>
        </w:tabs>
        <w:ind w:left="0" w:firstLine="0"/>
      </w:pPr>
      <w:rPr>
        <w:rFonts w:hint="default"/>
        <w:b w:val="0"/>
        <w:i w:val="0"/>
        <w:strike w:val="0"/>
        <w:sz w:val="20"/>
      </w:rPr>
    </w:lvl>
    <w:lvl w:ilvl="1">
      <w:start w:val="1"/>
      <w:numFmt w:val="decimal"/>
      <w:lvlText w:val="%2."/>
      <w:lvlJc w:val="left"/>
      <w:pPr>
        <w:tabs>
          <w:tab w:val="num" w:pos="567"/>
        </w:tabs>
        <w:ind w:left="0" w:firstLine="0"/>
      </w:pPr>
      <w:rPr>
        <w:rFonts w:hint="default"/>
        <w:b w:val="0"/>
        <w:i w:val="0"/>
        <w:strike w:val="0"/>
        <w:sz w:val="20"/>
      </w:rPr>
    </w:lvl>
    <w:lvl w:ilvl="2">
      <w:start w:val="1"/>
      <w:numFmt w:val="bullet"/>
      <w:lvlText w:val="-"/>
      <w:lvlJc w:val="left"/>
      <w:pPr>
        <w:tabs>
          <w:tab w:val="num" w:pos="2340"/>
        </w:tabs>
        <w:ind w:left="2340" w:hanging="360"/>
      </w:pPr>
      <w:rPr>
        <w:rFonts w:ascii="Verdana" w:eastAsia="Batang" w:hAnsi="Verdana"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0A57F19"/>
    <w:multiLevelType w:val="hybridMultilevel"/>
    <w:tmpl w:val="5F6C3F30"/>
    <w:lvl w:ilvl="0" w:tplc="DE1C8ACC">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2513CD2"/>
    <w:multiLevelType w:val="hybridMultilevel"/>
    <w:tmpl w:val="DBBEB0B4"/>
    <w:lvl w:ilvl="0" w:tplc="95C4F9CC">
      <w:start w:val="1"/>
      <w:numFmt w:val="upperLetter"/>
      <w:lvlText w:val="%1."/>
      <w:lvlJc w:val="left"/>
      <w:pPr>
        <w:ind w:left="1429" w:hanging="360"/>
      </w:pPr>
      <w:rPr>
        <w:b/>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9">
    <w:nsid w:val="2B0A5882"/>
    <w:multiLevelType w:val="hybridMultilevel"/>
    <w:tmpl w:val="CE506118"/>
    <w:lvl w:ilvl="0" w:tplc="140A0015">
      <w:start w:val="1"/>
      <w:numFmt w:val="upperLetter"/>
      <w:lvlText w:val="%1."/>
      <w:lvlJc w:val="left"/>
      <w:pPr>
        <w:ind w:left="1068" w:hanging="360"/>
      </w:p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0">
    <w:nsid w:val="2C6144C9"/>
    <w:multiLevelType w:val="hybridMultilevel"/>
    <w:tmpl w:val="90B27FF2"/>
    <w:lvl w:ilvl="0" w:tplc="F3D835DA">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ES_tradnl"/>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D6B2E4B"/>
    <w:multiLevelType w:val="hybridMultilevel"/>
    <w:tmpl w:val="A8BEFB66"/>
    <w:lvl w:ilvl="0" w:tplc="F8509C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9C0F2E"/>
    <w:multiLevelType w:val="hybridMultilevel"/>
    <w:tmpl w:val="FE28D6A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nsid w:val="321E7084"/>
    <w:multiLevelType w:val="hybridMultilevel"/>
    <w:tmpl w:val="4A029658"/>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36145BDF"/>
    <w:multiLevelType w:val="hybridMultilevel"/>
    <w:tmpl w:val="8886ECA2"/>
    <w:lvl w:ilvl="0" w:tplc="C41C0E5C">
      <w:start w:val="1"/>
      <w:numFmt w:val="decimal"/>
      <w:lvlText w:val="%1."/>
      <w:lvlJc w:val="left"/>
      <w:pPr>
        <w:ind w:left="0" w:firstLine="0"/>
      </w:pPr>
      <w:rPr>
        <w:rFonts w:ascii="Verdana" w:hAnsi="Verdana" w:hint="default"/>
        <w:b w:val="0"/>
        <w:i w:val="0"/>
        <w:strike w:val="0"/>
        <w:color w:val="auto"/>
        <w:sz w:val="20"/>
        <w:szCs w:val="20"/>
        <w:lang w:val="es-AR"/>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6E53142"/>
    <w:multiLevelType w:val="hybridMultilevel"/>
    <w:tmpl w:val="234EA9A2"/>
    <w:lvl w:ilvl="0" w:tplc="7382C132">
      <w:start w:val="1"/>
      <w:numFmt w:val="upperLetter"/>
      <w:lvlText w:val="%1."/>
      <w:lvlJc w:val="left"/>
      <w:pPr>
        <w:ind w:left="1504" w:hanging="795"/>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6">
    <w:nsid w:val="3A4A7671"/>
    <w:multiLevelType w:val="hybridMultilevel"/>
    <w:tmpl w:val="13B8CA1C"/>
    <w:lvl w:ilvl="0" w:tplc="A84CD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2E0E94"/>
    <w:multiLevelType w:val="hybridMultilevel"/>
    <w:tmpl w:val="C94C08AA"/>
    <w:lvl w:ilvl="0" w:tplc="140A001B">
      <w:start w:val="1"/>
      <w:numFmt w:val="lowerRoman"/>
      <w:lvlText w:val="%1."/>
      <w:lvlJc w:val="right"/>
      <w:pPr>
        <w:ind w:left="2508" w:hanging="360"/>
      </w:pPr>
    </w:lvl>
    <w:lvl w:ilvl="1" w:tplc="140A0019" w:tentative="1">
      <w:start w:val="1"/>
      <w:numFmt w:val="lowerLetter"/>
      <w:lvlText w:val="%2."/>
      <w:lvlJc w:val="left"/>
      <w:pPr>
        <w:ind w:left="3228" w:hanging="360"/>
      </w:pPr>
    </w:lvl>
    <w:lvl w:ilvl="2" w:tplc="140A001B" w:tentative="1">
      <w:start w:val="1"/>
      <w:numFmt w:val="lowerRoman"/>
      <w:lvlText w:val="%3."/>
      <w:lvlJc w:val="right"/>
      <w:pPr>
        <w:ind w:left="3948" w:hanging="180"/>
      </w:pPr>
    </w:lvl>
    <w:lvl w:ilvl="3" w:tplc="140A000F" w:tentative="1">
      <w:start w:val="1"/>
      <w:numFmt w:val="decimal"/>
      <w:lvlText w:val="%4."/>
      <w:lvlJc w:val="left"/>
      <w:pPr>
        <w:ind w:left="4668" w:hanging="360"/>
      </w:pPr>
    </w:lvl>
    <w:lvl w:ilvl="4" w:tplc="140A0019" w:tentative="1">
      <w:start w:val="1"/>
      <w:numFmt w:val="lowerLetter"/>
      <w:lvlText w:val="%5."/>
      <w:lvlJc w:val="left"/>
      <w:pPr>
        <w:ind w:left="5388" w:hanging="360"/>
      </w:pPr>
    </w:lvl>
    <w:lvl w:ilvl="5" w:tplc="140A001B" w:tentative="1">
      <w:start w:val="1"/>
      <w:numFmt w:val="lowerRoman"/>
      <w:lvlText w:val="%6."/>
      <w:lvlJc w:val="right"/>
      <w:pPr>
        <w:ind w:left="6108" w:hanging="180"/>
      </w:pPr>
    </w:lvl>
    <w:lvl w:ilvl="6" w:tplc="140A000F" w:tentative="1">
      <w:start w:val="1"/>
      <w:numFmt w:val="decimal"/>
      <w:lvlText w:val="%7."/>
      <w:lvlJc w:val="left"/>
      <w:pPr>
        <w:ind w:left="6828" w:hanging="360"/>
      </w:pPr>
    </w:lvl>
    <w:lvl w:ilvl="7" w:tplc="140A0019" w:tentative="1">
      <w:start w:val="1"/>
      <w:numFmt w:val="lowerLetter"/>
      <w:lvlText w:val="%8."/>
      <w:lvlJc w:val="left"/>
      <w:pPr>
        <w:ind w:left="7548" w:hanging="360"/>
      </w:pPr>
    </w:lvl>
    <w:lvl w:ilvl="8" w:tplc="140A001B" w:tentative="1">
      <w:start w:val="1"/>
      <w:numFmt w:val="lowerRoman"/>
      <w:lvlText w:val="%9."/>
      <w:lvlJc w:val="right"/>
      <w:pPr>
        <w:ind w:left="8268" w:hanging="180"/>
      </w:pPr>
    </w:lvl>
  </w:abstractNum>
  <w:abstractNum w:abstractNumId="18">
    <w:nsid w:val="50F17B8D"/>
    <w:multiLevelType w:val="hybridMultilevel"/>
    <w:tmpl w:val="681C6C68"/>
    <w:lvl w:ilvl="0" w:tplc="140A0015">
      <w:start w:val="9"/>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30C48F6"/>
    <w:multiLevelType w:val="hybridMultilevel"/>
    <w:tmpl w:val="C390FD22"/>
    <w:lvl w:ilvl="0" w:tplc="EA9AB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E06E32"/>
    <w:multiLevelType w:val="hybridMultilevel"/>
    <w:tmpl w:val="178EEAA6"/>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1">
    <w:nsid w:val="563E5504"/>
    <w:multiLevelType w:val="hybridMultilevel"/>
    <w:tmpl w:val="24066854"/>
    <w:lvl w:ilvl="0" w:tplc="C82E47C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A8C0434"/>
    <w:multiLevelType w:val="hybridMultilevel"/>
    <w:tmpl w:val="6606507E"/>
    <w:lvl w:ilvl="0" w:tplc="8506DA8A">
      <w:start w:val="1"/>
      <w:numFmt w:val="decimal"/>
      <w:lvlText w:val="%1."/>
      <w:lvlJc w:val="left"/>
      <w:pPr>
        <w:ind w:left="720" w:hanging="360"/>
      </w:pPr>
      <w:rPr>
        <w:rFonts w:ascii="Verdana" w:hAnsi="Verdana"/>
        <w:b w:val="0"/>
        <w:i w:val="0"/>
        <w:sz w:val="20"/>
        <w:lang w:val="es-CR"/>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5D8A32DE"/>
    <w:multiLevelType w:val="hybridMultilevel"/>
    <w:tmpl w:val="C94C08AA"/>
    <w:lvl w:ilvl="0" w:tplc="140A001B">
      <w:start w:val="1"/>
      <w:numFmt w:val="lowerRoman"/>
      <w:lvlText w:val="%1."/>
      <w:lvlJc w:val="right"/>
      <w:pPr>
        <w:ind w:left="2508" w:hanging="360"/>
      </w:pPr>
    </w:lvl>
    <w:lvl w:ilvl="1" w:tplc="140A0019" w:tentative="1">
      <w:start w:val="1"/>
      <w:numFmt w:val="lowerLetter"/>
      <w:lvlText w:val="%2."/>
      <w:lvlJc w:val="left"/>
      <w:pPr>
        <w:ind w:left="3228" w:hanging="360"/>
      </w:pPr>
    </w:lvl>
    <w:lvl w:ilvl="2" w:tplc="140A001B" w:tentative="1">
      <w:start w:val="1"/>
      <w:numFmt w:val="lowerRoman"/>
      <w:lvlText w:val="%3."/>
      <w:lvlJc w:val="right"/>
      <w:pPr>
        <w:ind w:left="3948" w:hanging="180"/>
      </w:pPr>
    </w:lvl>
    <w:lvl w:ilvl="3" w:tplc="140A000F" w:tentative="1">
      <w:start w:val="1"/>
      <w:numFmt w:val="decimal"/>
      <w:lvlText w:val="%4."/>
      <w:lvlJc w:val="left"/>
      <w:pPr>
        <w:ind w:left="4668" w:hanging="360"/>
      </w:pPr>
    </w:lvl>
    <w:lvl w:ilvl="4" w:tplc="140A0019" w:tentative="1">
      <w:start w:val="1"/>
      <w:numFmt w:val="lowerLetter"/>
      <w:lvlText w:val="%5."/>
      <w:lvlJc w:val="left"/>
      <w:pPr>
        <w:ind w:left="5388" w:hanging="360"/>
      </w:pPr>
    </w:lvl>
    <w:lvl w:ilvl="5" w:tplc="140A001B" w:tentative="1">
      <w:start w:val="1"/>
      <w:numFmt w:val="lowerRoman"/>
      <w:lvlText w:val="%6."/>
      <w:lvlJc w:val="right"/>
      <w:pPr>
        <w:ind w:left="6108" w:hanging="180"/>
      </w:pPr>
    </w:lvl>
    <w:lvl w:ilvl="6" w:tplc="140A000F" w:tentative="1">
      <w:start w:val="1"/>
      <w:numFmt w:val="decimal"/>
      <w:lvlText w:val="%7."/>
      <w:lvlJc w:val="left"/>
      <w:pPr>
        <w:ind w:left="6828" w:hanging="360"/>
      </w:pPr>
    </w:lvl>
    <w:lvl w:ilvl="7" w:tplc="140A0019" w:tentative="1">
      <w:start w:val="1"/>
      <w:numFmt w:val="lowerLetter"/>
      <w:lvlText w:val="%8."/>
      <w:lvlJc w:val="left"/>
      <w:pPr>
        <w:ind w:left="7548" w:hanging="360"/>
      </w:pPr>
    </w:lvl>
    <w:lvl w:ilvl="8" w:tplc="140A001B" w:tentative="1">
      <w:start w:val="1"/>
      <w:numFmt w:val="lowerRoman"/>
      <w:lvlText w:val="%9."/>
      <w:lvlJc w:val="right"/>
      <w:pPr>
        <w:ind w:left="8268" w:hanging="180"/>
      </w:pPr>
    </w:lvl>
  </w:abstractNum>
  <w:abstractNum w:abstractNumId="24">
    <w:nsid w:val="5EDF4A28"/>
    <w:multiLevelType w:val="hybridMultilevel"/>
    <w:tmpl w:val="70E2026C"/>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5">
    <w:nsid w:val="61C34D37"/>
    <w:multiLevelType w:val="hybridMultilevel"/>
    <w:tmpl w:val="FA263388"/>
    <w:lvl w:ilvl="0" w:tplc="54BAB464">
      <w:start w:val="1"/>
      <w:numFmt w:val="lowerLetter"/>
      <w:lvlText w:val="%1)"/>
      <w:lvlJc w:val="left"/>
      <w:pPr>
        <w:ind w:left="1080" w:hanging="720"/>
      </w:pPr>
      <w:rPr>
        <w:rFonts w:ascii="Verdana" w:eastAsiaTheme="minorHAnsi" w:hAnsi="Verdana" w:cstheme="minorBid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635A3426"/>
    <w:multiLevelType w:val="hybridMultilevel"/>
    <w:tmpl w:val="A8788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0298B"/>
    <w:multiLevelType w:val="hybridMultilevel"/>
    <w:tmpl w:val="5DF0310C"/>
    <w:lvl w:ilvl="0" w:tplc="0922DE9A">
      <w:start w:val="1"/>
      <w:numFmt w:val="decimal"/>
      <w:lvlText w:val="%1."/>
      <w:lvlJc w:val="left"/>
      <w:pPr>
        <w:ind w:left="153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FDF0A75"/>
    <w:multiLevelType w:val="hybridMultilevel"/>
    <w:tmpl w:val="9BC45A7E"/>
    <w:lvl w:ilvl="0" w:tplc="C366D47E">
      <w:start w:val="1"/>
      <w:numFmt w:val="upperRoman"/>
      <w:lvlText w:val="%1."/>
      <w:lvlJc w:val="left"/>
      <w:pPr>
        <w:ind w:left="1425" w:hanging="72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29">
    <w:nsid w:val="70862381"/>
    <w:multiLevelType w:val="hybridMultilevel"/>
    <w:tmpl w:val="1DCC947E"/>
    <w:lvl w:ilvl="0" w:tplc="65FAA4E2">
      <w:start w:val="1"/>
      <w:numFmt w:val="upp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nsid w:val="710A6472"/>
    <w:multiLevelType w:val="hybridMultilevel"/>
    <w:tmpl w:val="F1D2A82A"/>
    <w:lvl w:ilvl="0" w:tplc="09C87816">
      <w:start w:val="1"/>
      <w:numFmt w:val="lowerLetter"/>
      <w:lvlText w:val="%1."/>
      <w:lvlJc w:val="left"/>
      <w:pPr>
        <w:ind w:left="1788" w:hanging="360"/>
      </w:pPr>
      <w:rPr>
        <w:i w:val="0"/>
      </w:r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31">
    <w:nsid w:val="74D2634E"/>
    <w:multiLevelType w:val="hybridMultilevel"/>
    <w:tmpl w:val="B3B23B58"/>
    <w:lvl w:ilvl="0" w:tplc="0E925798">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2">
    <w:nsid w:val="75940DAC"/>
    <w:multiLevelType w:val="hybridMultilevel"/>
    <w:tmpl w:val="4784E11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8C8734D"/>
    <w:multiLevelType w:val="hybridMultilevel"/>
    <w:tmpl w:val="3C1A00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nsid w:val="79354707"/>
    <w:multiLevelType w:val="hybridMultilevel"/>
    <w:tmpl w:val="2D522CAE"/>
    <w:lvl w:ilvl="0" w:tplc="8E2CDAEA">
      <w:start w:val="1"/>
      <w:numFmt w:val="decimal"/>
      <w:lvlText w:val="%1."/>
      <w:lvlJc w:val="left"/>
      <w:pPr>
        <w:ind w:left="1534" w:hanging="825"/>
      </w:pPr>
      <w:rPr>
        <w:rFonts w:eastAsia="Verdana" w:cs="Verdana"/>
        <w:b w:val="0"/>
        <w:i w:val="0"/>
        <w:color w:val="auto"/>
        <w:sz w:val="20"/>
        <w:szCs w:val="20"/>
        <w:lang w:val="es-ES_tradnl"/>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5">
    <w:nsid w:val="7CD66B6D"/>
    <w:multiLevelType w:val="hybridMultilevel"/>
    <w:tmpl w:val="597EB842"/>
    <w:lvl w:ilvl="0" w:tplc="9EFA673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7CE64D32"/>
    <w:multiLevelType w:val="hybridMultilevel"/>
    <w:tmpl w:val="E9AAC004"/>
    <w:lvl w:ilvl="0" w:tplc="84C60B70">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ES_tradnl"/>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Heading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37">
    <w:nsid w:val="7D5C0880"/>
    <w:multiLevelType w:val="hybridMultilevel"/>
    <w:tmpl w:val="104E06CE"/>
    <w:lvl w:ilvl="0" w:tplc="0C0A0015">
      <w:start w:val="4"/>
      <w:numFmt w:val="upp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7FE13265"/>
    <w:multiLevelType w:val="hybridMultilevel"/>
    <w:tmpl w:val="2CFE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3"/>
  </w:num>
  <w:num w:numId="3">
    <w:abstractNumId w:val="25"/>
  </w:num>
  <w:num w:numId="4">
    <w:abstractNumId w:val="35"/>
  </w:num>
  <w:num w:numId="5">
    <w:abstractNumId w:val="7"/>
  </w:num>
  <w:num w:numId="6">
    <w:abstractNumId w:val="21"/>
  </w:num>
  <w:num w:numId="7">
    <w:abstractNumId w:val="14"/>
  </w:num>
  <w:num w:numId="8">
    <w:abstractNumId w:val="8"/>
  </w:num>
  <w:num w:numId="9">
    <w:abstractNumId w:val="15"/>
  </w:num>
  <w:num w:numId="10">
    <w:abstractNumId w:val="38"/>
  </w:num>
  <w:num w:numId="11">
    <w:abstractNumId w:val="10"/>
  </w:num>
  <w:num w:numId="12">
    <w:abstractNumId w:val="9"/>
  </w:num>
  <w:num w:numId="13">
    <w:abstractNumId w:val="32"/>
  </w:num>
  <w:num w:numId="14">
    <w:abstractNumId w:val="37"/>
  </w:num>
  <w:num w:numId="15">
    <w:abstractNumId w:val="13"/>
  </w:num>
  <w:num w:numId="16">
    <w:abstractNumId w:val="20"/>
  </w:num>
  <w:num w:numId="17">
    <w:abstractNumId w:val="5"/>
  </w:num>
  <w:num w:numId="18">
    <w:abstractNumId w:val="24"/>
  </w:num>
  <w:num w:numId="19">
    <w:abstractNumId w:val="30"/>
  </w:num>
  <w:num w:numId="20">
    <w:abstractNumId w:val="17"/>
  </w:num>
  <w:num w:numId="21">
    <w:abstractNumId w:val="6"/>
  </w:num>
  <w:num w:numId="22">
    <w:abstractNumId w:val="36"/>
  </w:num>
  <w:num w:numId="23">
    <w:abstractNumId w:val="27"/>
  </w:num>
  <w:num w:numId="24">
    <w:abstractNumId w:val="22"/>
  </w:num>
  <w:num w:numId="25">
    <w:abstractNumId w:val="1"/>
  </w:num>
  <w:num w:numId="26">
    <w:abstractNumId w:val="28"/>
  </w:num>
  <w:num w:numId="27">
    <w:abstractNumId w:val="18"/>
  </w:num>
  <w:num w:numId="28">
    <w:abstractNumId w:val="2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
  </w:num>
  <w:num w:numId="34">
    <w:abstractNumId w:val="26"/>
  </w:num>
  <w:num w:numId="35">
    <w:abstractNumId w:val="4"/>
  </w:num>
  <w:num w:numId="36">
    <w:abstractNumId w:val="16"/>
  </w:num>
  <w:num w:numId="37">
    <w:abstractNumId w:val="11"/>
  </w:num>
  <w:num w:numId="38">
    <w:abstractNumId w:val="0"/>
  </w:num>
  <w:num w:numId="39">
    <w:abstractNumId w:val="3"/>
  </w:num>
  <w:num w:numId="40">
    <w:abstractNumId w:val="3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39"/>
    <w:rsid w:val="000005AD"/>
    <w:rsid w:val="00000A2B"/>
    <w:rsid w:val="00003B98"/>
    <w:rsid w:val="00003EC0"/>
    <w:rsid w:val="0000687A"/>
    <w:rsid w:val="0000728E"/>
    <w:rsid w:val="000074FD"/>
    <w:rsid w:val="00007CE2"/>
    <w:rsid w:val="00007CFD"/>
    <w:rsid w:val="00011497"/>
    <w:rsid w:val="00012249"/>
    <w:rsid w:val="00012D15"/>
    <w:rsid w:val="00013643"/>
    <w:rsid w:val="0001443B"/>
    <w:rsid w:val="00014F4F"/>
    <w:rsid w:val="00016052"/>
    <w:rsid w:val="00016439"/>
    <w:rsid w:val="00016602"/>
    <w:rsid w:val="00016EC3"/>
    <w:rsid w:val="0001748B"/>
    <w:rsid w:val="00017DCD"/>
    <w:rsid w:val="0002077C"/>
    <w:rsid w:val="00020A4F"/>
    <w:rsid w:val="000226EB"/>
    <w:rsid w:val="00025041"/>
    <w:rsid w:val="00025273"/>
    <w:rsid w:val="00025485"/>
    <w:rsid w:val="00025CE5"/>
    <w:rsid w:val="00026163"/>
    <w:rsid w:val="0002757F"/>
    <w:rsid w:val="000317F5"/>
    <w:rsid w:val="00032561"/>
    <w:rsid w:val="0003305F"/>
    <w:rsid w:val="00033EF0"/>
    <w:rsid w:val="00034A47"/>
    <w:rsid w:val="00037B9A"/>
    <w:rsid w:val="0004209C"/>
    <w:rsid w:val="00043AB6"/>
    <w:rsid w:val="00044670"/>
    <w:rsid w:val="00045C95"/>
    <w:rsid w:val="000466F2"/>
    <w:rsid w:val="000506B4"/>
    <w:rsid w:val="000514A7"/>
    <w:rsid w:val="00051632"/>
    <w:rsid w:val="00051761"/>
    <w:rsid w:val="00051791"/>
    <w:rsid w:val="0005198B"/>
    <w:rsid w:val="00051A28"/>
    <w:rsid w:val="00054FC7"/>
    <w:rsid w:val="000571C9"/>
    <w:rsid w:val="00060962"/>
    <w:rsid w:val="00062EC1"/>
    <w:rsid w:val="00064C6B"/>
    <w:rsid w:val="00065E74"/>
    <w:rsid w:val="000661E5"/>
    <w:rsid w:val="000669B3"/>
    <w:rsid w:val="00066C83"/>
    <w:rsid w:val="00067EAA"/>
    <w:rsid w:val="00070246"/>
    <w:rsid w:val="00070517"/>
    <w:rsid w:val="00070CDD"/>
    <w:rsid w:val="00071214"/>
    <w:rsid w:val="000776E7"/>
    <w:rsid w:val="00080B4F"/>
    <w:rsid w:val="000826E2"/>
    <w:rsid w:val="0008690D"/>
    <w:rsid w:val="00086B2E"/>
    <w:rsid w:val="00086DA2"/>
    <w:rsid w:val="00090EC2"/>
    <w:rsid w:val="0009152F"/>
    <w:rsid w:val="000924B5"/>
    <w:rsid w:val="00093D37"/>
    <w:rsid w:val="000954E3"/>
    <w:rsid w:val="00095BF8"/>
    <w:rsid w:val="000A0923"/>
    <w:rsid w:val="000A0F0E"/>
    <w:rsid w:val="000A50B6"/>
    <w:rsid w:val="000A5DF9"/>
    <w:rsid w:val="000A7097"/>
    <w:rsid w:val="000A7647"/>
    <w:rsid w:val="000B30B5"/>
    <w:rsid w:val="000B38B3"/>
    <w:rsid w:val="000B4FE7"/>
    <w:rsid w:val="000C075B"/>
    <w:rsid w:val="000C0E05"/>
    <w:rsid w:val="000C2FE8"/>
    <w:rsid w:val="000C3EF2"/>
    <w:rsid w:val="000C485E"/>
    <w:rsid w:val="000C55A6"/>
    <w:rsid w:val="000C725C"/>
    <w:rsid w:val="000C7DFF"/>
    <w:rsid w:val="000D0059"/>
    <w:rsid w:val="000D141F"/>
    <w:rsid w:val="000D462E"/>
    <w:rsid w:val="000D5421"/>
    <w:rsid w:val="000D60B7"/>
    <w:rsid w:val="000D619F"/>
    <w:rsid w:val="000D6C32"/>
    <w:rsid w:val="000D70E6"/>
    <w:rsid w:val="000E0856"/>
    <w:rsid w:val="000E0A82"/>
    <w:rsid w:val="000E182A"/>
    <w:rsid w:val="000E2FF1"/>
    <w:rsid w:val="000E3FF1"/>
    <w:rsid w:val="000E4082"/>
    <w:rsid w:val="000E450A"/>
    <w:rsid w:val="000E5010"/>
    <w:rsid w:val="000E5DD8"/>
    <w:rsid w:val="000E6882"/>
    <w:rsid w:val="000E6C1E"/>
    <w:rsid w:val="000E7438"/>
    <w:rsid w:val="000F04D3"/>
    <w:rsid w:val="000F0C23"/>
    <w:rsid w:val="000F1C53"/>
    <w:rsid w:val="000F217F"/>
    <w:rsid w:val="000F23D0"/>
    <w:rsid w:val="000F400B"/>
    <w:rsid w:val="000F4FF4"/>
    <w:rsid w:val="000F69FA"/>
    <w:rsid w:val="000F7796"/>
    <w:rsid w:val="000F7A84"/>
    <w:rsid w:val="00101552"/>
    <w:rsid w:val="00102098"/>
    <w:rsid w:val="001046FA"/>
    <w:rsid w:val="001063CE"/>
    <w:rsid w:val="00106CAC"/>
    <w:rsid w:val="001103D8"/>
    <w:rsid w:val="00111ADF"/>
    <w:rsid w:val="00111E36"/>
    <w:rsid w:val="00112712"/>
    <w:rsid w:val="00114A5B"/>
    <w:rsid w:val="00114F40"/>
    <w:rsid w:val="001164A1"/>
    <w:rsid w:val="00117DD3"/>
    <w:rsid w:val="001210D4"/>
    <w:rsid w:val="00121F0F"/>
    <w:rsid w:val="001220E9"/>
    <w:rsid w:val="00122872"/>
    <w:rsid w:val="00123B7F"/>
    <w:rsid w:val="001248EF"/>
    <w:rsid w:val="00124BC5"/>
    <w:rsid w:val="00125611"/>
    <w:rsid w:val="00125C44"/>
    <w:rsid w:val="00132919"/>
    <w:rsid w:val="00132966"/>
    <w:rsid w:val="001352A1"/>
    <w:rsid w:val="001356A4"/>
    <w:rsid w:val="00136411"/>
    <w:rsid w:val="001365FD"/>
    <w:rsid w:val="00136717"/>
    <w:rsid w:val="0013758B"/>
    <w:rsid w:val="0014070C"/>
    <w:rsid w:val="00143285"/>
    <w:rsid w:val="00143368"/>
    <w:rsid w:val="00143471"/>
    <w:rsid w:val="00143F0E"/>
    <w:rsid w:val="00144F75"/>
    <w:rsid w:val="0014689A"/>
    <w:rsid w:val="00147555"/>
    <w:rsid w:val="001511C8"/>
    <w:rsid w:val="00152559"/>
    <w:rsid w:val="001533ED"/>
    <w:rsid w:val="00153ADA"/>
    <w:rsid w:val="00154D5A"/>
    <w:rsid w:val="00154F4B"/>
    <w:rsid w:val="00155EE3"/>
    <w:rsid w:val="00161CFF"/>
    <w:rsid w:val="00163C36"/>
    <w:rsid w:val="001661D8"/>
    <w:rsid w:val="00166526"/>
    <w:rsid w:val="00166604"/>
    <w:rsid w:val="00166CF4"/>
    <w:rsid w:val="00167A21"/>
    <w:rsid w:val="00173535"/>
    <w:rsid w:val="00174799"/>
    <w:rsid w:val="001755A9"/>
    <w:rsid w:val="00175932"/>
    <w:rsid w:val="00177ED1"/>
    <w:rsid w:val="00180778"/>
    <w:rsid w:val="00181495"/>
    <w:rsid w:val="00182014"/>
    <w:rsid w:val="00183293"/>
    <w:rsid w:val="0018373B"/>
    <w:rsid w:val="001874E9"/>
    <w:rsid w:val="001911F3"/>
    <w:rsid w:val="00192E49"/>
    <w:rsid w:val="0019303A"/>
    <w:rsid w:val="001945C0"/>
    <w:rsid w:val="00197461"/>
    <w:rsid w:val="001A0745"/>
    <w:rsid w:val="001A175F"/>
    <w:rsid w:val="001A1866"/>
    <w:rsid w:val="001A29DA"/>
    <w:rsid w:val="001A377D"/>
    <w:rsid w:val="001A3DE4"/>
    <w:rsid w:val="001A420E"/>
    <w:rsid w:val="001A46B3"/>
    <w:rsid w:val="001A55FA"/>
    <w:rsid w:val="001A65BF"/>
    <w:rsid w:val="001A7B86"/>
    <w:rsid w:val="001B0CE8"/>
    <w:rsid w:val="001B1593"/>
    <w:rsid w:val="001B3B1E"/>
    <w:rsid w:val="001B418A"/>
    <w:rsid w:val="001B5D8C"/>
    <w:rsid w:val="001B626E"/>
    <w:rsid w:val="001B6F83"/>
    <w:rsid w:val="001B7887"/>
    <w:rsid w:val="001C0465"/>
    <w:rsid w:val="001C1170"/>
    <w:rsid w:val="001C3B26"/>
    <w:rsid w:val="001C412E"/>
    <w:rsid w:val="001C42E6"/>
    <w:rsid w:val="001C478F"/>
    <w:rsid w:val="001C5304"/>
    <w:rsid w:val="001C6201"/>
    <w:rsid w:val="001C707B"/>
    <w:rsid w:val="001C78AD"/>
    <w:rsid w:val="001D1C77"/>
    <w:rsid w:val="001D1CB2"/>
    <w:rsid w:val="001D62D3"/>
    <w:rsid w:val="001D76FC"/>
    <w:rsid w:val="001E01EA"/>
    <w:rsid w:val="001E074F"/>
    <w:rsid w:val="001E15F5"/>
    <w:rsid w:val="001E402A"/>
    <w:rsid w:val="001E4264"/>
    <w:rsid w:val="001E4C83"/>
    <w:rsid w:val="001E52FF"/>
    <w:rsid w:val="001E720F"/>
    <w:rsid w:val="001E76F2"/>
    <w:rsid w:val="001E7A3D"/>
    <w:rsid w:val="001E7BC1"/>
    <w:rsid w:val="001F0A5E"/>
    <w:rsid w:val="001F0CEE"/>
    <w:rsid w:val="001F1BFA"/>
    <w:rsid w:val="001F25F5"/>
    <w:rsid w:val="001F2E1C"/>
    <w:rsid w:val="001F311F"/>
    <w:rsid w:val="001F59CD"/>
    <w:rsid w:val="001F7E00"/>
    <w:rsid w:val="002007A0"/>
    <w:rsid w:val="00203581"/>
    <w:rsid w:val="00205540"/>
    <w:rsid w:val="00206415"/>
    <w:rsid w:val="0020670A"/>
    <w:rsid w:val="00207E1E"/>
    <w:rsid w:val="002120D8"/>
    <w:rsid w:val="00212A0C"/>
    <w:rsid w:val="00212B46"/>
    <w:rsid w:val="0021352A"/>
    <w:rsid w:val="002138E2"/>
    <w:rsid w:val="00213DAB"/>
    <w:rsid w:val="00216114"/>
    <w:rsid w:val="0022029B"/>
    <w:rsid w:val="002217E8"/>
    <w:rsid w:val="00221F7C"/>
    <w:rsid w:val="00224B5E"/>
    <w:rsid w:val="00225CF1"/>
    <w:rsid w:val="002268EB"/>
    <w:rsid w:val="002268FD"/>
    <w:rsid w:val="002305A7"/>
    <w:rsid w:val="0023140C"/>
    <w:rsid w:val="0023249E"/>
    <w:rsid w:val="00232BD0"/>
    <w:rsid w:val="00234366"/>
    <w:rsid w:val="00234EA1"/>
    <w:rsid w:val="002358E2"/>
    <w:rsid w:val="00235AB4"/>
    <w:rsid w:val="00236412"/>
    <w:rsid w:val="00236C12"/>
    <w:rsid w:val="00236F6D"/>
    <w:rsid w:val="00237228"/>
    <w:rsid w:val="00240B46"/>
    <w:rsid w:val="00242A09"/>
    <w:rsid w:val="00243511"/>
    <w:rsid w:val="002448FD"/>
    <w:rsid w:val="002460A6"/>
    <w:rsid w:val="00247CBE"/>
    <w:rsid w:val="00247CE1"/>
    <w:rsid w:val="00251117"/>
    <w:rsid w:val="00251A4F"/>
    <w:rsid w:val="00252CA1"/>
    <w:rsid w:val="00254ECA"/>
    <w:rsid w:val="002555E3"/>
    <w:rsid w:val="00256194"/>
    <w:rsid w:val="0025708A"/>
    <w:rsid w:val="002570B0"/>
    <w:rsid w:val="0026015E"/>
    <w:rsid w:val="00261286"/>
    <w:rsid w:val="00261D82"/>
    <w:rsid w:val="00262C20"/>
    <w:rsid w:val="00262CE1"/>
    <w:rsid w:val="00263CA5"/>
    <w:rsid w:val="002643C1"/>
    <w:rsid w:val="00270650"/>
    <w:rsid w:val="00272236"/>
    <w:rsid w:val="002725E2"/>
    <w:rsid w:val="00272C23"/>
    <w:rsid w:val="00272FF9"/>
    <w:rsid w:val="002731CD"/>
    <w:rsid w:val="002734C8"/>
    <w:rsid w:val="002736D6"/>
    <w:rsid w:val="00273FA7"/>
    <w:rsid w:val="0027504C"/>
    <w:rsid w:val="00275A38"/>
    <w:rsid w:val="00275EFC"/>
    <w:rsid w:val="00275F29"/>
    <w:rsid w:val="00277CEE"/>
    <w:rsid w:val="00291F19"/>
    <w:rsid w:val="00293B21"/>
    <w:rsid w:val="002A0D75"/>
    <w:rsid w:val="002A2A19"/>
    <w:rsid w:val="002A680F"/>
    <w:rsid w:val="002A6E5F"/>
    <w:rsid w:val="002A794F"/>
    <w:rsid w:val="002B3AD9"/>
    <w:rsid w:val="002B3FAF"/>
    <w:rsid w:val="002B6392"/>
    <w:rsid w:val="002B653E"/>
    <w:rsid w:val="002B667F"/>
    <w:rsid w:val="002B67FB"/>
    <w:rsid w:val="002B6B55"/>
    <w:rsid w:val="002C0EEE"/>
    <w:rsid w:val="002C16A7"/>
    <w:rsid w:val="002C182C"/>
    <w:rsid w:val="002C1E74"/>
    <w:rsid w:val="002C38DF"/>
    <w:rsid w:val="002C4046"/>
    <w:rsid w:val="002C4B0A"/>
    <w:rsid w:val="002C4D1E"/>
    <w:rsid w:val="002C5592"/>
    <w:rsid w:val="002C5D51"/>
    <w:rsid w:val="002C72A3"/>
    <w:rsid w:val="002C7B17"/>
    <w:rsid w:val="002D180E"/>
    <w:rsid w:val="002D22DA"/>
    <w:rsid w:val="002D3564"/>
    <w:rsid w:val="002D3AD3"/>
    <w:rsid w:val="002D555F"/>
    <w:rsid w:val="002D7C36"/>
    <w:rsid w:val="002E08D2"/>
    <w:rsid w:val="002E183D"/>
    <w:rsid w:val="002E1C60"/>
    <w:rsid w:val="002E3D71"/>
    <w:rsid w:val="002E4EC1"/>
    <w:rsid w:val="002E5060"/>
    <w:rsid w:val="002E6797"/>
    <w:rsid w:val="002E67B7"/>
    <w:rsid w:val="002F01CC"/>
    <w:rsid w:val="002F2BA6"/>
    <w:rsid w:val="002F55DE"/>
    <w:rsid w:val="002F6736"/>
    <w:rsid w:val="002F7AB6"/>
    <w:rsid w:val="00300205"/>
    <w:rsid w:val="00300D72"/>
    <w:rsid w:val="00302B9A"/>
    <w:rsid w:val="00304420"/>
    <w:rsid w:val="00304D81"/>
    <w:rsid w:val="003055CB"/>
    <w:rsid w:val="003065D4"/>
    <w:rsid w:val="00310DD5"/>
    <w:rsid w:val="003110EA"/>
    <w:rsid w:val="00311576"/>
    <w:rsid w:val="00311976"/>
    <w:rsid w:val="00311C1D"/>
    <w:rsid w:val="00312089"/>
    <w:rsid w:val="00312DF9"/>
    <w:rsid w:val="00313802"/>
    <w:rsid w:val="00315679"/>
    <w:rsid w:val="00317843"/>
    <w:rsid w:val="00317B83"/>
    <w:rsid w:val="0032026B"/>
    <w:rsid w:val="00320512"/>
    <w:rsid w:val="003205EA"/>
    <w:rsid w:val="00320C99"/>
    <w:rsid w:val="003213A5"/>
    <w:rsid w:val="00321F10"/>
    <w:rsid w:val="00323A38"/>
    <w:rsid w:val="00323A40"/>
    <w:rsid w:val="0032458D"/>
    <w:rsid w:val="0032528A"/>
    <w:rsid w:val="003253D8"/>
    <w:rsid w:val="00325ED7"/>
    <w:rsid w:val="00326A5D"/>
    <w:rsid w:val="00332095"/>
    <w:rsid w:val="00333463"/>
    <w:rsid w:val="00333DDA"/>
    <w:rsid w:val="00334332"/>
    <w:rsid w:val="00335244"/>
    <w:rsid w:val="00335BE7"/>
    <w:rsid w:val="00336E8B"/>
    <w:rsid w:val="00340068"/>
    <w:rsid w:val="00342757"/>
    <w:rsid w:val="0034533C"/>
    <w:rsid w:val="00345581"/>
    <w:rsid w:val="0034593D"/>
    <w:rsid w:val="0034647B"/>
    <w:rsid w:val="00347AED"/>
    <w:rsid w:val="00347B88"/>
    <w:rsid w:val="00350817"/>
    <w:rsid w:val="00353D8E"/>
    <w:rsid w:val="00356E81"/>
    <w:rsid w:val="003576FF"/>
    <w:rsid w:val="003602C6"/>
    <w:rsid w:val="00360B04"/>
    <w:rsid w:val="00363905"/>
    <w:rsid w:val="00364F50"/>
    <w:rsid w:val="003653D6"/>
    <w:rsid w:val="00365BC1"/>
    <w:rsid w:val="00371A5D"/>
    <w:rsid w:val="0037202F"/>
    <w:rsid w:val="00372BCB"/>
    <w:rsid w:val="003739D6"/>
    <w:rsid w:val="0037571E"/>
    <w:rsid w:val="003757A8"/>
    <w:rsid w:val="003764CE"/>
    <w:rsid w:val="00377A98"/>
    <w:rsid w:val="003800BB"/>
    <w:rsid w:val="003812E8"/>
    <w:rsid w:val="00383C67"/>
    <w:rsid w:val="0038552E"/>
    <w:rsid w:val="00386375"/>
    <w:rsid w:val="00392075"/>
    <w:rsid w:val="00393492"/>
    <w:rsid w:val="00396B85"/>
    <w:rsid w:val="003A16C8"/>
    <w:rsid w:val="003A5CDD"/>
    <w:rsid w:val="003A6788"/>
    <w:rsid w:val="003A6D7A"/>
    <w:rsid w:val="003A7A52"/>
    <w:rsid w:val="003A7D1D"/>
    <w:rsid w:val="003B25C5"/>
    <w:rsid w:val="003B3578"/>
    <w:rsid w:val="003B6799"/>
    <w:rsid w:val="003C03BA"/>
    <w:rsid w:val="003C3961"/>
    <w:rsid w:val="003C4491"/>
    <w:rsid w:val="003C5510"/>
    <w:rsid w:val="003C58CF"/>
    <w:rsid w:val="003C5E3E"/>
    <w:rsid w:val="003C605D"/>
    <w:rsid w:val="003C6A1A"/>
    <w:rsid w:val="003C7EEF"/>
    <w:rsid w:val="003D027D"/>
    <w:rsid w:val="003D49B2"/>
    <w:rsid w:val="003D606C"/>
    <w:rsid w:val="003D7215"/>
    <w:rsid w:val="003E23BD"/>
    <w:rsid w:val="003E35A3"/>
    <w:rsid w:val="003E4684"/>
    <w:rsid w:val="003E55F4"/>
    <w:rsid w:val="003E6767"/>
    <w:rsid w:val="003E6DBA"/>
    <w:rsid w:val="003E7E9C"/>
    <w:rsid w:val="003F00A6"/>
    <w:rsid w:val="003F3CDC"/>
    <w:rsid w:val="003F4582"/>
    <w:rsid w:val="003F4C21"/>
    <w:rsid w:val="003F5BB4"/>
    <w:rsid w:val="003F67B2"/>
    <w:rsid w:val="003F6FD4"/>
    <w:rsid w:val="003F7C74"/>
    <w:rsid w:val="00402B1F"/>
    <w:rsid w:val="004041AC"/>
    <w:rsid w:val="004041BC"/>
    <w:rsid w:val="004071D8"/>
    <w:rsid w:val="0041343B"/>
    <w:rsid w:val="004154C1"/>
    <w:rsid w:val="00415586"/>
    <w:rsid w:val="00416CB0"/>
    <w:rsid w:val="00416F21"/>
    <w:rsid w:val="00420A82"/>
    <w:rsid w:val="004230C1"/>
    <w:rsid w:val="004241F2"/>
    <w:rsid w:val="00425C08"/>
    <w:rsid w:val="00427345"/>
    <w:rsid w:val="004328D7"/>
    <w:rsid w:val="0043321B"/>
    <w:rsid w:val="00433D2E"/>
    <w:rsid w:val="00434647"/>
    <w:rsid w:val="004346FE"/>
    <w:rsid w:val="00434B6D"/>
    <w:rsid w:val="00435A3E"/>
    <w:rsid w:val="00435D73"/>
    <w:rsid w:val="0043687A"/>
    <w:rsid w:val="00436FAB"/>
    <w:rsid w:val="00437328"/>
    <w:rsid w:val="0044091E"/>
    <w:rsid w:val="00442AAE"/>
    <w:rsid w:val="00446F05"/>
    <w:rsid w:val="00447422"/>
    <w:rsid w:val="00447611"/>
    <w:rsid w:val="00451840"/>
    <w:rsid w:val="00452BA7"/>
    <w:rsid w:val="00453F10"/>
    <w:rsid w:val="00455753"/>
    <w:rsid w:val="0045779B"/>
    <w:rsid w:val="00460B71"/>
    <w:rsid w:val="00461399"/>
    <w:rsid w:val="00462603"/>
    <w:rsid w:val="004637B2"/>
    <w:rsid w:val="00466090"/>
    <w:rsid w:val="004662F6"/>
    <w:rsid w:val="0047124E"/>
    <w:rsid w:val="00474306"/>
    <w:rsid w:val="004747A4"/>
    <w:rsid w:val="00474EF4"/>
    <w:rsid w:val="00480A60"/>
    <w:rsid w:val="00482A17"/>
    <w:rsid w:val="00484B9D"/>
    <w:rsid w:val="0048650D"/>
    <w:rsid w:val="0048663A"/>
    <w:rsid w:val="004866AA"/>
    <w:rsid w:val="00486B67"/>
    <w:rsid w:val="00486DE8"/>
    <w:rsid w:val="0048730B"/>
    <w:rsid w:val="00491432"/>
    <w:rsid w:val="00491CE9"/>
    <w:rsid w:val="00491EB6"/>
    <w:rsid w:val="00491EFF"/>
    <w:rsid w:val="00492F7C"/>
    <w:rsid w:val="004940E9"/>
    <w:rsid w:val="0049615E"/>
    <w:rsid w:val="0049763D"/>
    <w:rsid w:val="004A26CF"/>
    <w:rsid w:val="004A2C65"/>
    <w:rsid w:val="004A3CE6"/>
    <w:rsid w:val="004A4292"/>
    <w:rsid w:val="004A42F1"/>
    <w:rsid w:val="004A4AED"/>
    <w:rsid w:val="004A5A38"/>
    <w:rsid w:val="004A7783"/>
    <w:rsid w:val="004B3C43"/>
    <w:rsid w:val="004B4735"/>
    <w:rsid w:val="004B4AA2"/>
    <w:rsid w:val="004B62D7"/>
    <w:rsid w:val="004B7512"/>
    <w:rsid w:val="004B7525"/>
    <w:rsid w:val="004C1F4B"/>
    <w:rsid w:val="004C2573"/>
    <w:rsid w:val="004C43C5"/>
    <w:rsid w:val="004C47D6"/>
    <w:rsid w:val="004C5703"/>
    <w:rsid w:val="004C6064"/>
    <w:rsid w:val="004C65BA"/>
    <w:rsid w:val="004C744C"/>
    <w:rsid w:val="004D1125"/>
    <w:rsid w:val="004D208B"/>
    <w:rsid w:val="004D23D3"/>
    <w:rsid w:val="004D3FAF"/>
    <w:rsid w:val="004D44FE"/>
    <w:rsid w:val="004D45E4"/>
    <w:rsid w:val="004D54AB"/>
    <w:rsid w:val="004D6112"/>
    <w:rsid w:val="004D6FEC"/>
    <w:rsid w:val="004D7378"/>
    <w:rsid w:val="004D7775"/>
    <w:rsid w:val="004E3A56"/>
    <w:rsid w:val="004E49BA"/>
    <w:rsid w:val="004E4A25"/>
    <w:rsid w:val="004E5C1B"/>
    <w:rsid w:val="004E6B01"/>
    <w:rsid w:val="004E7CE9"/>
    <w:rsid w:val="004F18B1"/>
    <w:rsid w:val="004F1D21"/>
    <w:rsid w:val="004F322A"/>
    <w:rsid w:val="004F3EDE"/>
    <w:rsid w:val="004F422C"/>
    <w:rsid w:val="004F5142"/>
    <w:rsid w:val="004F5D06"/>
    <w:rsid w:val="004F6717"/>
    <w:rsid w:val="004F7A0D"/>
    <w:rsid w:val="00500E7C"/>
    <w:rsid w:val="00501F02"/>
    <w:rsid w:val="00502181"/>
    <w:rsid w:val="00502A52"/>
    <w:rsid w:val="00503590"/>
    <w:rsid w:val="00503BDB"/>
    <w:rsid w:val="0050425E"/>
    <w:rsid w:val="00505AD5"/>
    <w:rsid w:val="0050619F"/>
    <w:rsid w:val="00507826"/>
    <w:rsid w:val="005125FC"/>
    <w:rsid w:val="00513566"/>
    <w:rsid w:val="0051394F"/>
    <w:rsid w:val="00517376"/>
    <w:rsid w:val="00517FB0"/>
    <w:rsid w:val="00522888"/>
    <w:rsid w:val="005246F3"/>
    <w:rsid w:val="00526B8E"/>
    <w:rsid w:val="00530CA1"/>
    <w:rsid w:val="00531451"/>
    <w:rsid w:val="00531A23"/>
    <w:rsid w:val="005338DD"/>
    <w:rsid w:val="00534578"/>
    <w:rsid w:val="00534961"/>
    <w:rsid w:val="00535E65"/>
    <w:rsid w:val="00536050"/>
    <w:rsid w:val="005365DC"/>
    <w:rsid w:val="005366DD"/>
    <w:rsid w:val="00536D52"/>
    <w:rsid w:val="00537F0F"/>
    <w:rsid w:val="00537F9B"/>
    <w:rsid w:val="00540717"/>
    <w:rsid w:val="00541377"/>
    <w:rsid w:val="00542A2D"/>
    <w:rsid w:val="00542C90"/>
    <w:rsid w:val="005447C4"/>
    <w:rsid w:val="00544CFD"/>
    <w:rsid w:val="00545022"/>
    <w:rsid w:val="00545D1A"/>
    <w:rsid w:val="00546B75"/>
    <w:rsid w:val="0055147D"/>
    <w:rsid w:val="00551E80"/>
    <w:rsid w:val="00552591"/>
    <w:rsid w:val="0055261E"/>
    <w:rsid w:val="00552ED8"/>
    <w:rsid w:val="0055345D"/>
    <w:rsid w:val="00554EB0"/>
    <w:rsid w:val="00555BB5"/>
    <w:rsid w:val="00560343"/>
    <w:rsid w:val="00560B03"/>
    <w:rsid w:val="005634FF"/>
    <w:rsid w:val="005638DF"/>
    <w:rsid w:val="00564158"/>
    <w:rsid w:val="00565B48"/>
    <w:rsid w:val="005663C1"/>
    <w:rsid w:val="005717E0"/>
    <w:rsid w:val="005724F2"/>
    <w:rsid w:val="0057488D"/>
    <w:rsid w:val="00574921"/>
    <w:rsid w:val="00574C74"/>
    <w:rsid w:val="00574EA0"/>
    <w:rsid w:val="00575BEA"/>
    <w:rsid w:val="00580B71"/>
    <w:rsid w:val="00582B14"/>
    <w:rsid w:val="00582D88"/>
    <w:rsid w:val="00583437"/>
    <w:rsid w:val="0058410F"/>
    <w:rsid w:val="0059183F"/>
    <w:rsid w:val="0059377D"/>
    <w:rsid w:val="00593869"/>
    <w:rsid w:val="0059426B"/>
    <w:rsid w:val="005946D2"/>
    <w:rsid w:val="00594C7D"/>
    <w:rsid w:val="00595169"/>
    <w:rsid w:val="005952C0"/>
    <w:rsid w:val="005969FC"/>
    <w:rsid w:val="00596A09"/>
    <w:rsid w:val="005A0237"/>
    <w:rsid w:val="005A290E"/>
    <w:rsid w:val="005A2B2D"/>
    <w:rsid w:val="005A2C36"/>
    <w:rsid w:val="005A2C40"/>
    <w:rsid w:val="005A44AE"/>
    <w:rsid w:val="005A481F"/>
    <w:rsid w:val="005A53D7"/>
    <w:rsid w:val="005A55C8"/>
    <w:rsid w:val="005A5E15"/>
    <w:rsid w:val="005B19B6"/>
    <w:rsid w:val="005B1DBF"/>
    <w:rsid w:val="005B21BB"/>
    <w:rsid w:val="005B37A1"/>
    <w:rsid w:val="005B39E3"/>
    <w:rsid w:val="005B3F18"/>
    <w:rsid w:val="005B4157"/>
    <w:rsid w:val="005B52E3"/>
    <w:rsid w:val="005B7D29"/>
    <w:rsid w:val="005C0E6F"/>
    <w:rsid w:val="005C259E"/>
    <w:rsid w:val="005C2721"/>
    <w:rsid w:val="005C36FC"/>
    <w:rsid w:val="005C4308"/>
    <w:rsid w:val="005C4659"/>
    <w:rsid w:val="005C5D39"/>
    <w:rsid w:val="005C5FB9"/>
    <w:rsid w:val="005D1690"/>
    <w:rsid w:val="005D1925"/>
    <w:rsid w:val="005D1B57"/>
    <w:rsid w:val="005D46C4"/>
    <w:rsid w:val="005D5290"/>
    <w:rsid w:val="005D718F"/>
    <w:rsid w:val="005D7CC2"/>
    <w:rsid w:val="005E16AB"/>
    <w:rsid w:val="005E5FA0"/>
    <w:rsid w:val="005E70C7"/>
    <w:rsid w:val="005F0371"/>
    <w:rsid w:val="005F071F"/>
    <w:rsid w:val="005F0B24"/>
    <w:rsid w:val="005F0BA2"/>
    <w:rsid w:val="005F1425"/>
    <w:rsid w:val="005F3756"/>
    <w:rsid w:val="005F5D57"/>
    <w:rsid w:val="005F6141"/>
    <w:rsid w:val="005F61FF"/>
    <w:rsid w:val="005F6D4F"/>
    <w:rsid w:val="006006F5"/>
    <w:rsid w:val="00600CAA"/>
    <w:rsid w:val="00600F6D"/>
    <w:rsid w:val="00602834"/>
    <w:rsid w:val="00602C5E"/>
    <w:rsid w:val="006031A7"/>
    <w:rsid w:val="00603784"/>
    <w:rsid w:val="0060583A"/>
    <w:rsid w:val="006072B4"/>
    <w:rsid w:val="0061041F"/>
    <w:rsid w:val="006118D6"/>
    <w:rsid w:val="00613CE0"/>
    <w:rsid w:val="00614F7F"/>
    <w:rsid w:val="00614FB7"/>
    <w:rsid w:val="006165E6"/>
    <w:rsid w:val="00620029"/>
    <w:rsid w:val="006230D0"/>
    <w:rsid w:val="00623AFE"/>
    <w:rsid w:val="00624388"/>
    <w:rsid w:val="0062442F"/>
    <w:rsid w:val="00624DD2"/>
    <w:rsid w:val="00625C48"/>
    <w:rsid w:val="0062650E"/>
    <w:rsid w:val="00626BF3"/>
    <w:rsid w:val="00627CCE"/>
    <w:rsid w:val="00627E6A"/>
    <w:rsid w:val="00631B30"/>
    <w:rsid w:val="00633ECD"/>
    <w:rsid w:val="00634840"/>
    <w:rsid w:val="00634FA0"/>
    <w:rsid w:val="0063624F"/>
    <w:rsid w:val="00644D21"/>
    <w:rsid w:val="00645DA5"/>
    <w:rsid w:val="00646061"/>
    <w:rsid w:val="00647159"/>
    <w:rsid w:val="00647C23"/>
    <w:rsid w:val="00651BF1"/>
    <w:rsid w:val="006533B2"/>
    <w:rsid w:val="0065467D"/>
    <w:rsid w:val="00654C17"/>
    <w:rsid w:val="0066106C"/>
    <w:rsid w:val="00663133"/>
    <w:rsid w:val="00665353"/>
    <w:rsid w:val="00665CDD"/>
    <w:rsid w:val="00665D3A"/>
    <w:rsid w:val="006666F9"/>
    <w:rsid w:val="00666B1D"/>
    <w:rsid w:val="00667505"/>
    <w:rsid w:val="00667898"/>
    <w:rsid w:val="00667C60"/>
    <w:rsid w:val="00667FD7"/>
    <w:rsid w:val="00670491"/>
    <w:rsid w:val="00671916"/>
    <w:rsid w:val="006728ED"/>
    <w:rsid w:val="00672DCE"/>
    <w:rsid w:val="006734A3"/>
    <w:rsid w:val="006737BA"/>
    <w:rsid w:val="00674531"/>
    <w:rsid w:val="0067481A"/>
    <w:rsid w:val="00674DB9"/>
    <w:rsid w:val="00674FCF"/>
    <w:rsid w:val="006761BA"/>
    <w:rsid w:val="00676B99"/>
    <w:rsid w:val="00677039"/>
    <w:rsid w:val="0067706F"/>
    <w:rsid w:val="00677A5F"/>
    <w:rsid w:val="00677BB7"/>
    <w:rsid w:val="00680115"/>
    <w:rsid w:val="00680ECC"/>
    <w:rsid w:val="006810AA"/>
    <w:rsid w:val="00681516"/>
    <w:rsid w:val="00681C2A"/>
    <w:rsid w:val="0068314C"/>
    <w:rsid w:val="006845D9"/>
    <w:rsid w:val="00684786"/>
    <w:rsid w:val="00685AFB"/>
    <w:rsid w:val="0069018C"/>
    <w:rsid w:val="00691B21"/>
    <w:rsid w:val="0069218D"/>
    <w:rsid w:val="006929E5"/>
    <w:rsid w:val="006966ED"/>
    <w:rsid w:val="00697CB3"/>
    <w:rsid w:val="006A042A"/>
    <w:rsid w:val="006A10D1"/>
    <w:rsid w:val="006A2DA5"/>
    <w:rsid w:val="006A576A"/>
    <w:rsid w:val="006A5F54"/>
    <w:rsid w:val="006A5FEC"/>
    <w:rsid w:val="006A6D60"/>
    <w:rsid w:val="006A6E20"/>
    <w:rsid w:val="006A7851"/>
    <w:rsid w:val="006B16B6"/>
    <w:rsid w:val="006B2E69"/>
    <w:rsid w:val="006B3251"/>
    <w:rsid w:val="006B5423"/>
    <w:rsid w:val="006B562E"/>
    <w:rsid w:val="006B6477"/>
    <w:rsid w:val="006C086F"/>
    <w:rsid w:val="006C0B82"/>
    <w:rsid w:val="006C0EA6"/>
    <w:rsid w:val="006C1209"/>
    <w:rsid w:val="006C1C58"/>
    <w:rsid w:val="006C38D0"/>
    <w:rsid w:val="006C4308"/>
    <w:rsid w:val="006C4338"/>
    <w:rsid w:val="006C5239"/>
    <w:rsid w:val="006C6354"/>
    <w:rsid w:val="006C6381"/>
    <w:rsid w:val="006C7235"/>
    <w:rsid w:val="006C780E"/>
    <w:rsid w:val="006D064E"/>
    <w:rsid w:val="006D08EC"/>
    <w:rsid w:val="006D275C"/>
    <w:rsid w:val="006D3824"/>
    <w:rsid w:val="006D38BA"/>
    <w:rsid w:val="006D3A6E"/>
    <w:rsid w:val="006D3A9A"/>
    <w:rsid w:val="006D4919"/>
    <w:rsid w:val="006D55BA"/>
    <w:rsid w:val="006D77A8"/>
    <w:rsid w:val="006E14D2"/>
    <w:rsid w:val="006E1A42"/>
    <w:rsid w:val="006E1B68"/>
    <w:rsid w:val="006E1CC4"/>
    <w:rsid w:val="006E1EEB"/>
    <w:rsid w:val="006E3E84"/>
    <w:rsid w:val="006E47F3"/>
    <w:rsid w:val="006E7767"/>
    <w:rsid w:val="006E7A0E"/>
    <w:rsid w:val="006F07A8"/>
    <w:rsid w:val="006F1295"/>
    <w:rsid w:val="006F26E4"/>
    <w:rsid w:val="006F27E1"/>
    <w:rsid w:val="006F2C82"/>
    <w:rsid w:val="006F3059"/>
    <w:rsid w:val="006F3EC2"/>
    <w:rsid w:val="006F5B8D"/>
    <w:rsid w:val="006F624A"/>
    <w:rsid w:val="006F6AE7"/>
    <w:rsid w:val="007006AF"/>
    <w:rsid w:val="00700995"/>
    <w:rsid w:val="00701396"/>
    <w:rsid w:val="007016AD"/>
    <w:rsid w:val="00702492"/>
    <w:rsid w:val="007026BB"/>
    <w:rsid w:val="00703706"/>
    <w:rsid w:val="00703E4E"/>
    <w:rsid w:val="00706105"/>
    <w:rsid w:val="00710488"/>
    <w:rsid w:val="00710A26"/>
    <w:rsid w:val="00711059"/>
    <w:rsid w:val="00712F33"/>
    <w:rsid w:val="007151D9"/>
    <w:rsid w:val="007168E9"/>
    <w:rsid w:val="00717D27"/>
    <w:rsid w:val="00721264"/>
    <w:rsid w:val="00721A78"/>
    <w:rsid w:val="00721FA7"/>
    <w:rsid w:val="007224CD"/>
    <w:rsid w:val="0072345A"/>
    <w:rsid w:val="007237B9"/>
    <w:rsid w:val="00723B4B"/>
    <w:rsid w:val="00733A60"/>
    <w:rsid w:val="00734C84"/>
    <w:rsid w:val="00737070"/>
    <w:rsid w:val="007401E4"/>
    <w:rsid w:val="00740584"/>
    <w:rsid w:val="00741501"/>
    <w:rsid w:val="00741731"/>
    <w:rsid w:val="00743096"/>
    <w:rsid w:val="00746547"/>
    <w:rsid w:val="00747DCF"/>
    <w:rsid w:val="00751693"/>
    <w:rsid w:val="007519C1"/>
    <w:rsid w:val="00753813"/>
    <w:rsid w:val="00753E7E"/>
    <w:rsid w:val="0075413A"/>
    <w:rsid w:val="00755694"/>
    <w:rsid w:val="00755EC1"/>
    <w:rsid w:val="00756A85"/>
    <w:rsid w:val="0075730A"/>
    <w:rsid w:val="00760FC2"/>
    <w:rsid w:val="00761DE7"/>
    <w:rsid w:val="00762019"/>
    <w:rsid w:val="007630A1"/>
    <w:rsid w:val="007635CC"/>
    <w:rsid w:val="00763C5E"/>
    <w:rsid w:val="00764BE6"/>
    <w:rsid w:val="00764C3A"/>
    <w:rsid w:val="00764FDC"/>
    <w:rsid w:val="0076616F"/>
    <w:rsid w:val="0076669A"/>
    <w:rsid w:val="007666A1"/>
    <w:rsid w:val="00766D02"/>
    <w:rsid w:val="00766EA9"/>
    <w:rsid w:val="00770503"/>
    <w:rsid w:val="00770DC3"/>
    <w:rsid w:val="00773B76"/>
    <w:rsid w:val="00774368"/>
    <w:rsid w:val="00774C49"/>
    <w:rsid w:val="00774CBE"/>
    <w:rsid w:val="00774DFE"/>
    <w:rsid w:val="00776359"/>
    <w:rsid w:val="0077637C"/>
    <w:rsid w:val="0077706B"/>
    <w:rsid w:val="00780125"/>
    <w:rsid w:val="007807A1"/>
    <w:rsid w:val="00781DC8"/>
    <w:rsid w:val="007820DC"/>
    <w:rsid w:val="0078681A"/>
    <w:rsid w:val="00790202"/>
    <w:rsid w:val="00790D6F"/>
    <w:rsid w:val="0079249F"/>
    <w:rsid w:val="0079311D"/>
    <w:rsid w:val="00793BC5"/>
    <w:rsid w:val="00796C57"/>
    <w:rsid w:val="007A0FF3"/>
    <w:rsid w:val="007A1471"/>
    <w:rsid w:val="007A1F6B"/>
    <w:rsid w:val="007A216B"/>
    <w:rsid w:val="007A558B"/>
    <w:rsid w:val="007B06AF"/>
    <w:rsid w:val="007B0BA6"/>
    <w:rsid w:val="007B30E4"/>
    <w:rsid w:val="007B34A5"/>
    <w:rsid w:val="007B3C61"/>
    <w:rsid w:val="007B3E74"/>
    <w:rsid w:val="007B45DC"/>
    <w:rsid w:val="007B5447"/>
    <w:rsid w:val="007B7729"/>
    <w:rsid w:val="007C02F1"/>
    <w:rsid w:val="007C06B4"/>
    <w:rsid w:val="007C1985"/>
    <w:rsid w:val="007C3A97"/>
    <w:rsid w:val="007C3CED"/>
    <w:rsid w:val="007C5970"/>
    <w:rsid w:val="007C728D"/>
    <w:rsid w:val="007D01C7"/>
    <w:rsid w:val="007D055D"/>
    <w:rsid w:val="007D179D"/>
    <w:rsid w:val="007D3022"/>
    <w:rsid w:val="007D5E89"/>
    <w:rsid w:val="007D6103"/>
    <w:rsid w:val="007D6E87"/>
    <w:rsid w:val="007D734B"/>
    <w:rsid w:val="007D77C2"/>
    <w:rsid w:val="007E08D6"/>
    <w:rsid w:val="007E1F79"/>
    <w:rsid w:val="007E24CA"/>
    <w:rsid w:val="007E3C68"/>
    <w:rsid w:val="007E6048"/>
    <w:rsid w:val="007F0F47"/>
    <w:rsid w:val="007F25F3"/>
    <w:rsid w:val="007F3B85"/>
    <w:rsid w:val="007F51E9"/>
    <w:rsid w:val="007F5DFA"/>
    <w:rsid w:val="007F70F9"/>
    <w:rsid w:val="00800EE6"/>
    <w:rsid w:val="0080103E"/>
    <w:rsid w:val="008019BA"/>
    <w:rsid w:val="0080259F"/>
    <w:rsid w:val="00802A65"/>
    <w:rsid w:val="008031E5"/>
    <w:rsid w:val="008036A9"/>
    <w:rsid w:val="008040F4"/>
    <w:rsid w:val="00805AD6"/>
    <w:rsid w:val="00805BDD"/>
    <w:rsid w:val="008065C1"/>
    <w:rsid w:val="00807886"/>
    <w:rsid w:val="00813720"/>
    <w:rsid w:val="00814D43"/>
    <w:rsid w:val="00814F8E"/>
    <w:rsid w:val="0081564D"/>
    <w:rsid w:val="008162AC"/>
    <w:rsid w:val="00816A8E"/>
    <w:rsid w:val="00817888"/>
    <w:rsid w:val="0082024F"/>
    <w:rsid w:val="0082187E"/>
    <w:rsid w:val="00822722"/>
    <w:rsid w:val="00824145"/>
    <w:rsid w:val="008249C5"/>
    <w:rsid w:val="00832D8D"/>
    <w:rsid w:val="008337ED"/>
    <w:rsid w:val="008340E7"/>
    <w:rsid w:val="0083482E"/>
    <w:rsid w:val="00834C47"/>
    <w:rsid w:val="00834D33"/>
    <w:rsid w:val="00835662"/>
    <w:rsid w:val="00835E34"/>
    <w:rsid w:val="00836070"/>
    <w:rsid w:val="00837AB9"/>
    <w:rsid w:val="00840757"/>
    <w:rsid w:val="00841F32"/>
    <w:rsid w:val="008448E6"/>
    <w:rsid w:val="00845A59"/>
    <w:rsid w:val="00845E88"/>
    <w:rsid w:val="0084604C"/>
    <w:rsid w:val="00846850"/>
    <w:rsid w:val="00850ED0"/>
    <w:rsid w:val="00852517"/>
    <w:rsid w:val="0085420E"/>
    <w:rsid w:val="00854778"/>
    <w:rsid w:val="00856EDA"/>
    <w:rsid w:val="00857383"/>
    <w:rsid w:val="0086013C"/>
    <w:rsid w:val="0086058A"/>
    <w:rsid w:val="0086190A"/>
    <w:rsid w:val="00864887"/>
    <w:rsid w:val="00864C0F"/>
    <w:rsid w:val="00866198"/>
    <w:rsid w:val="00866E24"/>
    <w:rsid w:val="00867E57"/>
    <w:rsid w:val="00870E02"/>
    <w:rsid w:val="00872BA3"/>
    <w:rsid w:val="008742A1"/>
    <w:rsid w:val="008776F6"/>
    <w:rsid w:val="00877BE6"/>
    <w:rsid w:val="00880A84"/>
    <w:rsid w:val="00883F40"/>
    <w:rsid w:val="008843CE"/>
    <w:rsid w:val="00885E5B"/>
    <w:rsid w:val="0088630B"/>
    <w:rsid w:val="00887AD6"/>
    <w:rsid w:val="00887B43"/>
    <w:rsid w:val="00892060"/>
    <w:rsid w:val="0089314C"/>
    <w:rsid w:val="008959D4"/>
    <w:rsid w:val="00895F75"/>
    <w:rsid w:val="00896181"/>
    <w:rsid w:val="008A075D"/>
    <w:rsid w:val="008A3AE7"/>
    <w:rsid w:val="008A3CCF"/>
    <w:rsid w:val="008A4A15"/>
    <w:rsid w:val="008A692A"/>
    <w:rsid w:val="008A6B46"/>
    <w:rsid w:val="008A7242"/>
    <w:rsid w:val="008A72F0"/>
    <w:rsid w:val="008A7486"/>
    <w:rsid w:val="008B0180"/>
    <w:rsid w:val="008B01FC"/>
    <w:rsid w:val="008B1A7C"/>
    <w:rsid w:val="008B2BBF"/>
    <w:rsid w:val="008B2EF5"/>
    <w:rsid w:val="008B3CB2"/>
    <w:rsid w:val="008B4024"/>
    <w:rsid w:val="008B4030"/>
    <w:rsid w:val="008B4341"/>
    <w:rsid w:val="008B586B"/>
    <w:rsid w:val="008B58C6"/>
    <w:rsid w:val="008C0992"/>
    <w:rsid w:val="008C2F00"/>
    <w:rsid w:val="008C64C7"/>
    <w:rsid w:val="008C75B3"/>
    <w:rsid w:val="008C7BFC"/>
    <w:rsid w:val="008C7FCD"/>
    <w:rsid w:val="008D20E0"/>
    <w:rsid w:val="008D5048"/>
    <w:rsid w:val="008D62AE"/>
    <w:rsid w:val="008D747B"/>
    <w:rsid w:val="008E0B34"/>
    <w:rsid w:val="008E11F9"/>
    <w:rsid w:val="008E13D7"/>
    <w:rsid w:val="008E32CF"/>
    <w:rsid w:val="008E6FC0"/>
    <w:rsid w:val="008E7267"/>
    <w:rsid w:val="008E7C5A"/>
    <w:rsid w:val="008F41F1"/>
    <w:rsid w:val="008F430A"/>
    <w:rsid w:val="008F5E95"/>
    <w:rsid w:val="008F5FB1"/>
    <w:rsid w:val="008F7387"/>
    <w:rsid w:val="008F7425"/>
    <w:rsid w:val="0090157B"/>
    <w:rsid w:val="009028CD"/>
    <w:rsid w:val="00907C65"/>
    <w:rsid w:val="00907F15"/>
    <w:rsid w:val="00910347"/>
    <w:rsid w:val="009104FE"/>
    <w:rsid w:val="009108EC"/>
    <w:rsid w:val="0091255F"/>
    <w:rsid w:val="009130B2"/>
    <w:rsid w:val="00913D91"/>
    <w:rsid w:val="00915244"/>
    <w:rsid w:val="009175AC"/>
    <w:rsid w:val="00917EF7"/>
    <w:rsid w:val="009205B9"/>
    <w:rsid w:val="009212E0"/>
    <w:rsid w:val="00921E93"/>
    <w:rsid w:val="0092371C"/>
    <w:rsid w:val="00923A21"/>
    <w:rsid w:val="009244BB"/>
    <w:rsid w:val="00924532"/>
    <w:rsid w:val="00925E5D"/>
    <w:rsid w:val="00927DF1"/>
    <w:rsid w:val="00931E8F"/>
    <w:rsid w:val="0093211E"/>
    <w:rsid w:val="00932468"/>
    <w:rsid w:val="00933150"/>
    <w:rsid w:val="009341BC"/>
    <w:rsid w:val="00934AA3"/>
    <w:rsid w:val="00935032"/>
    <w:rsid w:val="00935591"/>
    <w:rsid w:val="0094013B"/>
    <w:rsid w:val="00941069"/>
    <w:rsid w:val="00942AB2"/>
    <w:rsid w:val="009438D9"/>
    <w:rsid w:val="0094587A"/>
    <w:rsid w:val="009468E1"/>
    <w:rsid w:val="00947D6D"/>
    <w:rsid w:val="0095105E"/>
    <w:rsid w:val="00952DC5"/>
    <w:rsid w:val="00953C4E"/>
    <w:rsid w:val="0095557D"/>
    <w:rsid w:val="00956CB9"/>
    <w:rsid w:val="0096078D"/>
    <w:rsid w:val="00961C38"/>
    <w:rsid w:val="00963E63"/>
    <w:rsid w:val="00964F7F"/>
    <w:rsid w:val="00967825"/>
    <w:rsid w:val="00970082"/>
    <w:rsid w:val="009720E5"/>
    <w:rsid w:val="009721CE"/>
    <w:rsid w:val="00972CF2"/>
    <w:rsid w:val="00975D14"/>
    <w:rsid w:val="00982616"/>
    <w:rsid w:val="00982DCC"/>
    <w:rsid w:val="00983735"/>
    <w:rsid w:val="00983CFD"/>
    <w:rsid w:val="009855EE"/>
    <w:rsid w:val="00985911"/>
    <w:rsid w:val="00985B7D"/>
    <w:rsid w:val="00985C63"/>
    <w:rsid w:val="009863AE"/>
    <w:rsid w:val="00986CA3"/>
    <w:rsid w:val="0098712F"/>
    <w:rsid w:val="00987577"/>
    <w:rsid w:val="00994564"/>
    <w:rsid w:val="00997262"/>
    <w:rsid w:val="00997E46"/>
    <w:rsid w:val="009A1113"/>
    <w:rsid w:val="009A1A77"/>
    <w:rsid w:val="009A1EF4"/>
    <w:rsid w:val="009A2091"/>
    <w:rsid w:val="009A2A7D"/>
    <w:rsid w:val="009A341F"/>
    <w:rsid w:val="009A4CAA"/>
    <w:rsid w:val="009A4D15"/>
    <w:rsid w:val="009A52DB"/>
    <w:rsid w:val="009B02AC"/>
    <w:rsid w:val="009B08FC"/>
    <w:rsid w:val="009B128A"/>
    <w:rsid w:val="009B4EDC"/>
    <w:rsid w:val="009B574B"/>
    <w:rsid w:val="009B6375"/>
    <w:rsid w:val="009B6CFB"/>
    <w:rsid w:val="009C025F"/>
    <w:rsid w:val="009C0E68"/>
    <w:rsid w:val="009C1A46"/>
    <w:rsid w:val="009C3FE7"/>
    <w:rsid w:val="009C4DF7"/>
    <w:rsid w:val="009C61F2"/>
    <w:rsid w:val="009C72A6"/>
    <w:rsid w:val="009D162D"/>
    <w:rsid w:val="009D170A"/>
    <w:rsid w:val="009D24BD"/>
    <w:rsid w:val="009D2629"/>
    <w:rsid w:val="009D396D"/>
    <w:rsid w:val="009D3AE9"/>
    <w:rsid w:val="009D3DB9"/>
    <w:rsid w:val="009D4545"/>
    <w:rsid w:val="009D59FA"/>
    <w:rsid w:val="009D5EE1"/>
    <w:rsid w:val="009D72FD"/>
    <w:rsid w:val="009E1466"/>
    <w:rsid w:val="009E284F"/>
    <w:rsid w:val="009E2AF9"/>
    <w:rsid w:val="009E337E"/>
    <w:rsid w:val="009E38F5"/>
    <w:rsid w:val="009E499F"/>
    <w:rsid w:val="009E5059"/>
    <w:rsid w:val="009E727A"/>
    <w:rsid w:val="009F2760"/>
    <w:rsid w:val="009F3E27"/>
    <w:rsid w:val="009F4E9F"/>
    <w:rsid w:val="009F5A59"/>
    <w:rsid w:val="009F6102"/>
    <w:rsid w:val="009F6C8C"/>
    <w:rsid w:val="00A00F5F"/>
    <w:rsid w:val="00A00F71"/>
    <w:rsid w:val="00A02899"/>
    <w:rsid w:val="00A03A63"/>
    <w:rsid w:val="00A03C11"/>
    <w:rsid w:val="00A03C57"/>
    <w:rsid w:val="00A03D21"/>
    <w:rsid w:val="00A04D37"/>
    <w:rsid w:val="00A051A1"/>
    <w:rsid w:val="00A05231"/>
    <w:rsid w:val="00A05A97"/>
    <w:rsid w:val="00A05D73"/>
    <w:rsid w:val="00A06076"/>
    <w:rsid w:val="00A06D10"/>
    <w:rsid w:val="00A0730B"/>
    <w:rsid w:val="00A104A1"/>
    <w:rsid w:val="00A135A0"/>
    <w:rsid w:val="00A13F0A"/>
    <w:rsid w:val="00A14352"/>
    <w:rsid w:val="00A150A5"/>
    <w:rsid w:val="00A15A94"/>
    <w:rsid w:val="00A16DB0"/>
    <w:rsid w:val="00A16E0F"/>
    <w:rsid w:val="00A2129A"/>
    <w:rsid w:val="00A21D73"/>
    <w:rsid w:val="00A232EF"/>
    <w:rsid w:val="00A249B1"/>
    <w:rsid w:val="00A250AB"/>
    <w:rsid w:val="00A254A8"/>
    <w:rsid w:val="00A259C2"/>
    <w:rsid w:val="00A25C8D"/>
    <w:rsid w:val="00A26DE9"/>
    <w:rsid w:val="00A274AB"/>
    <w:rsid w:val="00A27D29"/>
    <w:rsid w:val="00A31391"/>
    <w:rsid w:val="00A3211D"/>
    <w:rsid w:val="00A33A8E"/>
    <w:rsid w:val="00A35592"/>
    <w:rsid w:val="00A35EF6"/>
    <w:rsid w:val="00A362A5"/>
    <w:rsid w:val="00A36414"/>
    <w:rsid w:val="00A377E7"/>
    <w:rsid w:val="00A41219"/>
    <w:rsid w:val="00A4189F"/>
    <w:rsid w:val="00A41A52"/>
    <w:rsid w:val="00A43051"/>
    <w:rsid w:val="00A441C3"/>
    <w:rsid w:val="00A44E64"/>
    <w:rsid w:val="00A5065C"/>
    <w:rsid w:val="00A51460"/>
    <w:rsid w:val="00A51C40"/>
    <w:rsid w:val="00A52153"/>
    <w:rsid w:val="00A524C7"/>
    <w:rsid w:val="00A52BE4"/>
    <w:rsid w:val="00A5441D"/>
    <w:rsid w:val="00A60201"/>
    <w:rsid w:val="00A60886"/>
    <w:rsid w:val="00A61E14"/>
    <w:rsid w:val="00A6213A"/>
    <w:rsid w:val="00A622D5"/>
    <w:rsid w:val="00A62C53"/>
    <w:rsid w:val="00A63CF2"/>
    <w:rsid w:val="00A649D9"/>
    <w:rsid w:val="00A64A1E"/>
    <w:rsid w:val="00A656BD"/>
    <w:rsid w:val="00A66710"/>
    <w:rsid w:val="00A669B7"/>
    <w:rsid w:val="00A71275"/>
    <w:rsid w:val="00A7180B"/>
    <w:rsid w:val="00A722BB"/>
    <w:rsid w:val="00A73E83"/>
    <w:rsid w:val="00A7508A"/>
    <w:rsid w:val="00A752C6"/>
    <w:rsid w:val="00A7540F"/>
    <w:rsid w:val="00A75DC1"/>
    <w:rsid w:val="00A77263"/>
    <w:rsid w:val="00A8063A"/>
    <w:rsid w:val="00A819FC"/>
    <w:rsid w:val="00A842B8"/>
    <w:rsid w:val="00A86BE5"/>
    <w:rsid w:val="00A86EBF"/>
    <w:rsid w:val="00A87503"/>
    <w:rsid w:val="00A92116"/>
    <w:rsid w:val="00A939DE"/>
    <w:rsid w:val="00A94944"/>
    <w:rsid w:val="00A94D9E"/>
    <w:rsid w:val="00A96756"/>
    <w:rsid w:val="00A96CDC"/>
    <w:rsid w:val="00A9717E"/>
    <w:rsid w:val="00A97CB7"/>
    <w:rsid w:val="00AA03FF"/>
    <w:rsid w:val="00AA0C91"/>
    <w:rsid w:val="00AA2944"/>
    <w:rsid w:val="00AA2A4D"/>
    <w:rsid w:val="00AA2D1A"/>
    <w:rsid w:val="00AA33A6"/>
    <w:rsid w:val="00AA38ED"/>
    <w:rsid w:val="00AA6CC6"/>
    <w:rsid w:val="00AA6DDA"/>
    <w:rsid w:val="00AB00C3"/>
    <w:rsid w:val="00AB0E60"/>
    <w:rsid w:val="00AB2471"/>
    <w:rsid w:val="00AB27BD"/>
    <w:rsid w:val="00AB336A"/>
    <w:rsid w:val="00AB33CC"/>
    <w:rsid w:val="00AB3C70"/>
    <w:rsid w:val="00AC02A3"/>
    <w:rsid w:val="00AC04CD"/>
    <w:rsid w:val="00AC0A53"/>
    <w:rsid w:val="00AC0FA2"/>
    <w:rsid w:val="00AC1502"/>
    <w:rsid w:val="00AC1728"/>
    <w:rsid w:val="00AC3167"/>
    <w:rsid w:val="00AC3D61"/>
    <w:rsid w:val="00AC41B8"/>
    <w:rsid w:val="00AC43E7"/>
    <w:rsid w:val="00AC6E8D"/>
    <w:rsid w:val="00AC7ABC"/>
    <w:rsid w:val="00AC7BB2"/>
    <w:rsid w:val="00AD23EF"/>
    <w:rsid w:val="00AD344E"/>
    <w:rsid w:val="00AD38F3"/>
    <w:rsid w:val="00AD5274"/>
    <w:rsid w:val="00AD5C0B"/>
    <w:rsid w:val="00AD6FD8"/>
    <w:rsid w:val="00AE0653"/>
    <w:rsid w:val="00AE0B1D"/>
    <w:rsid w:val="00AE0CC7"/>
    <w:rsid w:val="00AE322D"/>
    <w:rsid w:val="00AE35F8"/>
    <w:rsid w:val="00AE603F"/>
    <w:rsid w:val="00AE632E"/>
    <w:rsid w:val="00AF09DD"/>
    <w:rsid w:val="00AF0E30"/>
    <w:rsid w:val="00AF3BE0"/>
    <w:rsid w:val="00AF5B99"/>
    <w:rsid w:val="00AF6E40"/>
    <w:rsid w:val="00AF7FAA"/>
    <w:rsid w:val="00B00316"/>
    <w:rsid w:val="00B005A1"/>
    <w:rsid w:val="00B01A60"/>
    <w:rsid w:val="00B02EA4"/>
    <w:rsid w:val="00B03323"/>
    <w:rsid w:val="00B03C84"/>
    <w:rsid w:val="00B049A4"/>
    <w:rsid w:val="00B049D7"/>
    <w:rsid w:val="00B05B7A"/>
    <w:rsid w:val="00B06409"/>
    <w:rsid w:val="00B069DB"/>
    <w:rsid w:val="00B06AC7"/>
    <w:rsid w:val="00B07D99"/>
    <w:rsid w:val="00B07FA9"/>
    <w:rsid w:val="00B10646"/>
    <w:rsid w:val="00B10DF4"/>
    <w:rsid w:val="00B12DC3"/>
    <w:rsid w:val="00B13EBC"/>
    <w:rsid w:val="00B14531"/>
    <w:rsid w:val="00B14590"/>
    <w:rsid w:val="00B16AEC"/>
    <w:rsid w:val="00B22AB7"/>
    <w:rsid w:val="00B231A2"/>
    <w:rsid w:val="00B24C87"/>
    <w:rsid w:val="00B253E6"/>
    <w:rsid w:val="00B27FAF"/>
    <w:rsid w:val="00B30879"/>
    <w:rsid w:val="00B333B4"/>
    <w:rsid w:val="00B337B3"/>
    <w:rsid w:val="00B33D0C"/>
    <w:rsid w:val="00B33FE7"/>
    <w:rsid w:val="00B3404D"/>
    <w:rsid w:val="00B3565C"/>
    <w:rsid w:val="00B35CF4"/>
    <w:rsid w:val="00B360E6"/>
    <w:rsid w:val="00B37274"/>
    <w:rsid w:val="00B41071"/>
    <w:rsid w:val="00B41308"/>
    <w:rsid w:val="00B417F8"/>
    <w:rsid w:val="00B426F2"/>
    <w:rsid w:val="00B42BB4"/>
    <w:rsid w:val="00B431F6"/>
    <w:rsid w:val="00B4346C"/>
    <w:rsid w:val="00B437D0"/>
    <w:rsid w:val="00B447CF"/>
    <w:rsid w:val="00B44951"/>
    <w:rsid w:val="00B454CA"/>
    <w:rsid w:val="00B455F1"/>
    <w:rsid w:val="00B46B93"/>
    <w:rsid w:val="00B47818"/>
    <w:rsid w:val="00B5068C"/>
    <w:rsid w:val="00B52FEE"/>
    <w:rsid w:val="00B536A0"/>
    <w:rsid w:val="00B538A9"/>
    <w:rsid w:val="00B53BE3"/>
    <w:rsid w:val="00B54761"/>
    <w:rsid w:val="00B55655"/>
    <w:rsid w:val="00B5639C"/>
    <w:rsid w:val="00B5746A"/>
    <w:rsid w:val="00B577DB"/>
    <w:rsid w:val="00B62523"/>
    <w:rsid w:val="00B62E80"/>
    <w:rsid w:val="00B6365F"/>
    <w:rsid w:val="00B64E0E"/>
    <w:rsid w:val="00B654B7"/>
    <w:rsid w:val="00B66977"/>
    <w:rsid w:val="00B71F3F"/>
    <w:rsid w:val="00B72DA5"/>
    <w:rsid w:val="00B732EC"/>
    <w:rsid w:val="00B73DE4"/>
    <w:rsid w:val="00B741E7"/>
    <w:rsid w:val="00B744D8"/>
    <w:rsid w:val="00B74914"/>
    <w:rsid w:val="00B750FA"/>
    <w:rsid w:val="00B773A5"/>
    <w:rsid w:val="00B80B74"/>
    <w:rsid w:val="00B817EB"/>
    <w:rsid w:val="00B819B3"/>
    <w:rsid w:val="00B81FC7"/>
    <w:rsid w:val="00B849DF"/>
    <w:rsid w:val="00B84C39"/>
    <w:rsid w:val="00B85576"/>
    <w:rsid w:val="00B85969"/>
    <w:rsid w:val="00B86808"/>
    <w:rsid w:val="00B8712A"/>
    <w:rsid w:val="00B902C5"/>
    <w:rsid w:val="00B92CB9"/>
    <w:rsid w:val="00B92DFF"/>
    <w:rsid w:val="00B93ADB"/>
    <w:rsid w:val="00B94BC8"/>
    <w:rsid w:val="00B95E2D"/>
    <w:rsid w:val="00B95E44"/>
    <w:rsid w:val="00B969C9"/>
    <w:rsid w:val="00BA0EBB"/>
    <w:rsid w:val="00BA17E9"/>
    <w:rsid w:val="00BA2871"/>
    <w:rsid w:val="00BA3D22"/>
    <w:rsid w:val="00BA6440"/>
    <w:rsid w:val="00BB0B39"/>
    <w:rsid w:val="00BB0BB8"/>
    <w:rsid w:val="00BB3E6B"/>
    <w:rsid w:val="00BB4070"/>
    <w:rsid w:val="00BB5EBC"/>
    <w:rsid w:val="00BB67C4"/>
    <w:rsid w:val="00BC16BF"/>
    <w:rsid w:val="00BC1769"/>
    <w:rsid w:val="00BC28D5"/>
    <w:rsid w:val="00BC2AFE"/>
    <w:rsid w:val="00BC3945"/>
    <w:rsid w:val="00BC3D82"/>
    <w:rsid w:val="00BC3D90"/>
    <w:rsid w:val="00BC47F5"/>
    <w:rsid w:val="00BC4D2F"/>
    <w:rsid w:val="00BC50C3"/>
    <w:rsid w:val="00BC72AB"/>
    <w:rsid w:val="00BC7576"/>
    <w:rsid w:val="00BC7FE4"/>
    <w:rsid w:val="00BD029F"/>
    <w:rsid w:val="00BD0C5D"/>
    <w:rsid w:val="00BD1338"/>
    <w:rsid w:val="00BD3EEA"/>
    <w:rsid w:val="00BD5912"/>
    <w:rsid w:val="00BD6926"/>
    <w:rsid w:val="00BD7244"/>
    <w:rsid w:val="00BD729D"/>
    <w:rsid w:val="00BD757B"/>
    <w:rsid w:val="00BE03AF"/>
    <w:rsid w:val="00BE07EC"/>
    <w:rsid w:val="00BE0E2D"/>
    <w:rsid w:val="00BE1B31"/>
    <w:rsid w:val="00BE1CCF"/>
    <w:rsid w:val="00BE228A"/>
    <w:rsid w:val="00BE29A3"/>
    <w:rsid w:val="00BE5CC1"/>
    <w:rsid w:val="00BE60C8"/>
    <w:rsid w:val="00BE614E"/>
    <w:rsid w:val="00BF0143"/>
    <w:rsid w:val="00BF0E36"/>
    <w:rsid w:val="00BF17CF"/>
    <w:rsid w:val="00BF37D6"/>
    <w:rsid w:val="00BF4F74"/>
    <w:rsid w:val="00BF5BFA"/>
    <w:rsid w:val="00BF696E"/>
    <w:rsid w:val="00BF6D39"/>
    <w:rsid w:val="00BF74D2"/>
    <w:rsid w:val="00BF7E15"/>
    <w:rsid w:val="00C00DC8"/>
    <w:rsid w:val="00C0185F"/>
    <w:rsid w:val="00C02066"/>
    <w:rsid w:val="00C023C9"/>
    <w:rsid w:val="00C03D9A"/>
    <w:rsid w:val="00C03FD9"/>
    <w:rsid w:val="00C04208"/>
    <w:rsid w:val="00C04331"/>
    <w:rsid w:val="00C05939"/>
    <w:rsid w:val="00C07569"/>
    <w:rsid w:val="00C10961"/>
    <w:rsid w:val="00C12477"/>
    <w:rsid w:val="00C1308B"/>
    <w:rsid w:val="00C1730D"/>
    <w:rsid w:val="00C216E2"/>
    <w:rsid w:val="00C268B7"/>
    <w:rsid w:val="00C3001B"/>
    <w:rsid w:val="00C3050C"/>
    <w:rsid w:val="00C305C1"/>
    <w:rsid w:val="00C3246A"/>
    <w:rsid w:val="00C32718"/>
    <w:rsid w:val="00C34005"/>
    <w:rsid w:val="00C34423"/>
    <w:rsid w:val="00C34B4E"/>
    <w:rsid w:val="00C35B7C"/>
    <w:rsid w:val="00C36739"/>
    <w:rsid w:val="00C36D4A"/>
    <w:rsid w:val="00C3753E"/>
    <w:rsid w:val="00C37EAA"/>
    <w:rsid w:val="00C40330"/>
    <w:rsid w:val="00C44C77"/>
    <w:rsid w:val="00C475DA"/>
    <w:rsid w:val="00C509AC"/>
    <w:rsid w:val="00C51B4D"/>
    <w:rsid w:val="00C52A25"/>
    <w:rsid w:val="00C53FE5"/>
    <w:rsid w:val="00C5456B"/>
    <w:rsid w:val="00C54D78"/>
    <w:rsid w:val="00C563E0"/>
    <w:rsid w:val="00C56978"/>
    <w:rsid w:val="00C57638"/>
    <w:rsid w:val="00C61C52"/>
    <w:rsid w:val="00C62C0B"/>
    <w:rsid w:val="00C630DC"/>
    <w:rsid w:val="00C63F82"/>
    <w:rsid w:val="00C657BC"/>
    <w:rsid w:val="00C66BBC"/>
    <w:rsid w:val="00C66DC4"/>
    <w:rsid w:val="00C67BD4"/>
    <w:rsid w:val="00C70136"/>
    <w:rsid w:val="00C7013B"/>
    <w:rsid w:val="00C70B16"/>
    <w:rsid w:val="00C70CAD"/>
    <w:rsid w:val="00C71D16"/>
    <w:rsid w:val="00C73FBC"/>
    <w:rsid w:val="00C74F18"/>
    <w:rsid w:val="00C75E39"/>
    <w:rsid w:val="00C76A19"/>
    <w:rsid w:val="00C76CF4"/>
    <w:rsid w:val="00C77C5C"/>
    <w:rsid w:val="00C8062B"/>
    <w:rsid w:val="00C8567D"/>
    <w:rsid w:val="00C87EDD"/>
    <w:rsid w:val="00C90561"/>
    <w:rsid w:val="00C913F4"/>
    <w:rsid w:val="00C95F30"/>
    <w:rsid w:val="00C96922"/>
    <w:rsid w:val="00C96A20"/>
    <w:rsid w:val="00C971F4"/>
    <w:rsid w:val="00C975BA"/>
    <w:rsid w:val="00CA1169"/>
    <w:rsid w:val="00CA22F9"/>
    <w:rsid w:val="00CA2803"/>
    <w:rsid w:val="00CA6C8F"/>
    <w:rsid w:val="00CB02F2"/>
    <w:rsid w:val="00CB17DD"/>
    <w:rsid w:val="00CB1A2D"/>
    <w:rsid w:val="00CB231D"/>
    <w:rsid w:val="00CB2DF0"/>
    <w:rsid w:val="00CB49B7"/>
    <w:rsid w:val="00CB4BA2"/>
    <w:rsid w:val="00CB4F92"/>
    <w:rsid w:val="00CC0B92"/>
    <w:rsid w:val="00CC4538"/>
    <w:rsid w:val="00CC52A8"/>
    <w:rsid w:val="00CD00B0"/>
    <w:rsid w:val="00CD1012"/>
    <w:rsid w:val="00CD1126"/>
    <w:rsid w:val="00CD2DD1"/>
    <w:rsid w:val="00CD3549"/>
    <w:rsid w:val="00CD4B59"/>
    <w:rsid w:val="00CD5AE9"/>
    <w:rsid w:val="00CE1CD2"/>
    <w:rsid w:val="00CE371F"/>
    <w:rsid w:val="00CE3C8F"/>
    <w:rsid w:val="00CE4957"/>
    <w:rsid w:val="00CE6FDE"/>
    <w:rsid w:val="00CE797B"/>
    <w:rsid w:val="00CF2206"/>
    <w:rsid w:val="00CF2EED"/>
    <w:rsid w:val="00CF3E8A"/>
    <w:rsid w:val="00CF5DF7"/>
    <w:rsid w:val="00CF789B"/>
    <w:rsid w:val="00CF7C81"/>
    <w:rsid w:val="00D0132F"/>
    <w:rsid w:val="00D0157C"/>
    <w:rsid w:val="00D01AF0"/>
    <w:rsid w:val="00D03324"/>
    <w:rsid w:val="00D0375E"/>
    <w:rsid w:val="00D048D1"/>
    <w:rsid w:val="00D05AFD"/>
    <w:rsid w:val="00D05C65"/>
    <w:rsid w:val="00D1397B"/>
    <w:rsid w:val="00D15635"/>
    <w:rsid w:val="00D167CF"/>
    <w:rsid w:val="00D24A9E"/>
    <w:rsid w:val="00D24AF2"/>
    <w:rsid w:val="00D250F8"/>
    <w:rsid w:val="00D251D7"/>
    <w:rsid w:val="00D300F6"/>
    <w:rsid w:val="00D310E5"/>
    <w:rsid w:val="00D323EB"/>
    <w:rsid w:val="00D32908"/>
    <w:rsid w:val="00D33793"/>
    <w:rsid w:val="00D34433"/>
    <w:rsid w:val="00D34676"/>
    <w:rsid w:val="00D36176"/>
    <w:rsid w:val="00D37173"/>
    <w:rsid w:val="00D377DB"/>
    <w:rsid w:val="00D405E3"/>
    <w:rsid w:val="00D42D56"/>
    <w:rsid w:val="00D43606"/>
    <w:rsid w:val="00D43F41"/>
    <w:rsid w:val="00D44A7B"/>
    <w:rsid w:val="00D45EA1"/>
    <w:rsid w:val="00D45F46"/>
    <w:rsid w:val="00D47C1D"/>
    <w:rsid w:val="00D54269"/>
    <w:rsid w:val="00D54780"/>
    <w:rsid w:val="00D54A1E"/>
    <w:rsid w:val="00D54F8F"/>
    <w:rsid w:val="00D615F7"/>
    <w:rsid w:val="00D61CC5"/>
    <w:rsid w:val="00D62567"/>
    <w:rsid w:val="00D62A0A"/>
    <w:rsid w:val="00D66A4E"/>
    <w:rsid w:val="00D66C7C"/>
    <w:rsid w:val="00D70ACD"/>
    <w:rsid w:val="00D70BF3"/>
    <w:rsid w:val="00D7197C"/>
    <w:rsid w:val="00D72164"/>
    <w:rsid w:val="00D724E4"/>
    <w:rsid w:val="00D73504"/>
    <w:rsid w:val="00D7405E"/>
    <w:rsid w:val="00D754A4"/>
    <w:rsid w:val="00D76750"/>
    <w:rsid w:val="00D77C65"/>
    <w:rsid w:val="00D801B3"/>
    <w:rsid w:val="00D81C71"/>
    <w:rsid w:val="00D81D0A"/>
    <w:rsid w:val="00D820AB"/>
    <w:rsid w:val="00D82175"/>
    <w:rsid w:val="00D853D8"/>
    <w:rsid w:val="00D858E5"/>
    <w:rsid w:val="00D8602B"/>
    <w:rsid w:val="00D86302"/>
    <w:rsid w:val="00D87F4A"/>
    <w:rsid w:val="00D90A7B"/>
    <w:rsid w:val="00D9165D"/>
    <w:rsid w:val="00D927D2"/>
    <w:rsid w:val="00D92E5D"/>
    <w:rsid w:val="00D9534A"/>
    <w:rsid w:val="00D960C6"/>
    <w:rsid w:val="00D97B96"/>
    <w:rsid w:val="00DA14B6"/>
    <w:rsid w:val="00DA1513"/>
    <w:rsid w:val="00DA1707"/>
    <w:rsid w:val="00DA2B8C"/>
    <w:rsid w:val="00DA310B"/>
    <w:rsid w:val="00DA36FB"/>
    <w:rsid w:val="00DA5D3E"/>
    <w:rsid w:val="00DA5E2B"/>
    <w:rsid w:val="00DA691C"/>
    <w:rsid w:val="00DA7D4F"/>
    <w:rsid w:val="00DB08F3"/>
    <w:rsid w:val="00DB3AC5"/>
    <w:rsid w:val="00DB5685"/>
    <w:rsid w:val="00DB5B61"/>
    <w:rsid w:val="00DB5CD6"/>
    <w:rsid w:val="00DB6273"/>
    <w:rsid w:val="00DB6388"/>
    <w:rsid w:val="00DB7025"/>
    <w:rsid w:val="00DC1C3B"/>
    <w:rsid w:val="00DC32EA"/>
    <w:rsid w:val="00DC432B"/>
    <w:rsid w:val="00DC48E3"/>
    <w:rsid w:val="00DC4E26"/>
    <w:rsid w:val="00DC524D"/>
    <w:rsid w:val="00DC64BD"/>
    <w:rsid w:val="00DC6F19"/>
    <w:rsid w:val="00DC7086"/>
    <w:rsid w:val="00DC772C"/>
    <w:rsid w:val="00DD03DE"/>
    <w:rsid w:val="00DD0D73"/>
    <w:rsid w:val="00DD16CA"/>
    <w:rsid w:val="00DD2CB3"/>
    <w:rsid w:val="00DD3266"/>
    <w:rsid w:val="00DD3579"/>
    <w:rsid w:val="00DD3636"/>
    <w:rsid w:val="00DD3C1D"/>
    <w:rsid w:val="00DD4746"/>
    <w:rsid w:val="00DD4B97"/>
    <w:rsid w:val="00DD7899"/>
    <w:rsid w:val="00DD7DC3"/>
    <w:rsid w:val="00DE0A8A"/>
    <w:rsid w:val="00DE1D96"/>
    <w:rsid w:val="00DE1E86"/>
    <w:rsid w:val="00DE376F"/>
    <w:rsid w:val="00DE5A49"/>
    <w:rsid w:val="00DE7844"/>
    <w:rsid w:val="00DE7BE5"/>
    <w:rsid w:val="00DF03E2"/>
    <w:rsid w:val="00DF0B9E"/>
    <w:rsid w:val="00DF1544"/>
    <w:rsid w:val="00DF20BA"/>
    <w:rsid w:val="00DF401F"/>
    <w:rsid w:val="00DF4CA5"/>
    <w:rsid w:val="00DF510B"/>
    <w:rsid w:val="00DF69D6"/>
    <w:rsid w:val="00DF7DDB"/>
    <w:rsid w:val="00E0627C"/>
    <w:rsid w:val="00E10FC5"/>
    <w:rsid w:val="00E1179B"/>
    <w:rsid w:val="00E1208D"/>
    <w:rsid w:val="00E14B36"/>
    <w:rsid w:val="00E14C50"/>
    <w:rsid w:val="00E15B46"/>
    <w:rsid w:val="00E16ECA"/>
    <w:rsid w:val="00E20392"/>
    <w:rsid w:val="00E215FB"/>
    <w:rsid w:val="00E23712"/>
    <w:rsid w:val="00E2394C"/>
    <w:rsid w:val="00E249AA"/>
    <w:rsid w:val="00E24A6A"/>
    <w:rsid w:val="00E263A7"/>
    <w:rsid w:val="00E268C3"/>
    <w:rsid w:val="00E27B67"/>
    <w:rsid w:val="00E32E0D"/>
    <w:rsid w:val="00E33368"/>
    <w:rsid w:val="00E33C3F"/>
    <w:rsid w:val="00E37695"/>
    <w:rsid w:val="00E37ACE"/>
    <w:rsid w:val="00E403A5"/>
    <w:rsid w:val="00E40752"/>
    <w:rsid w:val="00E4090F"/>
    <w:rsid w:val="00E409C3"/>
    <w:rsid w:val="00E414A7"/>
    <w:rsid w:val="00E42E9B"/>
    <w:rsid w:val="00E436BE"/>
    <w:rsid w:val="00E44B04"/>
    <w:rsid w:val="00E44D8D"/>
    <w:rsid w:val="00E45E1D"/>
    <w:rsid w:val="00E46C99"/>
    <w:rsid w:val="00E46F2A"/>
    <w:rsid w:val="00E47031"/>
    <w:rsid w:val="00E51A17"/>
    <w:rsid w:val="00E51F2C"/>
    <w:rsid w:val="00E53970"/>
    <w:rsid w:val="00E54531"/>
    <w:rsid w:val="00E54649"/>
    <w:rsid w:val="00E54D89"/>
    <w:rsid w:val="00E55AB7"/>
    <w:rsid w:val="00E56801"/>
    <w:rsid w:val="00E57842"/>
    <w:rsid w:val="00E57A8B"/>
    <w:rsid w:val="00E607E3"/>
    <w:rsid w:val="00E6130F"/>
    <w:rsid w:val="00E6258A"/>
    <w:rsid w:val="00E62B1B"/>
    <w:rsid w:val="00E62E38"/>
    <w:rsid w:val="00E63098"/>
    <w:rsid w:val="00E63542"/>
    <w:rsid w:val="00E640A3"/>
    <w:rsid w:val="00E644BF"/>
    <w:rsid w:val="00E65FAB"/>
    <w:rsid w:val="00E66570"/>
    <w:rsid w:val="00E666C1"/>
    <w:rsid w:val="00E71794"/>
    <w:rsid w:val="00E71ADD"/>
    <w:rsid w:val="00E72132"/>
    <w:rsid w:val="00E73136"/>
    <w:rsid w:val="00E73AB0"/>
    <w:rsid w:val="00E7400B"/>
    <w:rsid w:val="00E75375"/>
    <w:rsid w:val="00E76698"/>
    <w:rsid w:val="00E76A54"/>
    <w:rsid w:val="00E8000A"/>
    <w:rsid w:val="00E80540"/>
    <w:rsid w:val="00E80F2C"/>
    <w:rsid w:val="00E81444"/>
    <w:rsid w:val="00E8688A"/>
    <w:rsid w:val="00E871F4"/>
    <w:rsid w:val="00E91737"/>
    <w:rsid w:val="00E931EC"/>
    <w:rsid w:val="00E948B0"/>
    <w:rsid w:val="00E94C43"/>
    <w:rsid w:val="00E9521F"/>
    <w:rsid w:val="00E96059"/>
    <w:rsid w:val="00EA20DB"/>
    <w:rsid w:val="00EA2E0B"/>
    <w:rsid w:val="00EA420E"/>
    <w:rsid w:val="00EA5D76"/>
    <w:rsid w:val="00EB056E"/>
    <w:rsid w:val="00EB2536"/>
    <w:rsid w:val="00EB3324"/>
    <w:rsid w:val="00EB4F46"/>
    <w:rsid w:val="00EB5628"/>
    <w:rsid w:val="00EB5650"/>
    <w:rsid w:val="00EB69F7"/>
    <w:rsid w:val="00EB7DB9"/>
    <w:rsid w:val="00EC4561"/>
    <w:rsid w:val="00EC5035"/>
    <w:rsid w:val="00EC65F2"/>
    <w:rsid w:val="00EC74EC"/>
    <w:rsid w:val="00ED00CA"/>
    <w:rsid w:val="00ED1919"/>
    <w:rsid w:val="00ED1B8A"/>
    <w:rsid w:val="00ED1CA8"/>
    <w:rsid w:val="00ED26B3"/>
    <w:rsid w:val="00ED2F3B"/>
    <w:rsid w:val="00ED30C6"/>
    <w:rsid w:val="00ED40FC"/>
    <w:rsid w:val="00ED49AB"/>
    <w:rsid w:val="00ED507C"/>
    <w:rsid w:val="00ED57AD"/>
    <w:rsid w:val="00ED5B29"/>
    <w:rsid w:val="00EE0029"/>
    <w:rsid w:val="00EE0657"/>
    <w:rsid w:val="00EE1B6B"/>
    <w:rsid w:val="00EE2313"/>
    <w:rsid w:val="00EE281F"/>
    <w:rsid w:val="00EE2984"/>
    <w:rsid w:val="00EE3B20"/>
    <w:rsid w:val="00EE445F"/>
    <w:rsid w:val="00EF0146"/>
    <w:rsid w:val="00EF374B"/>
    <w:rsid w:val="00EF72FA"/>
    <w:rsid w:val="00F0005A"/>
    <w:rsid w:val="00F0032D"/>
    <w:rsid w:val="00F00FE6"/>
    <w:rsid w:val="00F01924"/>
    <w:rsid w:val="00F03602"/>
    <w:rsid w:val="00F06688"/>
    <w:rsid w:val="00F075D3"/>
    <w:rsid w:val="00F07D70"/>
    <w:rsid w:val="00F10D05"/>
    <w:rsid w:val="00F112B2"/>
    <w:rsid w:val="00F12C0E"/>
    <w:rsid w:val="00F13D12"/>
    <w:rsid w:val="00F13E18"/>
    <w:rsid w:val="00F16B7A"/>
    <w:rsid w:val="00F21658"/>
    <w:rsid w:val="00F22B31"/>
    <w:rsid w:val="00F23C4A"/>
    <w:rsid w:val="00F24143"/>
    <w:rsid w:val="00F24D5D"/>
    <w:rsid w:val="00F25325"/>
    <w:rsid w:val="00F25332"/>
    <w:rsid w:val="00F25BA6"/>
    <w:rsid w:val="00F25F5C"/>
    <w:rsid w:val="00F264D6"/>
    <w:rsid w:val="00F27AB4"/>
    <w:rsid w:val="00F30E52"/>
    <w:rsid w:val="00F30F94"/>
    <w:rsid w:val="00F32E67"/>
    <w:rsid w:val="00F33B8F"/>
    <w:rsid w:val="00F35C9C"/>
    <w:rsid w:val="00F360C2"/>
    <w:rsid w:val="00F361FF"/>
    <w:rsid w:val="00F43C7F"/>
    <w:rsid w:val="00F447F5"/>
    <w:rsid w:val="00F44C5A"/>
    <w:rsid w:val="00F47DE3"/>
    <w:rsid w:val="00F513CB"/>
    <w:rsid w:val="00F52A66"/>
    <w:rsid w:val="00F53937"/>
    <w:rsid w:val="00F56733"/>
    <w:rsid w:val="00F56936"/>
    <w:rsid w:val="00F57619"/>
    <w:rsid w:val="00F57FF9"/>
    <w:rsid w:val="00F6055E"/>
    <w:rsid w:val="00F60562"/>
    <w:rsid w:val="00F6083A"/>
    <w:rsid w:val="00F61AD8"/>
    <w:rsid w:val="00F65506"/>
    <w:rsid w:val="00F6563E"/>
    <w:rsid w:val="00F657E5"/>
    <w:rsid w:val="00F65A1A"/>
    <w:rsid w:val="00F6608E"/>
    <w:rsid w:val="00F667D2"/>
    <w:rsid w:val="00F66A11"/>
    <w:rsid w:val="00F66CFB"/>
    <w:rsid w:val="00F70436"/>
    <w:rsid w:val="00F70A72"/>
    <w:rsid w:val="00F72CCF"/>
    <w:rsid w:val="00F73C61"/>
    <w:rsid w:val="00F7501F"/>
    <w:rsid w:val="00F75188"/>
    <w:rsid w:val="00F76DF5"/>
    <w:rsid w:val="00F76F4D"/>
    <w:rsid w:val="00F776E2"/>
    <w:rsid w:val="00F80B54"/>
    <w:rsid w:val="00F81155"/>
    <w:rsid w:val="00F81AD8"/>
    <w:rsid w:val="00F81C0F"/>
    <w:rsid w:val="00F82010"/>
    <w:rsid w:val="00F835FC"/>
    <w:rsid w:val="00F847E3"/>
    <w:rsid w:val="00F84DAF"/>
    <w:rsid w:val="00F85568"/>
    <w:rsid w:val="00F863A1"/>
    <w:rsid w:val="00F9334C"/>
    <w:rsid w:val="00F958E2"/>
    <w:rsid w:val="00F95943"/>
    <w:rsid w:val="00F964A1"/>
    <w:rsid w:val="00F96992"/>
    <w:rsid w:val="00F972D1"/>
    <w:rsid w:val="00F97859"/>
    <w:rsid w:val="00FA0CCD"/>
    <w:rsid w:val="00FA1B6E"/>
    <w:rsid w:val="00FA3ABC"/>
    <w:rsid w:val="00FA4E50"/>
    <w:rsid w:val="00FA6169"/>
    <w:rsid w:val="00FA65AA"/>
    <w:rsid w:val="00FB00E8"/>
    <w:rsid w:val="00FB116D"/>
    <w:rsid w:val="00FB1711"/>
    <w:rsid w:val="00FB1842"/>
    <w:rsid w:val="00FB23AF"/>
    <w:rsid w:val="00FB4059"/>
    <w:rsid w:val="00FB424E"/>
    <w:rsid w:val="00FB488B"/>
    <w:rsid w:val="00FB4DD2"/>
    <w:rsid w:val="00FB5985"/>
    <w:rsid w:val="00FB60F1"/>
    <w:rsid w:val="00FB689D"/>
    <w:rsid w:val="00FB7FE9"/>
    <w:rsid w:val="00FC2480"/>
    <w:rsid w:val="00FC3823"/>
    <w:rsid w:val="00FC41C7"/>
    <w:rsid w:val="00FC4583"/>
    <w:rsid w:val="00FC47D7"/>
    <w:rsid w:val="00FC629F"/>
    <w:rsid w:val="00FC792B"/>
    <w:rsid w:val="00FD0A9D"/>
    <w:rsid w:val="00FD0E4D"/>
    <w:rsid w:val="00FD10D1"/>
    <w:rsid w:val="00FD17AE"/>
    <w:rsid w:val="00FD199C"/>
    <w:rsid w:val="00FD3621"/>
    <w:rsid w:val="00FD5BE4"/>
    <w:rsid w:val="00FD61E2"/>
    <w:rsid w:val="00FD6AF4"/>
    <w:rsid w:val="00FD7DC4"/>
    <w:rsid w:val="00FE106E"/>
    <w:rsid w:val="00FE10E5"/>
    <w:rsid w:val="00FE1E96"/>
    <w:rsid w:val="00FE7539"/>
    <w:rsid w:val="00FE7B11"/>
    <w:rsid w:val="00FF0882"/>
    <w:rsid w:val="00FF0E47"/>
    <w:rsid w:val="00FF16B6"/>
    <w:rsid w:val="00FF389C"/>
    <w:rsid w:val="00FF49AD"/>
    <w:rsid w:val="00FF6023"/>
    <w:rsid w:val="00FF654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39"/>
    <w:pPr>
      <w:widowControl w:val="0"/>
      <w:adjustRightInd w:val="0"/>
      <w:spacing w:after="0" w:line="360" w:lineRule="atLeast"/>
      <w:jc w:val="both"/>
      <w:textAlignment w:val="baseline"/>
    </w:pPr>
    <w:rPr>
      <w:rFonts w:ascii="Verdana" w:eastAsia="Times New Roman" w:hAnsi="Verdana" w:cs="Times New Roman"/>
      <w:sz w:val="24"/>
      <w:szCs w:val="24"/>
      <w:lang w:eastAsia="es-CR"/>
    </w:rPr>
  </w:style>
  <w:style w:type="paragraph" w:styleId="Heading1">
    <w:name w:val="heading 1"/>
    <w:basedOn w:val="Normal"/>
    <w:next w:val="Normal"/>
    <w:link w:val="Heading1Char"/>
    <w:uiPriority w:val="9"/>
    <w:qFormat/>
    <w:rsid w:val="00C71D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67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B6F8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974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197461"/>
    <w:pPr>
      <w:keepNext w:val="0"/>
      <w:keepLines w:val="0"/>
      <w:widowControl/>
      <w:numPr>
        <w:ilvl w:val="4"/>
        <w:numId w:val="22"/>
      </w:numPr>
      <w:adjustRightInd/>
      <w:spacing w:before="0" w:line="240" w:lineRule="auto"/>
      <w:textAlignment w:val="auto"/>
      <w:outlineLvl w:val="5"/>
    </w:pPr>
    <w:rPr>
      <w:rFonts w:ascii="Verdana" w:eastAsia="Times New Roman" w:hAnsi="Verdana" w:cs="Times New Roman"/>
      <w:color w:val="auto"/>
      <w:spacing w:val="-2"/>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739"/>
    <w:rPr>
      <w:rFonts w:ascii="Cambria" w:eastAsia="Times New Roman" w:hAnsi="Cambria" w:cs="Times New Roman"/>
      <w:b/>
      <w:bCs/>
      <w:color w:val="4F81BD"/>
      <w:sz w:val="26"/>
      <w:szCs w:val="26"/>
      <w:lang w:eastAsia="es-CR"/>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link w:val="4GChar"/>
    <w:qFormat/>
    <w:rsid w:val="00C36739"/>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qFormat/>
    <w:rsid w:val="00C36739"/>
    <w:pPr>
      <w:spacing w:line="240" w:lineRule="auto"/>
    </w:pPr>
    <w:rPr>
      <w:sz w:val="20"/>
      <w:szCs w:val="20"/>
      <w:lang w:val="es-ES_tradnl"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C36739"/>
    <w:rPr>
      <w:rFonts w:ascii="Verdana" w:eastAsia="Times New Roman" w:hAnsi="Verdana" w:cs="Times New Roman"/>
      <w:sz w:val="20"/>
      <w:szCs w:val="20"/>
      <w:lang w:val="es-ES_tradnl" w:eastAsia="x-none"/>
    </w:rPr>
  </w:style>
  <w:style w:type="character" w:styleId="Strong">
    <w:name w:val="Strong"/>
    <w:uiPriority w:val="22"/>
    <w:qFormat/>
    <w:rsid w:val="00C36739"/>
    <w:rPr>
      <w:b/>
      <w:bCs/>
    </w:rPr>
  </w:style>
  <w:style w:type="paragraph" w:styleId="ListParagraph">
    <w:name w:val="List Paragraph"/>
    <w:aliases w:val="List Paragraph2,Lista vistosa - Énfasis 11,Párrafo de lista1,Footnote,List Paragraph1,Colorful List - Accent 11"/>
    <w:basedOn w:val="Normal"/>
    <w:link w:val="ListParagraphChar1"/>
    <w:uiPriority w:val="99"/>
    <w:qFormat/>
    <w:rsid w:val="00C36739"/>
    <w:pPr>
      <w:ind w:left="708"/>
    </w:pPr>
  </w:style>
  <w:style w:type="paragraph" w:styleId="Footer">
    <w:name w:val="footer"/>
    <w:basedOn w:val="Normal"/>
    <w:link w:val="FooterChar"/>
    <w:uiPriority w:val="99"/>
    <w:unhideWhenUsed/>
    <w:rsid w:val="00C36739"/>
    <w:pPr>
      <w:tabs>
        <w:tab w:val="center" w:pos="4252"/>
        <w:tab w:val="right" w:pos="8504"/>
      </w:tabs>
      <w:adjustRightInd/>
      <w:spacing w:line="240" w:lineRule="auto"/>
      <w:jc w:val="left"/>
      <w:textAlignment w:val="auto"/>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36739"/>
    <w:rPr>
      <w:lang w:val="en-US"/>
    </w:rPr>
  </w:style>
  <w:style w:type="character" w:styleId="Hyperlink">
    <w:name w:val="Hyperlink"/>
    <w:basedOn w:val="DefaultParagraphFont"/>
    <w:uiPriority w:val="99"/>
    <w:unhideWhenUsed/>
    <w:rsid w:val="00C36739"/>
    <w:rPr>
      <w:color w:val="0000FF"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C36739"/>
    <w:pPr>
      <w:widowControl/>
      <w:adjustRightInd/>
      <w:spacing w:line="240" w:lineRule="auto"/>
      <w:textAlignment w:val="auto"/>
    </w:pPr>
    <w:rPr>
      <w:rFonts w:asciiTheme="minorHAnsi" w:eastAsiaTheme="minorHAnsi" w:hAnsiTheme="minorHAnsi" w:cstheme="minorBidi"/>
      <w:sz w:val="22"/>
      <w:szCs w:val="22"/>
      <w:vertAlign w:val="superscript"/>
      <w:lang w:eastAsia="en-US"/>
    </w:rPr>
  </w:style>
  <w:style w:type="character" w:customStyle="1" w:styleId="ListParagraphChar1">
    <w:name w:val="List Paragraph Char1"/>
    <w:aliases w:val="List Paragraph2 Char1,Lista vistosa - Énfasis 11 Char1,Párrafo de lista1 Char1,Footnote Char1,List Paragraph1 Char,Colorful List - Accent 11 Char"/>
    <w:basedOn w:val="DefaultParagraphFont"/>
    <w:link w:val="ListParagraph"/>
    <w:uiPriority w:val="99"/>
    <w:rsid w:val="00C36739"/>
    <w:rPr>
      <w:rFonts w:ascii="Verdana" w:eastAsia="Times New Roman" w:hAnsi="Verdana" w:cs="Times New Roman"/>
      <w:sz w:val="24"/>
      <w:szCs w:val="24"/>
      <w:lang w:eastAsia="es-CR"/>
    </w:rPr>
  </w:style>
  <w:style w:type="character" w:styleId="PageNumber">
    <w:name w:val="page number"/>
    <w:basedOn w:val="DefaultParagraphFont"/>
    <w:uiPriority w:val="99"/>
    <w:semiHidden/>
    <w:unhideWhenUsed/>
    <w:rsid w:val="00C36739"/>
  </w:style>
  <w:style w:type="numbering" w:customStyle="1" w:styleId="NoList1">
    <w:name w:val="No List1"/>
    <w:next w:val="NoList"/>
    <w:uiPriority w:val="99"/>
    <w:semiHidden/>
    <w:unhideWhenUsed/>
    <w:rsid w:val="001C5304"/>
  </w:style>
  <w:style w:type="character" w:styleId="CommentReference">
    <w:name w:val="annotation reference"/>
    <w:basedOn w:val="DefaultParagraphFont"/>
    <w:uiPriority w:val="99"/>
    <w:semiHidden/>
    <w:unhideWhenUsed/>
    <w:rsid w:val="001C5304"/>
    <w:rPr>
      <w:sz w:val="16"/>
      <w:szCs w:val="16"/>
    </w:rPr>
  </w:style>
  <w:style w:type="paragraph" w:styleId="CommentText">
    <w:name w:val="annotation text"/>
    <w:basedOn w:val="Normal"/>
    <w:link w:val="CommentTextChar"/>
    <w:uiPriority w:val="99"/>
    <w:semiHidden/>
    <w:unhideWhenUsed/>
    <w:rsid w:val="001C5304"/>
    <w:pPr>
      <w:widowControl/>
      <w:adjustRightInd/>
      <w:spacing w:after="200" w:line="240" w:lineRule="auto"/>
      <w:jc w:val="left"/>
      <w:textAlignment w:val="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C5304"/>
    <w:rPr>
      <w:sz w:val="20"/>
      <w:szCs w:val="20"/>
    </w:rPr>
  </w:style>
  <w:style w:type="paragraph" w:styleId="CommentSubject">
    <w:name w:val="annotation subject"/>
    <w:basedOn w:val="CommentText"/>
    <w:next w:val="CommentText"/>
    <w:link w:val="CommentSubjectChar"/>
    <w:uiPriority w:val="99"/>
    <w:semiHidden/>
    <w:unhideWhenUsed/>
    <w:rsid w:val="001C5304"/>
    <w:rPr>
      <w:b/>
      <w:bCs/>
    </w:rPr>
  </w:style>
  <w:style w:type="character" w:customStyle="1" w:styleId="CommentSubjectChar">
    <w:name w:val="Comment Subject Char"/>
    <w:basedOn w:val="CommentTextChar"/>
    <w:link w:val="CommentSubject"/>
    <w:uiPriority w:val="99"/>
    <w:semiHidden/>
    <w:rsid w:val="001C5304"/>
    <w:rPr>
      <w:b/>
      <w:bCs/>
      <w:sz w:val="20"/>
      <w:szCs w:val="20"/>
    </w:rPr>
  </w:style>
  <w:style w:type="paragraph" w:styleId="BalloonText">
    <w:name w:val="Balloon Text"/>
    <w:basedOn w:val="Normal"/>
    <w:link w:val="BalloonTextChar"/>
    <w:uiPriority w:val="99"/>
    <w:semiHidden/>
    <w:unhideWhenUsed/>
    <w:rsid w:val="001C5304"/>
    <w:pPr>
      <w:widowControl/>
      <w:adjustRightInd/>
      <w:spacing w:line="240" w:lineRule="auto"/>
      <w:jc w:val="left"/>
      <w:textAlignment w:val="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C5304"/>
    <w:rPr>
      <w:rFonts w:ascii="Tahoma" w:hAnsi="Tahoma" w:cs="Tahoma"/>
      <w:sz w:val="16"/>
      <w:szCs w:val="16"/>
    </w:rPr>
  </w:style>
  <w:style w:type="paragraph" w:styleId="Revision">
    <w:name w:val="Revision"/>
    <w:hidden/>
    <w:uiPriority w:val="99"/>
    <w:semiHidden/>
    <w:rsid w:val="001C5304"/>
    <w:pPr>
      <w:spacing w:after="0" w:line="240" w:lineRule="auto"/>
    </w:pPr>
  </w:style>
  <w:style w:type="paragraph" w:styleId="Header">
    <w:name w:val="header"/>
    <w:basedOn w:val="Normal"/>
    <w:link w:val="HeaderChar"/>
    <w:uiPriority w:val="99"/>
    <w:unhideWhenUsed/>
    <w:rsid w:val="001C5304"/>
    <w:pPr>
      <w:widowControl/>
      <w:tabs>
        <w:tab w:val="center" w:pos="4419"/>
        <w:tab w:val="right" w:pos="8838"/>
      </w:tabs>
      <w:adjustRightInd/>
      <w:spacing w:line="240" w:lineRule="auto"/>
      <w:jc w:val="left"/>
      <w:textAlignment w:val="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C5304"/>
  </w:style>
  <w:style w:type="character" w:customStyle="1" w:styleId="ListParagraphChar">
    <w:name w:val="List Paragraph Char"/>
    <w:aliases w:val="Footnote Char,Párrafo de lista1 Char,List Paragraph2 Char,Lista vistosa - Énfasis 11 Char"/>
    <w:uiPriority w:val="34"/>
    <w:rsid w:val="001C5304"/>
    <w:rPr>
      <w:rFonts w:ascii="Verdana" w:eastAsia="Batang" w:hAnsi="Verdana" w:cs="Times New Roman"/>
      <w:sz w:val="20"/>
      <w:szCs w:val="24"/>
    </w:rPr>
  </w:style>
  <w:style w:type="character" w:customStyle="1" w:styleId="Funotenzeichen">
    <w:name w:val="Fußnotenzeichen"/>
    <w:rsid w:val="00E63098"/>
  </w:style>
  <w:style w:type="paragraph" w:customStyle="1" w:styleId="Textonotapie1">
    <w:name w:val="Texto nota pie1"/>
    <w:basedOn w:val="Normal"/>
    <w:qFormat/>
    <w:rsid w:val="00E63098"/>
    <w:pPr>
      <w:widowControl/>
      <w:adjustRightInd/>
      <w:spacing w:line="240" w:lineRule="auto"/>
      <w:jc w:val="left"/>
      <w:textAlignment w:val="auto"/>
    </w:pPr>
    <w:rPr>
      <w:rFonts w:ascii="Times New Roman" w:hAnsi="Times New Roman"/>
      <w:sz w:val="20"/>
      <w:szCs w:val="20"/>
      <w:lang w:val="en-US" w:eastAsia="es-ES"/>
    </w:rPr>
  </w:style>
  <w:style w:type="paragraph" w:customStyle="1" w:styleId="Prrafodelista2">
    <w:name w:val="Párrafo de lista2"/>
    <w:basedOn w:val="Normal"/>
    <w:uiPriority w:val="99"/>
    <w:rsid w:val="006F624A"/>
    <w:pPr>
      <w:widowControl/>
      <w:adjustRightInd/>
      <w:spacing w:line="240" w:lineRule="auto"/>
      <w:ind w:left="720"/>
      <w:jc w:val="left"/>
      <w:textAlignment w:val="auto"/>
    </w:pPr>
    <w:rPr>
      <w:rFonts w:eastAsia="MS Mincho"/>
      <w:sz w:val="20"/>
      <w:szCs w:val="20"/>
      <w:lang w:val="es-ES_tradnl" w:eastAsia="en-US" w:bidi="en-US"/>
    </w:rPr>
  </w:style>
  <w:style w:type="character" w:customStyle="1" w:styleId="Heading3Char">
    <w:name w:val="Heading 3 Char"/>
    <w:basedOn w:val="DefaultParagraphFont"/>
    <w:link w:val="Heading3"/>
    <w:uiPriority w:val="9"/>
    <w:rsid w:val="001B6F83"/>
    <w:rPr>
      <w:rFonts w:asciiTheme="majorHAnsi" w:eastAsiaTheme="majorEastAsia" w:hAnsiTheme="majorHAnsi" w:cstheme="majorBidi"/>
      <w:b/>
      <w:bCs/>
      <w:color w:val="4F81BD" w:themeColor="accent1"/>
      <w:sz w:val="24"/>
      <w:szCs w:val="24"/>
      <w:lang w:eastAsia="es-CR"/>
    </w:rPr>
  </w:style>
  <w:style w:type="character" w:customStyle="1" w:styleId="Heading1Char">
    <w:name w:val="Heading 1 Char"/>
    <w:basedOn w:val="DefaultParagraphFont"/>
    <w:link w:val="Heading1"/>
    <w:uiPriority w:val="9"/>
    <w:rsid w:val="00C71D16"/>
    <w:rPr>
      <w:rFonts w:asciiTheme="majorHAnsi" w:eastAsiaTheme="majorEastAsia" w:hAnsiTheme="majorHAnsi" w:cstheme="majorBidi"/>
      <w:b/>
      <w:bCs/>
      <w:color w:val="365F91" w:themeColor="accent1" w:themeShade="BF"/>
      <w:sz w:val="28"/>
      <w:szCs w:val="28"/>
      <w:lang w:eastAsia="es-CR"/>
    </w:rPr>
  </w:style>
  <w:style w:type="paragraph" w:styleId="TOCHeading">
    <w:name w:val="TOC Heading"/>
    <w:basedOn w:val="Heading1"/>
    <w:next w:val="Normal"/>
    <w:uiPriority w:val="39"/>
    <w:semiHidden/>
    <w:unhideWhenUsed/>
    <w:qFormat/>
    <w:rsid w:val="00C71D16"/>
    <w:pPr>
      <w:widowControl/>
      <w:adjustRightInd/>
      <w:spacing w:line="276" w:lineRule="auto"/>
      <w:jc w:val="left"/>
      <w:textAlignment w:val="auto"/>
      <w:outlineLvl w:val="9"/>
    </w:pPr>
    <w:rPr>
      <w:lang w:val="en-US" w:eastAsia="ja-JP"/>
    </w:rPr>
  </w:style>
  <w:style w:type="paragraph" w:styleId="TOC1">
    <w:name w:val="toc 1"/>
    <w:basedOn w:val="Normal"/>
    <w:next w:val="Normal"/>
    <w:autoRedefine/>
    <w:uiPriority w:val="39"/>
    <w:unhideWhenUsed/>
    <w:rsid w:val="00C71D16"/>
    <w:pPr>
      <w:spacing w:after="100"/>
    </w:pPr>
  </w:style>
  <w:style w:type="paragraph" w:styleId="TOC2">
    <w:name w:val="toc 2"/>
    <w:basedOn w:val="Normal"/>
    <w:next w:val="Normal"/>
    <w:autoRedefine/>
    <w:uiPriority w:val="39"/>
    <w:unhideWhenUsed/>
    <w:rsid w:val="00C96922"/>
    <w:pPr>
      <w:tabs>
        <w:tab w:val="left" w:pos="1134"/>
        <w:tab w:val="right" w:leader="dot" w:pos="10070"/>
      </w:tabs>
      <w:spacing w:after="100"/>
      <w:ind w:left="240"/>
    </w:pPr>
  </w:style>
  <w:style w:type="paragraph" w:styleId="TOC3">
    <w:name w:val="toc 3"/>
    <w:basedOn w:val="Normal"/>
    <w:next w:val="Normal"/>
    <w:autoRedefine/>
    <w:uiPriority w:val="39"/>
    <w:unhideWhenUsed/>
    <w:rsid w:val="00555BB5"/>
    <w:pPr>
      <w:tabs>
        <w:tab w:val="left" w:pos="1134"/>
        <w:tab w:val="right" w:leader="dot" w:pos="10070"/>
      </w:tabs>
      <w:spacing w:after="120" w:line="240" w:lineRule="auto"/>
      <w:ind w:left="480"/>
    </w:pPr>
  </w:style>
  <w:style w:type="character" w:customStyle="1" w:styleId="Heading6Char">
    <w:name w:val="Heading 6 Char"/>
    <w:basedOn w:val="DefaultParagraphFont"/>
    <w:link w:val="Heading6"/>
    <w:uiPriority w:val="9"/>
    <w:rsid w:val="00197461"/>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
    <w:semiHidden/>
    <w:rsid w:val="00197461"/>
    <w:rPr>
      <w:rFonts w:asciiTheme="majorHAnsi" w:eastAsiaTheme="majorEastAsia" w:hAnsiTheme="majorHAnsi" w:cstheme="majorBidi"/>
      <w:color w:val="243F60" w:themeColor="accent1" w:themeShade="7F"/>
      <w:sz w:val="24"/>
      <w:szCs w:val="24"/>
      <w:lang w:eastAsia="es-CR"/>
    </w:rPr>
  </w:style>
  <w:style w:type="paragraph" w:styleId="NoSpacing">
    <w:name w:val="No Spacing"/>
    <w:uiPriority w:val="1"/>
    <w:qFormat/>
    <w:rsid w:val="005366DD"/>
    <w:pPr>
      <w:spacing w:after="0" w:line="240" w:lineRule="auto"/>
      <w:jc w:val="both"/>
    </w:pPr>
    <w:rPr>
      <w:rFonts w:ascii="Verdana" w:eastAsia="Calibri" w:hAnsi="Verdana" w:cs="Calibri"/>
      <w:sz w:val="20"/>
      <w:lang w:val="es-MX"/>
    </w:rPr>
  </w:style>
  <w:style w:type="paragraph" w:styleId="NormalWeb">
    <w:name w:val="Normal (Web)"/>
    <w:basedOn w:val="Normal"/>
    <w:uiPriority w:val="99"/>
    <w:unhideWhenUsed/>
    <w:rsid w:val="00D47C1D"/>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apple-converted-space">
    <w:name w:val="apple-converted-space"/>
    <w:basedOn w:val="DefaultParagraphFont"/>
    <w:rsid w:val="00D47C1D"/>
  </w:style>
  <w:style w:type="character" w:styleId="LineNumber">
    <w:name w:val="line number"/>
    <w:basedOn w:val="DefaultParagraphFont"/>
    <w:uiPriority w:val="99"/>
    <w:semiHidden/>
    <w:unhideWhenUsed/>
    <w:rsid w:val="007A558B"/>
  </w:style>
  <w:style w:type="paragraph" w:customStyle="1" w:styleId="PrrafodeSentencia">
    <w:name w:val="*. Párrafo de Sentencia"/>
    <w:basedOn w:val="ListParagraph"/>
    <w:link w:val="PrrafodeSentenciaChar"/>
    <w:autoRedefine/>
    <w:qFormat/>
    <w:rsid w:val="001B626E"/>
    <w:pPr>
      <w:widowControl/>
      <w:tabs>
        <w:tab w:val="left" w:pos="0"/>
        <w:tab w:val="num" w:pos="360"/>
      </w:tabs>
      <w:adjustRightInd/>
      <w:spacing w:line="240" w:lineRule="auto"/>
      <w:ind w:left="0"/>
      <w:textAlignment w:val="auto"/>
    </w:pPr>
    <w:rPr>
      <w:rFonts w:eastAsia="Batang"/>
      <w:sz w:val="20"/>
      <w:szCs w:val="20"/>
      <w:lang w:val="es-MX" w:eastAsia="es-MX"/>
    </w:rPr>
  </w:style>
  <w:style w:type="table" w:styleId="TableGrid">
    <w:name w:val="Table Grid"/>
    <w:basedOn w:val="TableNormal"/>
    <w:uiPriority w:val="59"/>
    <w:rsid w:val="00A8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SentenciaChar">
    <w:name w:val="*. Párrafo de Sentencia Char"/>
    <w:link w:val="PrrafodeSentencia"/>
    <w:rsid w:val="009D170A"/>
    <w:rPr>
      <w:rFonts w:ascii="Verdana" w:eastAsia="Batang" w:hAnsi="Verdana" w:cs="Times New Roman"/>
      <w:sz w:val="20"/>
      <w:szCs w:val="20"/>
      <w:lang w:val="es-MX" w:eastAsia="es-MX"/>
    </w:rPr>
  </w:style>
  <w:style w:type="character" w:customStyle="1" w:styleId="Smbolodenotaalpie">
    <w:name w:val="Símbolo de nota al pie"/>
    <w:rsid w:val="00D70BF3"/>
    <w:rPr>
      <w:rFonts w:cs="Times New Roman"/>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39"/>
    <w:pPr>
      <w:widowControl w:val="0"/>
      <w:adjustRightInd w:val="0"/>
      <w:spacing w:after="0" w:line="360" w:lineRule="atLeast"/>
      <w:jc w:val="both"/>
      <w:textAlignment w:val="baseline"/>
    </w:pPr>
    <w:rPr>
      <w:rFonts w:ascii="Verdana" w:eastAsia="Times New Roman" w:hAnsi="Verdana" w:cs="Times New Roman"/>
      <w:sz w:val="24"/>
      <w:szCs w:val="24"/>
      <w:lang w:eastAsia="es-CR"/>
    </w:rPr>
  </w:style>
  <w:style w:type="paragraph" w:styleId="Heading1">
    <w:name w:val="heading 1"/>
    <w:basedOn w:val="Normal"/>
    <w:next w:val="Normal"/>
    <w:link w:val="Heading1Char"/>
    <w:uiPriority w:val="9"/>
    <w:qFormat/>
    <w:rsid w:val="00C71D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67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B6F8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974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197461"/>
    <w:pPr>
      <w:keepNext w:val="0"/>
      <w:keepLines w:val="0"/>
      <w:widowControl/>
      <w:numPr>
        <w:ilvl w:val="4"/>
        <w:numId w:val="22"/>
      </w:numPr>
      <w:adjustRightInd/>
      <w:spacing w:before="0" w:line="240" w:lineRule="auto"/>
      <w:textAlignment w:val="auto"/>
      <w:outlineLvl w:val="5"/>
    </w:pPr>
    <w:rPr>
      <w:rFonts w:ascii="Verdana" w:eastAsia="Times New Roman" w:hAnsi="Verdana" w:cs="Times New Roman"/>
      <w:color w:val="auto"/>
      <w:spacing w:val="-2"/>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739"/>
    <w:rPr>
      <w:rFonts w:ascii="Cambria" w:eastAsia="Times New Roman" w:hAnsi="Cambria" w:cs="Times New Roman"/>
      <w:b/>
      <w:bCs/>
      <w:color w:val="4F81BD"/>
      <w:sz w:val="26"/>
      <w:szCs w:val="26"/>
      <w:lang w:eastAsia="es-CR"/>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link w:val="4GChar"/>
    <w:qFormat/>
    <w:rsid w:val="00C36739"/>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qFormat/>
    <w:rsid w:val="00C36739"/>
    <w:pPr>
      <w:spacing w:line="240" w:lineRule="auto"/>
    </w:pPr>
    <w:rPr>
      <w:sz w:val="20"/>
      <w:szCs w:val="20"/>
      <w:lang w:val="es-ES_tradnl"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C36739"/>
    <w:rPr>
      <w:rFonts w:ascii="Verdana" w:eastAsia="Times New Roman" w:hAnsi="Verdana" w:cs="Times New Roman"/>
      <w:sz w:val="20"/>
      <w:szCs w:val="20"/>
      <w:lang w:val="es-ES_tradnl" w:eastAsia="x-none"/>
    </w:rPr>
  </w:style>
  <w:style w:type="character" w:styleId="Strong">
    <w:name w:val="Strong"/>
    <w:uiPriority w:val="22"/>
    <w:qFormat/>
    <w:rsid w:val="00C36739"/>
    <w:rPr>
      <w:b/>
      <w:bCs/>
    </w:rPr>
  </w:style>
  <w:style w:type="paragraph" w:styleId="ListParagraph">
    <w:name w:val="List Paragraph"/>
    <w:aliases w:val="List Paragraph2,Lista vistosa - Énfasis 11,Párrafo de lista1,Footnote,List Paragraph1,Colorful List - Accent 11"/>
    <w:basedOn w:val="Normal"/>
    <w:link w:val="ListParagraphChar1"/>
    <w:uiPriority w:val="99"/>
    <w:qFormat/>
    <w:rsid w:val="00C36739"/>
    <w:pPr>
      <w:ind w:left="708"/>
    </w:pPr>
  </w:style>
  <w:style w:type="paragraph" w:styleId="Footer">
    <w:name w:val="footer"/>
    <w:basedOn w:val="Normal"/>
    <w:link w:val="FooterChar"/>
    <w:uiPriority w:val="99"/>
    <w:unhideWhenUsed/>
    <w:rsid w:val="00C36739"/>
    <w:pPr>
      <w:tabs>
        <w:tab w:val="center" w:pos="4252"/>
        <w:tab w:val="right" w:pos="8504"/>
      </w:tabs>
      <w:adjustRightInd/>
      <w:spacing w:line="240" w:lineRule="auto"/>
      <w:jc w:val="left"/>
      <w:textAlignment w:val="auto"/>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36739"/>
    <w:rPr>
      <w:lang w:val="en-US"/>
    </w:rPr>
  </w:style>
  <w:style w:type="character" w:styleId="Hyperlink">
    <w:name w:val="Hyperlink"/>
    <w:basedOn w:val="DefaultParagraphFont"/>
    <w:uiPriority w:val="99"/>
    <w:unhideWhenUsed/>
    <w:rsid w:val="00C36739"/>
    <w:rPr>
      <w:color w:val="0000FF"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C36739"/>
    <w:pPr>
      <w:widowControl/>
      <w:adjustRightInd/>
      <w:spacing w:line="240" w:lineRule="auto"/>
      <w:textAlignment w:val="auto"/>
    </w:pPr>
    <w:rPr>
      <w:rFonts w:asciiTheme="minorHAnsi" w:eastAsiaTheme="minorHAnsi" w:hAnsiTheme="minorHAnsi" w:cstheme="minorBidi"/>
      <w:sz w:val="22"/>
      <w:szCs w:val="22"/>
      <w:vertAlign w:val="superscript"/>
      <w:lang w:eastAsia="en-US"/>
    </w:rPr>
  </w:style>
  <w:style w:type="character" w:customStyle="1" w:styleId="ListParagraphChar1">
    <w:name w:val="List Paragraph Char1"/>
    <w:aliases w:val="List Paragraph2 Char1,Lista vistosa - Énfasis 11 Char1,Párrafo de lista1 Char1,Footnote Char1,List Paragraph1 Char,Colorful List - Accent 11 Char"/>
    <w:basedOn w:val="DefaultParagraphFont"/>
    <w:link w:val="ListParagraph"/>
    <w:uiPriority w:val="99"/>
    <w:rsid w:val="00C36739"/>
    <w:rPr>
      <w:rFonts w:ascii="Verdana" w:eastAsia="Times New Roman" w:hAnsi="Verdana" w:cs="Times New Roman"/>
      <w:sz w:val="24"/>
      <w:szCs w:val="24"/>
      <w:lang w:eastAsia="es-CR"/>
    </w:rPr>
  </w:style>
  <w:style w:type="character" w:styleId="PageNumber">
    <w:name w:val="page number"/>
    <w:basedOn w:val="DefaultParagraphFont"/>
    <w:uiPriority w:val="99"/>
    <w:semiHidden/>
    <w:unhideWhenUsed/>
    <w:rsid w:val="00C36739"/>
  </w:style>
  <w:style w:type="numbering" w:customStyle="1" w:styleId="NoList1">
    <w:name w:val="No List1"/>
    <w:next w:val="NoList"/>
    <w:uiPriority w:val="99"/>
    <w:semiHidden/>
    <w:unhideWhenUsed/>
    <w:rsid w:val="001C5304"/>
  </w:style>
  <w:style w:type="character" w:styleId="CommentReference">
    <w:name w:val="annotation reference"/>
    <w:basedOn w:val="DefaultParagraphFont"/>
    <w:uiPriority w:val="99"/>
    <w:semiHidden/>
    <w:unhideWhenUsed/>
    <w:rsid w:val="001C5304"/>
    <w:rPr>
      <w:sz w:val="16"/>
      <w:szCs w:val="16"/>
    </w:rPr>
  </w:style>
  <w:style w:type="paragraph" w:styleId="CommentText">
    <w:name w:val="annotation text"/>
    <w:basedOn w:val="Normal"/>
    <w:link w:val="CommentTextChar"/>
    <w:uiPriority w:val="99"/>
    <w:semiHidden/>
    <w:unhideWhenUsed/>
    <w:rsid w:val="001C5304"/>
    <w:pPr>
      <w:widowControl/>
      <w:adjustRightInd/>
      <w:spacing w:after="200" w:line="240" w:lineRule="auto"/>
      <w:jc w:val="left"/>
      <w:textAlignment w:val="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C5304"/>
    <w:rPr>
      <w:sz w:val="20"/>
      <w:szCs w:val="20"/>
    </w:rPr>
  </w:style>
  <w:style w:type="paragraph" w:styleId="CommentSubject">
    <w:name w:val="annotation subject"/>
    <w:basedOn w:val="CommentText"/>
    <w:next w:val="CommentText"/>
    <w:link w:val="CommentSubjectChar"/>
    <w:uiPriority w:val="99"/>
    <w:semiHidden/>
    <w:unhideWhenUsed/>
    <w:rsid w:val="001C5304"/>
    <w:rPr>
      <w:b/>
      <w:bCs/>
    </w:rPr>
  </w:style>
  <w:style w:type="character" w:customStyle="1" w:styleId="CommentSubjectChar">
    <w:name w:val="Comment Subject Char"/>
    <w:basedOn w:val="CommentTextChar"/>
    <w:link w:val="CommentSubject"/>
    <w:uiPriority w:val="99"/>
    <w:semiHidden/>
    <w:rsid w:val="001C5304"/>
    <w:rPr>
      <w:b/>
      <w:bCs/>
      <w:sz w:val="20"/>
      <w:szCs w:val="20"/>
    </w:rPr>
  </w:style>
  <w:style w:type="paragraph" w:styleId="BalloonText">
    <w:name w:val="Balloon Text"/>
    <w:basedOn w:val="Normal"/>
    <w:link w:val="BalloonTextChar"/>
    <w:uiPriority w:val="99"/>
    <w:semiHidden/>
    <w:unhideWhenUsed/>
    <w:rsid w:val="001C5304"/>
    <w:pPr>
      <w:widowControl/>
      <w:adjustRightInd/>
      <w:spacing w:line="240" w:lineRule="auto"/>
      <w:jc w:val="left"/>
      <w:textAlignment w:val="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C5304"/>
    <w:rPr>
      <w:rFonts w:ascii="Tahoma" w:hAnsi="Tahoma" w:cs="Tahoma"/>
      <w:sz w:val="16"/>
      <w:szCs w:val="16"/>
    </w:rPr>
  </w:style>
  <w:style w:type="paragraph" w:styleId="Revision">
    <w:name w:val="Revision"/>
    <w:hidden/>
    <w:uiPriority w:val="99"/>
    <w:semiHidden/>
    <w:rsid w:val="001C5304"/>
    <w:pPr>
      <w:spacing w:after="0" w:line="240" w:lineRule="auto"/>
    </w:pPr>
  </w:style>
  <w:style w:type="paragraph" w:styleId="Header">
    <w:name w:val="header"/>
    <w:basedOn w:val="Normal"/>
    <w:link w:val="HeaderChar"/>
    <w:uiPriority w:val="99"/>
    <w:unhideWhenUsed/>
    <w:rsid w:val="001C5304"/>
    <w:pPr>
      <w:widowControl/>
      <w:tabs>
        <w:tab w:val="center" w:pos="4419"/>
        <w:tab w:val="right" w:pos="8838"/>
      </w:tabs>
      <w:adjustRightInd/>
      <w:spacing w:line="240" w:lineRule="auto"/>
      <w:jc w:val="left"/>
      <w:textAlignment w:val="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C5304"/>
  </w:style>
  <w:style w:type="character" w:customStyle="1" w:styleId="ListParagraphChar">
    <w:name w:val="List Paragraph Char"/>
    <w:aliases w:val="Footnote Char,Párrafo de lista1 Char,List Paragraph2 Char,Lista vistosa - Énfasis 11 Char"/>
    <w:uiPriority w:val="34"/>
    <w:rsid w:val="001C5304"/>
    <w:rPr>
      <w:rFonts w:ascii="Verdana" w:eastAsia="Batang" w:hAnsi="Verdana" w:cs="Times New Roman"/>
      <w:sz w:val="20"/>
      <w:szCs w:val="24"/>
    </w:rPr>
  </w:style>
  <w:style w:type="character" w:customStyle="1" w:styleId="Funotenzeichen">
    <w:name w:val="Fußnotenzeichen"/>
    <w:rsid w:val="00E63098"/>
  </w:style>
  <w:style w:type="paragraph" w:customStyle="1" w:styleId="Textonotapie1">
    <w:name w:val="Texto nota pie1"/>
    <w:basedOn w:val="Normal"/>
    <w:qFormat/>
    <w:rsid w:val="00E63098"/>
    <w:pPr>
      <w:widowControl/>
      <w:adjustRightInd/>
      <w:spacing w:line="240" w:lineRule="auto"/>
      <w:jc w:val="left"/>
      <w:textAlignment w:val="auto"/>
    </w:pPr>
    <w:rPr>
      <w:rFonts w:ascii="Times New Roman" w:hAnsi="Times New Roman"/>
      <w:sz w:val="20"/>
      <w:szCs w:val="20"/>
      <w:lang w:val="en-US" w:eastAsia="es-ES"/>
    </w:rPr>
  </w:style>
  <w:style w:type="paragraph" w:customStyle="1" w:styleId="Prrafodelista2">
    <w:name w:val="Párrafo de lista2"/>
    <w:basedOn w:val="Normal"/>
    <w:uiPriority w:val="99"/>
    <w:rsid w:val="006F624A"/>
    <w:pPr>
      <w:widowControl/>
      <w:adjustRightInd/>
      <w:spacing w:line="240" w:lineRule="auto"/>
      <w:ind w:left="720"/>
      <w:jc w:val="left"/>
      <w:textAlignment w:val="auto"/>
    </w:pPr>
    <w:rPr>
      <w:rFonts w:eastAsia="MS Mincho"/>
      <w:sz w:val="20"/>
      <w:szCs w:val="20"/>
      <w:lang w:val="es-ES_tradnl" w:eastAsia="en-US" w:bidi="en-US"/>
    </w:rPr>
  </w:style>
  <w:style w:type="character" w:customStyle="1" w:styleId="Heading3Char">
    <w:name w:val="Heading 3 Char"/>
    <w:basedOn w:val="DefaultParagraphFont"/>
    <w:link w:val="Heading3"/>
    <w:uiPriority w:val="9"/>
    <w:rsid w:val="001B6F83"/>
    <w:rPr>
      <w:rFonts w:asciiTheme="majorHAnsi" w:eastAsiaTheme="majorEastAsia" w:hAnsiTheme="majorHAnsi" w:cstheme="majorBidi"/>
      <w:b/>
      <w:bCs/>
      <w:color w:val="4F81BD" w:themeColor="accent1"/>
      <w:sz w:val="24"/>
      <w:szCs w:val="24"/>
      <w:lang w:eastAsia="es-CR"/>
    </w:rPr>
  </w:style>
  <w:style w:type="character" w:customStyle="1" w:styleId="Heading1Char">
    <w:name w:val="Heading 1 Char"/>
    <w:basedOn w:val="DefaultParagraphFont"/>
    <w:link w:val="Heading1"/>
    <w:uiPriority w:val="9"/>
    <w:rsid w:val="00C71D16"/>
    <w:rPr>
      <w:rFonts w:asciiTheme="majorHAnsi" w:eastAsiaTheme="majorEastAsia" w:hAnsiTheme="majorHAnsi" w:cstheme="majorBidi"/>
      <w:b/>
      <w:bCs/>
      <w:color w:val="365F91" w:themeColor="accent1" w:themeShade="BF"/>
      <w:sz w:val="28"/>
      <w:szCs w:val="28"/>
      <w:lang w:eastAsia="es-CR"/>
    </w:rPr>
  </w:style>
  <w:style w:type="paragraph" w:styleId="TOCHeading">
    <w:name w:val="TOC Heading"/>
    <w:basedOn w:val="Heading1"/>
    <w:next w:val="Normal"/>
    <w:uiPriority w:val="39"/>
    <w:semiHidden/>
    <w:unhideWhenUsed/>
    <w:qFormat/>
    <w:rsid w:val="00C71D16"/>
    <w:pPr>
      <w:widowControl/>
      <w:adjustRightInd/>
      <w:spacing w:line="276" w:lineRule="auto"/>
      <w:jc w:val="left"/>
      <w:textAlignment w:val="auto"/>
      <w:outlineLvl w:val="9"/>
    </w:pPr>
    <w:rPr>
      <w:lang w:val="en-US" w:eastAsia="ja-JP"/>
    </w:rPr>
  </w:style>
  <w:style w:type="paragraph" w:styleId="TOC1">
    <w:name w:val="toc 1"/>
    <w:basedOn w:val="Normal"/>
    <w:next w:val="Normal"/>
    <w:autoRedefine/>
    <w:uiPriority w:val="39"/>
    <w:unhideWhenUsed/>
    <w:rsid w:val="00C71D16"/>
    <w:pPr>
      <w:spacing w:after="100"/>
    </w:pPr>
  </w:style>
  <w:style w:type="paragraph" w:styleId="TOC2">
    <w:name w:val="toc 2"/>
    <w:basedOn w:val="Normal"/>
    <w:next w:val="Normal"/>
    <w:autoRedefine/>
    <w:uiPriority w:val="39"/>
    <w:unhideWhenUsed/>
    <w:rsid w:val="00C96922"/>
    <w:pPr>
      <w:tabs>
        <w:tab w:val="left" w:pos="1134"/>
        <w:tab w:val="right" w:leader="dot" w:pos="10070"/>
      </w:tabs>
      <w:spacing w:after="100"/>
      <w:ind w:left="240"/>
    </w:pPr>
  </w:style>
  <w:style w:type="paragraph" w:styleId="TOC3">
    <w:name w:val="toc 3"/>
    <w:basedOn w:val="Normal"/>
    <w:next w:val="Normal"/>
    <w:autoRedefine/>
    <w:uiPriority w:val="39"/>
    <w:unhideWhenUsed/>
    <w:rsid w:val="00555BB5"/>
    <w:pPr>
      <w:tabs>
        <w:tab w:val="left" w:pos="1134"/>
        <w:tab w:val="right" w:leader="dot" w:pos="10070"/>
      </w:tabs>
      <w:spacing w:after="120" w:line="240" w:lineRule="auto"/>
      <w:ind w:left="480"/>
    </w:pPr>
  </w:style>
  <w:style w:type="character" w:customStyle="1" w:styleId="Heading6Char">
    <w:name w:val="Heading 6 Char"/>
    <w:basedOn w:val="DefaultParagraphFont"/>
    <w:link w:val="Heading6"/>
    <w:uiPriority w:val="9"/>
    <w:rsid w:val="00197461"/>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
    <w:semiHidden/>
    <w:rsid w:val="00197461"/>
    <w:rPr>
      <w:rFonts w:asciiTheme="majorHAnsi" w:eastAsiaTheme="majorEastAsia" w:hAnsiTheme="majorHAnsi" w:cstheme="majorBidi"/>
      <w:color w:val="243F60" w:themeColor="accent1" w:themeShade="7F"/>
      <w:sz w:val="24"/>
      <w:szCs w:val="24"/>
      <w:lang w:eastAsia="es-CR"/>
    </w:rPr>
  </w:style>
  <w:style w:type="paragraph" w:styleId="NoSpacing">
    <w:name w:val="No Spacing"/>
    <w:uiPriority w:val="1"/>
    <w:qFormat/>
    <w:rsid w:val="005366DD"/>
    <w:pPr>
      <w:spacing w:after="0" w:line="240" w:lineRule="auto"/>
      <w:jc w:val="both"/>
    </w:pPr>
    <w:rPr>
      <w:rFonts w:ascii="Verdana" w:eastAsia="Calibri" w:hAnsi="Verdana" w:cs="Calibri"/>
      <w:sz w:val="20"/>
      <w:lang w:val="es-MX"/>
    </w:rPr>
  </w:style>
  <w:style w:type="paragraph" w:styleId="NormalWeb">
    <w:name w:val="Normal (Web)"/>
    <w:basedOn w:val="Normal"/>
    <w:uiPriority w:val="99"/>
    <w:unhideWhenUsed/>
    <w:rsid w:val="00D47C1D"/>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apple-converted-space">
    <w:name w:val="apple-converted-space"/>
    <w:basedOn w:val="DefaultParagraphFont"/>
    <w:rsid w:val="00D47C1D"/>
  </w:style>
  <w:style w:type="character" w:styleId="LineNumber">
    <w:name w:val="line number"/>
    <w:basedOn w:val="DefaultParagraphFont"/>
    <w:uiPriority w:val="99"/>
    <w:semiHidden/>
    <w:unhideWhenUsed/>
    <w:rsid w:val="007A558B"/>
  </w:style>
  <w:style w:type="paragraph" w:customStyle="1" w:styleId="PrrafodeSentencia">
    <w:name w:val="*. Párrafo de Sentencia"/>
    <w:basedOn w:val="ListParagraph"/>
    <w:link w:val="PrrafodeSentenciaChar"/>
    <w:autoRedefine/>
    <w:qFormat/>
    <w:rsid w:val="001B626E"/>
    <w:pPr>
      <w:widowControl/>
      <w:tabs>
        <w:tab w:val="left" w:pos="0"/>
        <w:tab w:val="num" w:pos="360"/>
      </w:tabs>
      <w:adjustRightInd/>
      <w:spacing w:line="240" w:lineRule="auto"/>
      <w:ind w:left="0"/>
      <w:textAlignment w:val="auto"/>
    </w:pPr>
    <w:rPr>
      <w:rFonts w:eastAsia="Batang"/>
      <w:sz w:val="20"/>
      <w:szCs w:val="20"/>
      <w:lang w:val="es-MX" w:eastAsia="es-MX"/>
    </w:rPr>
  </w:style>
  <w:style w:type="table" w:styleId="TableGrid">
    <w:name w:val="Table Grid"/>
    <w:basedOn w:val="TableNormal"/>
    <w:uiPriority w:val="59"/>
    <w:rsid w:val="00A8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SentenciaChar">
    <w:name w:val="*. Párrafo de Sentencia Char"/>
    <w:link w:val="PrrafodeSentencia"/>
    <w:rsid w:val="009D170A"/>
    <w:rPr>
      <w:rFonts w:ascii="Verdana" w:eastAsia="Batang" w:hAnsi="Verdana" w:cs="Times New Roman"/>
      <w:sz w:val="20"/>
      <w:szCs w:val="20"/>
      <w:lang w:val="es-MX" w:eastAsia="es-MX"/>
    </w:rPr>
  </w:style>
  <w:style w:type="character" w:customStyle="1" w:styleId="Smbolodenotaalpie">
    <w:name w:val="Símbolo de nota al pie"/>
    <w:rsid w:val="00D70BF3"/>
    <w:rPr>
      <w:rFonts w:cs="Times New Roman"/>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854">
      <w:bodyDiv w:val="1"/>
      <w:marLeft w:val="0"/>
      <w:marRight w:val="0"/>
      <w:marTop w:val="0"/>
      <w:marBottom w:val="0"/>
      <w:divBdr>
        <w:top w:val="none" w:sz="0" w:space="0" w:color="auto"/>
        <w:left w:val="none" w:sz="0" w:space="0" w:color="auto"/>
        <w:bottom w:val="none" w:sz="0" w:space="0" w:color="auto"/>
        <w:right w:val="none" w:sz="0" w:space="0" w:color="auto"/>
      </w:divBdr>
    </w:div>
    <w:div w:id="132751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asuntos/ortiz_20_12_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F404-9D5B-43E1-879A-A1256E16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36244</Words>
  <Characters>199345</Characters>
  <Application>Microsoft Office Word</Application>
  <DocSecurity>0</DocSecurity>
  <Lines>1661</Lines>
  <Paragraphs>470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235119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2017-10-11T01:49:00Z</cp:lastPrinted>
  <dcterms:created xsi:type="dcterms:W3CDTF">2017-10-13T19:13:00Z</dcterms:created>
  <dcterms:modified xsi:type="dcterms:W3CDTF">2017-10-13T19:13:00Z</dcterms:modified>
</cp:coreProperties>
</file>