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F5AA30" w14:textId="77777777" w:rsidR="006F79F4" w:rsidRPr="00F83E8F" w:rsidRDefault="006F79F4" w:rsidP="00F83E8F">
      <w:pPr>
        <w:rPr>
          <w:rFonts w:ascii="Verdana" w:hAnsi="Verdana"/>
          <w:b/>
          <w:sz w:val="20"/>
          <w:szCs w:val="20"/>
          <w:lang w:val="en-US"/>
        </w:rPr>
      </w:pPr>
    </w:p>
    <w:p w14:paraId="54BCD8A0" w14:textId="77777777" w:rsidR="006F79F4" w:rsidRPr="00F83E8F" w:rsidRDefault="006F79F4" w:rsidP="00F83E8F">
      <w:pPr>
        <w:rPr>
          <w:rFonts w:ascii="Verdana" w:hAnsi="Verdana"/>
          <w:b/>
          <w:sz w:val="20"/>
          <w:szCs w:val="20"/>
          <w:lang w:val="en-US"/>
        </w:rPr>
      </w:pPr>
    </w:p>
    <w:p w14:paraId="6BCF4C43" w14:textId="77777777" w:rsidR="006F79F4" w:rsidRPr="00CD6059" w:rsidRDefault="006F79F4" w:rsidP="006F79F4">
      <w:pPr>
        <w:jc w:val="center"/>
        <w:rPr>
          <w:rFonts w:ascii="Verdana" w:hAnsi="Verdana"/>
          <w:b/>
          <w:sz w:val="20"/>
          <w:szCs w:val="20"/>
        </w:rPr>
      </w:pPr>
      <w:r w:rsidRPr="00CD6059">
        <w:rPr>
          <w:rFonts w:ascii="Verdana" w:hAnsi="Verdana"/>
          <w:b/>
          <w:sz w:val="20"/>
          <w:szCs w:val="20"/>
        </w:rPr>
        <w:t>CORTE INTERAMERICANA DE DERECHOS HUMANOS</w:t>
      </w:r>
    </w:p>
    <w:p w14:paraId="0AAD93E3" w14:textId="77777777" w:rsidR="006F79F4" w:rsidRPr="00CD6059" w:rsidRDefault="006F79F4" w:rsidP="006F79F4">
      <w:pPr>
        <w:rPr>
          <w:rFonts w:ascii="Verdana" w:hAnsi="Verdana"/>
          <w:b/>
          <w:sz w:val="20"/>
          <w:szCs w:val="20"/>
        </w:rPr>
      </w:pPr>
    </w:p>
    <w:p w14:paraId="400F345F" w14:textId="77777777" w:rsidR="006F79F4" w:rsidRPr="00CD6059" w:rsidRDefault="006F79F4" w:rsidP="006F79F4">
      <w:pPr>
        <w:tabs>
          <w:tab w:val="left" w:pos="851"/>
          <w:tab w:val="left" w:pos="1701"/>
          <w:tab w:val="left" w:pos="3544"/>
          <w:tab w:val="left" w:pos="3696"/>
        </w:tabs>
        <w:jc w:val="center"/>
        <w:rPr>
          <w:rFonts w:ascii="Verdana" w:hAnsi="Verdana"/>
          <w:b/>
          <w:sz w:val="20"/>
          <w:szCs w:val="20"/>
        </w:rPr>
      </w:pPr>
      <w:r w:rsidRPr="00CD6059">
        <w:rPr>
          <w:rFonts w:ascii="Verdana" w:hAnsi="Verdana"/>
          <w:b/>
          <w:sz w:val="20"/>
          <w:szCs w:val="20"/>
        </w:rPr>
        <w:t xml:space="preserve">CASO </w:t>
      </w:r>
      <w:r>
        <w:rPr>
          <w:rFonts w:ascii="Verdana" w:hAnsi="Verdana"/>
          <w:b/>
          <w:sz w:val="20"/>
          <w:szCs w:val="20"/>
        </w:rPr>
        <w:t xml:space="preserve">LAGOS DEL CAMPO </w:t>
      </w:r>
      <w:r w:rsidRPr="00CD6059">
        <w:rPr>
          <w:rFonts w:ascii="Verdana" w:hAnsi="Verdana"/>
          <w:b/>
          <w:i/>
          <w:sz w:val="20"/>
          <w:szCs w:val="20"/>
        </w:rPr>
        <w:t>VS</w:t>
      </w:r>
      <w:r w:rsidRPr="00CD6059">
        <w:rPr>
          <w:rFonts w:ascii="Verdana" w:hAnsi="Verdana"/>
          <w:b/>
          <w:sz w:val="20"/>
          <w:szCs w:val="20"/>
        </w:rPr>
        <w:t>.</w:t>
      </w:r>
      <w:r w:rsidRPr="00CD6059">
        <w:rPr>
          <w:rFonts w:ascii="Verdana" w:hAnsi="Verdana"/>
          <w:b/>
          <w:i/>
          <w:sz w:val="20"/>
          <w:szCs w:val="20"/>
        </w:rPr>
        <w:t xml:space="preserve"> </w:t>
      </w:r>
      <w:r w:rsidRPr="00CD6059">
        <w:rPr>
          <w:rFonts w:ascii="Verdana" w:hAnsi="Verdana"/>
          <w:b/>
          <w:sz w:val="20"/>
          <w:szCs w:val="20"/>
        </w:rPr>
        <w:t>PERÚ</w:t>
      </w:r>
    </w:p>
    <w:p w14:paraId="2258F03D" w14:textId="77777777" w:rsidR="006F79F4" w:rsidRPr="00CD6059" w:rsidRDefault="006F79F4" w:rsidP="006F79F4">
      <w:pPr>
        <w:tabs>
          <w:tab w:val="left" w:pos="5580"/>
          <w:tab w:val="left" w:pos="6750"/>
        </w:tabs>
        <w:jc w:val="center"/>
        <w:rPr>
          <w:rFonts w:ascii="Verdana" w:hAnsi="Verdana"/>
          <w:b/>
          <w:sz w:val="20"/>
          <w:szCs w:val="20"/>
        </w:rPr>
      </w:pPr>
    </w:p>
    <w:p w14:paraId="490511D3" w14:textId="4C7A92B6" w:rsidR="006F79F4" w:rsidRPr="00CD6059" w:rsidRDefault="006F79F4" w:rsidP="006F79F4">
      <w:pPr>
        <w:jc w:val="center"/>
        <w:rPr>
          <w:rFonts w:ascii="Verdana" w:hAnsi="Verdana"/>
          <w:b/>
          <w:sz w:val="20"/>
          <w:szCs w:val="20"/>
        </w:rPr>
      </w:pPr>
      <w:r w:rsidRPr="00B06027">
        <w:rPr>
          <w:rFonts w:ascii="Verdana" w:hAnsi="Verdana"/>
          <w:b/>
          <w:sz w:val="20"/>
          <w:szCs w:val="20"/>
        </w:rPr>
        <w:t xml:space="preserve">SENTENCIA DE </w:t>
      </w:r>
      <w:r w:rsidR="005F3BC6" w:rsidRPr="00B06027">
        <w:rPr>
          <w:rFonts w:ascii="Verdana" w:hAnsi="Verdana"/>
          <w:b/>
          <w:sz w:val="20"/>
          <w:szCs w:val="20"/>
        </w:rPr>
        <w:t>31</w:t>
      </w:r>
      <w:r w:rsidRPr="00B06027">
        <w:rPr>
          <w:rFonts w:ascii="Verdana" w:hAnsi="Verdana"/>
          <w:b/>
          <w:sz w:val="20"/>
          <w:szCs w:val="20"/>
        </w:rPr>
        <w:t xml:space="preserve"> DE </w:t>
      </w:r>
      <w:r w:rsidR="00F5146C" w:rsidRPr="00B06027">
        <w:rPr>
          <w:rFonts w:ascii="Verdana" w:hAnsi="Verdana"/>
          <w:b/>
          <w:sz w:val="20"/>
          <w:szCs w:val="20"/>
        </w:rPr>
        <w:t xml:space="preserve">AGOSTO </w:t>
      </w:r>
      <w:r w:rsidRPr="00B06027">
        <w:rPr>
          <w:rFonts w:ascii="Verdana" w:hAnsi="Verdana"/>
          <w:b/>
          <w:sz w:val="20"/>
          <w:szCs w:val="20"/>
        </w:rPr>
        <w:t>DE 2017</w:t>
      </w:r>
    </w:p>
    <w:p w14:paraId="6289B84C" w14:textId="77777777" w:rsidR="006F79F4" w:rsidRPr="00CD6059" w:rsidRDefault="006F79F4" w:rsidP="006F79F4">
      <w:pPr>
        <w:jc w:val="center"/>
        <w:rPr>
          <w:rFonts w:ascii="Verdana" w:hAnsi="Verdana"/>
          <w:b/>
          <w:sz w:val="20"/>
          <w:szCs w:val="20"/>
        </w:rPr>
      </w:pPr>
      <w:r>
        <w:rPr>
          <w:rFonts w:ascii="Verdana" w:hAnsi="Verdana"/>
          <w:b/>
          <w:sz w:val="20"/>
          <w:szCs w:val="20"/>
        </w:rPr>
        <w:t xml:space="preserve"> </w:t>
      </w:r>
    </w:p>
    <w:p w14:paraId="587023FC" w14:textId="77777777" w:rsidR="006F79F4" w:rsidRPr="00CD6059" w:rsidRDefault="006F79F4" w:rsidP="006F79F4">
      <w:pPr>
        <w:jc w:val="center"/>
        <w:rPr>
          <w:rFonts w:ascii="Verdana" w:hAnsi="Verdana"/>
          <w:b/>
          <w:i/>
          <w:sz w:val="20"/>
          <w:szCs w:val="20"/>
        </w:rPr>
      </w:pPr>
      <w:r w:rsidRPr="00CD6059">
        <w:rPr>
          <w:rFonts w:ascii="Verdana" w:hAnsi="Verdana"/>
          <w:b/>
          <w:i/>
          <w:sz w:val="20"/>
          <w:szCs w:val="20"/>
        </w:rPr>
        <w:t>(Excepciones Preliminares, Fondo, Reparaciones y Costas)</w:t>
      </w:r>
    </w:p>
    <w:p w14:paraId="6121555C" w14:textId="77777777" w:rsidR="006F79F4" w:rsidRPr="00CD6059" w:rsidRDefault="006F79F4" w:rsidP="006F79F4">
      <w:pPr>
        <w:jc w:val="both"/>
        <w:rPr>
          <w:rFonts w:ascii="Verdana" w:hAnsi="Verdana"/>
          <w:sz w:val="20"/>
          <w:szCs w:val="20"/>
        </w:rPr>
      </w:pPr>
    </w:p>
    <w:p w14:paraId="56D489F4" w14:textId="77777777" w:rsidR="006F79F4" w:rsidRPr="00CD6059" w:rsidRDefault="006F79F4" w:rsidP="006F79F4">
      <w:pPr>
        <w:jc w:val="both"/>
        <w:rPr>
          <w:rFonts w:ascii="Verdana" w:hAnsi="Verdana"/>
          <w:sz w:val="20"/>
          <w:szCs w:val="20"/>
        </w:rPr>
      </w:pPr>
    </w:p>
    <w:p w14:paraId="32BD462F" w14:textId="77777777" w:rsidR="006F79F4" w:rsidRPr="00CD6059" w:rsidRDefault="006F79F4" w:rsidP="006F79F4">
      <w:pPr>
        <w:jc w:val="both"/>
        <w:rPr>
          <w:rFonts w:ascii="Verdana" w:hAnsi="Verdana"/>
          <w:sz w:val="20"/>
          <w:szCs w:val="20"/>
        </w:rPr>
      </w:pPr>
    </w:p>
    <w:p w14:paraId="223A4C2C" w14:textId="77777777" w:rsidR="006F79F4" w:rsidRPr="00CD6059" w:rsidRDefault="006F79F4" w:rsidP="006F79F4">
      <w:pPr>
        <w:ind w:left="1440" w:hanging="1440"/>
        <w:jc w:val="both"/>
        <w:rPr>
          <w:rFonts w:ascii="Verdana" w:hAnsi="Verdana"/>
          <w:sz w:val="20"/>
          <w:szCs w:val="20"/>
        </w:rPr>
      </w:pPr>
      <w:r w:rsidRPr="00CD6059">
        <w:rPr>
          <w:rFonts w:ascii="Verdana" w:hAnsi="Verdana"/>
          <w:sz w:val="20"/>
          <w:szCs w:val="20"/>
        </w:rPr>
        <w:t xml:space="preserve">En el caso </w:t>
      </w:r>
      <w:r w:rsidRPr="00162701">
        <w:rPr>
          <w:rFonts w:ascii="Verdana" w:hAnsi="Verdana"/>
          <w:i/>
          <w:sz w:val="20"/>
          <w:szCs w:val="20"/>
        </w:rPr>
        <w:t>Lagos del Campo</w:t>
      </w:r>
      <w:r w:rsidRPr="00CD6059">
        <w:rPr>
          <w:rFonts w:ascii="Verdana" w:hAnsi="Verdana"/>
          <w:sz w:val="20"/>
          <w:szCs w:val="20"/>
        </w:rPr>
        <w:t>,</w:t>
      </w:r>
    </w:p>
    <w:p w14:paraId="3188F852" w14:textId="77777777" w:rsidR="006F79F4" w:rsidRPr="00CD6059" w:rsidRDefault="006F79F4" w:rsidP="006F79F4">
      <w:pPr>
        <w:jc w:val="both"/>
        <w:rPr>
          <w:rFonts w:ascii="Verdana" w:hAnsi="Verdana"/>
          <w:sz w:val="20"/>
          <w:szCs w:val="20"/>
        </w:rPr>
      </w:pPr>
    </w:p>
    <w:p w14:paraId="6EAB2E70" w14:textId="45E63101" w:rsidR="006F79F4" w:rsidRPr="00CD6059" w:rsidRDefault="006F79F4" w:rsidP="006F79F4">
      <w:pPr>
        <w:jc w:val="both"/>
        <w:rPr>
          <w:rFonts w:ascii="Verdana" w:hAnsi="Verdana"/>
          <w:sz w:val="20"/>
          <w:szCs w:val="20"/>
        </w:rPr>
      </w:pPr>
      <w:proofErr w:type="gramStart"/>
      <w:r w:rsidRPr="00CD6059">
        <w:rPr>
          <w:rFonts w:ascii="Verdana" w:hAnsi="Verdana"/>
          <w:sz w:val="20"/>
          <w:szCs w:val="20"/>
        </w:rPr>
        <w:t>la</w:t>
      </w:r>
      <w:proofErr w:type="gramEnd"/>
      <w:r w:rsidRPr="00CD6059">
        <w:rPr>
          <w:rFonts w:ascii="Verdana" w:hAnsi="Verdana"/>
          <w:sz w:val="20"/>
          <w:szCs w:val="20"/>
        </w:rPr>
        <w:t xml:space="preserve"> Corte Interamericana de Derechos Humanos (en adelante “la Corte Interamericana”, “la Corte” o “el Tribunal”), integrada por los siguientes </w:t>
      </w:r>
      <w:r w:rsidR="009E49BF">
        <w:rPr>
          <w:rFonts w:ascii="Verdana" w:hAnsi="Verdana"/>
          <w:sz w:val="20"/>
          <w:szCs w:val="20"/>
        </w:rPr>
        <w:t>j</w:t>
      </w:r>
      <w:r w:rsidRPr="00CD6059">
        <w:rPr>
          <w:rFonts w:ascii="Verdana" w:hAnsi="Verdana"/>
          <w:sz w:val="20"/>
          <w:szCs w:val="20"/>
        </w:rPr>
        <w:t>ueces:</w:t>
      </w:r>
    </w:p>
    <w:p w14:paraId="382177EC" w14:textId="77777777" w:rsidR="006F79F4" w:rsidRPr="00CD6059" w:rsidRDefault="006F79F4" w:rsidP="006F79F4">
      <w:pPr>
        <w:jc w:val="both"/>
        <w:rPr>
          <w:rFonts w:ascii="Verdana" w:hAnsi="Verdana"/>
          <w:sz w:val="20"/>
          <w:szCs w:val="20"/>
        </w:rPr>
      </w:pPr>
    </w:p>
    <w:p w14:paraId="77026E86" w14:textId="77777777" w:rsidR="006F79F4" w:rsidRPr="00CD6059" w:rsidRDefault="006F79F4" w:rsidP="006F79F4">
      <w:pPr>
        <w:jc w:val="both"/>
        <w:rPr>
          <w:rFonts w:ascii="Verdana" w:hAnsi="Verdana"/>
          <w:sz w:val="20"/>
          <w:szCs w:val="20"/>
          <w:lang w:val="pt-BR"/>
        </w:rPr>
      </w:pPr>
      <w:r w:rsidRPr="00CD6059">
        <w:rPr>
          <w:rFonts w:ascii="Verdana" w:hAnsi="Verdana"/>
          <w:sz w:val="20"/>
          <w:szCs w:val="20"/>
          <w:lang w:val="pt-BR"/>
        </w:rPr>
        <w:t>Roberto F. Caldas, Presidente;</w:t>
      </w:r>
    </w:p>
    <w:p w14:paraId="33570A0F" w14:textId="77777777" w:rsidR="006F79F4" w:rsidRPr="00CD6059" w:rsidRDefault="006F79F4" w:rsidP="006F79F4">
      <w:pPr>
        <w:jc w:val="both"/>
        <w:rPr>
          <w:rFonts w:ascii="Verdana" w:hAnsi="Verdana"/>
          <w:sz w:val="20"/>
          <w:szCs w:val="20"/>
          <w:lang w:val="pt-BR"/>
        </w:rPr>
      </w:pPr>
      <w:r w:rsidRPr="00CD6059">
        <w:rPr>
          <w:rFonts w:ascii="Verdana" w:hAnsi="Verdana"/>
          <w:sz w:val="20"/>
          <w:szCs w:val="20"/>
          <w:lang w:val="pt-BR"/>
        </w:rPr>
        <w:t xml:space="preserve">Eduardo Ferrer </w:t>
      </w:r>
      <w:r w:rsidRPr="0076651B">
        <w:rPr>
          <w:rFonts w:ascii="Verdana" w:hAnsi="Verdana"/>
          <w:sz w:val="20"/>
          <w:szCs w:val="20"/>
          <w:lang w:val="pt-BR"/>
        </w:rPr>
        <w:t>Mac-Gregor</w:t>
      </w:r>
      <w:r w:rsidRPr="00CD6059">
        <w:rPr>
          <w:rFonts w:ascii="Verdana" w:hAnsi="Verdana"/>
          <w:sz w:val="20"/>
          <w:szCs w:val="20"/>
          <w:lang w:val="pt-BR"/>
        </w:rPr>
        <w:t xml:space="preserve"> Poisot, Vicepresidente;</w:t>
      </w:r>
    </w:p>
    <w:p w14:paraId="2D29B333" w14:textId="77777777" w:rsidR="006F79F4" w:rsidRPr="00CD6059" w:rsidRDefault="006F79F4" w:rsidP="006F79F4">
      <w:pPr>
        <w:jc w:val="both"/>
        <w:rPr>
          <w:rFonts w:ascii="Verdana" w:hAnsi="Verdana"/>
          <w:sz w:val="20"/>
          <w:szCs w:val="20"/>
          <w:lang w:val="es-CR"/>
        </w:rPr>
      </w:pPr>
      <w:r w:rsidRPr="00CD6059">
        <w:rPr>
          <w:rFonts w:ascii="Verdana" w:hAnsi="Verdana"/>
          <w:sz w:val="20"/>
          <w:szCs w:val="20"/>
          <w:lang w:val="es-CR"/>
        </w:rPr>
        <w:t>Eduardo Vio Grossi, Juez;</w:t>
      </w:r>
    </w:p>
    <w:p w14:paraId="33CC6586" w14:textId="77777777" w:rsidR="006F79F4" w:rsidRPr="00CD6059" w:rsidRDefault="006F79F4" w:rsidP="006F79F4">
      <w:pPr>
        <w:jc w:val="both"/>
        <w:rPr>
          <w:rFonts w:ascii="Verdana" w:hAnsi="Verdana"/>
          <w:sz w:val="20"/>
          <w:szCs w:val="20"/>
          <w:lang w:val="es-CR"/>
        </w:rPr>
      </w:pPr>
      <w:r w:rsidRPr="00CD6059">
        <w:rPr>
          <w:rFonts w:ascii="Verdana" w:hAnsi="Verdana"/>
          <w:sz w:val="20"/>
          <w:szCs w:val="20"/>
          <w:lang w:val="es-CR"/>
        </w:rPr>
        <w:t>Humberto Antonio Sierra Porto, Juez;</w:t>
      </w:r>
    </w:p>
    <w:p w14:paraId="435F8FC9" w14:textId="77777777" w:rsidR="006F79F4" w:rsidRPr="00CD6059" w:rsidRDefault="006F79F4" w:rsidP="006F79F4">
      <w:pPr>
        <w:jc w:val="both"/>
        <w:rPr>
          <w:rFonts w:ascii="Verdana" w:hAnsi="Verdana"/>
          <w:sz w:val="20"/>
          <w:szCs w:val="20"/>
          <w:lang w:val="es-CR"/>
        </w:rPr>
      </w:pPr>
      <w:r w:rsidRPr="00CD6059">
        <w:rPr>
          <w:rFonts w:ascii="Verdana" w:hAnsi="Verdana"/>
          <w:sz w:val="20"/>
          <w:szCs w:val="20"/>
          <w:lang w:val="es-CR"/>
        </w:rPr>
        <w:t>Elizabeth Odio</w:t>
      </w:r>
      <w:r>
        <w:rPr>
          <w:rFonts w:ascii="Verdana" w:hAnsi="Verdana"/>
          <w:sz w:val="20"/>
          <w:szCs w:val="20"/>
          <w:lang w:val="es-CR"/>
        </w:rPr>
        <w:t xml:space="preserve"> </w:t>
      </w:r>
      <w:r w:rsidRPr="00CD6059">
        <w:rPr>
          <w:rFonts w:ascii="Verdana" w:hAnsi="Verdana"/>
          <w:sz w:val="20"/>
          <w:szCs w:val="20"/>
          <w:lang w:val="es-CR"/>
        </w:rPr>
        <w:t>Benito, Juez</w:t>
      </w:r>
      <w:r>
        <w:rPr>
          <w:rFonts w:ascii="Verdana" w:hAnsi="Verdana"/>
          <w:sz w:val="20"/>
          <w:szCs w:val="20"/>
          <w:lang w:val="es-CR"/>
        </w:rPr>
        <w:t>a</w:t>
      </w:r>
      <w:r w:rsidRPr="00CD6059">
        <w:rPr>
          <w:rFonts w:ascii="Verdana" w:hAnsi="Verdana"/>
          <w:sz w:val="20"/>
          <w:szCs w:val="20"/>
          <w:lang w:val="es-CR"/>
        </w:rPr>
        <w:t>;</w:t>
      </w:r>
    </w:p>
    <w:p w14:paraId="441BDE26" w14:textId="77777777" w:rsidR="006F79F4" w:rsidRPr="00CD6059" w:rsidRDefault="006F79F4" w:rsidP="006F79F4">
      <w:pPr>
        <w:jc w:val="both"/>
        <w:rPr>
          <w:rFonts w:ascii="Verdana" w:hAnsi="Verdana"/>
          <w:sz w:val="20"/>
          <w:szCs w:val="20"/>
          <w:lang w:val="es-CR"/>
        </w:rPr>
      </w:pPr>
      <w:r w:rsidRPr="00CD6059">
        <w:rPr>
          <w:rFonts w:ascii="Verdana" w:hAnsi="Verdana"/>
          <w:sz w:val="20"/>
          <w:szCs w:val="20"/>
          <w:lang w:val="es-CR"/>
        </w:rPr>
        <w:t xml:space="preserve">Eugenio Raúl </w:t>
      </w:r>
      <w:proofErr w:type="spellStart"/>
      <w:r w:rsidRPr="00CD6059">
        <w:rPr>
          <w:rFonts w:ascii="Verdana" w:hAnsi="Verdana"/>
          <w:sz w:val="20"/>
          <w:szCs w:val="20"/>
          <w:lang w:val="es-CR"/>
        </w:rPr>
        <w:t>Zaffaroni</w:t>
      </w:r>
      <w:proofErr w:type="spellEnd"/>
      <w:r w:rsidRPr="00CD6059">
        <w:rPr>
          <w:rFonts w:ascii="Verdana" w:hAnsi="Verdana"/>
          <w:sz w:val="20"/>
          <w:szCs w:val="20"/>
          <w:lang w:val="es-CR"/>
        </w:rPr>
        <w:t>, Juez, y</w:t>
      </w:r>
    </w:p>
    <w:p w14:paraId="7C262042" w14:textId="77777777" w:rsidR="006F79F4" w:rsidRPr="00CD6059" w:rsidRDefault="006F79F4" w:rsidP="006F79F4">
      <w:pPr>
        <w:jc w:val="both"/>
        <w:rPr>
          <w:rFonts w:ascii="Verdana" w:hAnsi="Verdana"/>
          <w:sz w:val="20"/>
          <w:szCs w:val="20"/>
          <w:lang w:val="es-CR"/>
        </w:rPr>
      </w:pPr>
      <w:r w:rsidRPr="00CD6059">
        <w:rPr>
          <w:rFonts w:ascii="Verdana" w:hAnsi="Verdana"/>
          <w:sz w:val="20"/>
          <w:szCs w:val="20"/>
          <w:lang w:val="es-CR"/>
        </w:rPr>
        <w:t>Patricio Pazmiño Freire, Juez,</w:t>
      </w:r>
    </w:p>
    <w:p w14:paraId="5DB0769E" w14:textId="77777777" w:rsidR="006F79F4" w:rsidRPr="00CD6059" w:rsidRDefault="006F79F4" w:rsidP="006F79F4">
      <w:pPr>
        <w:jc w:val="both"/>
        <w:rPr>
          <w:rFonts w:ascii="Verdana" w:hAnsi="Verdana"/>
          <w:sz w:val="20"/>
          <w:szCs w:val="20"/>
          <w:lang w:val="es-CR"/>
        </w:rPr>
      </w:pPr>
    </w:p>
    <w:p w14:paraId="55C361CA" w14:textId="77777777" w:rsidR="006F79F4" w:rsidRPr="00CD6059" w:rsidRDefault="006F79F4" w:rsidP="006F79F4">
      <w:pPr>
        <w:jc w:val="both"/>
        <w:rPr>
          <w:rFonts w:ascii="Verdana" w:hAnsi="Verdana"/>
          <w:sz w:val="20"/>
          <w:szCs w:val="20"/>
          <w:lang w:val="es-CR"/>
        </w:rPr>
      </w:pPr>
      <w:proofErr w:type="gramStart"/>
      <w:r w:rsidRPr="00CD6059">
        <w:rPr>
          <w:rFonts w:ascii="Verdana" w:hAnsi="Verdana"/>
          <w:sz w:val="20"/>
          <w:szCs w:val="20"/>
          <w:lang w:val="es-CR"/>
        </w:rPr>
        <w:t>presentes</w:t>
      </w:r>
      <w:proofErr w:type="gramEnd"/>
      <w:r w:rsidRPr="00CD6059">
        <w:rPr>
          <w:rFonts w:ascii="Verdana" w:hAnsi="Verdana"/>
          <w:sz w:val="20"/>
          <w:szCs w:val="20"/>
          <w:lang w:val="es-CR"/>
        </w:rPr>
        <w:t xml:space="preserve"> además, </w:t>
      </w:r>
    </w:p>
    <w:p w14:paraId="438B6CC8" w14:textId="77777777" w:rsidR="006F79F4" w:rsidRPr="00CD6059" w:rsidRDefault="006F79F4" w:rsidP="006F79F4">
      <w:pPr>
        <w:jc w:val="both"/>
        <w:rPr>
          <w:rFonts w:ascii="Verdana" w:hAnsi="Verdana"/>
          <w:sz w:val="20"/>
          <w:szCs w:val="20"/>
          <w:lang w:val="es-CR"/>
        </w:rPr>
      </w:pPr>
    </w:p>
    <w:p w14:paraId="56D90BCC" w14:textId="77777777" w:rsidR="006F79F4" w:rsidRPr="00CD6059" w:rsidRDefault="006F79F4" w:rsidP="006F79F4">
      <w:pPr>
        <w:jc w:val="both"/>
        <w:rPr>
          <w:rFonts w:ascii="Verdana" w:hAnsi="Verdana"/>
          <w:sz w:val="20"/>
          <w:szCs w:val="20"/>
          <w:lang w:val="es-CR"/>
        </w:rPr>
      </w:pPr>
      <w:r w:rsidRPr="00CD6059">
        <w:rPr>
          <w:rFonts w:ascii="Verdana" w:hAnsi="Verdana"/>
          <w:sz w:val="20"/>
          <w:szCs w:val="20"/>
          <w:lang w:val="es-CR"/>
        </w:rPr>
        <w:t>Pablo Saavedra Alessandri, Secretario, y</w:t>
      </w:r>
    </w:p>
    <w:p w14:paraId="5FA67476" w14:textId="77777777" w:rsidR="006F79F4" w:rsidRPr="00CD6059" w:rsidRDefault="006F79F4" w:rsidP="006F79F4">
      <w:pPr>
        <w:jc w:val="both"/>
        <w:rPr>
          <w:rFonts w:ascii="Verdana" w:hAnsi="Verdana"/>
          <w:sz w:val="20"/>
          <w:szCs w:val="20"/>
        </w:rPr>
      </w:pPr>
      <w:r w:rsidRPr="00CD6059">
        <w:rPr>
          <w:rFonts w:ascii="Verdana" w:hAnsi="Verdana"/>
          <w:sz w:val="20"/>
          <w:szCs w:val="20"/>
          <w:lang w:val="es-CR"/>
        </w:rPr>
        <w:t xml:space="preserve">Emilia Segares Rodríguez, Secretaria </w:t>
      </w:r>
      <w:r>
        <w:rPr>
          <w:rFonts w:ascii="Verdana" w:hAnsi="Verdana"/>
          <w:sz w:val="20"/>
          <w:szCs w:val="20"/>
          <w:lang w:val="es-CR"/>
        </w:rPr>
        <w:t>Adjunta</w:t>
      </w:r>
      <w:r w:rsidRPr="00CD6059">
        <w:rPr>
          <w:rFonts w:ascii="Verdana" w:hAnsi="Verdana"/>
          <w:sz w:val="20"/>
          <w:szCs w:val="20"/>
        </w:rPr>
        <w:t>,</w:t>
      </w:r>
    </w:p>
    <w:p w14:paraId="0FCECD87" w14:textId="77777777" w:rsidR="006F79F4" w:rsidRPr="00CD6059" w:rsidRDefault="006F79F4" w:rsidP="006F79F4">
      <w:pPr>
        <w:jc w:val="both"/>
        <w:rPr>
          <w:rFonts w:ascii="Verdana" w:hAnsi="Verdana"/>
          <w:sz w:val="20"/>
          <w:szCs w:val="20"/>
        </w:rPr>
      </w:pPr>
    </w:p>
    <w:p w14:paraId="0BAF74C9" w14:textId="77777777" w:rsidR="006F79F4" w:rsidRPr="00CD6059" w:rsidRDefault="006F79F4" w:rsidP="006F79F4">
      <w:pPr>
        <w:jc w:val="both"/>
        <w:rPr>
          <w:rFonts w:ascii="Verdana" w:hAnsi="Verdana"/>
          <w:sz w:val="20"/>
          <w:szCs w:val="20"/>
        </w:rPr>
      </w:pPr>
      <w:proofErr w:type="gramStart"/>
      <w:r w:rsidRPr="00CD6059">
        <w:rPr>
          <w:rFonts w:ascii="Verdana" w:hAnsi="Verdana"/>
          <w:sz w:val="20"/>
          <w:szCs w:val="20"/>
        </w:rPr>
        <w:t>de</w:t>
      </w:r>
      <w:proofErr w:type="gramEnd"/>
      <w:r w:rsidRPr="00CD6059">
        <w:rPr>
          <w:rFonts w:ascii="Verdana" w:hAnsi="Verdana"/>
          <w:sz w:val="20"/>
          <w:szCs w:val="20"/>
        </w:rPr>
        <w:t xml:space="preserve"> conformidad con los artículos 62.3 y 63.1 de la Convención Americana sobre Derechos </w:t>
      </w:r>
      <w:r w:rsidRPr="00F67DB2">
        <w:rPr>
          <w:rFonts w:ascii="Verdana" w:hAnsi="Verdana"/>
          <w:sz w:val="20"/>
          <w:szCs w:val="20"/>
        </w:rPr>
        <w:t>Humanos (en adelante “la Convención” o “la Convención Americana”) y con los artículos 31, 32, 42,</w:t>
      </w:r>
      <w:r>
        <w:rPr>
          <w:rFonts w:ascii="Verdana" w:hAnsi="Verdana"/>
          <w:sz w:val="20"/>
          <w:szCs w:val="20"/>
        </w:rPr>
        <w:t xml:space="preserve"> </w:t>
      </w:r>
      <w:r w:rsidRPr="00CD6059">
        <w:rPr>
          <w:rFonts w:ascii="Verdana" w:hAnsi="Verdana"/>
          <w:sz w:val="20"/>
          <w:szCs w:val="20"/>
        </w:rPr>
        <w:t>65 y 67 del Reglamento de la Corte (en adelante “el Reglamento”), dicta la presente Sentencia, que se estructura en el siguiente orden:</w:t>
      </w:r>
    </w:p>
    <w:p w14:paraId="651FF418" w14:textId="77777777" w:rsidR="006F79F4" w:rsidRPr="00CD6059" w:rsidRDefault="006F79F4" w:rsidP="006F79F4">
      <w:pPr>
        <w:jc w:val="both"/>
        <w:rPr>
          <w:rFonts w:ascii="Verdana" w:hAnsi="Verdana"/>
          <w:sz w:val="20"/>
          <w:szCs w:val="20"/>
        </w:rPr>
      </w:pPr>
    </w:p>
    <w:p w14:paraId="15E43BF3" w14:textId="77777777" w:rsidR="006F79F4" w:rsidRDefault="006F79F4" w:rsidP="006F79F4">
      <w:pPr>
        <w:jc w:val="center"/>
        <w:rPr>
          <w:rFonts w:ascii="Verdana" w:hAnsi="Verdana"/>
          <w:sz w:val="20"/>
          <w:szCs w:val="20"/>
        </w:rPr>
      </w:pPr>
    </w:p>
    <w:p w14:paraId="31820FA6" w14:textId="24486CF7" w:rsidR="0071598A" w:rsidRDefault="0071598A">
      <w:pPr>
        <w:spacing w:after="200" w:line="276" w:lineRule="auto"/>
        <w:rPr>
          <w:rFonts w:ascii="Verdana" w:hAnsi="Verdana"/>
          <w:sz w:val="20"/>
          <w:szCs w:val="20"/>
        </w:rPr>
      </w:pPr>
      <w:r>
        <w:rPr>
          <w:rFonts w:ascii="Verdana" w:hAnsi="Verdana"/>
          <w:sz w:val="20"/>
          <w:szCs w:val="20"/>
        </w:rPr>
        <w:br w:type="page"/>
      </w:r>
    </w:p>
    <w:p w14:paraId="659F2593" w14:textId="5DD83BB9" w:rsidR="006F79F4" w:rsidRPr="00CD6059" w:rsidRDefault="006F79F4" w:rsidP="006F79F4">
      <w:pPr>
        <w:jc w:val="both"/>
        <w:rPr>
          <w:rFonts w:ascii="Verdana" w:hAnsi="Verdana"/>
          <w:sz w:val="20"/>
          <w:szCs w:val="20"/>
        </w:rPr>
      </w:pPr>
    </w:p>
    <w:p w14:paraId="66B348E8" w14:textId="2AF2DAC4" w:rsidR="00240326" w:rsidRDefault="00CB5A95" w:rsidP="00A532BE">
      <w:pPr>
        <w:tabs>
          <w:tab w:val="left" w:pos="1683"/>
          <w:tab w:val="center" w:pos="4816"/>
        </w:tabs>
        <w:rPr>
          <w:rFonts w:ascii="Verdana" w:hAnsi="Verdana"/>
          <w:b/>
          <w:sz w:val="20"/>
          <w:szCs w:val="20"/>
        </w:rPr>
      </w:pPr>
      <w:r>
        <w:rPr>
          <w:rFonts w:ascii="Verdana" w:hAnsi="Verdana"/>
          <w:b/>
          <w:sz w:val="20"/>
          <w:szCs w:val="20"/>
        </w:rPr>
        <w:tab/>
      </w:r>
      <w:r>
        <w:rPr>
          <w:rFonts w:ascii="Verdana" w:hAnsi="Verdana"/>
          <w:b/>
          <w:sz w:val="20"/>
          <w:szCs w:val="20"/>
        </w:rPr>
        <w:tab/>
      </w:r>
      <w:r w:rsidR="00585E16" w:rsidRPr="00A032B8">
        <w:rPr>
          <w:rFonts w:ascii="Verdana" w:hAnsi="Verdana"/>
          <w:b/>
          <w:sz w:val="20"/>
          <w:szCs w:val="20"/>
        </w:rPr>
        <w:t>TABLA DE CONTENIDO</w:t>
      </w:r>
    </w:p>
    <w:p w14:paraId="6E941070" w14:textId="77777777" w:rsidR="00EF1AD0" w:rsidRPr="00A032B8" w:rsidRDefault="00EF1AD0" w:rsidP="00A532BE">
      <w:pPr>
        <w:tabs>
          <w:tab w:val="left" w:pos="1683"/>
          <w:tab w:val="center" w:pos="4816"/>
        </w:tabs>
        <w:rPr>
          <w:rFonts w:ascii="Verdana" w:hAnsi="Verdana"/>
          <w:b/>
          <w:sz w:val="18"/>
          <w:szCs w:val="18"/>
        </w:rPr>
      </w:pPr>
    </w:p>
    <w:bookmarkStart w:id="0" w:name="_Toc390328152"/>
    <w:p w14:paraId="58AC2904" w14:textId="77777777" w:rsidR="009D5837" w:rsidRPr="00B74567" w:rsidRDefault="006F79F4" w:rsidP="00167383">
      <w:pPr>
        <w:pStyle w:val="TOC1"/>
        <w:ind w:right="815"/>
        <w:rPr>
          <w:rFonts w:eastAsiaTheme="minorEastAsia" w:cstheme="minorBidi"/>
          <w:snapToGrid/>
          <w:lang w:val="es-CR" w:eastAsia="es-CR"/>
        </w:rPr>
      </w:pPr>
      <w:r w:rsidRPr="00A032B8">
        <w:fldChar w:fldCharType="begin"/>
      </w:r>
      <w:r w:rsidRPr="00A032B8">
        <w:instrText xml:space="preserve"> TOC \o "1-5" \h \z \u </w:instrText>
      </w:r>
      <w:r w:rsidRPr="00A032B8">
        <w:fldChar w:fldCharType="separate"/>
      </w:r>
      <w:hyperlink w:anchor="_Toc498333468" w:history="1">
        <w:r w:rsidR="009D5837" w:rsidRPr="00B74567">
          <w:rPr>
            <w:rStyle w:val="Hyperlink"/>
            <w:rFonts w:cs="Verdana"/>
          </w:rPr>
          <w:t>I INTRODUCCIÓN DE LA CAUSA Y OBJETO DE LA CONTROVERSIA</w:t>
        </w:r>
        <w:r w:rsidR="009D5837" w:rsidRPr="00B74567">
          <w:rPr>
            <w:webHidden/>
          </w:rPr>
          <w:tab/>
        </w:r>
        <w:r w:rsidR="009D5837" w:rsidRPr="00B74567">
          <w:rPr>
            <w:webHidden/>
          </w:rPr>
          <w:fldChar w:fldCharType="begin"/>
        </w:r>
        <w:r w:rsidR="009D5837" w:rsidRPr="00B74567">
          <w:rPr>
            <w:webHidden/>
          </w:rPr>
          <w:instrText xml:space="preserve"> PAGEREF _Toc498333468 \h </w:instrText>
        </w:r>
        <w:r w:rsidR="009D5837" w:rsidRPr="00B74567">
          <w:rPr>
            <w:webHidden/>
          </w:rPr>
        </w:r>
        <w:r w:rsidR="009D5837" w:rsidRPr="00B74567">
          <w:rPr>
            <w:webHidden/>
          </w:rPr>
          <w:fldChar w:fldCharType="separate"/>
        </w:r>
        <w:r w:rsidR="005810EE">
          <w:rPr>
            <w:webHidden/>
          </w:rPr>
          <w:t>4</w:t>
        </w:r>
        <w:r w:rsidR="009D5837" w:rsidRPr="00B74567">
          <w:rPr>
            <w:webHidden/>
          </w:rPr>
          <w:fldChar w:fldCharType="end"/>
        </w:r>
      </w:hyperlink>
    </w:p>
    <w:p w14:paraId="5FAE712B" w14:textId="7860721D" w:rsidR="009D5837" w:rsidRPr="00B74567" w:rsidRDefault="00D86616" w:rsidP="00167383">
      <w:pPr>
        <w:pStyle w:val="TOC1"/>
        <w:ind w:right="815"/>
        <w:rPr>
          <w:rFonts w:eastAsiaTheme="minorEastAsia" w:cstheme="minorBidi"/>
          <w:snapToGrid/>
          <w:lang w:val="es-CR" w:eastAsia="es-CR"/>
        </w:rPr>
      </w:pPr>
      <w:hyperlink w:anchor="_Toc498333469" w:history="1">
        <w:r w:rsidR="009D5837" w:rsidRPr="00B74567">
          <w:rPr>
            <w:rStyle w:val="Hyperlink"/>
            <w:rFonts w:cs="Verdana"/>
          </w:rPr>
          <w:t>II PROCEDIMIENTO ANTE LA CORTE</w:t>
        </w:r>
        <w:r w:rsidR="009D5837" w:rsidRPr="00B74567">
          <w:rPr>
            <w:webHidden/>
          </w:rPr>
          <w:tab/>
        </w:r>
        <w:r w:rsidR="009D5837" w:rsidRPr="00B74567">
          <w:rPr>
            <w:webHidden/>
          </w:rPr>
          <w:fldChar w:fldCharType="begin"/>
        </w:r>
        <w:r w:rsidR="009D5837" w:rsidRPr="00B74567">
          <w:rPr>
            <w:webHidden/>
          </w:rPr>
          <w:instrText xml:space="preserve"> PAGEREF _Toc498333469 \h </w:instrText>
        </w:r>
        <w:r w:rsidR="009D5837" w:rsidRPr="00B74567">
          <w:rPr>
            <w:webHidden/>
          </w:rPr>
        </w:r>
        <w:r w:rsidR="009D5837" w:rsidRPr="00B74567">
          <w:rPr>
            <w:webHidden/>
          </w:rPr>
          <w:fldChar w:fldCharType="separate"/>
        </w:r>
        <w:r w:rsidR="005810EE">
          <w:rPr>
            <w:webHidden/>
          </w:rPr>
          <w:t>5</w:t>
        </w:r>
        <w:r w:rsidR="009D5837" w:rsidRPr="00B74567">
          <w:rPr>
            <w:webHidden/>
          </w:rPr>
          <w:fldChar w:fldCharType="end"/>
        </w:r>
      </w:hyperlink>
    </w:p>
    <w:p w14:paraId="42385BFB" w14:textId="77777777" w:rsidR="009D5837" w:rsidRPr="00B74567" w:rsidRDefault="00D86616" w:rsidP="00167383">
      <w:pPr>
        <w:pStyle w:val="TOC1"/>
        <w:ind w:right="815"/>
        <w:rPr>
          <w:rFonts w:eastAsiaTheme="minorEastAsia" w:cstheme="minorBidi"/>
          <w:snapToGrid/>
          <w:lang w:val="es-CR" w:eastAsia="es-CR"/>
        </w:rPr>
      </w:pPr>
      <w:hyperlink w:anchor="_Toc498333470" w:history="1">
        <w:r w:rsidR="009D5837" w:rsidRPr="00B74567">
          <w:rPr>
            <w:rStyle w:val="Hyperlink"/>
            <w:rFonts w:cs="Verdana"/>
          </w:rPr>
          <w:t>III COMPETENCIA</w:t>
        </w:r>
        <w:r w:rsidR="009D5837" w:rsidRPr="00B74567">
          <w:rPr>
            <w:webHidden/>
          </w:rPr>
          <w:tab/>
        </w:r>
        <w:r w:rsidR="009D5837" w:rsidRPr="00B74567">
          <w:rPr>
            <w:webHidden/>
          </w:rPr>
          <w:fldChar w:fldCharType="begin"/>
        </w:r>
        <w:r w:rsidR="009D5837" w:rsidRPr="00B74567">
          <w:rPr>
            <w:webHidden/>
          </w:rPr>
          <w:instrText xml:space="preserve"> PAGEREF _Toc498333470 \h </w:instrText>
        </w:r>
        <w:r w:rsidR="009D5837" w:rsidRPr="00B74567">
          <w:rPr>
            <w:webHidden/>
          </w:rPr>
        </w:r>
        <w:r w:rsidR="009D5837" w:rsidRPr="00B74567">
          <w:rPr>
            <w:webHidden/>
          </w:rPr>
          <w:fldChar w:fldCharType="separate"/>
        </w:r>
        <w:r w:rsidR="005810EE">
          <w:rPr>
            <w:webHidden/>
          </w:rPr>
          <w:t>7</w:t>
        </w:r>
        <w:r w:rsidR="009D5837" w:rsidRPr="00B74567">
          <w:rPr>
            <w:webHidden/>
          </w:rPr>
          <w:fldChar w:fldCharType="end"/>
        </w:r>
      </w:hyperlink>
    </w:p>
    <w:p w14:paraId="072D9277" w14:textId="77777777" w:rsidR="009D5837" w:rsidRPr="00B74567" w:rsidRDefault="00D86616" w:rsidP="00167383">
      <w:pPr>
        <w:pStyle w:val="TOC1"/>
        <w:ind w:right="815"/>
        <w:rPr>
          <w:rFonts w:eastAsiaTheme="minorEastAsia" w:cstheme="minorBidi"/>
          <w:snapToGrid/>
          <w:lang w:val="es-CR" w:eastAsia="es-CR"/>
        </w:rPr>
      </w:pPr>
      <w:hyperlink w:anchor="_Toc498333471" w:history="1">
        <w:r w:rsidR="009D5837" w:rsidRPr="00B74567">
          <w:rPr>
            <w:rStyle w:val="Hyperlink"/>
            <w:rFonts w:cs="Verdana"/>
          </w:rPr>
          <w:t xml:space="preserve">IV </w:t>
        </w:r>
        <w:r w:rsidR="009D5837" w:rsidRPr="00B74567">
          <w:rPr>
            <w:rStyle w:val="Hyperlink"/>
          </w:rPr>
          <w:t>EXCEPCIONES PRELIMINARES</w:t>
        </w:r>
        <w:r w:rsidR="009D5837" w:rsidRPr="00B74567">
          <w:rPr>
            <w:webHidden/>
          </w:rPr>
          <w:tab/>
        </w:r>
        <w:r w:rsidR="009D5837" w:rsidRPr="00B74567">
          <w:rPr>
            <w:webHidden/>
          </w:rPr>
          <w:fldChar w:fldCharType="begin"/>
        </w:r>
        <w:r w:rsidR="009D5837" w:rsidRPr="00B74567">
          <w:rPr>
            <w:webHidden/>
          </w:rPr>
          <w:instrText xml:space="preserve"> PAGEREF _Toc498333471 \h </w:instrText>
        </w:r>
        <w:r w:rsidR="009D5837" w:rsidRPr="00B74567">
          <w:rPr>
            <w:webHidden/>
          </w:rPr>
        </w:r>
        <w:r w:rsidR="009D5837" w:rsidRPr="00B74567">
          <w:rPr>
            <w:webHidden/>
          </w:rPr>
          <w:fldChar w:fldCharType="separate"/>
        </w:r>
        <w:r w:rsidR="005810EE">
          <w:rPr>
            <w:webHidden/>
          </w:rPr>
          <w:t>7</w:t>
        </w:r>
        <w:r w:rsidR="009D5837" w:rsidRPr="00B74567">
          <w:rPr>
            <w:webHidden/>
          </w:rPr>
          <w:fldChar w:fldCharType="end"/>
        </w:r>
      </w:hyperlink>
    </w:p>
    <w:p w14:paraId="7A589061" w14:textId="77777777" w:rsidR="009D5837" w:rsidRPr="00B74567" w:rsidRDefault="00D86616" w:rsidP="00167383">
      <w:pPr>
        <w:pStyle w:val="TOC2"/>
        <w:rPr>
          <w:rFonts w:ascii="Verdana" w:eastAsiaTheme="minorEastAsia" w:hAnsi="Verdana" w:cstheme="minorBidi"/>
          <w:noProof/>
          <w:sz w:val="20"/>
          <w:szCs w:val="20"/>
          <w:lang w:val="es-CR" w:eastAsia="es-CR"/>
        </w:rPr>
      </w:pPr>
      <w:hyperlink w:anchor="_Toc498333472" w:history="1">
        <w:r w:rsidR="009D5837" w:rsidRPr="00B74567">
          <w:rPr>
            <w:rStyle w:val="Hyperlink"/>
            <w:rFonts w:ascii="Verdana" w:hAnsi="Verdana"/>
            <w:i/>
            <w:noProof/>
            <w:sz w:val="20"/>
            <w:szCs w:val="20"/>
          </w:rPr>
          <w:t>A.</w:t>
        </w:r>
        <w:r w:rsidR="009D5837" w:rsidRPr="00B74567">
          <w:rPr>
            <w:rFonts w:ascii="Verdana" w:eastAsiaTheme="minorEastAsia" w:hAnsi="Verdana" w:cstheme="minorBidi"/>
            <w:noProof/>
            <w:sz w:val="20"/>
            <w:szCs w:val="20"/>
            <w:lang w:val="es-CR" w:eastAsia="es-CR"/>
          </w:rPr>
          <w:tab/>
        </w:r>
        <w:r w:rsidR="009D5837" w:rsidRPr="00B74567">
          <w:rPr>
            <w:rStyle w:val="Hyperlink"/>
            <w:rFonts w:ascii="Verdana" w:eastAsia="MS Gothic" w:hAnsi="Verdana"/>
            <w:i/>
            <w:noProof/>
            <w:sz w:val="20"/>
            <w:szCs w:val="20"/>
            <w:lang w:val="es-CR"/>
          </w:rPr>
          <w:t>Planteamientos del Estado y observaciones de la Comisión y los representantes</w:t>
        </w:r>
        <w:r w:rsidR="009D5837" w:rsidRPr="00B74567">
          <w:rPr>
            <w:rFonts w:ascii="Verdana" w:hAnsi="Verdana"/>
            <w:noProof/>
            <w:webHidden/>
            <w:sz w:val="20"/>
            <w:szCs w:val="20"/>
          </w:rPr>
          <w:tab/>
        </w:r>
        <w:r w:rsidR="009D5837" w:rsidRPr="00B74567">
          <w:rPr>
            <w:rFonts w:ascii="Verdana" w:hAnsi="Verdana"/>
            <w:noProof/>
            <w:webHidden/>
            <w:sz w:val="20"/>
            <w:szCs w:val="20"/>
          </w:rPr>
          <w:fldChar w:fldCharType="begin"/>
        </w:r>
        <w:r w:rsidR="009D5837" w:rsidRPr="00B74567">
          <w:rPr>
            <w:rFonts w:ascii="Verdana" w:hAnsi="Verdana"/>
            <w:noProof/>
            <w:webHidden/>
            <w:sz w:val="20"/>
            <w:szCs w:val="20"/>
          </w:rPr>
          <w:instrText xml:space="preserve"> PAGEREF _Toc498333472 \h </w:instrText>
        </w:r>
        <w:r w:rsidR="009D5837" w:rsidRPr="00B74567">
          <w:rPr>
            <w:rFonts w:ascii="Verdana" w:hAnsi="Verdana"/>
            <w:noProof/>
            <w:webHidden/>
            <w:sz w:val="20"/>
            <w:szCs w:val="20"/>
          </w:rPr>
        </w:r>
        <w:r w:rsidR="009D5837" w:rsidRPr="00B74567">
          <w:rPr>
            <w:rFonts w:ascii="Verdana" w:hAnsi="Verdana"/>
            <w:noProof/>
            <w:webHidden/>
            <w:sz w:val="20"/>
            <w:szCs w:val="20"/>
          </w:rPr>
          <w:fldChar w:fldCharType="separate"/>
        </w:r>
        <w:r w:rsidR="005810EE">
          <w:rPr>
            <w:rFonts w:ascii="Verdana" w:hAnsi="Verdana"/>
            <w:noProof/>
            <w:webHidden/>
            <w:sz w:val="20"/>
            <w:szCs w:val="20"/>
          </w:rPr>
          <w:t>7</w:t>
        </w:r>
        <w:r w:rsidR="009D5837" w:rsidRPr="00B74567">
          <w:rPr>
            <w:rFonts w:ascii="Verdana" w:hAnsi="Verdana"/>
            <w:noProof/>
            <w:webHidden/>
            <w:sz w:val="20"/>
            <w:szCs w:val="20"/>
          </w:rPr>
          <w:fldChar w:fldCharType="end"/>
        </w:r>
      </w:hyperlink>
    </w:p>
    <w:p w14:paraId="32A7DF70" w14:textId="77777777" w:rsidR="009D5837" w:rsidRPr="00B74567" w:rsidRDefault="00D86616" w:rsidP="00167383">
      <w:pPr>
        <w:pStyle w:val="TOC2"/>
        <w:rPr>
          <w:rFonts w:ascii="Verdana" w:eastAsiaTheme="minorEastAsia" w:hAnsi="Verdana" w:cstheme="minorBidi"/>
          <w:noProof/>
          <w:sz w:val="20"/>
          <w:szCs w:val="20"/>
          <w:lang w:val="es-CR" w:eastAsia="es-CR"/>
        </w:rPr>
      </w:pPr>
      <w:hyperlink w:anchor="_Toc498333473" w:history="1">
        <w:r w:rsidR="009D5837" w:rsidRPr="00B74567">
          <w:rPr>
            <w:rStyle w:val="Hyperlink"/>
            <w:rFonts w:ascii="Verdana" w:hAnsi="Verdana"/>
            <w:i/>
            <w:noProof/>
            <w:sz w:val="20"/>
            <w:szCs w:val="20"/>
          </w:rPr>
          <w:t>B.</w:t>
        </w:r>
        <w:r w:rsidR="009D5837" w:rsidRPr="00B74567">
          <w:rPr>
            <w:rFonts w:ascii="Verdana" w:eastAsiaTheme="minorEastAsia" w:hAnsi="Verdana" w:cstheme="minorBidi"/>
            <w:noProof/>
            <w:sz w:val="20"/>
            <w:szCs w:val="20"/>
            <w:lang w:val="es-CR" w:eastAsia="es-CR"/>
          </w:rPr>
          <w:tab/>
        </w:r>
        <w:r w:rsidR="009D5837" w:rsidRPr="00B74567">
          <w:rPr>
            <w:rStyle w:val="Hyperlink"/>
            <w:rFonts w:ascii="Verdana" w:hAnsi="Verdana"/>
            <w:i/>
            <w:noProof/>
            <w:sz w:val="20"/>
            <w:szCs w:val="20"/>
          </w:rPr>
          <w:t>Consideraciones de la Corte</w:t>
        </w:r>
        <w:r w:rsidR="009D5837" w:rsidRPr="00B74567">
          <w:rPr>
            <w:rFonts w:ascii="Verdana" w:hAnsi="Verdana"/>
            <w:noProof/>
            <w:webHidden/>
            <w:sz w:val="20"/>
            <w:szCs w:val="20"/>
          </w:rPr>
          <w:tab/>
        </w:r>
        <w:r w:rsidR="009D5837" w:rsidRPr="00B74567">
          <w:rPr>
            <w:rFonts w:ascii="Verdana" w:hAnsi="Verdana"/>
            <w:noProof/>
            <w:webHidden/>
            <w:sz w:val="20"/>
            <w:szCs w:val="20"/>
          </w:rPr>
          <w:fldChar w:fldCharType="begin"/>
        </w:r>
        <w:r w:rsidR="009D5837" w:rsidRPr="00B74567">
          <w:rPr>
            <w:rFonts w:ascii="Verdana" w:hAnsi="Verdana"/>
            <w:noProof/>
            <w:webHidden/>
            <w:sz w:val="20"/>
            <w:szCs w:val="20"/>
          </w:rPr>
          <w:instrText xml:space="preserve"> PAGEREF _Toc498333473 \h </w:instrText>
        </w:r>
        <w:r w:rsidR="009D5837" w:rsidRPr="00B74567">
          <w:rPr>
            <w:rFonts w:ascii="Verdana" w:hAnsi="Verdana"/>
            <w:noProof/>
            <w:webHidden/>
            <w:sz w:val="20"/>
            <w:szCs w:val="20"/>
          </w:rPr>
        </w:r>
        <w:r w:rsidR="009D5837" w:rsidRPr="00B74567">
          <w:rPr>
            <w:rFonts w:ascii="Verdana" w:hAnsi="Verdana"/>
            <w:noProof/>
            <w:webHidden/>
            <w:sz w:val="20"/>
            <w:szCs w:val="20"/>
          </w:rPr>
          <w:fldChar w:fldCharType="separate"/>
        </w:r>
        <w:r w:rsidR="005810EE">
          <w:rPr>
            <w:rFonts w:ascii="Verdana" w:hAnsi="Verdana"/>
            <w:noProof/>
            <w:webHidden/>
            <w:sz w:val="20"/>
            <w:szCs w:val="20"/>
          </w:rPr>
          <w:t>9</w:t>
        </w:r>
        <w:r w:rsidR="009D5837" w:rsidRPr="00B74567">
          <w:rPr>
            <w:rFonts w:ascii="Verdana" w:hAnsi="Verdana"/>
            <w:noProof/>
            <w:webHidden/>
            <w:sz w:val="20"/>
            <w:szCs w:val="20"/>
          </w:rPr>
          <w:fldChar w:fldCharType="end"/>
        </w:r>
      </w:hyperlink>
    </w:p>
    <w:p w14:paraId="6D338B73" w14:textId="77777777" w:rsidR="009D5837" w:rsidRPr="00B74567" w:rsidRDefault="00D86616" w:rsidP="00167383">
      <w:pPr>
        <w:pStyle w:val="TOC3"/>
        <w:tabs>
          <w:tab w:val="clear" w:pos="8828"/>
          <w:tab w:val="right" w:leader="dot" w:pos="8931"/>
        </w:tabs>
        <w:rPr>
          <w:rFonts w:ascii="Verdana" w:eastAsiaTheme="minorEastAsia" w:hAnsi="Verdana" w:cstheme="minorBidi"/>
          <w:noProof/>
          <w:sz w:val="20"/>
          <w:szCs w:val="20"/>
          <w:lang w:val="es-CR" w:eastAsia="es-CR"/>
        </w:rPr>
      </w:pPr>
      <w:hyperlink w:anchor="_Toc498333474" w:history="1">
        <w:r w:rsidR="009D5837" w:rsidRPr="00B74567">
          <w:rPr>
            <w:rStyle w:val="Hyperlink"/>
            <w:rFonts w:ascii="Verdana" w:hAnsi="Verdana"/>
            <w:i/>
            <w:noProof/>
            <w:sz w:val="20"/>
            <w:szCs w:val="20"/>
          </w:rPr>
          <w:t>1.</w:t>
        </w:r>
        <w:r w:rsidR="009D5837" w:rsidRPr="00B74567">
          <w:rPr>
            <w:rFonts w:ascii="Verdana" w:eastAsiaTheme="minorEastAsia" w:hAnsi="Verdana" w:cstheme="minorBidi"/>
            <w:noProof/>
            <w:sz w:val="20"/>
            <w:szCs w:val="20"/>
            <w:lang w:val="es-CR" w:eastAsia="es-CR"/>
          </w:rPr>
          <w:tab/>
        </w:r>
        <w:r w:rsidR="009D5837" w:rsidRPr="00B74567">
          <w:rPr>
            <w:rStyle w:val="Hyperlink"/>
            <w:rFonts w:ascii="Verdana" w:hAnsi="Verdana"/>
            <w:i/>
            <w:noProof/>
            <w:sz w:val="20"/>
            <w:szCs w:val="20"/>
          </w:rPr>
          <w:t>Inclusión del artículo 16 de la Convención en el Informe de Fondo</w:t>
        </w:r>
        <w:r w:rsidR="009D5837" w:rsidRPr="00B74567">
          <w:rPr>
            <w:rFonts w:ascii="Verdana" w:hAnsi="Verdana"/>
            <w:noProof/>
            <w:webHidden/>
            <w:sz w:val="20"/>
            <w:szCs w:val="20"/>
          </w:rPr>
          <w:tab/>
        </w:r>
        <w:r w:rsidR="009D5837" w:rsidRPr="00B74567">
          <w:rPr>
            <w:rFonts w:ascii="Verdana" w:hAnsi="Verdana"/>
            <w:noProof/>
            <w:webHidden/>
            <w:sz w:val="20"/>
            <w:szCs w:val="20"/>
          </w:rPr>
          <w:fldChar w:fldCharType="begin"/>
        </w:r>
        <w:r w:rsidR="009D5837" w:rsidRPr="00B74567">
          <w:rPr>
            <w:rFonts w:ascii="Verdana" w:hAnsi="Verdana"/>
            <w:noProof/>
            <w:webHidden/>
            <w:sz w:val="20"/>
            <w:szCs w:val="20"/>
          </w:rPr>
          <w:instrText xml:space="preserve"> PAGEREF _Toc498333474 \h </w:instrText>
        </w:r>
        <w:r w:rsidR="009D5837" w:rsidRPr="00B74567">
          <w:rPr>
            <w:rFonts w:ascii="Verdana" w:hAnsi="Verdana"/>
            <w:noProof/>
            <w:webHidden/>
            <w:sz w:val="20"/>
            <w:szCs w:val="20"/>
          </w:rPr>
        </w:r>
        <w:r w:rsidR="009D5837" w:rsidRPr="00B74567">
          <w:rPr>
            <w:rFonts w:ascii="Verdana" w:hAnsi="Verdana"/>
            <w:noProof/>
            <w:webHidden/>
            <w:sz w:val="20"/>
            <w:szCs w:val="20"/>
          </w:rPr>
          <w:fldChar w:fldCharType="separate"/>
        </w:r>
        <w:r w:rsidR="005810EE">
          <w:rPr>
            <w:rFonts w:ascii="Verdana" w:hAnsi="Verdana"/>
            <w:noProof/>
            <w:webHidden/>
            <w:sz w:val="20"/>
            <w:szCs w:val="20"/>
          </w:rPr>
          <w:t>9</w:t>
        </w:r>
        <w:r w:rsidR="009D5837" w:rsidRPr="00B74567">
          <w:rPr>
            <w:rFonts w:ascii="Verdana" w:hAnsi="Verdana"/>
            <w:noProof/>
            <w:webHidden/>
            <w:sz w:val="20"/>
            <w:szCs w:val="20"/>
          </w:rPr>
          <w:fldChar w:fldCharType="end"/>
        </w:r>
      </w:hyperlink>
    </w:p>
    <w:p w14:paraId="6D79AAB8" w14:textId="77777777" w:rsidR="009D5837" w:rsidRPr="00B74567" w:rsidRDefault="00D86616" w:rsidP="00167383">
      <w:pPr>
        <w:pStyle w:val="TOC3"/>
        <w:tabs>
          <w:tab w:val="clear" w:pos="8828"/>
          <w:tab w:val="right" w:leader="dot" w:pos="8931"/>
        </w:tabs>
        <w:rPr>
          <w:rFonts w:ascii="Verdana" w:eastAsiaTheme="minorEastAsia" w:hAnsi="Verdana" w:cstheme="minorBidi"/>
          <w:noProof/>
          <w:sz w:val="20"/>
          <w:szCs w:val="20"/>
          <w:lang w:val="es-CR" w:eastAsia="es-CR"/>
        </w:rPr>
      </w:pPr>
      <w:hyperlink w:anchor="_Toc498333475" w:history="1">
        <w:r w:rsidR="009D5837" w:rsidRPr="00B74567">
          <w:rPr>
            <w:rStyle w:val="Hyperlink"/>
            <w:rFonts w:ascii="Verdana" w:hAnsi="Verdana"/>
            <w:i/>
            <w:noProof/>
            <w:sz w:val="20"/>
            <w:szCs w:val="20"/>
          </w:rPr>
          <w:t>2.</w:t>
        </w:r>
        <w:r w:rsidR="009D5837" w:rsidRPr="00B74567">
          <w:rPr>
            <w:rFonts w:ascii="Verdana" w:eastAsiaTheme="minorEastAsia" w:hAnsi="Verdana" w:cstheme="minorBidi"/>
            <w:noProof/>
            <w:sz w:val="20"/>
            <w:szCs w:val="20"/>
            <w:lang w:val="es-CR" w:eastAsia="es-CR"/>
          </w:rPr>
          <w:tab/>
        </w:r>
        <w:r w:rsidR="009D5837" w:rsidRPr="00B74567">
          <w:rPr>
            <w:rStyle w:val="Hyperlink"/>
            <w:rFonts w:ascii="Verdana" w:hAnsi="Verdana"/>
            <w:i/>
            <w:noProof/>
            <w:sz w:val="20"/>
            <w:szCs w:val="20"/>
          </w:rPr>
          <w:t>Delimitación temporal del análisis de acciones judiciales</w:t>
        </w:r>
        <w:r w:rsidR="009D5837" w:rsidRPr="00B74567">
          <w:rPr>
            <w:rFonts w:ascii="Verdana" w:hAnsi="Verdana"/>
            <w:noProof/>
            <w:webHidden/>
            <w:sz w:val="20"/>
            <w:szCs w:val="20"/>
          </w:rPr>
          <w:tab/>
        </w:r>
        <w:r w:rsidR="009D5837" w:rsidRPr="00B74567">
          <w:rPr>
            <w:rFonts w:ascii="Verdana" w:hAnsi="Verdana"/>
            <w:noProof/>
            <w:webHidden/>
            <w:sz w:val="20"/>
            <w:szCs w:val="20"/>
          </w:rPr>
          <w:fldChar w:fldCharType="begin"/>
        </w:r>
        <w:r w:rsidR="009D5837" w:rsidRPr="00B74567">
          <w:rPr>
            <w:rFonts w:ascii="Verdana" w:hAnsi="Verdana"/>
            <w:noProof/>
            <w:webHidden/>
            <w:sz w:val="20"/>
            <w:szCs w:val="20"/>
          </w:rPr>
          <w:instrText xml:space="preserve"> PAGEREF _Toc498333475 \h </w:instrText>
        </w:r>
        <w:r w:rsidR="009D5837" w:rsidRPr="00B74567">
          <w:rPr>
            <w:rFonts w:ascii="Verdana" w:hAnsi="Verdana"/>
            <w:noProof/>
            <w:webHidden/>
            <w:sz w:val="20"/>
            <w:szCs w:val="20"/>
          </w:rPr>
        </w:r>
        <w:r w:rsidR="009D5837" w:rsidRPr="00B74567">
          <w:rPr>
            <w:rFonts w:ascii="Verdana" w:hAnsi="Verdana"/>
            <w:noProof/>
            <w:webHidden/>
            <w:sz w:val="20"/>
            <w:szCs w:val="20"/>
          </w:rPr>
          <w:fldChar w:fldCharType="separate"/>
        </w:r>
        <w:r w:rsidR="005810EE">
          <w:rPr>
            <w:rFonts w:ascii="Verdana" w:hAnsi="Verdana"/>
            <w:noProof/>
            <w:webHidden/>
            <w:sz w:val="20"/>
            <w:szCs w:val="20"/>
          </w:rPr>
          <w:t>11</w:t>
        </w:r>
        <w:r w:rsidR="009D5837" w:rsidRPr="00B74567">
          <w:rPr>
            <w:rFonts w:ascii="Verdana" w:hAnsi="Verdana"/>
            <w:noProof/>
            <w:webHidden/>
            <w:sz w:val="20"/>
            <w:szCs w:val="20"/>
          </w:rPr>
          <w:fldChar w:fldCharType="end"/>
        </w:r>
      </w:hyperlink>
    </w:p>
    <w:p w14:paraId="6F973CEB" w14:textId="77777777" w:rsidR="009D5837" w:rsidRPr="00B74567" w:rsidRDefault="00D86616" w:rsidP="00167383">
      <w:pPr>
        <w:pStyle w:val="TOC1"/>
        <w:ind w:right="815"/>
        <w:rPr>
          <w:rFonts w:eastAsiaTheme="minorEastAsia" w:cstheme="minorBidi"/>
          <w:snapToGrid/>
          <w:lang w:val="es-CR" w:eastAsia="es-CR"/>
        </w:rPr>
      </w:pPr>
      <w:hyperlink w:anchor="_Toc498333476" w:history="1">
        <w:r w:rsidR="009D5837" w:rsidRPr="00B74567">
          <w:rPr>
            <w:rStyle w:val="Hyperlink"/>
            <w:rFonts w:cs="Verdana"/>
          </w:rPr>
          <w:t>V PRUEBA</w:t>
        </w:r>
        <w:r w:rsidR="009D5837" w:rsidRPr="00B74567">
          <w:rPr>
            <w:webHidden/>
          </w:rPr>
          <w:tab/>
        </w:r>
        <w:r w:rsidR="009D5837" w:rsidRPr="00B74567">
          <w:rPr>
            <w:webHidden/>
          </w:rPr>
          <w:fldChar w:fldCharType="begin"/>
        </w:r>
        <w:r w:rsidR="009D5837" w:rsidRPr="00B74567">
          <w:rPr>
            <w:webHidden/>
          </w:rPr>
          <w:instrText xml:space="preserve"> PAGEREF _Toc498333476 \h </w:instrText>
        </w:r>
        <w:r w:rsidR="009D5837" w:rsidRPr="00B74567">
          <w:rPr>
            <w:webHidden/>
          </w:rPr>
        </w:r>
        <w:r w:rsidR="009D5837" w:rsidRPr="00B74567">
          <w:rPr>
            <w:webHidden/>
          </w:rPr>
          <w:fldChar w:fldCharType="separate"/>
        </w:r>
        <w:r w:rsidR="005810EE">
          <w:rPr>
            <w:webHidden/>
          </w:rPr>
          <w:t>11</w:t>
        </w:r>
        <w:r w:rsidR="009D5837" w:rsidRPr="00B74567">
          <w:rPr>
            <w:webHidden/>
          </w:rPr>
          <w:fldChar w:fldCharType="end"/>
        </w:r>
      </w:hyperlink>
    </w:p>
    <w:p w14:paraId="1808E8C0" w14:textId="77777777" w:rsidR="009D5837" w:rsidRPr="00B74567" w:rsidRDefault="00D86616" w:rsidP="00167383">
      <w:pPr>
        <w:pStyle w:val="TOC2"/>
        <w:rPr>
          <w:rFonts w:ascii="Verdana" w:eastAsiaTheme="minorEastAsia" w:hAnsi="Verdana" w:cstheme="minorBidi"/>
          <w:noProof/>
          <w:sz w:val="20"/>
          <w:szCs w:val="20"/>
          <w:lang w:val="es-CR" w:eastAsia="es-CR"/>
        </w:rPr>
      </w:pPr>
      <w:hyperlink w:anchor="_Toc498333477" w:history="1">
        <w:r w:rsidR="009D5837" w:rsidRPr="00B74567">
          <w:rPr>
            <w:rStyle w:val="Hyperlink"/>
            <w:rFonts w:ascii="Verdana" w:eastAsia="MS Gothic" w:hAnsi="Verdana"/>
            <w:i/>
            <w:noProof/>
            <w:sz w:val="20"/>
            <w:szCs w:val="20"/>
            <w:lang w:val="es-CR"/>
          </w:rPr>
          <w:t>A.</w:t>
        </w:r>
        <w:r w:rsidR="009D5837" w:rsidRPr="00B74567">
          <w:rPr>
            <w:rFonts w:ascii="Verdana" w:eastAsiaTheme="minorEastAsia" w:hAnsi="Verdana" w:cstheme="minorBidi"/>
            <w:noProof/>
            <w:sz w:val="20"/>
            <w:szCs w:val="20"/>
            <w:lang w:val="es-CR" w:eastAsia="es-CR"/>
          </w:rPr>
          <w:tab/>
        </w:r>
        <w:r w:rsidR="009D5837" w:rsidRPr="00B74567">
          <w:rPr>
            <w:rStyle w:val="Hyperlink"/>
            <w:rFonts w:ascii="Verdana" w:eastAsia="MS Gothic" w:hAnsi="Verdana"/>
            <w:i/>
            <w:noProof/>
            <w:sz w:val="20"/>
            <w:szCs w:val="20"/>
            <w:lang w:val="es-CR"/>
          </w:rPr>
          <w:t>Prueba documental, testimonial y pericial</w:t>
        </w:r>
        <w:r w:rsidR="009D5837" w:rsidRPr="00B74567">
          <w:rPr>
            <w:rFonts w:ascii="Verdana" w:hAnsi="Verdana"/>
            <w:noProof/>
            <w:webHidden/>
            <w:sz w:val="20"/>
            <w:szCs w:val="20"/>
          </w:rPr>
          <w:tab/>
        </w:r>
        <w:r w:rsidR="009D5837" w:rsidRPr="00B74567">
          <w:rPr>
            <w:rFonts w:ascii="Verdana" w:hAnsi="Verdana"/>
            <w:noProof/>
            <w:webHidden/>
            <w:sz w:val="20"/>
            <w:szCs w:val="20"/>
          </w:rPr>
          <w:fldChar w:fldCharType="begin"/>
        </w:r>
        <w:r w:rsidR="009D5837" w:rsidRPr="00B74567">
          <w:rPr>
            <w:rFonts w:ascii="Verdana" w:hAnsi="Verdana"/>
            <w:noProof/>
            <w:webHidden/>
            <w:sz w:val="20"/>
            <w:szCs w:val="20"/>
          </w:rPr>
          <w:instrText xml:space="preserve"> PAGEREF _Toc498333477 \h </w:instrText>
        </w:r>
        <w:r w:rsidR="009D5837" w:rsidRPr="00B74567">
          <w:rPr>
            <w:rFonts w:ascii="Verdana" w:hAnsi="Verdana"/>
            <w:noProof/>
            <w:webHidden/>
            <w:sz w:val="20"/>
            <w:szCs w:val="20"/>
          </w:rPr>
        </w:r>
        <w:r w:rsidR="009D5837" w:rsidRPr="00B74567">
          <w:rPr>
            <w:rFonts w:ascii="Verdana" w:hAnsi="Verdana"/>
            <w:noProof/>
            <w:webHidden/>
            <w:sz w:val="20"/>
            <w:szCs w:val="20"/>
          </w:rPr>
          <w:fldChar w:fldCharType="separate"/>
        </w:r>
        <w:r w:rsidR="005810EE">
          <w:rPr>
            <w:rFonts w:ascii="Verdana" w:hAnsi="Verdana"/>
            <w:noProof/>
            <w:webHidden/>
            <w:sz w:val="20"/>
            <w:szCs w:val="20"/>
          </w:rPr>
          <w:t>11</w:t>
        </w:r>
        <w:r w:rsidR="009D5837" w:rsidRPr="00B74567">
          <w:rPr>
            <w:rFonts w:ascii="Verdana" w:hAnsi="Verdana"/>
            <w:noProof/>
            <w:webHidden/>
            <w:sz w:val="20"/>
            <w:szCs w:val="20"/>
          </w:rPr>
          <w:fldChar w:fldCharType="end"/>
        </w:r>
      </w:hyperlink>
    </w:p>
    <w:p w14:paraId="28D5DE73" w14:textId="77777777" w:rsidR="009D5837" w:rsidRPr="00B74567" w:rsidRDefault="00D86616" w:rsidP="00167383">
      <w:pPr>
        <w:pStyle w:val="TOC2"/>
        <w:rPr>
          <w:rFonts w:ascii="Verdana" w:eastAsiaTheme="minorEastAsia" w:hAnsi="Verdana" w:cstheme="minorBidi"/>
          <w:noProof/>
          <w:sz w:val="20"/>
          <w:szCs w:val="20"/>
          <w:lang w:val="es-CR" w:eastAsia="es-CR"/>
        </w:rPr>
      </w:pPr>
      <w:hyperlink w:anchor="_Toc498333478" w:history="1">
        <w:r w:rsidR="009D5837" w:rsidRPr="00B74567">
          <w:rPr>
            <w:rStyle w:val="Hyperlink"/>
            <w:rFonts w:ascii="Verdana" w:eastAsia="MS Gothic" w:hAnsi="Verdana"/>
            <w:i/>
            <w:noProof/>
            <w:sz w:val="20"/>
            <w:szCs w:val="20"/>
            <w:lang w:val="es-CR"/>
          </w:rPr>
          <w:t>B.</w:t>
        </w:r>
        <w:r w:rsidR="009D5837" w:rsidRPr="00B74567">
          <w:rPr>
            <w:rFonts w:ascii="Verdana" w:eastAsiaTheme="minorEastAsia" w:hAnsi="Verdana" w:cstheme="minorBidi"/>
            <w:noProof/>
            <w:sz w:val="20"/>
            <w:szCs w:val="20"/>
            <w:lang w:val="es-CR" w:eastAsia="es-CR"/>
          </w:rPr>
          <w:tab/>
        </w:r>
        <w:r w:rsidR="009D5837" w:rsidRPr="00B74567">
          <w:rPr>
            <w:rStyle w:val="Hyperlink"/>
            <w:rFonts w:ascii="Verdana" w:eastAsia="MS Gothic" w:hAnsi="Verdana"/>
            <w:i/>
            <w:noProof/>
            <w:sz w:val="20"/>
            <w:szCs w:val="20"/>
            <w:lang w:val="es-CR"/>
          </w:rPr>
          <w:t>Admisión de la prueba</w:t>
        </w:r>
        <w:r w:rsidR="009D5837" w:rsidRPr="00B74567">
          <w:rPr>
            <w:rFonts w:ascii="Verdana" w:hAnsi="Verdana"/>
            <w:noProof/>
            <w:webHidden/>
            <w:sz w:val="20"/>
            <w:szCs w:val="20"/>
          </w:rPr>
          <w:tab/>
        </w:r>
        <w:r w:rsidR="009D5837" w:rsidRPr="00B74567">
          <w:rPr>
            <w:rFonts w:ascii="Verdana" w:hAnsi="Verdana"/>
            <w:noProof/>
            <w:webHidden/>
            <w:sz w:val="20"/>
            <w:szCs w:val="20"/>
          </w:rPr>
          <w:fldChar w:fldCharType="begin"/>
        </w:r>
        <w:r w:rsidR="009D5837" w:rsidRPr="00B74567">
          <w:rPr>
            <w:rFonts w:ascii="Verdana" w:hAnsi="Verdana"/>
            <w:noProof/>
            <w:webHidden/>
            <w:sz w:val="20"/>
            <w:szCs w:val="20"/>
          </w:rPr>
          <w:instrText xml:space="preserve"> PAGEREF _Toc498333478 \h </w:instrText>
        </w:r>
        <w:r w:rsidR="009D5837" w:rsidRPr="00B74567">
          <w:rPr>
            <w:rFonts w:ascii="Verdana" w:hAnsi="Verdana"/>
            <w:noProof/>
            <w:webHidden/>
            <w:sz w:val="20"/>
            <w:szCs w:val="20"/>
          </w:rPr>
        </w:r>
        <w:r w:rsidR="009D5837" w:rsidRPr="00B74567">
          <w:rPr>
            <w:rFonts w:ascii="Verdana" w:hAnsi="Verdana"/>
            <w:noProof/>
            <w:webHidden/>
            <w:sz w:val="20"/>
            <w:szCs w:val="20"/>
          </w:rPr>
          <w:fldChar w:fldCharType="separate"/>
        </w:r>
        <w:r w:rsidR="005810EE">
          <w:rPr>
            <w:rFonts w:ascii="Verdana" w:hAnsi="Verdana"/>
            <w:noProof/>
            <w:webHidden/>
            <w:sz w:val="20"/>
            <w:szCs w:val="20"/>
          </w:rPr>
          <w:t>12</w:t>
        </w:r>
        <w:r w:rsidR="009D5837" w:rsidRPr="00B74567">
          <w:rPr>
            <w:rFonts w:ascii="Verdana" w:hAnsi="Verdana"/>
            <w:noProof/>
            <w:webHidden/>
            <w:sz w:val="20"/>
            <w:szCs w:val="20"/>
          </w:rPr>
          <w:fldChar w:fldCharType="end"/>
        </w:r>
      </w:hyperlink>
    </w:p>
    <w:p w14:paraId="2FC3AD4E" w14:textId="77777777" w:rsidR="009D5837" w:rsidRPr="00B74567" w:rsidRDefault="00D86616" w:rsidP="00167383">
      <w:pPr>
        <w:pStyle w:val="TOC3"/>
        <w:tabs>
          <w:tab w:val="clear" w:pos="8828"/>
          <w:tab w:val="right" w:leader="dot" w:pos="8931"/>
        </w:tabs>
        <w:rPr>
          <w:rFonts w:ascii="Verdana" w:eastAsiaTheme="minorEastAsia" w:hAnsi="Verdana" w:cstheme="minorBidi"/>
          <w:noProof/>
          <w:sz w:val="20"/>
          <w:szCs w:val="20"/>
          <w:lang w:val="es-CR" w:eastAsia="es-CR"/>
        </w:rPr>
      </w:pPr>
      <w:hyperlink w:anchor="_Toc498333479" w:history="1">
        <w:r w:rsidR="009D5837" w:rsidRPr="00B74567">
          <w:rPr>
            <w:rStyle w:val="Hyperlink"/>
            <w:rFonts w:ascii="Verdana" w:hAnsi="Verdana"/>
            <w:i/>
            <w:noProof/>
            <w:sz w:val="20"/>
            <w:szCs w:val="20"/>
          </w:rPr>
          <w:t>1.</w:t>
        </w:r>
        <w:r w:rsidR="009D5837" w:rsidRPr="00B74567">
          <w:rPr>
            <w:rFonts w:ascii="Verdana" w:eastAsiaTheme="minorEastAsia" w:hAnsi="Verdana" w:cstheme="minorBidi"/>
            <w:noProof/>
            <w:sz w:val="20"/>
            <w:szCs w:val="20"/>
            <w:lang w:val="es-CR" w:eastAsia="es-CR"/>
          </w:rPr>
          <w:tab/>
        </w:r>
        <w:r w:rsidR="009D5837" w:rsidRPr="00B74567">
          <w:rPr>
            <w:rStyle w:val="Hyperlink"/>
            <w:rFonts w:ascii="Verdana" w:hAnsi="Verdana"/>
            <w:i/>
            <w:noProof/>
            <w:sz w:val="20"/>
            <w:szCs w:val="20"/>
          </w:rPr>
          <w:t>Admisión de la prueba documental</w:t>
        </w:r>
        <w:r w:rsidR="009D5837" w:rsidRPr="00B74567">
          <w:rPr>
            <w:rFonts w:ascii="Verdana" w:hAnsi="Verdana"/>
            <w:noProof/>
            <w:webHidden/>
            <w:sz w:val="20"/>
            <w:szCs w:val="20"/>
          </w:rPr>
          <w:tab/>
        </w:r>
        <w:r w:rsidR="009D5837" w:rsidRPr="00B74567">
          <w:rPr>
            <w:rFonts w:ascii="Verdana" w:hAnsi="Verdana"/>
            <w:noProof/>
            <w:webHidden/>
            <w:sz w:val="20"/>
            <w:szCs w:val="20"/>
          </w:rPr>
          <w:fldChar w:fldCharType="begin"/>
        </w:r>
        <w:r w:rsidR="009D5837" w:rsidRPr="00B74567">
          <w:rPr>
            <w:rFonts w:ascii="Verdana" w:hAnsi="Verdana"/>
            <w:noProof/>
            <w:webHidden/>
            <w:sz w:val="20"/>
            <w:szCs w:val="20"/>
          </w:rPr>
          <w:instrText xml:space="preserve"> PAGEREF _Toc498333479 \h </w:instrText>
        </w:r>
        <w:r w:rsidR="009D5837" w:rsidRPr="00B74567">
          <w:rPr>
            <w:rFonts w:ascii="Verdana" w:hAnsi="Verdana"/>
            <w:noProof/>
            <w:webHidden/>
            <w:sz w:val="20"/>
            <w:szCs w:val="20"/>
          </w:rPr>
        </w:r>
        <w:r w:rsidR="009D5837" w:rsidRPr="00B74567">
          <w:rPr>
            <w:rFonts w:ascii="Verdana" w:hAnsi="Verdana"/>
            <w:noProof/>
            <w:webHidden/>
            <w:sz w:val="20"/>
            <w:szCs w:val="20"/>
          </w:rPr>
          <w:fldChar w:fldCharType="separate"/>
        </w:r>
        <w:r w:rsidR="005810EE">
          <w:rPr>
            <w:rFonts w:ascii="Verdana" w:hAnsi="Verdana"/>
            <w:noProof/>
            <w:webHidden/>
            <w:sz w:val="20"/>
            <w:szCs w:val="20"/>
          </w:rPr>
          <w:t>12</w:t>
        </w:r>
        <w:r w:rsidR="009D5837" w:rsidRPr="00B74567">
          <w:rPr>
            <w:rFonts w:ascii="Verdana" w:hAnsi="Verdana"/>
            <w:noProof/>
            <w:webHidden/>
            <w:sz w:val="20"/>
            <w:szCs w:val="20"/>
          </w:rPr>
          <w:fldChar w:fldCharType="end"/>
        </w:r>
      </w:hyperlink>
    </w:p>
    <w:p w14:paraId="00DC66C7" w14:textId="77777777" w:rsidR="009D5837" w:rsidRPr="00B74567" w:rsidRDefault="00D86616" w:rsidP="00167383">
      <w:pPr>
        <w:pStyle w:val="TOC3"/>
        <w:tabs>
          <w:tab w:val="clear" w:pos="8828"/>
          <w:tab w:val="right" w:leader="dot" w:pos="8931"/>
        </w:tabs>
        <w:rPr>
          <w:rFonts w:ascii="Verdana" w:eastAsiaTheme="minorEastAsia" w:hAnsi="Verdana" w:cstheme="minorBidi"/>
          <w:noProof/>
          <w:sz w:val="20"/>
          <w:szCs w:val="20"/>
          <w:lang w:val="es-CR" w:eastAsia="es-CR"/>
        </w:rPr>
      </w:pPr>
      <w:hyperlink w:anchor="_Toc498333480" w:history="1">
        <w:r w:rsidR="009D5837" w:rsidRPr="00B74567">
          <w:rPr>
            <w:rStyle w:val="Hyperlink"/>
            <w:rFonts w:ascii="Verdana" w:hAnsi="Verdana"/>
            <w:i/>
            <w:noProof/>
            <w:sz w:val="20"/>
            <w:szCs w:val="20"/>
          </w:rPr>
          <w:t>2.</w:t>
        </w:r>
        <w:r w:rsidR="009D5837" w:rsidRPr="00B74567">
          <w:rPr>
            <w:rFonts w:ascii="Verdana" w:eastAsiaTheme="minorEastAsia" w:hAnsi="Verdana" w:cstheme="minorBidi"/>
            <w:noProof/>
            <w:sz w:val="20"/>
            <w:szCs w:val="20"/>
            <w:lang w:val="es-CR" w:eastAsia="es-CR"/>
          </w:rPr>
          <w:tab/>
        </w:r>
        <w:r w:rsidR="009D5837" w:rsidRPr="00B74567">
          <w:rPr>
            <w:rStyle w:val="Hyperlink"/>
            <w:rFonts w:ascii="Verdana" w:hAnsi="Verdana"/>
            <w:i/>
            <w:noProof/>
            <w:sz w:val="20"/>
            <w:szCs w:val="20"/>
          </w:rPr>
          <w:t>Admisión de la prueba testimonial y pericial</w:t>
        </w:r>
        <w:r w:rsidR="009D5837" w:rsidRPr="00B74567">
          <w:rPr>
            <w:rFonts w:ascii="Verdana" w:hAnsi="Verdana"/>
            <w:noProof/>
            <w:webHidden/>
            <w:sz w:val="20"/>
            <w:szCs w:val="20"/>
          </w:rPr>
          <w:tab/>
        </w:r>
        <w:r w:rsidR="009D5837" w:rsidRPr="00B74567">
          <w:rPr>
            <w:rFonts w:ascii="Verdana" w:hAnsi="Verdana"/>
            <w:noProof/>
            <w:webHidden/>
            <w:sz w:val="20"/>
            <w:szCs w:val="20"/>
          </w:rPr>
          <w:fldChar w:fldCharType="begin"/>
        </w:r>
        <w:r w:rsidR="009D5837" w:rsidRPr="00B74567">
          <w:rPr>
            <w:rFonts w:ascii="Verdana" w:hAnsi="Verdana"/>
            <w:noProof/>
            <w:webHidden/>
            <w:sz w:val="20"/>
            <w:szCs w:val="20"/>
          </w:rPr>
          <w:instrText xml:space="preserve"> PAGEREF _Toc498333480 \h </w:instrText>
        </w:r>
        <w:r w:rsidR="009D5837" w:rsidRPr="00B74567">
          <w:rPr>
            <w:rFonts w:ascii="Verdana" w:hAnsi="Verdana"/>
            <w:noProof/>
            <w:webHidden/>
            <w:sz w:val="20"/>
            <w:szCs w:val="20"/>
          </w:rPr>
        </w:r>
        <w:r w:rsidR="009D5837" w:rsidRPr="00B74567">
          <w:rPr>
            <w:rFonts w:ascii="Verdana" w:hAnsi="Verdana"/>
            <w:noProof/>
            <w:webHidden/>
            <w:sz w:val="20"/>
            <w:szCs w:val="20"/>
          </w:rPr>
          <w:fldChar w:fldCharType="separate"/>
        </w:r>
        <w:r w:rsidR="005810EE">
          <w:rPr>
            <w:rFonts w:ascii="Verdana" w:hAnsi="Verdana"/>
            <w:noProof/>
            <w:webHidden/>
            <w:sz w:val="20"/>
            <w:szCs w:val="20"/>
          </w:rPr>
          <w:t>12</w:t>
        </w:r>
        <w:r w:rsidR="009D5837" w:rsidRPr="00B74567">
          <w:rPr>
            <w:rFonts w:ascii="Verdana" w:hAnsi="Verdana"/>
            <w:noProof/>
            <w:webHidden/>
            <w:sz w:val="20"/>
            <w:szCs w:val="20"/>
          </w:rPr>
          <w:fldChar w:fldCharType="end"/>
        </w:r>
      </w:hyperlink>
    </w:p>
    <w:p w14:paraId="225F80D0" w14:textId="77777777" w:rsidR="009D5837" w:rsidRPr="00B74567" w:rsidRDefault="00D86616" w:rsidP="00167383">
      <w:pPr>
        <w:pStyle w:val="TOC2"/>
        <w:rPr>
          <w:rFonts w:ascii="Verdana" w:eastAsiaTheme="minorEastAsia" w:hAnsi="Verdana" w:cstheme="minorBidi"/>
          <w:noProof/>
          <w:sz w:val="20"/>
          <w:szCs w:val="20"/>
          <w:lang w:val="es-CR" w:eastAsia="es-CR"/>
        </w:rPr>
      </w:pPr>
      <w:hyperlink w:anchor="_Toc498333481" w:history="1">
        <w:r w:rsidR="009D5837" w:rsidRPr="00B74567">
          <w:rPr>
            <w:rStyle w:val="Hyperlink"/>
            <w:rFonts w:ascii="Verdana" w:eastAsia="MS Gothic" w:hAnsi="Verdana"/>
            <w:i/>
            <w:noProof/>
            <w:sz w:val="20"/>
            <w:szCs w:val="20"/>
            <w:lang w:val="es-CR"/>
          </w:rPr>
          <w:t>C.</w:t>
        </w:r>
        <w:r w:rsidR="009D5837" w:rsidRPr="00B74567">
          <w:rPr>
            <w:rFonts w:ascii="Verdana" w:eastAsiaTheme="minorEastAsia" w:hAnsi="Verdana" w:cstheme="minorBidi"/>
            <w:noProof/>
            <w:sz w:val="20"/>
            <w:szCs w:val="20"/>
            <w:lang w:val="es-CR" w:eastAsia="es-CR"/>
          </w:rPr>
          <w:tab/>
        </w:r>
        <w:r w:rsidR="009D5837" w:rsidRPr="00B74567">
          <w:rPr>
            <w:rStyle w:val="Hyperlink"/>
            <w:rFonts w:ascii="Verdana" w:eastAsia="MS Gothic" w:hAnsi="Verdana"/>
            <w:i/>
            <w:noProof/>
            <w:sz w:val="20"/>
            <w:szCs w:val="20"/>
            <w:lang w:val="es-CR"/>
          </w:rPr>
          <w:t>Valoración de la prueba</w:t>
        </w:r>
        <w:r w:rsidR="009D5837" w:rsidRPr="00B74567">
          <w:rPr>
            <w:rFonts w:ascii="Verdana" w:hAnsi="Verdana"/>
            <w:noProof/>
            <w:webHidden/>
            <w:sz w:val="20"/>
            <w:szCs w:val="20"/>
          </w:rPr>
          <w:tab/>
        </w:r>
        <w:r w:rsidR="009D5837" w:rsidRPr="00B74567">
          <w:rPr>
            <w:rFonts w:ascii="Verdana" w:hAnsi="Verdana"/>
            <w:noProof/>
            <w:webHidden/>
            <w:sz w:val="20"/>
            <w:szCs w:val="20"/>
          </w:rPr>
          <w:fldChar w:fldCharType="begin"/>
        </w:r>
        <w:r w:rsidR="009D5837" w:rsidRPr="00B74567">
          <w:rPr>
            <w:rFonts w:ascii="Verdana" w:hAnsi="Verdana"/>
            <w:noProof/>
            <w:webHidden/>
            <w:sz w:val="20"/>
            <w:szCs w:val="20"/>
          </w:rPr>
          <w:instrText xml:space="preserve"> PAGEREF _Toc498333481 \h </w:instrText>
        </w:r>
        <w:r w:rsidR="009D5837" w:rsidRPr="00B74567">
          <w:rPr>
            <w:rFonts w:ascii="Verdana" w:hAnsi="Verdana"/>
            <w:noProof/>
            <w:webHidden/>
            <w:sz w:val="20"/>
            <w:szCs w:val="20"/>
          </w:rPr>
        </w:r>
        <w:r w:rsidR="009D5837" w:rsidRPr="00B74567">
          <w:rPr>
            <w:rFonts w:ascii="Verdana" w:hAnsi="Verdana"/>
            <w:noProof/>
            <w:webHidden/>
            <w:sz w:val="20"/>
            <w:szCs w:val="20"/>
          </w:rPr>
          <w:fldChar w:fldCharType="separate"/>
        </w:r>
        <w:r w:rsidR="005810EE">
          <w:rPr>
            <w:rFonts w:ascii="Verdana" w:hAnsi="Verdana"/>
            <w:noProof/>
            <w:webHidden/>
            <w:sz w:val="20"/>
            <w:szCs w:val="20"/>
          </w:rPr>
          <w:t>13</w:t>
        </w:r>
        <w:r w:rsidR="009D5837" w:rsidRPr="00B74567">
          <w:rPr>
            <w:rFonts w:ascii="Verdana" w:hAnsi="Verdana"/>
            <w:noProof/>
            <w:webHidden/>
            <w:sz w:val="20"/>
            <w:szCs w:val="20"/>
          </w:rPr>
          <w:fldChar w:fldCharType="end"/>
        </w:r>
      </w:hyperlink>
    </w:p>
    <w:p w14:paraId="44DD7EF5" w14:textId="77777777" w:rsidR="009D5837" w:rsidRPr="00B74567" w:rsidRDefault="00D86616" w:rsidP="00167383">
      <w:pPr>
        <w:pStyle w:val="TOC1"/>
        <w:ind w:right="815"/>
        <w:rPr>
          <w:rFonts w:eastAsiaTheme="minorEastAsia" w:cstheme="minorBidi"/>
          <w:snapToGrid/>
          <w:lang w:val="es-CR" w:eastAsia="es-CR"/>
        </w:rPr>
      </w:pPr>
      <w:hyperlink w:anchor="_Toc498333482" w:history="1">
        <w:r w:rsidR="009D5837" w:rsidRPr="00B74567">
          <w:rPr>
            <w:rStyle w:val="Hyperlink"/>
            <w:rFonts w:cs="Verdana"/>
          </w:rPr>
          <w:t>Vi hechos</w:t>
        </w:r>
        <w:r w:rsidR="009D5837" w:rsidRPr="00B74567">
          <w:rPr>
            <w:webHidden/>
          </w:rPr>
          <w:tab/>
        </w:r>
        <w:r w:rsidR="009D5837" w:rsidRPr="00B74567">
          <w:rPr>
            <w:webHidden/>
          </w:rPr>
          <w:fldChar w:fldCharType="begin"/>
        </w:r>
        <w:r w:rsidR="009D5837" w:rsidRPr="00B74567">
          <w:rPr>
            <w:webHidden/>
          </w:rPr>
          <w:instrText xml:space="preserve"> PAGEREF _Toc498333482 \h </w:instrText>
        </w:r>
        <w:r w:rsidR="009D5837" w:rsidRPr="00B74567">
          <w:rPr>
            <w:webHidden/>
          </w:rPr>
        </w:r>
        <w:r w:rsidR="009D5837" w:rsidRPr="00B74567">
          <w:rPr>
            <w:webHidden/>
          </w:rPr>
          <w:fldChar w:fldCharType="separate"/>
        </w:r>
        <w:r w:rsidR="005810EE">
          <w:rPr>
            <w:webHidden/>
          </w:rPr>
          <w:t>13</w:t>
        </w:r>
        <w:r w:rsidR="009D5837" w:rsidRPr="00B74567">
          <w:rPr>
            <w:webHidden/>
          </w:rPr>
          <w:fldChar w:fldCharType="end"/>
        </w:r>
      </w:hyperlink>
    </w:p>
    <w:p w14:paraId="005C68B8" w14:textId="77777777" w:rsidR="009D5837" w:rsidRPr="00B74567" w:rsidRDefault="00D86616" w:rsidP="00167383">
      <w:pPr>
        <w:pStyle w:val="TOC2"/>
        <w:rPr>
          <w:rFonts w:ascii="Verdana" w:eastAsiaTheme="minorEastAsia" w:hAnsi="Verdana" w:cstheme="minorBidi"/>
          <w:noProof/>
          <w:sz w:val="20"/>
          <w:szCs w:val="20"/>
          <w:lang w:val="es-CR" w:eastAsia="es-CR"/>
        </w:rPr>
      </w:pPr>
      <w:hyperlink w:anchor="_Toc498333483" w:history="1">
        <w:r w:rsidR="009D5837" w:rsidRPr="00B74567">
          <w:rPr>
            <w:rStyle w:val="Hyperlink"/>
            <w:rFonts w:ascii="Verdana" w:eastAsia="MS Gothic" w:hAnsi="Verdana"/>
            <w:i/>
            <w:noProof/>
            <w:sz w:val="20"/>
            <w:szCs w:val="20"/>
            <w:lang w:val="es-CR"/>
          </w:rPr>
          <w:t>A.</w:t>
        </w:r>
        <w:r w:rsidR="009D5837" w:rsidRPr="00B74567">
          <w:rPr>
            <w:rFonts w:ascii="Verdana" w:eastAsiaTheme="minorEastAsia" w:hAnsi="Verdana" w:cstheme="minorBidi"/>
            <w:noProof/>
            <w:sz w:val="20"/>
            <w:szCs w:val="20"/>
            <w:lang w:val="es-CR" w:eastAsia="es-CR"/>
          </w:rPr>
          <w:tab/>
        </w:r>
        <w:r w:rsidR="009D5837" w:rsidRPr="00B74567">
          <w:rPr>
            <w:rStyle w:val="Hyperlink"/>
            <w:rFonts w:ascii="Verdana" w:eastAsia="MS Gothic" w:hAnsi="Verdana"/>
            <w:i/>
            <w:noProof/>
            <w:sz w:val="20"/>
            <w:szCs w:val="20"/>
            <w:lang w:val="es-CR"/>
          </w:rPr>
          <w:t>Las Comunidades Industriales en el Perú</w:t>
        </w:r>
        <w:r w:rsidR="009D5837" w:rsidRPr="00B74567">
          <w:rPr>
            <w:rFonts w:ascii="Verdana" w:hAnsi="Verdana"/>
            <w:noProof/>
            <w:webHidden/>
            <w:sz w:val="20"/>
            <w:szCs w:val="20"/>
          </w:rPr>
          <w:tab/>
        </w:r>
        <w:r w:rsidR="009D5837" w:rsidRPr="00B74567">
          <w:rPr>
            <w:rFonts w:ascii="Verdana" w:hAnsi="Verdana"/>
            <w:noProof/>
            <w:webHidden/>
            <w:sz w:val="20"/>
            <w:szCs w:val="20"/>
          </w:rPr>
          <w:fldChar w:fldCharType="begin"/>
        </w:r>
        <w:r w:rsidR="009D5837" w:rsidRPr="00B74567">
          <w:rPr>
            <w:rFonts w:ascii="Verdana" w:hAnsi="Verdana"/>
            <w:noProof/>
            <w:webHidden/>
            <w:sz w:val="20"/>
            <w:szCs w:val="20"/>
          </w:rPr>
          <w:instrText xml:space="preserve"> PAGEREF _Toc498333483 \h </w:instrText>
        </w:r>
        <w:r w:rsidR="009D5837" w:rsidRPr="00B74567">
          <w:rPr>
            <w:rFonts w:ascii="Verdana" w:hAnsi="Verdana"/>
            <w:noProof/>
            <w:webHidden/>
            <w:sz w:val="20"/>
            <w:szCs w:val="20"/>
          </w:rPr>
        </w:r>
        <w:r w:rsidR="009D5837" w:rsidRPr="00B74567">
          <w:rPr>
            <w:rFonts w:ascii="Verdana" w:hAnsi="Verdana"/>
            <w:noProof/>
            <w:webHidden/>
            <w:sz w:val="20"/>
            <w:szCs w:val="20"/>
          </w:rPr>
          <w:fldChar w:fldCharType="separate"/>
        </w:r>
        <w:r w:rsidR="005810EE">
          <w:rPr>
            <w:rFonts w:ascii="Verdana" w:hAnsi="Verdana"/>
            <w:noProof/>
            <w:webHidden/>
            <w:sz w:val="20"/>
            <w:szCs w:val="20"/>
          </w:rPr>
          <w:t>14</w:t>
        </w:r>
        <w:r w:rsidR="009D5837" w:rsidRPr="00B74567">
          <w:rPr>
            <w:rFonts w:ascii="Verdana" w:hAnsi="Verdana"/>
            <w:noProof/>
            <w:webHidden/>
            <w:sz w:val="20"/>
            <w:szCs w:val="20"/>
          </w:rPr>
          <w:fldChar w:fldCharType="end"/>
        </w:r>
      </w:hyperlink>
    </w:p>
    <w:p w14:paraId="7429FF55" w14:textId="5F337654" w:rsidR="009D5837" w:rsidRPr="00B74567" w:rsidRDefault="00D86616" w:rsidP="00167383">
      <w:pPr>
        <w:pStyle w:val="TOC2"/>
        <w:rPr>
          <w:rFonts w:ascii="Verdana" w:eastAsiaTheme="minorEastAsia" w:hAnsi="Verdana" w:cstheme="minorBidi"/>
          <w:noProof/>
          <w:sz w:val="20"/>
          <w:szCs w:val="20"/>
          <w:lang w:val="es-CR" w:eastAsia="es-CR"/>
        </w:rPr>
      </w:pPr>
      <w:hyperlink w:anchor="_Toc498333484" w:history="1">
        <w:r w:rsidR="009D5837" w:rsidRPr="00B74567">
          <w:rPr>
            <w:rStyle w:val="Hyperlink"/>
            <w:rFonts w:ascii="Verdana" w:eastAsia="MS Gothic" w:hAnsi="Verdana"/>
            <w:i/>
            <w:iCs/>
            <w:noProof/>
            <w:sz w:val="20"/>
            <w:szCs w:val="20"/>
          </w:rPr>
          <w:t>B.</w:t>
        </w:r>
        <w:r w:rsidR="009D5837" w:rsidRPr="00B74567">
          <w:rPr>
            <w:rFonts w:ascii="Verdana" w:eastAsiaTheme="minorEastAsia" w:hAnsi="Verdana" w:cstheme="minorBidi"/>
            <w:noProof/>
            <w:sz w:val="20"/>
            <w:szCs w:val="20"/>
            <w:lang w:val="es-CR" w:eastAsia="es-CR"/>
          </w:rPr>
          <w:tab/>
        </w:r>
        <w:r w:rsidR="009D5837" w:rsidRPr="00B74567">
          <w:rPr>
            <w:rStyle w:val="Hyperlink"/>
            <w:rFonts w:ascii="Verdana" w:eastAsia="MS Gothic" w:hAnsi="Verdana"/>
            <w:i/>
            <w:iCs/>
            <w:noProof/>
            <w:sz w:val="20"/>
            <w:szCs w:val="20"/>
          </w:rPr>
          <w:t xml:space="preserve">Antecedentes, funciones y competencias del señor Lagos del Campo como </w:t>
        </w:r>
        <w:r w:rsidR="00B74567" w:rsidRPr="00B74567">
          <w:rPr>
            <w:rStyle w:val="Hyperlink"/>
            <w:rFonts w:ascii="Verdana" w:eastAsia="MS Gothic" w:hAnsi="Verdana"/>
            <w:i/>
            <w:iCs/>
            <w:noProof/>
            <w:sz w:val="20"/>
            <w:szCs w:val="20"/>
          </w:rPr>
          <w:t xml:space="preserve">    </w:t>
        </w:r>
        <w:r w:rsidR="009D5837" w:rsidRPr="00B74567">
          <w:rPr>
            <w:rStyle w:val="Hyperlink"/>
            <w:rFonts w:ascii="Verdana" w:eastAsia="MS Gothic" w:hAnsi="Verdana"/>
            <w:i/>
            <w:iCs/>
            <w:noProof/>
            <w:sz w:val="20"/>
            <w:szCs w:val="20"/>
          </w:rPr>
          <w:t>Presidente del Comité Electoral de la Comunidad Industrial</w:t>
        </w:r>
        <w:r w:rsidR="009D5837" w:rsidRPr="00B74567">
          <w:rPr>
            <w:rFonts w:ascii="Verdana" w:hAnsi="Verdana"/>
            <w:noProof/>
            <w:webHidden/>
            <w:sz w:val="20"/>
            <w:szCs w:val="20"/>
          </w:rPr>
          <w:tab/>
        </w:r>
        <w:r w:rsidR="009D5837" w:rsidRPr="00B74567">
          <w:rPr>
            <w:rFonts w:ascii="Verdana" w:hAnsi="Verdana"/>
            <w:noProof/>
            <w:webHidden/>
            <w:sz w:val="20"/>
            <w:szCs w:val="20"/>
          </w:rPr>
          <w:fldChar w:fldCharType="begin"/>
        </w:r>
        <w:r w:rsidR="009D5837" w:rsidRPr="00B74567">
          <w:rPr>
            <w:rFonts w:ascii="Verdana" w:hAnsi="Verdana"/>
            <w:noProof/>
            <w:webHidden/>
            <w:sz w:val="20"/>
            <w:szCs w:val="20"/>
          </w:rPr>
          <w:instrText xml:space="preserve"> PAGEREF _Toc498333484 \h </w:instrText>
        </w:r>
        <w:r w:rsidR="009D5837" w:rsidRPr="00B74567">
          <w:rPr>
            <w:rFonts w:ascii="Verdana" w:hAnsi="Verdana"/>
            <w:noProof/>
            <w:webHidden/>
            <w:sz w:val="20"/>
            <w:szCs w:val="20"/>
          </w:rPr>
        </w:r>
        <w:r w:rsidR="009D5837" w:rsidRPr="00B74567">
          <w:rPr>
            <w:rFonts w:ascii="Verdana" w:hAnsi="Verdana"/>
            <w:noProof/>
            <w:webHidden/>
            <w:sz w:val="20"/>
            <w:szCs w:val="20"/>
          </w:rPr>
          <w:fldChar w:fldCharType="separate"/>
        </w:r>
        <w:r w:rsidR="005810EE">
          <w:rPr>
            <w:rFonts w:ascii="Verdana" w:hAnsi="Verdana"/>
            <w:noProof/>
            <w:webHidden/>
            <w:sz w:val="20"/>
            <w:szCs w:val="20"/>
          </w:rPr>
          <w:t>17</w:t>
        </w:r>
        <w:r w:rsidR="009D5837" w:rsidRPr="00B74567">
          <w:rPr>
            <w:rFonts w:ascii="Verdana" w:hAnsi="Verdana"/>
            <w:noProof/>
            <w:webHidden/>
            <w:sz w:val="20"/>
            <w:szCs w:val="20"/>
          </w:rPr>
          <w:fldChar w:fldCharType="end"/>
        </w:r>
      </w:hyperlink>
    </w:p>
    <w:p w14:paraId="0A354B55" w14:textId="77777777" w:rsidR="009D5837" w:rsidRPr="00B74567" w:rsidRDefault="00D86616" w:rsidP="00167383">
      <w:pPr>
        <w:pStyle w:val="TOC2"/>
        <w:rPr>
          <w:rFonts w:ascii="Verdana" w:eastAsiaTheme="minorEastAsia" w:hAnsi="Verdana" w:cstheme="minorBidi"/>
          <w:noProof/>
          <w:sz w:val="20"/>
          <w:szCs w:val="20"/>
          <w:lang w:val="es-CR" w:eastAsia="es-CR"/>
        </w:rPr>
      </w:pPr>
      <w:hyperlink w:anchor="_Toc498333485" w:history="1">
        <w:r w:rsidR="009D5837" w:rsidRPr="00B74567">
          <w:rPr>
            <w:rStyle w:val="Hyperlink"/>
            <w:rFonts w:ascii="Verdana" w:eastAsia="MS Gothic" w:hAnsi="Verdana"/>
            <w:i/>
            <w:iCs/>
            <w:noProof/>
            <w:sz w:val="20"/>
            <w:szCs w:val="20"/>
          </w:rPr>
          <w:t>C.</w:t>
        </w:r>
        <w:r w:rsidR="009D5837" w:rsidRPr="00B74567">
          <w:rPr>
            <w:rFonts w:ascii="Verdana" w:eastAsiaTheme="minorEastAsia" w:hAnsi="Verdana" w:cstheme="minorBidi"/>
            <w:noProof/>
            <w:sz w:val="20"/>
            <w:szCs w:val="20"/>
            <w:lang w:val="es-CR" w:eastAsia="es-CR"/>
          </w:rPr>
          <w:tab/>
        </w:r>
        <w:r w:rsidR="009D5837" w:rsidRPr="00B74567">
          <w:rPr>
            <w:rStyle w:val="Hyperlink"/>
            <w:rFonts w:ascii="Verdana" w:eastAsia="MS Gothic" w:hAnsi="Verdana"/>
            <w:i/>
            <w:iCs/>
            <w:noProof/>
            <w:sz w:val="20"/>
            <w:szCs w:val="20"/>
          </w:rPr>
          <w:t>El despido del señor Lagos del Campo y el marco legal aplicable</w:t>
        </w:r>
        <w:r w:rsidR="009D5837" w:rsidRPr="00B74567">
          <w:rPr>
            <w:rFonts w:ascii="Verdana" w:hAnsi="Verdana"/>
            <w:noProof/>
            <w:webHidden/>
            <w:sz w:val="20"/>
            <w:szCs w:val="20"/>
          </w:rPr>
          <w:tab/>
        </w:r>
        <w:r w:rsidR="009D5837" w:rsidRPr="00B74567">
          <w:rPr>
            <w:rFonts w:ascii="Verdana" w:hAnsi="Verdana"/>
            <w:noProof/>
            <w:webHidden/>
            <w:sz w:val="20"/>
            <w:szCs w:val="20"/>
          </w:rPr>
          <w:fldChar w:fldCharType="begin"/>
        </w:r>
        <w:r w:rsidR="009D5837" w:rsidRPr="00B74567">
          <w:rPr>
            <w:rFonts w:ascii="Verdana" w:hAnsi="Verdana"/>
            <w:noProof/>
            <w:webHidden/>
            <w:sz w:val="20"/>
            <w:szCs w:val="20"/>
          </w:rPr>
          <w:instrText xml:space="preserve"> PAGEREF _Toc498333485 \h </w:instrText>
        </w:r>
        <w:r w:rsidR="009D5837" w:rsidRPr="00B74567">
          <w:rPr>
            <w:rFonts w:ascii="Verdana" w:hAnsi="Verdana"/>
            <w:noProof/>
            <w:webHidden/>
            <w:sz w:val="20"/>
            <w:szCs w:val="20"/>
          </w:rPr>
        </w:r>
        <w:r w:rsidR="009D5837" w:rsidRPr="00B74567">
          <w:rPr>
            <w:rFonts w:ascii="Verdana" w:hAnsi="Verdana"/>
            <w:noProof/>
            <w:webHidden/>
            <w:sz w:val="20"/>
            <w:szCs w:val="20"/>
          </w:rPr>
          <w:fldChar w:fldCharType="separate"/>
        </w:r>
        <w:r w:rsidR="005810EE">
          <w:rPr>
            <w:rFonts w:ascii="Verdana" w:hAnsi="Verdana"/>
            <w:noProof/>
            <w:webHidden/>
            <w:sz w:val="20"/>
            <w:szCs w:val="20"/>
          </w:rPr>
          <w:t>18</w:t>
        </w:r>
        <w:r w:rsidR="009D5837" w:rsidRPr="00B74567">
          <w:rPr>
            <w:rFonts w:ascii="Verdana" w:hAnsi="Verdana"/>
            <w:noProof/>
            <w:webHidden/>
            <w:sz w:val="20"/>
            <w:szCs w:val="20"/>
          </w:rPr>
          <w:fldChar w:fldCharType="end"/>
        </w:r>
      </w:hyperlink>
    </w:p>
    <w:p w14:paraId="3997A983" w14:textId="77777777" w:rsidR="009D5837" w:rsidRPr="00B74567" w:rsidRDefault="00D86616" w:rsidP="00167383">
      <w:pPr>
        <w:pStyle w:val="TOC2"/>
        <w:rPr>
          <w:rFonts w:ascii="Verdana" w:eastAsiaTheme="minorEastAsia" w:hAnsi="Verdana" w:cstheme="minorBidi"/>
          <w:noProof/>
          <w:sz w:val="20"/>
          <w:szCs w:val="20"/>
          <w:lang w:val="es-CR" w:eastAsia="es-CR"/>
        </w:rPr>
      </w:pPr>
      <w:hyperlink w:anchor="_Toc498333486" w:history="1">
        <w:r w:rsidR="009D5837" w:rsidRPr="00B74567">
          <w:rPr>
            <w:rStyle w:val="Hyperlink"/>
            <w:rFonts w:ascii="Verdana" w:eastAsia="MS Gothic" w:hAnsi="Verdana"/>
            <w:i/>
            <w:iCs/>
            <w:noProof/>
            <w:sz w:val="20"/>
            <w:szCs w:val="20"/>
          </w:rPr>
          <w:t>D.</w:t>
        </w:r>
        <w:r w:rsidR="009D5837" w:rsidRPr="00B74567">
          <w:rPr>
            <w:rFonts w:ascii="Verdana" w:eastAsiaTheme="minorEastAsia" w:hAnsi="Verdana" w:cstheme="minorBidi"/>
            <w:noProof/>
            <w:sz w:val="20"/>
            <w:szCs w:val="20"/>
            <w:lang w:val="es-CR" w:eastAsia="es-CR"/>
          </w:rPr>
          <w:tab/>
        </w:r>
        <w:r w:rsidR="009D5837" w:rsidRPr="00B74567">
          <w:rPr>
            <w:rStyle w:val="Hyperlink"/>
            <w:rFonts w:ascii="Verdana" w:eastAsia="MS Gothic" w:hAnsi="Verdana"/>
            <w:i/>
            <w:iCs/>
            <w:noProof/>
            <w:sz w:val="20"/>
            <w:szCs w:val="20"/>
          </w:rPr>
          <w:t>Acciones judiciales interpuestas por el señor Lagos del Campo</w:t>
        </w:r>
        <w:r w:rsidR="009D5837" w:rsidRPr="00B74567">
          <w:rPr>
            <w:rFonts w:ascii="Verdana" w:hAnsi="Verdana"/>
            <w:noProof/>
            <w:webHidden/>
            <w:sz w:val="20"/>
            <w:szCs w:val="20"/>
          </w:rPr>
          <w:tab/>
        </w:r>
        <w:r w:rsidR="009D5837" w:rsidRPr="00B74567">
          <w:rPr>
            <w:rFonts w:ascii="Verdana" w:hAnsi="Verdana"/>
            <w:noProof/>
            <w:webHidden/>
            <w:sz w:val="20"/>
            <w:szCs w:val="20"/>
          </w:rPr>
          <w:fldChar w:fldCharType="begin"/>
        </w:r>
        <w:r w:rsidR="009D5837" w:rsidRPr="00B74567">
          <w:rPr>
            <w:rFonts w:ascii="Verdana" w:hAnsi="Verdana"/>
            <w:noProof/>
            <w:webHidden/>
            <w:sz w:val="20"/>
            <w:szCs w:val="20"/>
          </w:rPr>
          <w:instrText xml:space="preserve"> PAGEREF _Toc498333486 \h </w:instrText>
        </w:r>
        <w:r w:rsidR="009D5837" w:rsidRPr="00B74567">
          <w:rPr>
            <w:rFonts w:ascii="Verdana" w:hAnsi="Verdana"/>
            <w:noProof/>
            <w:webHidden/>
            <w:sz w:val="20"/>
            <w:szCs w:val="20"/>
          </w:rPr>
        </w:r>
        <w:r w:rsidR="009D5837" w:rsidRPr="00B74567">
          <w:rPr>
            <w:rFonts w:ascii="Verdana" w:hAnsi="Verdana"/>
            <w:noProof/>
            <w:webHidden/>
            <w:sz w:val="20"/>
            <w:szCs w:val="20"/>
          </w:rPr>
          <w:fldChar w:fldCharType="separate"/>
        </w:r>
        <w:r w:rsidR="005810EE">
          <w:rPr>
            <w:rFonts w:ascii="Verdana" w:hAnsi="Verdana"/>
            <w:noProof/>
            <w:webHidden/>
            <w:sz w:val="20"/>
            <w:szCs w:val="20"/>
          </w:rPr>
          <w:t>22</w:t>
        </w:r>
        <w:r w:rsidR="009D5837" w:rsidRPr="00B74567">
          <w:rPr>
            <w:rFonts w:ascii="Verdana" w:hAnsi="Verdana"/>
            <w:noProof/>
            <w:webHidden/>
            <w:sz w:val="20"/>
            <w:szCs w:val="20"/>
          </w:rPr>
          <w:fldChar w:fldCharType="end"/>
        </w:r>
      </w:hyperlink>
    </w:p>
    <w:p w14:paraId="0A4ED1D2" w14:textId="77777777" w:rsidR="009D5837" w:rsidRPr="00B74567" w:rsidRDefault="00D86616" w:rsidP="00167383">
      <w:pPr>
        <w:pStyle w:val="TOC3"/>
        <w:tabs>
          <w:tab w:val="clear" w:pos="8828"/>
          <w:tab w:val="right" w:leader="dot" w:pos="8931"/>
        </w:tabs>
        <w:rPr>
          <w:rFonts w:ascii="Verdana" w:eastAsiaTheme="minorEastAsia" w:hAnsi="Verdana" w:cstheme="minorBidi"/>
          <w:noProof/>
          <w:sz w:val="20"/>
          <w:szCs w:val="20"/>
          <w:lang w:val="es-CR" w:eastAsia="es-CR"/>
        </w:rPr>
      </w:pPr>
      <w:hyperlink w:anchor="_Toc498333487" w:history="1">
        <w:r w:rsidR="009D5837" w:rsidRPr="00B74567">
          <w:rPr>
            <w:rStyle w:val="Hyperlink"/>
            <w:rFonts w:ascii="Verdana" w:hAnsi="Verdana"/>
            <w:i/>
            <w:noProof/>
            <w:sz w:val="20"/>
            <w:szCs w:val="20"/>
          </w:rPr>
          <w:t>1.</w:t>
        </w:r>
        <w:r w:rsidR="009D5837" w:rsidRPr="00B74567">
          <w:rPr>
            <w:rFonts w:ascii="Verdana" w:eastAsiaTheme="minorEastAsia" w:hAnsi="Verdana" w:cstheme="minorBidi"/>
            <w:noProof/>
            <w:sz w:val="20"/>
            <w:szCs w:val="20"/>
            <w:lang w:val="es-CR" w:eastAsia="es-CR"/>
          </w:rPr>
          <w:tab/>
        </w:r>
        <w:r w:rsidR="009D5837" w:rsidRPr="00B74567">
          <w:rPr>
            <w:rStyle w:val="Hyperlink"/>
            <w:rFonts w:ascii="Verdana" w:hAnsi="Verdana"/>
            <w:i/>
            <w:noProof/>
            <w:sz w:val="20"/>
            <w:szCs w:val="20"/>
          </w:rPr>
          <w:t>Demanda de calificación de despido</w:t>
        </w:r>
        <w:r w:rsidR="009D5837" w:rsidRPr="00B74567">
          <w:rPr>
            <w:rFonts w:ascii="Verdana" w:hAnsi="Verdana"/>
            <w:noProof/>
            <w:webHidden/>
            <w:sz w:val="20"/>
            <w:szCs w:val="20"/>
          </w:rPr>
          <w:tab/>
        </w:r>
        <w:r w:rsidR="009D5837" w:rsidRPr="00B74567">
          <w:rPr>
            <w:rFonts w:ascii="Verdana" w:hAnsi="Verdana"/>
            <w:noProof/>
            <w:webHidden/>
            <w:sz w:val="20"/>
            <w:szCs w:val="20"/>
          </w:rPr>
          <w:fldChar w:fldCharType="begin"/>
        </w:r>
        <w:r w:rsidR="009D5837" w:rsidRPr="00B74567">
          <w:rPr>
            <w:rFonts w:ascii="Verdana" w:hAnsi="Verdana"/>
            <w:noProof/>
            <w:webHidden/>
            <w:sz w:val="20"/>
            <w:szCs w:val="20"/>
          </w:rPr>
          <w:instrText xml:space="preserve"> PAGEREF _Toc498333487 \h </w:instrText>
        </w:r>
        <w:r w:rsidR="009D5837" w:rsidRPr="00B74567">
          <w:rPr>
            <w:rFonts w:ascii="Verdana" w:hAnsi="Verdana"/>
            <w:noProof/>
            <w:webHidden/>
            <w:sz w:val="20"/>
            <w:szCs w:val="20"/>
          </w:rPr>
        </w:r>
        <w:r w:rsidR="009D5837" w:rsidRPr="00B74567">
          <w:rPr>
            <w:rFonts w:ascii="Verdana" w:hAnsi="Verdana"/>
            <w:noProof/>
            <w:webHidden/>
            <w:sz w:val="20"/>
            <w:szCs w:val="20"/>
          </w:rPr>
          <w:fldChar w:fldCharType="separate"/>
        </w:r>
        <w:r w:rsidR="005810EE">
          <w:rPr>
            <w:rFonts w:ascii="Verdana" w:hAnsi="Verdana"/>
            <w:noProof/>
            <w:webHidden/>
            <w:sz w:val="20"/>
            <w:szCs w:val="20"/>
          </w:rPr>
          <w:t>22</w:t>
        </w:r>
        <w:r w:rsidR="009D5837" w:rsidRPr="00B74567">
          <w:rPr>
            <w:rFonts w:ascii="Verdana" w:hAnsi="Verdana"/>
            <w:noProof/>
            <w:webHidden/>
            <w:sz w:val="20"/>
            <w:szCs w:val="20"/>
          </w:rPr>
          <w:fldChar w:fldCharType="end"/>
        </w:r>
      </w:hyperlink>
    </w:p>
    <w:p w14:paraId="0CD426DB" w14:textId="77777777" w:rsidR="009D5837" w:rsidRPr="00B74567" w:rsidRDefault="00D86616" w:rsidP="00167383">
      <w:pPr>
        <w:pStyle w:val="TOC3"/>
        <w:tabs>
          <w:tab w:val="clear" w:pos="8828"/>
          <w:tab w:val="right" w:leader="dot" w:pos="8931"/>
        </w:tabs>
        <w:rPr>
          <w:rFonts w:ascii="Verdana" w:eastAsiaTheme="minorEastAsia" w:hAnsi="Verdana" w:cstheme="minorBidi"/>
          <w:noProof/>
          <w:sz w:val="20"/>
          <w:szCs w:val="20"/>
          <w:lang w:val="es-CR" w:eastAsia="es-CR"/>
        </w:rPr>
      </w:pPr>
      <w:hyperlink w:anchor="_Toc498333488" w:history="1">
        <w:r w:rsidR="009D5837" w:rsidRPr="00B74567">
          <w:rPr>
            <w:rStyle w:val="Hyperlink"/>
            <w:rFonts w:ascii="Verdana" w:hAnsi="Verdana"/>
            <w:i/>
            <w:iCs/>
            <w:noProof/>
            <w:sz w:val="20"/>
            <w:szCs w:val="20"/>
          </w:rPr>
          <w:t>2.</w:t>
        </w:r>
        <w:r w:rsidR="009D5837" w:rsidRPr="00B74567">
          <w:rPr>
            <w:rFonts w:ascii="Verdana" w:eastAsiaTheme="minorEastAsia" w:hAnsi="Verdana" w:cstheme="minorBidi"/>
            <w:noProof/>
            <w:sz w:val="20"/>
            <w:szCs w:val="20"/>
            <w:lang w:val="es-CR" w:eastAsia="es-CR"/>
          </w:rPr>
          <w:tab/>
        </w:r>
        <w:r w:rsidR="009D5837" w:rsidRPr="00B74567">
          <w:rPr>
            <w:rStyle w:val="Hyperlink"/>
            <w:rFonts w:ascii="Verdana" w:hAnsi="Verdana"/>
            <w:i/>
            <w:iCs/>
            <w:noProof/>
            <w:sz w:val="20"/>
            <w:szCs w:val="20"/>
          </w:rPr>
          <w:t>Procedimiento de amparo y nulidad</w:t>
        </w:r>
        <w:r w:rsidR="009D5837" w:rsidRPr="00B74567">
          <w:rPr>
            <w:rFonts w:ascii="Verdana" w:hAnsi="Verdana"/>
            <w:noProof/>
            <w:webHidden/>
            <w:sz w:val="20"/>
            <w:szCs w:val="20"/>
          </w:rPr>
          <w:tab/>
        </w:r>
        <w:r w:rsidR="009D5837" w:rsidRPr="00B74567">
          <w:rPr>
            <w:rFonts w:ascii="Verdana" w:hAnsi="Verdana"/>
            <w:noProof/>
            <w:webHidden/>
            <w:sz w:val="20"/>
            <w:szCs w:val="20"/>
          </w:rPr>
          <w:fldChar w:fldCharType="begin"/>
        </w:r>
        <w:r w:rsidR="009D5837" w:rsidRPr="00B74567">
          <w:rPr>
            <w:rFonts w:ascii="Verdana" w:hAnsi="Verdana"/>
            <w:noProof/>
            <w:webHidden/>
            <w:sz w:val="20"/>
            <w:szCs w:val="20"/>
          </w:rPr>
          <w:instrText xml:space="preserve"> PAGEREF _Toc498333488 \h </w:instrText>
        </w:r>
        <w:r w:rsidR="009D5837" w:rsidRPr="00B74567">
          <w:rPr>
            <w:rFonts w:ascii="Verdana" w:hAnsi="Verdana"/>
            <w:noProof/>
            <w:webHidden/>
            <w:sz w:val="20"/>
            <w:szCs w:val="20"/>
          </w:rPr>
        </w:r>
        <w:r w:rsidR="009D5837" w:rsidRPr="00B74567">
          <w:rPr>
            <w:rFonts w:ascii="Verdana" w:hAnsi="Verdana"/>
            <w:noProof/>
            <w:webHidden/>
            <w:sz w:val="20"/>
            <w:szCs w:val="20"/>
          </w:rPr>
          <w:fldChar w:fldCharType="separate"/>
        </w:r>
        <w:r w:rsidR="005810EE">
          <w:rPr>
            <w:rFonts w:ascii="Verdana" w:hAnsi="Verdana"/>
            <w:noProof/>
            <w:webHidden/>
            <w:sz w:val="20"/>
            <w:szCs w:val="20"/>
          </w:rPr>
          <w:t>23</w:t>
        </w:r>
        <w:r w:rsidR="009D5837" w:rsidRPr="00B74567">
          <w:rPr>
            <w:rFonts w:ascii="Verdana" w:hAnsi="Verdana"/>
            <w:noProof/>
            <w:webHidden/>
            <w:sz w:val="20"/>
            <w:szCs w:val="20"/>
          </w:rPr>
          <w:fldChar w:fldCharType="end"/>
        </w:r>
      </w:hyperlink>
    </w:p>
    <w:p w14:paraId="41E35090" w14:textId="77777777" w:rsidR="009D5837" w:rsidRPr="00B74567" w:rsidRDefault="00D86616" w:rsidP="00167383">
      <w:pPr>
        <w:pStyle w:val="TOC3"/>
        <w:tabs>
          <w:tab w:val="clear" w:pos="8828"/>
          <w:tab w:val="right" w:leader="dot" w:pos="8931"/>
        </w:tabs>
        <w:rPr>
          <w:rFonts w:ascii="Verdana" w:eastAsiaTheme="minorEastAsia" w:hAnsi="Verdana" w:cstheme="minorBidi"/>
          <w:noProof/>
          <w:sz w:val="20"/>
          <w:szCs w:val="20"/>
          <w:lang w:val="es-CR" w:eastAsia="es-CR"/>
        </w:rPr>
      </w:pPr>
      <w:hyperlink w:anchor="_Toc498333489" w:history="1">
        <w:r w:rsidR="009D5837" w:rsidRPr="00B74567">
          <w:rPr>
            <w:rStyle w:val="Hyperlink"/>
            <w:rFonts w:ascii="Verdana" w:hAnsi="Verdana"/>
            <w:i/>
            <w:iCs/>
            <w:noProof/>
            <w:sz w:val="20"/>
            <w:szCs w:val="20"/>
          </w:rPr>
          <w:t>3.</w:t>
        </w:r>
        <w:r w:rsidR="009D5837" w:rsidRPr="00B74567">
          <w:rPr>
            <w:rFonts w:ascii="Verdana" w:eastAsiaTheme="minorEastAsia" w:hAnsi="Verdana" w:cstheme="minorBidi"/>
            <w:noProof/>
            <w:sz w:val="20"/>
            <w:szCs w:val="20"/>
            <w:lang w:val="es-CR" w:eastAsia="es-CR"/>
          </w:rPr>
          <w:tab/>
        </w:r>
        <w:r w:rsidR="009D5837" w:rsidRPr="00B74567">
          <w:rPr>
            <w:rStyle w:val="Hyperlink"/>
            <w:rFonts w:ascii="Verdana" w:hAnsi="Verdana"/>
            <w:i/>
            <w:iCs/>
            <w:noProof/>
            <w:sz w:val="20"/>
            <w:szCs w:val="20"/>
          </w:rPr>
          <w:t>Recurso de amparo ante el Tribunal Constitucional</w:t>
        </w:r>
        <w:r w:rsidR="009D5837" w:rsidRPr="00B74567">
          <w:rPr>
            <w:rFonts w:ascii="Verdana" w:hAnsi="Verdana"/>
            <w:noProof/>
            <w:webHidden/>
            <w:sz w:val="20"/>
            <w:szCs w:val="20"/>
          </w:rPr>
          <w:tab/>
        </w:r>
        <w:r w:rsidR="009D5837" w:rsidRPr="00B74567">
          <w:rPr>
            <w:rFonts w:ascii="Verdana" w:hAnsi="Verdana"/>
            <w:noProof/>
            <w:webHidden/>
            <w:sz w:val="20"/>
            <w:szCs w:val="20"/>
          </w:rPr>
          <w:fldChar w:fldCharType="begin"/>
        </w:r>
        <w:r w:rsidR="009D5837" w:rsidRPr="00B74567">
          <w:rPr>
            <w:rFonts w:ascii="Verdana" w:hAnsi="Verdana"/>
            <w:noProof/>
            <w:webHidden/>
            <w:sz w:val="20"/>
            <w:szCs w:val="20"/>
          </w:rPr>
          <w:instrText xml:space="preserve"> PAGEREF _Toc498333489 \h </w:instrText>
        </w:r>
        <w:r w:rsidR="009D5837" w:rsidRPr="00B74567">
          <w:rPr>
            <w:rFonts w:ascii="Verdana" w:hAnsi="Verdana"/>
            <w:noProof/>
            <w:webHidden/>
            <w:sz w:val="20"/>
            <w:szCs w:val="20"/>
          </w:rPr>
        </w:r>
        <w:r w:rsidR="009D5837" w:rsidRPr="00B74567">
          <w:rPr>
            <w:rFonts w:ascii="Verdana" w:hAnsi="Verdana"/>
            <w:noProof/>
            <w:webHidden/>
            <w:sz w:val="20"/>
            <w:szCs w:val="20"/>
          </w:rPr>
          <w:fldChar w:fldCharType="separate"/>
        </w:r>
        <w:r w:rsidR="005810EE">
          <w:rPr>
            <w:rFonts w:ascii="Verdana" w:hAnsi="Verdana"/>
            <w:noProof/>
            <w:webHidden/>
            <w:sz w:val="20"/>
            <w:szCs w:val="20"/>
          </w:rPr>
          <w:t>25</w:t>
        </w:r>
        <w:r w:rsidR="009D5837" w:rsidRPr="00B74567">
          <w:rPr>
            <w:rFonts w:ascii="Verdana" w:hAnsi="Verdana"/>
            <w:noProof/>
            <w:webHidden/>
            <w:sz w:val="20"/>
            <w:szCs w:val="20"/>
          </w:rPr>
          <w:fldChar w:fldCharType="end"/>
        </w:r>
      </w:hyperlink>
    </w:p>
    <w:p w14:paraId="48967635" w14:textId="77777777" w:rsidR="009D5837" w:rsidRPr="00B74567" w:rsidRDefault="00D86616" w:rsidP="00167383">
      <w:pPr>
        <w:pStyle w:val="TOC2"/>
        <w:rPr>
          <w:rFonts w:ascii="Verdana" w:eastAsiaTheme="minorEastAsia" w:hAnsi="Verdana" w:cstheme="minorBidi"/>
          <w:noProof/>
          <w:sz w:val="20"/>
          <w:szCs w:val="20"/>
          <w:lang w:val="es-CR" w:eastAsia="es-CR"/>
        </w:rPr>
      </w:pPr>
      <w:hyperlink w:anchor="_Toc498333490" w:history="1">
        <w:r w:rsidR="009D5837" w:rsidRPr="00B74567">
          <w:rPr>
            <w:rStyle w:val="Hyperlink"/>
            <w:rFonts w:ascii="Verdana" w:eastAsia="MS Gothic" w:hAnsi="Verdana"/>
            <w:i/>
            <w:iCs/>
            <w:noProof/>
            <w:sz w:val="20"/>
            <w:szCs w:val="20"/>
          </w:rPr>
          <w:t>E.</w:t>
        </w:r>
        <w:r w:rsidR="009D5837" w:rsidRPr="00B74567">
          <w:rPr>
            <w:rFonts w:ascii="Verdana" w:eastAsiaTheme="minorEastAsia" w:hAnsi="Verdana" w:cstheme="minorBidi"/>
            <w:noProof/>
            <w:sz w:val="20"/>
            <w:szCs w:val="20"/>
            <w:lang w:val="es-CR" w:eastAsia="es-CR"/>
          </w:rPr>
          <w:tab/>
        </w:r>
        <w:r w:rsidR="009D5837" w:rsidRPr="00B74567">
          <w:rPr>
            <w:rStyle w:val="Hyperlink"/>
            <w:rFonts w:ascii="Verdana" w:eastAsia="MS Gothic" w:hAnsi="Verdana"/>
            <w:i/>
            <w:iCs/>
            <w:noProof/>
            <w:sz w:val="20"/>
            <w:szCs w:val="20"/>
          </w:rPr>
          <w:t>La situación de Lagos del Campo después de su despido</w:t>
        </w:r>
        <w:r w:rsidR="009D5837" w:rsidRPr="00B74567">
          <w:rPr>
            <w:rFonts w:ascii="Verdana" w:hAnsi="Verdana"/>
            <w:noProof/>
            <w:webHidden/>
            <w:sz w:val="20"/>
            <w:szCs w:val="20"/>
          </w:rPr>
          <w:tab/>
        </w:r>
        <w:r w:rsidR="009D5837" w:rsidRPr="00B74567">
          <w:rPr>
            <w:rFonts w:ascii="Verdana" w:hAnsi="Verdana"/>
            <w:noProof/>
            <w:webHidden/>
            <w:sz w:val="20"/>
            <w:szCs w:val="20"/>
          </w:rPr>
          <w:fldChar w:fldCharType="begin"/>
        </w:r>
        <w:r w:rsidR="009D5837" w:rsidRPr="00B74567">
          <w:rPr>
            <w:rFonts w:ascii="Verdana" w:hAnsi="Verdana"/>
            <w:noProof/>
            <w:webHidden/>
            <w:sz w:val="20"/>
            <w:szCs w:val="20"/>
          </w:rPr>
          <w:instrText xml:space="preserve"> PAGEREF _Toc498333490 \h </w:instrText>
        </w:r>
        <w:r w:rsidR="009D5837" w:rsidRPr="00B74567">
          <w:rPr>
            <w:rFonts w:ascii="Verdana" w:hAnsi="Verdana"/>
            <w:noProof/>
            <w:webHidden/>
            <w:sz w:val="20"/>
            <w:szCs w:val="20"/>
          </w:rPr>
        </w:r>
        <w:r w:rsidR="009D5837" w:rsidRPr="00B74567">
          <w:rPr>
            <w:rFonts w:ascii="Verdana" w:hAnsi="Verdana"/>
            <w:noProof/>
            <w:webHidden/>
            <w:sz w:val="20"/>
            <w:szCs w:val="20"/>
          </w:rPr>
          <w:fldChar w:fldCharType="separate"/>
        </w:r>
        <w:r w:rsidR="005810EE">
          <w:rPr>
            <w:rFonts w:ascii="Verdana" w:hAnsi="Verdana"/>
            <w:noProof/>
            <w:webHidden/>
            <w:sz w:val="20"/>
            <w:szCs w:val="20"/>
          </w:rPr>
          <w:t>26</w:t>
        </w:r>
        <w:r w:rsidR="009D5837" w:rsidRPr="00B74567">
          <w:rPr>
            <w:rFonts w:ascii="Verdana" w:hAnsi="Verdana"/>
            <w:noProof/>
            <w:webHidden/>
            <w:sz w:val="20"/>
            <w:szCs w:val="20"/>
          </w:rPr>
          <w:fldChar w:fldCharType="end"/>
        </w:r>
      </w:hyperlink>
    </w:p>
    <w:p w14:paraId="4F41BD8C" w14:textId="77777777" w:rsidR="009D5837" w:rsidRPr="00B74567" w:rsidRDefault="00D86616" w:rsidP="00167383">
      <w:pPr>
        <w:pStyle w:val="TOC1"/>
        <w:ind w:right="815"/>
        <w:rPr>
          <w:rFonts w:eastAsiaTheme="minorEastAsia" w:cstheme="minorBidi"/>
          <w:snapToGrid/>
          <w:lang w:val="es-CR" w:eastAsia="es-CR"/>
        </w:rPr>
      </w:pPr>
      <w:hyperlink w:anchor="_Toc498333491" w:history="1">
        <w:r w:rsidR="009D5837" w:rsidRPr="00B74567">
          <w:rPr>
            <w:rStyle w:val="Hyperlink"/>
            <w:rFonts w:cs="Verdana"/>
          </w:rPr>
          <w:t>ViI Fondo</w:t>
        </w:r>
        <w:r w:rsidR="009D5837" w:rsidRPr="00B74567">
          <w:rPr>
            <w:webHidden/>
          </w:rPr>
          <w:tab/>
        </w:r>
        <w:r w:rsidR="009D5837" w:rsidRPr="00B74567">
          <w:rPr>
            <w:webHidden/>
          </w:rPr>
          <w:fldChar w:fldCharType="begin"/>
        </w:r>
        <w:r w:rsidR="009D5837" w:rsidRPr="00B74567">
          <w:rPr>
            <w:webHidden/>
          </w:rPr>
          <w:instrText xml:space="preserve"> PAGEREF _Toc498333491 \h </w:instrText>
        </w:r>
        <w:r w:rsidR="009D5837" w:rsidRPr="00B74567">
          <w:rPr>
            <w:webHidden/>
          </w:rPr>
        </w:r>
        <w:r w:rsidR="009D5837" w:rsidRPr="00B74567">
          <w:rPr>
            <w:webHidden/>
          </w:rPr>
          <w:fldChar w:fldCharType="separate"/>
        </w:r>
        <w:r w:rsidR="005810EE">
          <w:rPr>
            <w:webHidden/>
          </w:rPr>
          <w:t>26</w:t>
        </w:r>
        <w:r w:rsidR="009D5837" w:rsidRPr="00B74567">
          <w:rPr>
            <w:webHidden/>
          </w:rPr>
          <w:fldChar w:fldCharType="end"/>
        </w:r>
      </w:hyperlink>
    </w:p>
    <w:p w14:paraId="4437F4DE" w14:textId="1F3B7034" w:rsidR="009D5837" w:rsidRPr="00B74567" w:rsidRDefault="00D86616" w:rsidP="00167383">
      <w:pPr>
        <w:pStyle w:val="TOC1"/>
        <w:ind w:right="815"/>
        <w:rPr>
          <w:rFonts w:eastAsiaTheme="minorEastAsia" w:cstheme="minorBidi"/>
          <w:snapToGrid/>
          <w:lang w:val="es-CR" w:eastAsia="es-CR"/>
        </w:rPr>
      </w:pPr>
      <w:hyperlink w:anchor="_Toc498333492" w:history="1">
        <w:r w:rsidR="009D5837" w:rsidRPr="00B74567">
          <w:rPr>
            <w:rStyle w:val="Hyperlink"/>
            <w:rFonts w:cs="Verdana"/>
          </w:rPr>
          <w:t>VII-1</w:t>
        </w:r>
        <w:r w:rsidR="009D5837" w:rsidRPr="00B74567">
          <w:rPr>
            <w:webHidden/>
          </w:rPr>
          <w:tab/>
        </w:r>
      </w:hyperlink>
      <w:r w:rsidR="009D5837" w:rsidRPr="00B74567">
        <w:rPr>
          <w:rStyle w:val="Hyperlink"/>
          <w:u w:val="none"/>
        </w:rPr>
        <w:t xml:space="preserve"> </w:t>
      </w:r>
      <w:hyperlink w:anchor="_Toc498333493" w:history="1">
        <w:r w:rsidR="009D5837" w:rsidRPr="00B74567">
          <w:rPr>
            <w:rStyle w:val="Hyperlink"/>
            <w:rFonts w:cs="Verdana"/>
            <w:u w:val="none"/>
          </w:rPr>
          <w:t>libertad de pensamiento y de expresión, GARANTÍAS JUDICIALES</w:t>
        </w:r>
      </w:hyperlink>
      <w:r w:rsidR="00167383" w:rsidRPr="00B74567">
        <w:rPr>
          <w:rStyle w:val="Hyperlink"/>
          <w:color w:val="auto"/>
          <w:u w:val="none"/>
        </w:rPr>
        <w:t>,</w:t>
      </w:r>
    </w:p>
    <w:p w14:paraId="31B9D06D" w14:textId="3F3ECEE4" w:rsidR="009D5837" w:rsidRPr="00B74567" w:rsidRDefault="00167383" w:rsidP="00167383">
      <w:pPr>
        <w:pStyle w:val="TOC1"/>
        <w:ind w:right="815"/>
        <w:rPr>
          <w:rFonts w:eastAsiaTheme="minorEastAsia" w:cstheme="minorBidi"/>
          <w:snapToGrid/>
          <w:lang w:val="es-CR" w:eastAsia="es-CR"/>
        </w:rPr>
      </w:pPr>
      <w:r w:rsidRPr="00B74567">
        <w:rPr>
          <w:rStyle w:val="Hyperlink"/>
          <w:color w:val="auto"/>
          <w:u w:val="none"/>
        </w:rPr>
        <w:t>ESTABILIDAD LABORAL, LIBERTAD DE ASOCIACIÓN, DEBER DE ADOPTAR DISPOSICIONE DE DERECHO iNTERNO</w:t>
      </w:r>
      <w:r w:rsidRPr="00B74567">
        <w:rPr>
          <w:rStyle w:val="Hyperlink"/>
          <w:u w:val="none"/>
        </w:rPr>
        <w:t xml:space="preserve"> </w:t>
      </w:r>
      <w:hyperlink w:anchor="_Toc498333494" w:history="1">
        <w:r w:rsidR="009D5837" w:rsidRPr="00B74567">
          <w:rPr>
            <w:rStyle w:val="Hyperlink"/>
            <w:rFonts w:cs="Verdana"/>
            <w:u w:val="none"/>
          </w:rPr>
          <w:t>(ARTÍCULOS 13, 8, 26, 16, 1.1 y 2 DE LA CONVENCIÓN AMERICANA)</w:t>
        </w:r>
        <w:r w:rsidR="009D5837" w:rsidRPr="00B74567">
          <w:rPr>
            <w:webHidden/>
          </w:rPr>
          <w:tab/>
        </w:r>
        <w:r w:rsidR="009D5837" w:rsidRPr="00B74567">
          <w:rPr>
            <w:webHidden/>
          </w:rPr>
          <w:fldChar w:fldCharType="begin"/>
        </w:r>
        <w:r w:rsidR="009D5837" w:rsidRPr="00B74567">
          <w:rPr>
            <w:webHidden/>
          </w:rPr>
          <w:instrText xml:space="preserve"> PAGEREF _Toc498333494 \h </w:instrText>
        </w:r>
        <w:r w:rsidR="009D5837" w:rsidRPr="00B74567">
          <w:rPr>
            <w:webHidden/>
          </w:rPr>
        </w:r>
        <w:r w:rsidR="009D5837" w:rsidRPr="00B74567">
          <w:rPr>
            <w:webHidden/>
          </w:rPr>
          <w:fldChar w:fldCharType="separate"/>
        </w:r>
        <w:r w:rsidR="005810EE">
          <w:rPr>
            <w:webHidden/>
          </w:rPr>
          <w:t>28</w:t>
        </w:r>
        <w:r w:rsidR="009D5837" w:rsidRPr="00B74567">
          <w:rPr>
            <w:webHidden/>
          </w:rPr>
          <w:fldChar w:fldCharType="end"/>
        </w:r>
      </w:hyperlink>
    </w:p>
    <w:p w14:paraId="407DAF07" w14:textId="77777777" w:rsidR="009D5837" w:rsidRPr="00B74567" w:rsidRDefault="00D86616" w:rsidP="00167383">
      <w:pPr>
        <w:pStyle w:val="TOC2"/>
        <w:rPr>
          <w:rFonts w:ascii="Verdana" w:eastAsiaTheme="minorEastAsia" w:hAnsi="Verdana" w:cstheme="minorBidi"/>
          <w:noProof/>
          <w:sz w:val="20"/>
          <w:szCs w:val="20"/>
          <w:lang w:val="es-CR" w:eastAsia="es-CR"/>
        </w:rPr>
      </w:pPr>
      <w:hyperlink w:anchor="_Toc498333495" w:history="1">
        <w:r w:rsidR="009D5837" w:rsidRPr="00B74567">
          <w:rPr>
            <w:rStyle w:val="Hyperlink"/>
            <w:rFonts w:ascii="Verdana" w:hAnsi="Verdana"/>
            <w:i/>
            <w:noProof/>
            <w:sz w:val="20"/>
            <w:szCs w:val="20"/>
          </w:rPr>
          <w:t>A.</w:t>
        </w:r>
        <w:r w:rsidR="009D5837" w:rsidRPr="00B74567">
          <w:rPr>
            <w:rFonts w:ascii="Verdana" w:eastAsiaTheme="minorEastAsia" w:hAnsi="Verdana" w:cstheme="minorBidi"/>
            <w:noProof/>
            <w:sz w:val="20"/>
            <w:szCs w:val="20"/>
            <w:lang w:val="es-CR" w:eastAsia="es-CR"/>
          </w:rPr>
          <w:tab/>
        </w:r>
        <w:r w:rsidR="009D5837" w:rsidRPr="00B74567">
          <w:rPr>
            <w:rStyle w:val="Hyperlink"/>
            <w:rFonts w:ascii="Verdana" w:hAnsi="Verdana"/>
            <w:i/>
            <w:noProof/>
            <w:sz w:val="20"/>
            <w:szCs w:val="20"/>
          </w:rPr>
          <w:t>Argumentos de las partes y de la Comisión</w:t>
        </w:r>
        <w:r w:rsidR="009D5837" w:rsidRPr="00B74567">
          <w:rPr>
            <w:rFonts w:ascii="Verdana" w:hAnsi="Verdana"/>
            <w:noProof/>
            <w:webHidden/>
            <w:sz w:val="20"/>
            <w:szCs w:val="20"/>
          </w:rPr>
          <w:tab/>
        </w:r>
        <w:r w:rsidR="009D5837" w:rsidRPr="00B74567">
          <w:rPr>
            <w:rFonts w:ascii="Verdana" w:hAnsi="Verdana"/>
            <w:noProof/>
            <w:webHidden/>
            <w:sz w:val="20"/>
            <w:szCs w:val="20"/>
          </w:rPr>
          <w:fldChar w:fldCharType="begin"/>
        </w:r>
        <w:r w:rsidR="009D5837" w:rsidRPr="00B74567">
          <w:rPr>
            <w:rFonts w:ascii="Verdana" w:hAnsi="Verdana"/>
            <w:noProof/>
            <w:webHidden/>
            <w:sz w:val="20"/>
            <w:szCs w:val="20"/>
          </w:rPr>
          <w:instrText xml:space="preserve"> PAGEREF _Toc498333495 \h </w:instrText>
        </w:r>
        <w:r w:rsidR="009D5837" w:rsidRPr="00B74567">
          <w:rPr>
            <w:rFonts w:ascii="Verdana" w:hAnsi="Verdana"/>
            <w:noProof/>
            <w:webHidden/>
            <w:sz w:val="20"/>
            <w:szCs w:val="20"/>
          </w:rPr>
        </w:r>
        <w:r w:rsidR="009D5837" w:rsidRPr="00B74567">
          <w:rPr>
            <w:rFonts w:ascii="Verdana" w:hAnsi="Verdana"/>
            <w:noProof/>
            <w:webHidden/>
            <w:sz w:val="20"/>
            <w:szCs w:val="20"/>
          </w:rPr>
          <w:fldChar w:fldCharType="separate"/>
        </w:r>
        <w:r w:rsidR="005810EE">
          <w:rPr>
            <w:rFonts w:ascii="Verdana" w:hAnsi="Verdana"/>
            <w:noProof/>
            <w:webHidden/>
            <w:sz w:val="20"/>
            <w:szCs w:val="20"/>
          </w:rPr>
          <w:t>28</w:t>
        </w:r>
        <w:r w:rsidR="009D5837" w:rsidRPr="00B74567">
          <w:rPr>
            <w:rFonts w:ascii="Verdana" w:hAnsi="Verdana"/>
            <w:noProof/>
            <w:webHidden/>
            <w:sz w:val="20"/>
            <w:szCs w:val="20"/>
          </w:rPr>
          <w:fldChar w:fldCharType="end"/>
        </w:r>
      </w:hyperlink>
    </w:p>
    <w:p w14:paraId="30B079AF" w14:textId="77777777" w:rsidR="009D5837" w:rsidRPr="00B74567" w:rsidRDefault="00D86616" w:rsidP="009D5837">
      <w:pPr>
        <w:pStyle w:val="TOC3"/>
        <w:tabs>
          <w:tab w:val="clear" w:pos="8828"/>
          <w:tab w:val="right" w:leader="dot" w:pos="8931"/>
        </w:tabs>
        <w:rPr>
          <w:rFonts w:ascii="Verdana" w:eastAsiaTheme="minorEastAsia" w:hAnsi="Verdana" w:cstheme="minorBidi"/>
          <w:noProof/>
          <w:sz w:val="20"/>
          <w:szCs w:val="20"/>
          <w:lang w:val="es-CR" w:eastAsia="es-CR"/>
        </w:rPr>
      </w:pPr>
      <w:hyperlink w:anchor="_Toc498333496" w:history="1">
        <w:r w:rsidR="009D5837" w:rsidRPr="00B74567">
          <w:rPr>
            <w:rStyle w:val="Hyperlink"/>
            <w:rFonts w:ascii="Verdana" w:hAnsi="Verdana"/>
            <w:i/>
            <w:iCs/>
            <w:noProof/>
            <w:sz w:val="20"/>
            <w:szCs w:val="20"/>
          </w:rPr>
          <w:t>1.</w:t>
        </w:r>
        <w:r w:rsidR="009D5837" w:rsidRPr="00B74567">
          <w:rPr>
            <w:rFonts w:ascii="Verdana" w:eastAsiaTheme="minorEastAsia" w:hAnsi="Verdana" w:cstheme="minorBidi"/>
            <w:noProof/>
            <w:sz w:val="20"/>
            <w:szCs w:val="20"/>
            <w:lang w:val="es-CR" w:eastAsia="es-CR"/>
          </w:rPr>
          <w:tab/>
        </w:r>
        <w:r w:rsidR="009D5837" w:rsidRPr="00B74567">
          <w:rPr>
            <w:rStyle w:val="Hyperlink"/>
            <w:rFonts w:ascii="Verdana" w:hAnsi="Verdana"/>
            <w:i/>
            <w:iCs/>
            <w:noProof/>
            <w:sz w:val="20"/>
            <w:szCs w:val="20"/>
          </w:rPr>
          <w:t>Relativos a la libertad de expresión y a las garantías judiciales</w:t>
        </w:r>
        <w:r w:rsidR="009D5837" w:rsidRPr="00B74567">
          <w:rPr>
            <w:rFonts w:ascii="Verdana" w:hAnsi="Verdana"/>
            <w:noProof/>
            <w:webHidden/>
            <w:sz w:val="20"/>
            <w:szCs w:val="20"/>
          </w:rPr>
          <w:tab/>
        </w:r>
        <w:r w:rsidR="009D5837" w:rsidRPr="00B74567">
          <w:rPr>
            <w:rFonts w:ascii="Verdana" w:hAnsi="Verdana"/>
            <w:noProof/>
            <w:webHidden/>
            <w:sz w:val="20"/>
            <w:szCs w:val="20"/>
          </w:rPr>
          <w:fldChar w:fldCharType="begin"/>
        </w:r>
        <w:r w:rsidR="009D5837" w:rsidRPr="00B74567">
          <w:rPr>
            <w:rFonts w:ascii="Verdana" w:hAnsi="Verdana"/>
            <w:noProof/>
            <w:webHidden/>
            <w:sz w:val="20"/>
            <w:szCs w:val="20"/>
          </w:rPr>
          <w:instrText xml:space="preserve"> PAGEREF _Toc498333496 \h </w:instrText>
        </w:r>
        <w:r w:rsidR="009D5837" w:rsidRPr="00B74567">
          <w:rPr>
            <w:rFonts w:ascii="Verdana" w:hAnsi="Verdana"/>
            <w:noProof/>
            <w:webHidden/>
            <w:sz w:val="20"/>
            <w:szCs w:val="20"/>
          </w:rPr>
        </w:r>
        <w:r w:rsidR="009D5837" w:rsidRPr="00B74567">
          <w:rPr>
            <w:rFonts w:ascii="Verdana" w:hAnsi="Verdana"/>
            <w:noProof/>
            <w:webHidden/>
            <w:sz w:val="20"/>
            <w:szCs w:val="20"/>
          </w:rPr>
          <w:fldChar w:fldCharType="separate"/>
        </w:r>
        <w:r w:rsidR="005810EE">
          <w:rPr>
            <w:rFonts w:ascii="Verdana" w:hAnsi="Verdana"/>
            <w:noProof/>
            <w:webHidden/>
            <w:sz w:val="20"/>
            <w:szCs w:val="20"/>
          </w:rPr>
          <w:t>28</w:t>
        </w:r>
        <w:r w:rsidR="009D5837" w:rsidRPr="00B74567">
          <w:rPr>
            <w:rFonts w:ascii="Verdana" w:hAnsi="Verdana"/>
            <w:noProof/>
            <w:webHidden/>
            <w:sz w:val="20"/>
            <w:szCs w:val="20"/>
          </w:rPr>
          <w:fldChar w:fldCharType="end"/>
        </w:r>
      </w:hyperlink>
    </w:p>
    <w:p w14:paraId="7D38F5C1" w14:textId="77777777" w:rsidR="009D5837" w:rsidRPr="00B74567" w:rsidRDefault="00D86616" w:rsidP="009D5837">
      <w:pPr>
        <w:pStyle w:val="TOC3"/>
        <w:tabs>
          <w:tab w:val="clear" w:pos="8828"/>
          <w:tab w:val="right" w:leader="dot" w:pos="8931"/>
        </w:tabs>
        <w:rPr>
          <w:rFonts w:ascii="Verdana" w:eastAsiaTheme="minorEastAsia" w:hAnsi="Verdana" w:cstheme="minorBidi"/>
          <w:noProof/>
          <w:sz w:val="20"/>
          <w:szCs w:val="20"/>
          <w:lang w:val="es-CR" w:eastAsia="es-CR"/>
        </w:rPr>
      </w:pPr>
      <w:hyperlink w:anchor="_Toc498333497" w:history="1">
        <w:r w:rsidR="009D5837" w:rsidRPr="00B74567">
          <w:rPr>
            <w:rStyle w:val="Hyperlink"/>
            <w:rFonts w:ascii="Verdana" w:hAnsi="Verdana"/>
            <w:i/>
            <w:iCs/>
            <w:noProof/>
            <w:sz w:val="20"/>
            <w:szCs w:val="20"/>
          </w:rPr>
          <w:t>2.</w:t>
        </w:r>
        <w:r w:rsidR="009D5837" w:rsidRPr="00B74567">
          <w:rPr>
            <w:rFonts w:ascii="Verdana" w:eastAsiaTheme="minorEastAsia" w:hAnsi="Verdana" w:cstheme="minorBidi"/>
            <w:noProof/>
            <w:sz w:val="20"/>
            <w:szCs w:val="20"/>
            <w:lang w:val="es-CR" w:eastAsia="es-CR"/>
          </w:rPr>
          <w:tab/>
        </w:r>
        <w:r w:rsidR="009D5837" w:rsidRPr="00B74567">
          <w:rPr>
            <w:rStyle w:val="Hyperlink"/>
            <w:rFonts w:ascii="Verdana" w:hAnsi="Verdana"/>
            <w:i/>
            <w:iCs/>
            <w:noProof/>
            <w:sz w:val="20"/>
            <w:szCs w:val="20"/>
          </w:rPr>
          <w:t>Relativos a la libertad de asociación</w:t>
        </w:r>
        <w:r w:rsidR="009D5837" w:rsidRPr="00B74567">
          <w:rPr>
            <w:rFonts w:ascii="Verdana" w:hAnsi="Verdana"/>
            <w:noProof/>
            <w:webHidden/>
            <w:sz w:val="20"/>
            <w:szCs w:val="20"/>
          </w:rPr>
          <w:tab/>
        </w:r>
        <w:r w:rsidR="009D5837" w:rsidRPr="00B74567">
          <w:rPr>
            <w:rFonts w:ascii="Verdana" w:hAnsi="Verdana"/>
            <w:noProof/>
            <w:webHidden/>
            <w:sz w:val="20"/>
            <w:szCs w:val="20"/>
          </w:rPr>
          <w:fldChar w:fldCharType="begin"/>
        </w:r>
        <w:r w:rsidR="009D5837" w:rsidRPr="00B74567">
          <w:rPr>
            <w:rFonts w:ascii="Verdana" w:hAnsi="Verdana"/>
            <w:noProof/>
            <w:webHidden/>
            <w:sz w:val="20"/>
            <w:szCs w:val="20"/>
          </w:rPr>
          <w:instrText xml:space="preserve"> PAGEREF _Toc498333497 \h </w:instrText>
        </w:r>
        <w:r w:rsidR="009D5837" w:rsidRPr="00B74567">
          <w:rPr>
            <w:rFonts w:ascii="Verdana" w:hAnsi="Verdana"/>
            <w:noProof/>
            <w:webHidden/>
            <w:sz w:val="20"/>
            <w:szCs w:val="20"/>
          </w:rPr>
        </w:r>
        <w:r w:rsidR="009D5837" w:rsidRPr="00B74567">
          <w:rPr>
            <w:rFonts w:ascii="Verdana" w:hAnsi="Verdana"/>
            <w:noProof/>
            <w:webHidden/>
            <w:sz w:val="20"/>
            <w:szCs w:val="20"/>
          </w:rPr>
          <w:fldChar w:fldCharType="separate"/>
        </w:r>
        <w:r w:rsidR="005810EE">
          <w:rPr>
            <w:rFonts w:ascii="Verdana" w:hAnsi="Verdana"/>
            <w:noProof/>
            <w:webHidden/>
            <w:sz w:val="20"/>
            <w:szCs w:val="20"/>
          </w:rPr>
          <w:t>30</w:t>
        </w:r>
        <w:r w:rsidR="009D5837" w:rsidRPr="00B74567">
          <w:rPr>
            <w:rFonts w:ascii="Verdana" w:hAnsi="Verdana"/>
            <w:noProof/>
            <w:webHidden/>
            <w:sz w:val="20"/>
            <w:szCs w:val="20"/>
          </w:rPr>
          <w:fldChar w:fldCharType="end"/>
        </w:r>
      </w:hyperlink>
    </w:p>
    <w:p w14:paraId="0D38DC63" w14:textId="77777777" w:rsidR="009D5837" w:rsidRPr="00B74567" w:rsidRDefault="00D86616" w:rsidP="009D5837">
      <w:pPr>
        <w:pStyle w:val="TOC3"/>
        <w:tabs>
          <w:tab w:val="clear" w:pos="8828"/>
          <w:tab w:val="right" w:leader="dot" w:pos="8931"/>
        </w:tabs>
        <w:rPr>
          <w:rFonts w:ascii="Verdana" w:eastAsiaTheme="minorEastAsia" w:hAnsi="Verdana" w:cstheme="minorBidi"/>
          <w:noProof/>
          <w:sz w:val="20"/>
          <w:szCs w:val="20"/>
          <w:lang w:val="es-CR" w:eastAsia="es-CR"/>
        </w:rPr>
      </w:pPr>
      <w:hyperlink w:anchor="_Toc498333498" w:history="1">
        <w:r w:rsidR="009D5837" w:rsidRPr="00B74567">
          <w:rPr>
            <w:rStyle w:val="Hyperlink"/>
            <w:rFonts w:ascii="Verdana" w:hAnsi="Verdana"/>
            <w:i/>
            <w:iCs/>
            <w:noProof/>
            <w:sz w:val="20"/>
            <w:szCs w:val="20"/>
          </w:rPr>
          <w:t>3.</w:t>
        </w:r>
        <w:r w:rsidR="009D5837" w:rsidRPr="00B74567">
          <w:rPr>
            <w:rFonts w:ascii="Verdana" w:eastAsiaTheme="minorEastAsia" w:hAnsi="Verdana" w:cstheme="minorBidi"/>
            <w:noProof/>
            <w:sz w:val="20"/>
            <w:szCs w:val="20"/>
            <w:lang w:val="es-CR" w:eastAsia="es-CR"/>
          </w:rPr>
          <w:tab/>
        </w:r>
        <w:r w:rsidR="009D5837" w:rsidRPr="00B74567">
          <w:rPr>
            <w:rStyle w:val="Hyperlink"/>
            <w:rFonts w:ascii="Verdana" w:hAnsi="Verdana"/>
            <w:i/>
            <w:iCs/>
            <w:noProof/>
            <w:sz w:val="20"/>
            <w:szCs w:val="20"/>
          </w:rPr>
          <w:t>Relativos al deber de adoptar disposiciones de derecho interno</w:t>
        </w:r>
        <w:r w:rsidR="009D5837" w:rsidRPr="00B74567">
          <w:rPr>
            <w:rFonts w:ascii="Verdana" w:hAnsi="Verdana"/>
            <w:noProof/>
            <w:webHidden/>
            <w:sz w:val="20"/>
            <w:szCs w:val="20"/>
          </w:rPr>
          <w:tab/>
        </w:r>
        <w:r w:rsidR="009D5837" w:rsidRPr="00B74567">
          <w:rPr>
            <w:rFonts w:ascii="Verdana" w:hAnsi="Verdana"/>
            <w:noProof/>
            <w:webHidden/>
            <w:sz w:val="20"/>
            <w:szCs w:val="20"/>
          </w:rPr>
          <w:fldChar w:fldCharType="begin"/>
        </w:r>
        <w:r w:rsidR="009D5837" w:rsidRPr="00B74567">
          <w:rPr>
            <w:rFonts w:ascii="Verdana" w:hAnsi="Verdana"/>
            <w:noProof/>
            <w:webHidden/>
            <w:sz w:val="20"/>
            <w:szCs w:val="20"/>
          </w:rPr>
          <w:instrText xml:space="preserve"> PAGEREF _Toc498333498 \h </w:instrText>
        </w:r>
        <w:r w:rsidR="009D5837" w:rsidRPr="00B74567">
          <w:rPr>
            <w:rFonts w:ascii="Verdana" w:hAnsi="Verdana"/>
            <w:noProof/>
            <w:webHidden/>
            <w:sz w:val="20"/>
            <w:szCs w:val="20"/>
          </w:rPr>
        </w:r>
        <w:r w:rsidR="009D5837" w:rsidRPr="00B74567">
          <w:rPr>
            <w:rFonts w:ascii="Verdana" w:hAnsi="Verdana"/>
            <w:noProof/>
            <w:webHidden/>
            <w:sz w:val="20"/>
            <w:szCs w:val="20"/>
          </w:rPr>
          <w:fldChar w:fldCharType="separate"/>
        </w:r>
        <w:r w:rsidR="005810EE">
          <w:rPr>
            <w:rFonts w:ascii="Verdana" w:hAnsi="Verdana"/>
            <w:noProof/>
            <w:webHidden/>
            <w:sz w:val="20"/>
            <w:szCs w:val="20"/>
          </w:rPr>
          <w:t>30</w:t>
        </w:r>
        <w:r w:rsidR="009D5837" w:rsidRPr="00B74567">
          <w:rPr>
            <w:rFonts w:ascii="Verdana" w:hAnsi="Verdana"/>
            <w:noProof/>
            <w:webHidden/>
            <w:sz w:val="20"/>
            <w:szCs w:val="20"/>
          </w:rPr>
          <w:fldChar w:fldCharType="end"/>
        </w:r>
      </w:hyperlink>
    </w:p>
    <w:p w14:paraId="596B6B66" w14:textId="77777777" w:rsidR="009D5837" w:rsidRPr="00B74567" w:rsidRDefault="00D86616" w:rsidP="00167383">
      <w:pPr>
        <w:pStyle w:val="TOC2"/>
        <w:rPr>
          <w:rFonts w:ascii="Verdana" w:eastAsiaTheme="minorEastAsia" w:hAnsi="Verdana" w:cstheme="minorBidi"/>
          <w:noProof/>
          <w:sz w:val="20"/>
          <w:szCs w:val="20"/>
          <w:lang w:val="es-CR" w:eastAsia="es-CR"/>
        </w:rPr>
      </w:pPr>
      <w:hyperlink w:anchor="_Toc498333499" w:history="1">
        <w:r w:rsidR="009D5837" w:rsidRPr="00B74567">
          <w:rPr>
            <w:rStyle w:val="Hyperlink"/>
            <w:rFonts w:ascii="Verdana" w:hAnsi="Verdana"/>
            <w:i/>
            <w:noProof/>
            <w:sz w:val="20"/>
            <w:szCs w:val="20"/>
          </w:rPr>
          <w:t>B.</w:t>
        </w:r>
        <w:r w:rsidR="009D5837" w:rsidRPr="00B74567">
          <w:rPr>
            <w:rFonts w:ascii="Verdana" w:eastAsiaTheme="minorEastAsia" w:hAnsi="Verdana" w:cstheme="minorBidi"/>
            <w:noProof/>
            <w:sz w:val="20"/>
            <w:szCs w:val="20"/>
            <w:lang w:val="es-CR" w:eastAsia="es-CR"/>
          </w:rPr>
          <w:tab/>
        </w:r>
        <w:r w:rsidR="009D5837" w:rsidRPr="00B74567">
          <w:rPr>
            <w:rStyle w:val="Hyperlink"/>
            <w:rFonts w:ascii="Verdana" w:hAnsi="Verdana"/>
            <w:i/>
            <w:noProof/>
            <w:sz w:val="20"/>
            <w:szCs w:val="20"/>
          </w:rPr>
          <w:t>Consideraciones de la Corte</w:t>
        </w:r>
        <w:r w:rsidR="009D5837" w:rsidRPr="00B74567">
          <w:rPr>
            <w:rFonts w:ascii="Verdana" w:hAnsi="Verdana"/>
            <w:noProof/>
            <w:webHidden/>
            <w:sz w:val="20"/>
            <w:szCs w:val="20"/>
          </w:rPr>
          <w:tab/>
        </w:r>
        <w:r w:rsidR="009D5837" w:rsidRPr="00B74567">
          <w:rPr>
            <w:rFonts w:ascii="Verdana" w:hAnsi="Verdana"/>
            <w:noProof/>
            <w:webHidden/>
            <w:sz w:val="20"/>
            <w:szCs w:val="20"/>
          </w:rPr>
          <w:fldChar w:fldCharType="begin"/>
        </w:r>
        <w:r w:rsidR="009D5837" w:rsidRPr="00B74567">
          <w:rPr>
            <w:rFonts w:ascii="Verdana" w:hAnsi="Verdana"/>
            <w:noProof/>
            <w:webHidden/>
            <w:sz w:val="20"/>
            <w:szCs w:val="20"/>
          </w:rPr>
          <w:instrText xml:space="preserve"> PAGEREF _Toc498333499 \h </w:instrText>
        </w:r>
        <w:r w:rsidR="009D5837" w:rsidRPr="00B74567">
          <w:rPr>
            <w:rFonts w:ascii="Verdana" w:hAnsi="Verdana"/>
            <w:noProof/>
            <w:webHidden/>
            <w:sz w:val="20"/>
            <w:szCs w:val="20"/>
          </w:rPr>
        </w:r>
        <w:r w:rsidR="009D5837" w:rsidRPr="00B74567">
          <w:rPr>
            <w:rFonts w:ascii="Verdana" w:hAnsi="Verdana"/>
            <w:noProof/>
            <w:webHidden/>
            <w:sz w:val="20"/>
            <w:szCs w:val="20"/>
          </w:rPr>
          <w:fldChar w:fldCharType="separate"/>
        </w:r>
        <w:r w:rsidR="005810EE">
          <w:rPr>
            <w:rFonts w:ascii="Verdana" w:hAnsi="Verdana"/>
            <w:noProof/>
            <w:webHidden/>
            <w:sz w:val="20"/>
            <w:szCs w:val="20"/>
          </w:rPr>
          <w:t>31</w:t>
        </w:r>
        <w:r w:rsidR="009D5837" w:rsidRPr="00B74567">
          <w:rPr>
            <w:rFonts w:ascii="Verdana" w:hAnsi="Verdana"/>
            <w:noProof/>
            <w:webHidden/>
            <w:sz w:val="20"/>
            <w:szCs w:val="20"/>
          </w:rPr>
          <w:fldChar w:fldCharType="end"/>
        </w:r>
      </w:hyperlink>
    </w:p>
    <w:p w14:paraId="0904130E" w14:textId="77777777" w:rsidR="009D5837" w:rsidRPr="00B74567" w:rsidRDefault="00D86616" w:rsidP="009D5837">
      <w:pPr>
        <w:pStyle w:val="TOC3"/>
        <w:tabs>
          <w:tab w:val="clear" w:pos="8828"/>
          <w:tab w:val="right" w:leader="dot" w:pos="8931"/>
        </w:tabs>
        <w:rPr>
          <w:rFonts w:ascii="Verdana" w:eastAsiaTheme="minorEastAsia" w:hAnsi="Verdana" w:cstheme="minorBidi"/>
          <w:noProof/>
          <w:sz w:val="20"/>
          <w:szCs w:val="20"/>
          <w:lang w:val="es-CR" w:eastAsia="es-CR"/>
        </w:rPr>
      </w:pPr>
      <w:hyperlink w:anchor="_Toc498333500" w:history="1">
        <w:r w:rsidR="009D5837" w:rsidRPr="00B74567">
          <w:rPr>
            <w:rStyle w:val="Hyperlink"/>
            <w:rFonts w:ascii="Verdana" w:hAnsi="Verdana"/>
            <w:i/>
            <w:noProof/>
            <w:sz w:val="20"/>
            <w:szCs w:val="20"/>
            <w:lang w:val="es-MX"/>
          </w:rPr>
          <w:t>1.</w:t>
        </w:r>
        <w:r w:rsidR="009D5837" w:rsidRPr="00B74567">
          <w:rPr>
            <w:rFonts w:ascii="Verdana" w:eastAsiaTheme="minorEastAsia" w:hAnsi="Verdana" w:cstheme="minorBidi"/>
            <w:noProof/>
            <w:sz w:val="20"/>
            <w:szCs w:val="20"/>
            <w:lang w:val="es-CR" w:eastAsia="es-CR"/>
          </w:rPr>
          <w:tab/>
        </w:r>
        <w:r w:rsidR="009D5837" w:rsidRPr="00B74567">
          <w:rPr>
            <w:rStyle w:val="Hyperlink"/>
            <w:rFonts w:ascii="Verdana" w:hAnsi="Verdana"/>
            <w:i/>
            <w:noProof/>
            <w:sz w:val="20"/>
            <w:szCs w:val="20"/>
            <w:lang w:val="es-MX"/>
          </w:rPr>
          <w:t>Libertad de expresión y garantías judiciales</w:t>
        </w:r>
        <w:r w:rsidR="009D5837" w:rsidRPr="00B74567">
          <w:rPr>
            <w:rFonts w:ascii="Verdana" w:hAnsi="Verdana"/>
            <w:noProof/>
            <w:webHidden/>
            <w:sz w:val="20"/>
            <w:szCs w:val="20"/>
          </w:rPr>
          <w:tab/>
        </w:r>
        <w:r w:rsidR="009D5837" w:rsidRPr="00B74567">
          <w:rPr>
            <w:rFonts w:ascii="Verdana" w:hAnsi="Verdana"/>
            <w:noProof/>
            <w:webHidden/>
            <w:sz w:val="20"/>
            <w:szCs w:val="20"/>
          </w:rPr>
          <w:fldChar w:fldCharType="begin"/>
        </w:r>
        <w:r w:rsidR="009D5837" w:rsidRPr="00B74567">
          <w:rPr>
            <w:rFonts w:ascii="Verdana" w:hAnsi="Verdana"/>
            <w:noProof/>
            <w:webHidden/>
            <w:sz w:val="20"/>
            <w:szCs w:val="20"/>
          </w:rPr>
          <w:instrText xml:space="preserve"> PAGEREF _Toc498333500 \h </w:instrText>
        </w:r>
        <w:r w:rsidR="009D5837" w:rsidRPr="00B74567">
          <w:rPr>
            <w:rFonts w:ascii="Verdana" w:hAnsi="Verdana"/>
            <w:noProof/>
            <w:webHidden/>
            <w:sz w:val="20"/>
            <w:szCs w:val="20"/>
          </w:rPr>
        </w:r>
        <w:r w:rsidR="009D5837" w:rsidRPr="00B74567">
          <w:rPr>
            <w:rFonts w:ascii="Verdana" w:hAnsi="Verdana"/>
            <w:noProof/>
            <w:webHidden/>
            <w:sz w:val="20"/>
            <w:szCs w:val="20"/>
          </w:rPr>
          <w:fldChar w:fldCharType="separate"/>
        </w:r>
        <w:r w:rsidR="005810EE">
          <w:rPr>
            <w:rFonts w:ascii="Verdana" w:hAnsi="Verdana"/>
            <w:noProof/>
            <w:webHidden/>
            <w:sz w:val="20"/>
            <w:szCs w:val="20"/>
          </w:rPr>
          <w:t>31</w:t>
        </w:r>
        <w:r w:rsidR="009D5837" w:rsidRPr="00B74567">
          <w:rPr>
            <w:rFonts w:ascii="Verdana" w:hAnsi="Verdana"/>
            <w:noProof/>
            <w:webHidden/>
            <w:sz w:val="20"/>
            <w:szCs w:val="20"/>
          </w:rPr>
          <w:fldChar w:fldCharType="end"/>
        </w:r>
      </w:hyperlink>
    </w:p>
    <w:p w14:paraId="7C5BC23F" w14:textId="77777777" w:rsidR="009D5837" w:rsidRPr="00B74567" w:rsidRDefault="00D86616" w:rsidP="009D5837">
      <w:pPr>
        <w:pStyle w:val="TOC3"/>
        <w:tabs>
          <w:tab w:val="clear" w:pos="8828"/>
          <w:tab w:val="right" w:leader="dot" w:pos="8931"/>
        </w:tabs>
        <w:rPr>
          <w:rFonts w:ascii="Verdana" w:eastAsiaTheme="minorEastAsia" w:hAnsi="Verdana" w:cstheme="minorBidi"/>
          <w:noProof/>
          <w:sz w:val="20"/>
          <w:szCs w:val="20"/>
          <w:lang w:val="es-CR" w:eastAsia="es-CR"/>
        </w:rPr>
      </w:pPr>
      <w:hyperlink w:anchor="_Toc498333501" w:history="1">
        <w:r w:rsidR="009D5837" w:rsidRPr="00B74567">
          <w:rPr>
            <w:rStyle w:val="Hyperlink"/>
            <w:rFonts w:ascii="Verdana" w:hAnsi="Verdana"/>
            <w:i/>
            <w:noProof/>
            <w:sz w:val="20"/>
            <w:szCs w:val="20"/>
            <w:lang w:val="es-MX"/>
          </w:rPr>
          <w:t>1.1</w:t>
        </w:r>
        <w:r w:rsidR="009D5837" w:rsidRPr="00B74567">
          <w:rPr>
            <w:rFonts w:ascii="Verdana" w:eastAsiaTheme="minorEastAsia" w:hAnsi="Verdana" w:cstheme="minorBidi"/>
            <w:noProof/>
            <w:sz w:val="20"/>
            <w:szCs w:val="20"/>
            <w:lang w:val="es-CR" w:eastAsia="es-CR"/>
          </w:rPr>
          <w:tab/>
        </w:r>
        <w:r w:rsidR="009D5837" w:rsidRPr="00B74567">
          <w:rPr>
            <w:rStyle w:val="Hyperlink"/>
            <w:rFonts w:ascii="Verdana" w:hAnsi="Verdana"/>
            <w:i/>
            <w:noProof/>
            <w:sz w:val="20"/>
            <w:szCs w:val="20"/>
            <w:lang w:val="es-MX"/>
          </w:rPr>
          <w:t>La libertad de expresión en contextos laborales</w:t>
        </w:r>
        <w:r w:rsidR="009D5837" w:rsidRPr="00B74567">
          <w:rPr>
            <w:rFonts w:ascii="Verdana" w:hAnsi="Verdana"/>
            <w:noProof/>
            <w:webHidden/>
            <w:sz w:val="20"/>
            <w:szCs w:val="20"/>
          </w:rPr>
          <w:tab/>
        </w:r>
        <w:r w:rsidR="009D5837" w:rsidRPr="00B74567">
          <w:rPr>
            <w:rFonts w:ascii="Verdana" w:hAnsi="Verdana"/>
            <w:noProof/>
            <w:webHidden/>
            <w:sz w:val="20"/>
            <w:szCs w:val="20"/>
          </w:rPr>
          <w:fldChar w:fldCharType="begin"/>
        </w:r>
        <w:r w:rsidR="009D5837" w:rsidRPr="00B74567">
          <w:rPr>
            <w:rFonts w:ascii="Verdana" w:hAnsi="Verdana"/>
            <w:noProof/>
            <w:webHidden/>
            <w:sz w:val="20"/>
            <w:szCs w:val="20"/>
          </w:rPr>
          <w:instrText xml:space="preserve"> PAGEREF _Toc498333501 \h </w:instrText>
        </w:r>
        <w:r w:rsidR="009D5837" w:rsidRPr="00B74567">
          <w:rPr>
            <w:rFonts w:ascii="Verdana" w:hAnsi="Verdana"/>
            <w:noProof/>
            <w:webHidden/>
            <w:sz w:val="20"/>
            <w:szCs w:val="20"/>
          </w:rPr>
        </w:r>
        <w:r w:rsidR="009D5837" w:rsidRPr="00B74567">
          <w:rPr>
            <w:rFonts w:ascii="Verdana" w:hAnsi="Verdana"/>
            <w:noProof/>
            <w:webHidden/>
            <w:sz w:val="20"/>
            <w:szCs w:val="20"/>
          </w:rPr>
          <w:fldChar w:fldCharType="separate"/>
        </w:r>
        <w:r w:rsidR="005810EE">
          <w:rPr>
            <w:rFonts w:ascii="Verdana" w:hAnsi="Verdana"/>
            <w:noProof/>
            <w:webHidden/>
            <w:sz w:val="20"/>
            <w:szCs w:val="20"/>
          </w:rPr>
          <w:t>31</w:t>
        </w:r>
        <w:r w:rsidR="009D5837" w:rsidRPr="00B74567">
          <w:rPr>
            <w:rFonts w:ascii="Verdana" w:hAnsi="Verdana"/>
            <w:noProof/>
            <w:webHidden/>
            <w:sz w:val="20"/>
            <w:szCs w:val="20"/>
          </w:rPr>
          <w:fldChar w:fldCharType="end"/>
        </w:r>
      </w:hyperlink>
    </w:p>
    <w:p w14:paraId="6737D3A2" w14:textId="77777777" w:rsidR="009D5837" w:rsidRPr="00B74567" w:rsidRDefault="00D86616" w:rsidP="009D5837">
      <w:pPr>
        <w:pStyle w:val="TOC3"/>
        <w:tabs>
          <w:tab w:val="clear" w:pos="8828"/>
          <w:tab w:val="right" w:leader="dot" w:pos="8931"/>
        </w:tabs>
        <w:rPr>
          <w:rFonts w:ascii="Verdana" w:eastAsiaTheme="minorEastAsia" w:hAnsi="Verdana" w:cstheme="minorBidi"/>
          <w:noProof/>
          <w:sz w:val="20"/>
          <w:szCs w:val="20"/>
          <w:lang w:val="es-CR" w:eastAsia="es-CR"/>
        </w:rPr>
      </w:pPr>
      <w:hyperlink w:anchor="_Toc498333502" w:history="1">
        <w:r w:rsidR="009D5837" w:rsidRPr="00B74567">
          <w:rPr>
            <w:rStyle w:val="Hyperlink"/>
            <w:rFonts w:ascii="Verdana" w:hAnsi="Verdana"/>
            <w:i/>
            <w:noProof/>
            <w:sz w:val="20"/>
            <w:szCs w:val="20"/>
            <w:lang w:val="es-MX"/>
          </w:rPr>
          <w:t>1.2</w:t>
        </w:r>
        <w:r w:rsidR="009D5837" w:rsidRPr="00B74567">
          <w:rPr>
            <w:rFonts w:ascii="Verdana" w:eastAsiaTheme="minorEastAsia" w:hAnsi="Verdana" w:cstheme="minorBidi"/>
            <w:noProof/>
            <w:sz w:val="20"/>
            <w:szCs w:val="20"/>
            <w:lang w:val="es-CR" w:eastAsia="es-CR"/>
          </w:rPr>
          <w:tab/>
        </w:r>
        <w:r w:rsidR="009D5837" w:rsidRPr="00B74567">
          <w:rPr>
            <w:rStyle w:val="Hyperlink"/>
            <w:rFonts w:ascii="Verdana" w:hAnsi="Verdana"/>
            <w:i/>
            <w:noProof/>
            <w:sz w:val="20"/>
            <w:szCs w:val="20"/>
            <w:lang w:val="es-MX"/>
          </w:rPr>
          <w:t>Análisis de necesidad y razonabilidad de la restricción en el presente caso</w:t>
        </w:r>
        <w:r w:rsidR="009D5837" w:rsidRPr="00B74567">
          <w:rPr>
            <w:rFonts w:ascii="Verdana" w:hAnsi="Verdana"/>
            <w:noProof/>
            <w:webHidden/>
            <w:sz w:val="20"/>
            <w:szCs w:val="20"/>
          </w:rPr>
          <w:tab/>
        </w:r>
        <w:r w:rsidR="009D5837" w:rsidRPr="00B74567">
          <w:rPr>
            <w:rFonts w:ascii="Verdana" w:hAnsi="Verdana"/>
            <w:noProof/>
            <w:webHidden/>
            <w:sz w:val="20"/>
            <w:szCs w:val="20"/>
          </w:rPr>
          <w:fldChar w:fldCharType="begin"/>
        </w:r>
        <w:r w:rsidR="009D5837" w:rsidRPr="00B74567">
          <w:rPr>
            <w:rFonts w:ascii="Verdana" w:hAnsi="Verdana"/>
            <w:noProof/>
            <w:webHidden/>
            <w:sz w:val="20"/>
            <w:szCs w:val="20"/>
          </w:rPr>
          <w:instrText xml:space="preserve"> PAGEREF _Toc498333502 \h </w:instrText>
        </w:r>
        <w:r w:rsidR="009D5837" w:rsidRPr="00B74567">
          <w:rPr>
            <w:rFonts w:ascii="Verdana" w:hAnsi="Verdana"/>
            <w:noProof/>
            <w:webHidden/>
            <w:sz w:val="20"/>
            <w:szCs w:val="20"/>
          </w:rPr>
        </w:r>
        <w:r w:rsidR="009D5837" w:rsidRPr="00B74567">
          <w:rPr>
            <w:rFonts w:ascii="Verdana" w:hAnsi="Verdana"/>
            <w:noProof/>
            <w:webHidden/>
            <w:sz w:val="20"/>
            <w:szCs w:val="20"/>
          </w:rPr>
          <w:fldChar w:fldCharType="separate"/>
        </w:r>
        <w:r w:rsidR="005810EE">
          <w:rPr>
            <w:rFonts w:ascii="Verdana" w:hAnsi="Verdana"/>
            <w:noProof/>
            <w:webHidden/>
            <w:sz w:val="20"/>
            <w:szCs w:val="20"/>
          </w:rPr>
          <w:t>33</w:t>
        </w:r>
        <w:r w:rsidR="009D5837" w:rsidRPr="00B74567">
          <w:rPr>
            <w:rFonts w:ascii="Verdana" w:hAnsi="Verdana"/>
            <w:noProof/>
            <w:webHidden/>
            <w:sz w:val="20"/>
            <w:szCs w:val="20"/>
          </w:rPr>
          <w:fldChar w:fldCharType="end"/>
        </w:r>
      </w:hyperlink>
    </w:p>
    <w:p w14:paraId="63BEEB81" w14:textId="77777777" w:rsidR="009D5837" w:rsidRPr="00B74567" w:rsidRDefault="00D86616" w:rsidP="009D5837">
      <w:pPr>
        <w:pStyle w:val="TOC3"/>
        <w:tabs>
          <w:tab w:val="clear" w:pos="8828"/>
          <w:tab w:val="right" w:leader="dot" w:pos="8931"/>
        </w:tabs>
        <w:rPr>
          <w:rFonts w:ascii="Verdana" w:eastAsiaTheme="minorEastAsia" w:hAnsi="Verdana" w:cstheme="minorBidi"/>
          <w:noProof/>
          <w:sz w:val="20"/>
          <w:szCs w:val="20"/>
          <w:lang w:val="es-CR" w:eastAsia="es-CR"/>
        </w:rPr>
      </w:pPr>
      <w:hyperlink w:anchor="_Toc498333503" w:history="1">
        <w:r w:rsidR="009D5837" w:rsidRPr="00B74567">
          <w:rPr>
            <w:rStyle w:val="Hyperlink"/>
            <w:rFonts w:ascii="Verdana" w:hAnsi="Verdana"/>
            <w:i/>
            <w:noProof/>
            <w:sz w:val="20"/>
            <w:szCs w:val="20"/>
            <w:lang w:val="es-MX"/>
          </w:rPr>
          <w:t>1.2.1 Calificación de las declaraciones de Lagos del Campo</w:t>
        </w:r>
        <w:r w:rsidR="009D5837" w:rsidRPr="00B74567">
          <w:rPr>
            <w:rFonts w:ascii="Verdana" w:hAnsi="Verdana"/>
            <w:noProof/>
            <w:webHidden/>
            <w:sz w:val="20"/>
            <w:szCs w:val="20"/>
          </w:rPr>
          <w:tab/>
        </w:r>
        <w:r w:rsidR="009D5837" w:rsidRPr="00B74567">
          <w:rPr>
            <w:rFonts w:ascii="Verdana" w:hAnsi="Verdana"/>
            <w:noProof/>
            <w:webHidden/>
            <w:sz w:val="20"/>
            <w:szCs w:val="20"/>
          </w:rPr>
          <w:fldChar w:fldCharType="begin"/>
        </w:r>
        <w:r w:rsidR="009D5837" w:rsidRPr="00B74567">
          <w:rPr>
            <w:rFonts w:ascii="Verdana" w:hAnsi="Verdana"/>
            <w:noProof/>
            <w:webHidden/>
            <w:sz w:val="20"/>
            <w:szCs w:val="20"/>
          </w:rPr>
          <w:instrText xml:space="preserve"> PAGEREF _Toc498333503 \h </w:instrText>
        </w:r>
        <w:r w:rsidR="009D5837" w:rsidRPr="00B74567">
          <w:rPr>
            <w:rFonts w:ascii="Verdana" w:hAnsi="Verdana"/>
            <w:noProof/>
            <w:webHidden/>
            <w:sz w:val="20"/>
            <w:szCs w:val="20"/>
          </w:rPr>
        </w:r>
        <w:r w:rsidR="009D5837" w:rsidRPr="00B74567">
          <w:rPr>
            <w:rFonts w:ascii="Verdana" w:hAnsi="Verdana"/>
            <w:noProof/>
            <w:webHidden/>
            <w:sz w:val="20"/>
            <w:szCs w:val="20"/>
          </w:rPr>
          <w:fldChar w:fldCharType="separate"/>
        </w:r>
        <w:r w:rsidR="005810EE">
          <w:rPr>
            <w:rFonts w:ascii="Verdana" w:hAnsi="Verdana"/>
            <w:noProof/>
            <w:webHidden/>
            <w:sz w:val="20"/>
            <w:szCs w:val="20"/>
          </w:rPr>
          <w:t>35</w:t>
        </w:r>
        <w:r w:rsidR="009D5837" w:rsidRPr="00B74567">
          <w:rPr>
            <w:rFonts w:ascii="Verdana" w:hAnsi="Verdana"/>
            <w:noProof/>
            <w:webHidden/>
            <w:sz w:val="20"/>
            <w:szCs w:val="20"/>
          </w:rPr>
          <w:fldChar w:fldCharType="end"/>
        </w:r>
      </w:hyperlink>
    </w:p>
    <w:p w14:paraId="2E5DA528" w14:textId="77777777" w:rsidR="009D5837" w:rsidRPr="00B74567" w:rsidRDefault="00D86616" w:rsidP="009D5837">
      <w:pPr>
        <w:pStyle w:val="TOC3"/>
        <w:tabs>
          <w:tab w:val="clear" w:pos="8828"/>
          <w:tab w:val="right" w:leader="dot" w:pos="8931"/>
        </w:tabs>
        <w:rPr>
          <w:rFonts w:ascii="Verdana" w:eastAsiaTheme="minorEastAsia" w:hAnsi="Verdana" w:cstheme="minorBidi"/>
          <w:noProof/>
          <w:sz w:val="20"/>
          <w:szCs w:val="20"/>
          <w:lang w:val="es-CR" w:eastAsia="es-CR"/>
        </w:rPr>
      </w:pPr>
      <w:hyperlink w:anchor="_Toc498333504" w:history="1">
        <w:r w:rsidR="009D5837" w:rsidRPr="00B74567">
          <w:rPr>
            <w:rStyle w:val="Hyperlink"/>
            <w:rFonts w:ascii="Verdana" w:hAnsi="Verdana"/>
            <w:i/>
            <w:noProof/>
            <w:sz w:val="20"/>
            <w:szCs w:val="20"/>
            <w:lang w:val="es-MX"/>
          </w:rPr>
          <w:t>1.2.2. Legalidad y finalidad</w:t>
        </w:r>
        <w:r w:rsidR="009D5837" w:rsidRPr="00B74567">
          <w:rPr>
            <w:rFonts w:ascii="Verdana" w:hAnsi="Verdana"/>
            <w:noProof/>
            <w:webHidden/>
            <w:sz w:val="20"/>
            <w:szCs w:val="20"/>
          </w:rPr>
          <w:tab/>
        </w:r>
        <w:r w:rsidR="009D5837" w:rsidRPr="00B74567">
          <w:rPr>
            <w:rFonts w:ascii="Verdana" w:hAnsi="Verdana"/>
            <w:noProof/>
            <w:webHidden/>
            <w:sz w:val="20"/>
            <w:szCs w:val="20"/>
          </w:rPr>
          <w:fldChar w:fldCharType="begin"/>
        </w:r>
        <w:r w:rsidR="009D5837" w:rsidRPr="00B74567">
          <w:rPr>
            <w:rFonts w:ascii="Verdana" w:hAnsi="Verdana"/>
            <w:noProof/>
            <w:webHidden/>
            <w:sz w:val="20"/>
            <w:szCs w:val="20"/>
          </w:rPr>
          <w:instrText xml:space="preserve"> PAGEREF _Toc498333504 \h </w:instrText>
        </w:r>
        <w:r w:rsidR="009D5837" w:rsidRPr="00B74567">
          <w:rPr>
            <w:rFonts w:ascii="Verdana" w:hAnsi="Verdana"/>
            <w:noProof/>
            <w:webHidden/>
            <w:sz w:val="20"/>
            <w:szCs w:val="20"/>
          </w:rPr>
        </w:r>
        <w:r w:rsidR="009D5837" w:rsidRPr="00B74567">
          <w:rPr>
            <w:rFonts w:ascii="Verdana" w:hAnsi="Verdana"/>
            <w:noProof/>
            <w:webHidden/>
            <w:sz w:val="20"/>
            <w:szCs w:val="20"/>
          </w:rPr>
          <w:fldChar w:fldCharType="separate"/>
        </w:r>
        <w:r w:rsidR="005810EE">
          <w:rPr>
            <w:rFonts w:ascii="Verdana" w:hAnsi="Verdana"/>
            <w:noProof/>
            <w:webHidden/>
            <w:sz w:val="20"/>
            <w:szCs w:val="20"/>
          </w:rPr>
          <w:t>39</w:t>
        </w:r>
        <w:r w:rsidR="009D5837" w:rsidRPr="00B74567">
          <w:rPr>
            <w:rFonts w:ascii="Verdana" w:hAnsi="Verdana"/>
            <w:noProof/>
            <w:webHidden/>
            <w:sz w:val="20"/>
            <w:szCs w:val="20"/>
          </w:rPr>
          <w:fldChar w:fldCharType="end"/>
        </w:r>
      </w:hyperlink>
    </w:p>
    <w:p w14:paraId="5995BB95" w14:textId="77777777" w:rsidR="009D5837" w:rsidRPr="00B74567" w:rsidRDefault="00D86616" w:rsidP="009D5837">
      <w:pPr>
        <w:pStyle w:val="TOC3"/>
        <w:tabs>
          <w:tab w:val="clear" w:pos="8828"/>
          <w:tab w:val="right" w:leader="dot" w:pos="8931"/>
        </w:tabs>
        <w:rPr>
          <w:rFonts w:ascii="Verdana" w:eastAsiaTheme="minorEastAsia" w:hAnsi="Verdana" w:cstheme="minorBidi"/>
          <w:noProof/>
          <w:sz w:val="20"/>
          <w:szCs w:val="20"/>
          <w:lang w:val="es-CR" w:eastAsia="es-CR"/>
        </w:rPr>
      </w:pPr>
      <w:hyperlink w:anchor="_Toc498333505" w:history="1">
        <w:r w:rsidR="009D5837" w:rsidRPr="00B74567">
          <w:rPr>
            <w:rStyle w:val="Hyperlink"/>
            <w:rFonts w:ascii="Verdana" w:hAnsi="Verdana"/>
            <w:i/>
            <w:noProof/>
            <w:sz w:val="20"/>
            <w:szCs w:val="20"/>
            <w:lang w:val="es-MX"/>
          </w:rPr>
          <w:t>1.2.3. Necesidad de la restricción y debida motivación</w:t>
        </w:r>
        <w:r w:rsidR="009D5837" w:rsidRPr="00B74567">
          <w:rPr>
            <w:rFonts w:ascii="Verdana" w:hAnsi="Verdana"/>
            <w:noProof/>
            <w:webHidden/>
            <w:sz w:val="20"/>
            <w:szCs w:val="20"/>
          </w:rPr>
          <w:tab/>
        </w:r>
        <w:r w:rsidR="009D5837" w:rsidRPr="00B74567">
          <w:rPr>
            <w:rFonts w:ascii="Verdana" w:hAnsi="Verdana"/>
            <w:noProof/>
            <w:webHidden/>
            <w:sz w:val="20"/>
            <w:szCs w:val="20"/>
          </w:rPr>
          <w:fldChar w:fldCharType="begin"/>
        </w:r>
        <w:r w:rsidR="009D5837" w:rsidRPr="00B74567">
          <w:rPr>
            <w:rFonts w:ascii="Verdana" w:hAnsi="Verdana"/>
            <w:noProof/>
            <w:webHidden/>
            <w:sz w:val="20"/>
            <w:szCs w:val="20"/>
          </w:rPr>
          <w:instrText xml:space="preserve"> PAGEREF _Toc498333505 \h </w:instrText>
        </w:r>
        <w:r w:rsidR="009D5837" w:rsidRPr="00B74567">
          <w:rPr>
            <w:rFonts w:ascii="Verdana" w:hAnsi="Verdana"/>
            <w:noProof/>
            <w:webHidden/>
            <w:sz w:val="20"/>
            <w:szCs w:val="20"/>
          </w:rPr>
        </w:r>
        <w:r w:rsidR="009D5837" w:rsidRPr="00B74567">
          <w:rPr>
            <w:rFonts w:ascii="Verdana" w:hAnsi="Verdana"/>
            <w:noProof/>
            <w:webHidden/>
            <w:sz w:val="20"/>
            <w:szCs w:val="20"/>
          </w:rPr>
          <w:fldChar w:fldCharType="separate"/>
        </w:r>
        <w:r w:rsidR="005810EE">
          <w:rPr>
            <w:rFonts w:ascii="Verdana" w:hAnsi="Verdana"/>
            <w:noProof/>
            <w:webHidden/>
            <w:sz w:val="20"/>
            <w:szCs w:val="20"/>
          </w:rPr>
          <w:t>40</w:t>
        </w:r>
        <w:r w:rsidR="009D5837" w:rsidRPr="00B74567">
          <w:rPr>
            <w:rFonts w:ascii="Verdana" w:hAnsi="Verdana"/>
            <w:noProof/>
            <w:webHidden/>
            <w:sz w:val="20"/>
            <w:szCs w:val="20"/>
          </w:rPr>
          <w:fldChar w:fldCharType="end"/>
        </w:r>
      </w:hyperlink>
    </w:p>
    <w:p w14:paraId="604A2AFA" w14:textId="77777777" w:rsidR="009D5837" w:rsidRPr="00B74567" w:rsidRDefault="00D86616" w:rsidP="009D5837">
      <w:pPr>
        <w:pStyle w:val="TOC3"/>
        <w:tabs>
          <w:tab w:val="clear" w:pos="8828"/>
          <w:tab w:val="right" w:leader="dot" w:pos="8931"/>
        </w:tabs>
        <w:rPr>
          <w:rFonts w:ascii="Verdana" w:eastAsiaTheme="minorEastAsia" w:hAnsi="Verdana" w:cstheme="minorBidi"/>
          <w:noProof/>
          <w:sz w:val="20"/>
          <w:szCs w:val="20"/>
          <w:lang w:val="es-CR" w:eastAsia="es-CR"/>
        </w:rPr>
      </w:pPr>
      <w:hyperlink w:anchor="_Toc498333506" w:history="1">
        <w:r w:rsidR="009D5837" w:rsidRPr="00B74567">
          <w:rPr>
            <w:rStyle w:val="Hyperlink"/>
            <w:rFonts w:ascii="Verdana" w:hAnsi="Verdana"/>
            <w:i/>
            <w:noProof/>
            <w:sz w:val="20"/>
            <w:szCs w:val="20"/>
          </w:rPr>
          <w:t>2.</w:t>
        </w:r>
        <w:r w:rsidR="009D5837" w:rsidRPr="00B74567">
          <w:rPr>
            <w:rFonts w:ascii="Verdana" w:eastAsiaTheme="minorEastAsia" w:hAnsi="Verdana" w:cstheme="minorBidi"/>
            <w:noProof/>
            <w:sz w:val="20"/>
            <w:szCs w:val="20"/>
            <w:lang w:val="es-CR" w:eastAsia="es-CR"/>
          </w:rPr>
          <w:tab/>
        </w:r>
        <w:r w:rsidR="009D5837" w:rsidRPr="00B74567">
          <w:rPr>
            <w:rStyle w:val="Hyperlink"/>
            <w:rFonts w:ascii="Verdana" w:hAnsi="Verdana"/>
            <w:i/>
            <w:noProof/>
            <w:sz w:val="20"/>
            <w:szCs w:val="20"/>
          </w:rPr>
          <w:t>Vulneración a la estabilidad laboral</w:t>
        </w:r>
        <w:r w:rsidR="009D5837" w:rsidRPr="00B74567">
          <w:rPr>
            <w:rFonts w:ascii="Verdana" w:hAnsi="Verdana"/>
            <w:noProof/>
            <w:webHidden/>
            <w:sz w:val="20"/>
            <w:szCs w:val="20"/>
          </w:rPr>
          <w:tab/>
        </w:r>
        <w:r w:rsidR="009D5837" w:rsidRPr="00B74567">
          <w:rPr>
            <w:rFonts w:ascii="Verdana" w:hAnsi="Verdana"/>
            <w:noProof/>
            <w:webHidden/>
            <w:sz w:val="20"/>
            <w:szCs w:val="20"/>
          </w:rPr>
          <w:fldChar w:fldCharType="begin"/>
        </w:r>
        <w:r w:rsidR="009D5837" w:rsidRPr="00B74567">
          <w:rPr>
            <w:rFonts w:ascii="Verdana" w:hAnsi="Verdana"/>
            <w:noProof/>
            <w:webHidden/>
            <w:sz w:val="20"/>
            <w:szCs w:val="20"/>
          </w:rPr>
          <w:instrText xml:space="preserve"> PAGEREF _Toc498333506 \h </w:instrText>
        </w:r>
        <w:r w:rsidR="009D5837" w:rsidRPr="00B74567">
          <w:rPr>
            <w:rFonts w:ascii="Verdana" w:hAnsi="Verdana"/>
            <w:noProof/>
            <w:webHidden/>
            <w:sz w:val="20"/>
            <w:szCs w:val="20"/>
          </w:rPr>
        </w:r>
        <w:r w:rsidR="009D5837" w:rsidRPr="00B74567">
          <w:rPr>
            <w:rFonts w:ascii="Verdana" w:hAnsi="Verdana"/>
            <w:noProof/>
            <w:webHidden/>
            <w:sz w:val="20"/>
            <w:szCs w:val="20"/>
          </w:rPr>
          <w:fldChar w:fldCharType="separate"/>
        </w:r>
        <w:r w:rsidR="005810EE">
          <w:rPr>
            <w:rFonts w:ascii="Verdana" w:hAnsi="Verdana"/>
            <w:noProof/>
            <w:webHidden/>
            <w:sz w:val="20"/>
            <w:szCs w:val="20"/>
          </w:rPr>
          <w:t>42</w:t>
        </w:r>
        <w:r w:rsidR="009D5837" w:rsidRPr="00B74567">
          <w:rPr>
            <w:rFonts w:ascii="Verdana" w:hAnsi="Verdana"/>
            <w:noProof/>
            <w:webHidden/>
            <w:sz w:val="20"/>
            <w:szCs w:val="20"/>
          </w:rPr>
          <w:fldChar w:fldCharType="end"/>
        </w:r>
      </w:hyperlink>
    </w:p>
    <w:p w14:paraId="185FAF96" w14:textId="77777777" w:rsidR="009D5837" w:rsidRPr="00B74567" w:rsidRDefault="00D86616" w:rsidP="009D5837">
      <w:pPr>
        <w:pStyle w:val="TOC3"/>
        <w:tabs>
          <w:tab w:val="clear" w:pos="8828"/>
          <w:tab w:val="right" w:leader="dot" w:pos="8931"/>
        </w:tabs>
        <w:rPr>
          <w:rFonts w:ascii="Verdana" w:eastAsiaTheme="minorEastAsia" w:hAnsi="Verdana" w:cstheme="minorBidi"/>
          <w:noProof/>
          <w:sz w:val="20"/>
          <w:szCs w:val="20"/>
          <w:lang w:val="es-CR" w:eastAsia="es-CR"/>
        </w:rPr>
      </w:pPr>
      <w:hyperlink w:anchor="_Toc498333507" w:history="1">
        <w:r w:rsidR="009D5837" w:rsidRPr="00B74567">
          <w:rPr>
            <w:rStyle w:val="Hyperlink"/>
            <w:rFonts w:ascii="Verdana" w:hAnsi="Verdana"/>
            <w:i/>
            <w:noProof/>
            <w:sz w:val="20"/>
            <w:szCs w:val="20"/>
          </w:rPr>
          <w:t>2.1</w:t>
        </w:r>
        <w:r w:rsidR="009D5837" w:rsidRPr="00B74567">
          <w:rPr>
            <w:rFonts w:ascii="Verdana" w:eastAsiaTheme="minorEastAsia" w:hAnsi="Verdana" w:cstheme="minorBidi"/>
            <w:noProof/>
            <w:sz w:val="20"/>
            <w:szCs w:val="20"/>
            <w:lang w:val="es-CR" w:eastAsia="es-CR"/>
          </w:rPr>
          <w:tab/>
        </w:r>
        <w:r w:rsidR="009D5837" w:rsidRPr="00B74567">
          <w:rPr>
            <w:rStyle w:val="Hyperlink"/>
            <w:rFonts w:ascii="Verdana" w:hAnsi="Verdana"/>
            <w:i/>
            <w:noProof/>
            <w:sz w:val="20"/>
            <w:szCs w:val="20"/>
          </w:rPr>
          <w:t>Alegatos relativos a derechos laborales</w:t>
        </w:r>
        <w:r w:rsidR="009D5837" w:rsidRPr="00B74567">
          <w:rPr>
            <w:rFonts w:ascii="Verdana" w:hAnsi="Verdana"/>
            <w:noProof/>
            <w:webHidden/>
            <w:sz w:val="20"/>
            <w:szCs w:val="20"/>
          </w:rPr>
          <w:tab/>
        </w:r>
        <w:r w:rsidR="009D5837" w:rsidRPr="00B74567">
          <w:rPr>
            <w:rFonts w:ascii="Verdana" w:hAnsi="Verdana"/>
            <w:noProof/>
            <w:webHidden/>
            <w:sz w:val="20"/>
            <w:szCs w:val="20"/>
          </w:rPr>
          <w:fldChar w:fldCharType="begin"/>
        </w:r>
        <w:r w:rsidR="009D5837" w:rsidRPr="00B74567">
          <w:rPr>
            <w:rFonts w:ascii="Verdana" w:hAnsi="Verdana"/>
            <w:noProof/>
            <w:webHidden/>
            <w:sz w:val="20"/>
            <w:szCs w:val="20"/>
          </w:rPr>
          <w:instrText xml:space="preserve"> PAGEREF _Toc498333507 \h </w:instrText>
        </w:r>
        <w:r w:rsidR="009D5837" w:rsidRPr="00B74567">
          <w:rPr>
            <w:rFonts w:ascii="Verdana" w:hAnsi="Verdana"/>
            <w:noProof/>
            <w:webHidden/>
            <w:sz w:val="20"/>
            <w:szCs w:val="20"/>
          </w:rPr>
        </w:r>
        <w:r w:rsidR="009D5837" w:rsidRPr="00B74567">
          <w:rPr>
            <w:rFonts w:ascii="Verdana" w:hAnsi="Verdana"/>
            <w:noProof/>
            <w:webHidden/>
            <w:sz w:val="20"/>
            <w:szCs w:val="20"/>
          </w:rPr>
          <w:fldChar w:fldCharType="separate"/>
        </w:r>
        <w:r w:rsidR="005810EE">
          <w:rPr>
            <w:rFonts w:ascii="Verdana" w:hAnsi="Verdana"/>
            <w:noProof/>
            <w:webHidden/>
            <w:sz w:val="20"/>
            <w:szCs w:val="20"/>
          </w:rPr>
          <w:t>42</w:t>
        </w:r>
        <w:r w:rsidR="009D5837" w:rsidRPr="00B74567">
          <w:rPr>
            <w:rFonts w:ascii="Verdana" w:hAnsi="Verdana"/>
            <w:noProof/>
            <w:webHidden/>
            <w:sz w:val="20"/>
            <w:szCs w:val="20"/>
          </w:rPr>
          <w:fldChar w:fldCharType="end"/>
        </w:r>
      </w:hyperlink>
    </w:p>
    <w:p w14:paraId="29DFBD26" w14:textId="77777777" w:rsidR="009D5837" w:rsidRPr="00B74567" w:rsidRDefault="00D86616" w:rsidP="009D5837">
      <w:pPr>
        <w:pStyle w:val="TOC3"/>
        <w:tabs>
          <w:tab w:val="clear" w:pos="8828"/>
          <w:tab w:val="right" w:leader="dot" w:pos="8931"/>
        </w:tabs>
        <w:rPr>
          <w:rFonts w:ascii="Verdana" w:eastAsiaTheme="minorEastAsia" w:hAnsi="Verdana" w:cstheme="minorBidi"/>
          <w:noProof/>
          <w:sz w:val="20"/>
          <w:szCs w:val="20"/>
          <w:lang w:val="es-CR" w:eastAsia="es-CR"/>
        </w:rPr>
      </w:pPr>
      <w:hyperlink w:anchor="_Toc498333508" w:history="1">
        <w:r w:rsidR="009D5837" w:rsidRPr="00B74567">
          <w:rPr>
            <w:rStyle w:val="Hyperlink"/>
            <w:rFonts w:ascii="Verdana" w:hAnsi="Verdana"/>
            <w:i/>
            <w:noProof/>
            <w:sz w:val="20"/>
            <w:szCs w:val="20"/>
          </w:rPr>
          <w:t>2.2</w:t>
        </w:r>
        <w:r w:rsidR="009D5837" w:rsidRPr="00B74567">
          <w:rPr>
            <w:rFonts w:ascii="Verdana" w:eastAsiaTheme="minorEastAsia" w:hAnsi="Verdana" w:cstheme="minorBidi"/>
            <w:noProof/>
            <w:sz w:val="20"/>
            <w:szCs w:val="20"/>
            <w:lang w:val="es-CR" w:eastAsia="es-CR"/>
          </w:rPr>
          <w:tab/>
        </w:r>
        <w:r w:rsidR="009D5837" w:rsidRPr="00B74567">
          <w:rPr>
            <w:rStyle w:val="Hyperlink"/>
            <w:rFonts w:ascii="Verdana" w:hAnsi="Verdana"/>
            <w:i/>
            <w:noProof/>
            <w:sz w:val="20"/>
            <w:szCs w:val="20"/>
          </w:rPr>
          <w:t>El derecho a la estabilidad laboral como derecho protegido</w:t>
        </w:r>
        <w:r w:rsidR="009D5837" w:rsidRPr="00B74567">
          <w:rPr>
            <w:rFonts w:ascii="Verdana" w:hAnsi="Verdana"/>
            <w:noProof/>
            <w:webHidden/>
            <w:sz w:val="20"/>
            <w:szCs w:val="20"/>
          </w:rPr>
          <w:tab/>
        </w:r>
        <w:r w:rsidR="009D5837" w:rsidRPr="00B74567">
          <w:rPr>
            <w:rFonts w:ascii="Verdana" w:hAnsi="Verdana"/>
            <w:noProof/>
            <w:webHidden/>
            <w:sz w:val="20"/>
            <w:szCs w:val="20"/>
          </w:rPr>
          <w:fldChar w:fldCharType="begin"/>
        </w:r>
        <w:r w:rsidR="009D5837" w:rsidRPr="00B74567">
          <w:rPr>
            <w:rFonts w:ascii="Verdana" w:hAnsi="Verdana"/>
            <w:noProof/>
            <w:webHidden/>
            <w:sz w:val="20"/>
            <w:szCs w:val="20"/>
          </w:rPr>
          <w:instrText xml:space="preserve"> PAGEREF _Toc498333508 \h </w:instrText>
        </w:r>
        <w:r w:rsidR="009D5837" w:rsidRPr="00B74567">
          <w:rPr>
            <w:rFonts w:ascii="Verdana" w:hAnsi="Verdana"/>
            <w:noProof/>
            <w:webHidden/>
            <w:sz w:val="20"/>
            <w:szCs w:val="20"/>
          </w:rPr>
        </w:r>
        <w:r w:rsidR="009D5837" w:rsidRPr="00B74567">
          <w:rPr>
            <w:rFonts w:ascii="Verdana" w:hAnsi="Verdana"/>
            <w:noProof/>
            <w:webHidden/>
            <w:sz w:val="20"/>
            <w:szCs w:val="20"/>
          </w:rPr>
          <w:fldChar w:fldCharType="separate"/>
        </w:r>
        <w:r w:rsidR="005810EE">
          <w:rPr>
            <w:rFonts w:ascii="Verdana" w:hAnsi="Verdana"/>
            <w:noProof/>
            <w:webHidden/>
            <w:sz w:val="20"/>
            <w:szCs w:val="20"/>
          </w:rPr>
          <w:t>46</w:t>
        </w:r>
        <w:r w:rsidR="009D5837" w:rsidRPr="00B74567">
          <w:rPr>
            <w:rFonts w:ascii="Verdana" w:hAnsi="Verdana"/>
            <w:noProof/>
            <w:webHidden/>
            <w:sz w:val="20"/>
            <w:szCs w:val="20"/>
          </w:rPr>
          <w:fldChar w:fldCharType="end"/>
        </w:r>
      </w:hyperlink>
    </w:p>
    <w:p w14:paraId="0768225D" w14:textId="77777777" w:rsidR="009D5837" w:rsidRPr="00B74567" w:rsidRDefault="00D86616" w:rsidP="009D5837">
      <w:pPr>
        <w:pStyle w:val="TOC3"/>
        <w:tabs>
          <w:tab w:val="clear" w:pos="8828"/>
          <w:tab w:val="right" w:leader="dot" w:pos="8931"/>
        </w:tabs>
        <w:rPr>
          <w:rFonts w:ascii="Verdana" w:eastAsiaTheme="minorEastAsia" w:hAnsi="Verdana" w:cstheme="minorBidi"/>
          <w:noProof/>
          <w:sz w:val="20"/>
          <w:szCs w:val="20"/>
          <w:lang w:val="es-CR" w:eastAsia="es-CR"/>
        </w:rPr>
      </w:pPr>
      <w:hyperlink w:anchor="_Toc498333509" w:history="1">
        <w:r w:rsidR="009D5837" w:rsidRPr="00B74567">
          <w:rPr>
            <w:rStyle w:val="Hyperlink"/>
            <w:rFonts w:ascii="Verdana" w:hAnsi="Verdana"/>
            <w:i/>
            <w:noProof/>
            <w:sz w:val="20"/>
            <w:szCs w:val="20"/>
            <w:lang w:val="es-MX"/>
          </w:rPr>
          <w:t>3.</w:t>
        </w:r>
        <w:r w:rsidR="009D5837" w:rsidRPr="00B74567">
          <w:rPr>
            <w:rFonts w:ascii="Verdana" w:eastAsiaTheme="minorEastAsia" w:hAnsi="Verdana" w:cstheme="minorBidi"/>
            <w:noProof/>
            <w:sz w:val="20"/>
            <w:szCs w:val="20"/>
            <w:lang w:val="es-CR" w:eastAsia="es-CR"/>
          </w:rPr>
          <w:tab/>
        </w:r>
        <w:r w:rsidR="009D5837" w:rsidRPr="00B74567">
          <w:rPr>
            <w:rStyle w:val="Hyperlink"/>
            <w:rFonts w:ascii="Verdana" w:hAnsi="Verdana"/>
            <w:i/>
            <w:noProof/>
            <w:sz w:val="20"/>
            <w:szCs w:val="20"/>
            <w:lang w:val="es-MX"/>
          </w:rPr>
          <w:t>Afectaciones a la libertad de asociación</w:t>
        </w:r>
        <w:r w:rsidR="009D5837" w:rsidRPr="00B74567">
          <w:rPr>
            <w:rFonts w:ascii="Verdana" w:hAnsi="Verdana"/>
            <w:noProof/>
            <w:webHidden/>
            <w:sz w:val="20"/>
            <w:szCs w:val="20"/>
          </w:rPr>
          <w:tab/>
        </w:r>
        <w:r w:rsidR="009D5837" w:rsidRPr="00B74567">
          <w:rPr>
            <w:rFonts w:ascii="Verdana" w:hAnsi="Verdana"/>
            <w:noProof/>
            <w:webHidden/>
            <w:sz w:val="20"/>
            <w:szCs w:val="20"/>
          </w:rPr>
          <w:fldChar w:fldCharType="begin"/>
        </w:r>
        <w:r w:rsidR="009D5837" w:rsidRPr="00B74567">
          <w:rPr>
            <w:rFonts w:ascii="Verdana" w:hAnsi="Verdana"/>
            <w:noProof/>
            <w:webHidden/>
            <w:sz w:val="20"/>
            <w:szCs w:val="20"/>
          </w:rPr>
          <w:instrText xml:space="preserve"> PAGEREF _Toc498333509 \h </w:instrText>
        </w:r>
        <w:r w:rsidR="009D5837" w:rsidRPr="00B74567">
          <w:rPr>
            <w:rFonts w:ascii="Verdana" w:hAnsi="Verdana"/>
            <w:noProof/>
            <w:webHidden/>
            <w:sz w:val="20"/>
            <w:szCs w:val="20"/>
          </w:rPr>
        </w:r>
        <w:r w:rsidR="009D5837" w:rsidRPr="00B74567">
          <w:rPr>
            <w:rFonts w:ascii="Verdana" w:hAnsi="Verdana"/>
            <w:noProof/>
            <w:webHidden/>
            <w:sz w:val="20"/>
            <w:szCs w:val="20"/>
          </w:rPr>
          <w:fldChar w:fldCharType="separate"/>
        </w:r>
        <w:r w:rsidR="005810EE">
          <w:rPr>
            <w:rFonts w:ascii="Verdana" w:hAnsi="Verdana"/>
            <w:noProof/>
            <w:webHidden/>
            <w:sz w:val="20"/>
            <w:szCs w:val="20"/>
          </w:rPr>
          <w:t>51</w:t>
        </w:r>
        <w:r w:rsidR="009D5837" w:rsidRPr="00B74567">
          <w:rPr>
            <w:rFonts w:ascii="Verdana" w:hAnsi="Verdana"/>
            <w:noProof/>
            <w:webHidden/>
            <w:sz w:val="20"/>
            <w:szCs w:val="20"/>
          </w:rPr>
          <w:fldChar w:fldCharType="end"/>
        </w:r>
      </w:hyperlink>
    </w:p>
    <w:p w14:paraId="40FB0F2B" w14:textId="77777777" w:rsidR="009D5837" w:rsidRPr="00B74567" w:rsidRDefault="00D86616" w:rsidP="009D5837">
      <w:pPr>
        <w:pStyle w:val="TOC3"/>
        <w:tabs>
          <w:tab w:val="clear" w:pos="8828"/>
          <w:tab w:val="right" w:leader="dot" w:pos="8931"/>
        </w:tabs>
        <w:rPr>
          <w:rFonts w:ascii="Verdana" w:eastAsiaTheme="minorEastAsia" w:hAnsi="Verdana" w:cstheme="minorBidi"/>
          <w:noProof/>
          <w:sz w:val="20"/>
          <w:szCs w:val="20"/>
          <w:lang w:val="es-CR" w:eastAsia="es-CR"/>
        </w:rPr>
      </w:pPr>
      <w:hyperlink w:anchor="_Toc498333510" w:history="1">
        <w:r w:rsidR="009D5837" w:rsidRPr="00B74567">
          <w:rPr>
            <w:rStyle w:val="Hyperlink"/>
            <w:rFonts w:ascii="Verdana" w:hAnsi="Verdana"/>
            <w:i/>
            <w:noProof/>
            <w:sz w:val="20"/>
            <w:szCs w:val="20"/>
            <w:lang w:val="es-MX"/>
          </w:rPr>
          <w:t>4.</w:t>
        </w:r>
        <w:r w:rsidR="009D5837" w:rsidRPr="00B74567">
          <w:rPr>
            <w:rFonts w:ascii="Verdana" w:eastAsiaTheme="minorEastAsia" w:hAnsi="Verdana" w:cstheme="minorBidi"/>
            <w:noProof/>
            <w:sz w:val="20"/>
            <w:szCs w:val="20"/>
            <w:lang w:val="es-CR" w:eastAsia="es-CR"/>
          </w:rPr>
          <w:tab/>
        </w:r>
        <w:r w:rsidR="009D5837" w:rsidRPr="00B74567">
          <w:rPr>
            <w:rStyle w:val="Hyperlink"/>
            <w:rFonts w:ascii="Verdana" w:hAnsi="Verdana"/>
            <w:i/>
            <w:noProof/>
            <w:sz w:val="20"/>
            <w:szCs w:val="20"/>
            <w:lang w:val="es-MX"/>
          </w:rPr>
          <w:t>Deber de adoptar disposiciones de derecho interno</w:t>
        </w:r>
        <w:r w:rsidR="009D5837" w:rsidRPr="00B74567">
          <w:rPr>
            <w:rFonts w:ascii="Verdana" w:hAnsi="Verdana"/>
            <w:noProof/>
            <w:webHidden/>
            <w:sz w:val="20"/>
            <w:szCs w:val="20"/>
          </w:rPr>
          <w:tab/>
        </w:r>
        <w:r w:rsidR="009D5837" w:rsidRPr="00B74567">
          <w:rPr>
            <w:rFonts w:ascii="Verdana" w:hAnsi="Verdana"/>
            <w:noProof/>
            <w:webHidden/>
            <w:sz w:val="20"/>
            <w:szCs w:val="20"/>
          </w:rPr>
          <w:fldChar w:fldCharType="begin"/>
        </w:r>
        <w:r w:rsidR="009D5837" w:rsidRPr="00B74567">
          <w:rPr>
            <w:rFonts w:ascii="Verdana" w:hAnsi="Verdana"/>
            <w:noProof/>
            <w:webHidden/>
            <w:sz w:val="20"/>
            <w:szCs w:val="20"/>
          </w:rPr>
          <w:instrText xml:space="preserve"> PAGEREF _Toc498333510 \h </w:instrText>
        </w:r>
        <w:r w:rsidR="009D5837" w:rsidRPr="00B74567">
          <w:rPr>
            <w:rFonts w:ascii="Verdana" w:hAnsi="Verdana"/>
            <w:noProof/>
            <w:webHidden/>
            <w:sz w:val="20"/>
            <w:szCs w:val="20"/>
          </w:rPr>
        </w:r>
        <w:r w:rsidR="009D5837" w:rsidRPr="00B74567">
          <w:rPr>
            <w:rFonts w:ascii="Verdana" w:hAnsi="Verdana"/>
            <w:noProof/>
            <w:webHidden/>
            <w:sz w:val="20"/>
            <w:szCs w:val="20"/>
          </w:rPr>
          <w:fldChar w:fldCharType="separate"/>
        </w:r>
        <w:r w:rsidR="005810EE">
          <w:rPr>
            <w:rFonts w:ascii="Verdana" w:hAnsi="Verdana"/>
            <w:noProof/>
            <w:webHidden/>
            <w:sz w:val="20"/>
            <w:szCs w:val="20"/>
          </w:rPr>
          <w:t>54</w:t>
        </w:r>
        <w:r w:rsidR="009D5837" w:rsidRPr="00B74567">
          <w:rPr>
            <w:rFonts w:ascii="Verdana" w:hAnsi="Verdana"/>
            <w:noProof/>
            <w:webHidden/>
            <w:sz w:val="20"/>
            <w:szCs w:val="20"/>
          </w:rPr>
          <w:fldChar w:fldCharType="end"/>
        </w:r>
      </w:hyperlink>
    </w:p>
    <w:p w14:paraId="7A81C619" w14:textId="77777777" w:rsidR="009D5837" w:rsidRPr="00B74567" w:rsidRDefault="00D86616" w:rsidP="009D5837">
      <w:pPr>
        <w:pStyle w:val="TOC3"/>
        <w:tabs>
          <w:tab w:val="clear" w:pos="8828"/>
          <w:tab w:val="right" w:leader="dot" w:pos="8931"/>
        </w:tabs>
        <w:rPr>
          <w:rFonts w:ascii="Verdana" w:eastAsiaTheme="minorEastAsia" w:hAnsi="Verdana" w:cstheme="minorBidi"/>
          <w:noProof/>
          <w:sz w:val="20"/>
          <w:szCs w:val="20"/>
          <w:lang w:val="es-CR" w:eastAsia="es-CR"/>
        </w:rPr>
      </w:pPr>
      <w:hyperlink w:anchor="_Toc498333511" w:history="1">
        <w:r w:rsidR="009D5837" w:rsidRPr="00B74567">
          <w:rPr>
            <w:rStyle w:val="Hyperlink"/>
            <w:rFonts w:ascii="Verdana" w:hAnsi="Verdana"/>
            <w:i/>
            <w:noProof/>
            <w:sz w:val="20"/>
            <w:szCs w:val="20"/>
          </w:rPr>
          <w:t>5.</w:t>
        </w:r>
        <w:r w:rsidR="009D5837" w:rsidRPr="00B74567">
          <w:rPr>
            <w:rFonts w:ascii="Verdana" w:eastAsiaTheme="minorEastAsia" w:hAnsi="Verdana" w:cstheme="minorBidi"/>
            <w:noProof/>
            <w:sz w:val="20"/>
            <w:szCs w:val="20"/>
            <w:lang w:val="es-CR" w:eastAsia="es-CR"/>
          </w:rPr>
          <w:tab/>
        </w:r>
        <w:r w:rsidR="009D5837" w:rsidRPr="00B74567">
          <w:rPr>
            <w:rStyle w:val="Hyperlink"/>
            <w:rFonts w:ascii="Verdana" w:hAnsi="Verdana"/>
            <w:i/>
            <w:noProof/>
            <w:sz w:val="20"/>
            <w:szCs w:val="20"/>
            <w:lang w:val="es-MX"/>
          </w:rPr>
          <w:t>Conclusión General</w:t>
        </w:r>
        <w:r w:rsidR="009D5837" w:rsidRPr="00B74567">
          <w:rPr>
            <w:rFonts w:ascii="Verdana" w:hAnsi="Verdana"/>
            <w:noProof/>
            <w:webHidden/>
            <w:sz w:val="20"/>
            <w:szCs w:val="20"/>
          </w:rPr>
          <w:tab/>
        </w:r>
        <w:r w:rsidR="009D5837" w:rsidRPr="00B74567">
          <w:rPr>
            <w:rFonts w:ascii="Verdana" w:hAnsi="Verdana"/>
            <w:noProof/>
            <w:webHidden/>
            <w:sz w:val="20"/>
            <w:szCs w:val="20"/>
          </w:rPr>
          <w:fldChar w:fldCharType="begin"/>
        </w:r>
        <w:r w:rsidR="009D5837" w:rsidRPr="00B74567">
          <w:rPr>
            <w:rFonts w:ascii="Verdana" w:hAnsi="Verdana"/>
            <w:noProof/>
            <w:webHidden/>
            <w:sz w:val="20"/>
            <w:szCs w:val="20"/>
          </w:rPr>
          <w:instrText xml:space="preserve"> PAGEREF _Toc498333511 \h </w:instrText>
        </w:r>
        <w:r w:rsidR="009D5837" w:rsidRPr="00B74567">
          <w:rPr>
            <w:rFonts w:ascii="Verdana" w:hAnsi="Verdana"/>
            <w:noProof/>
            <w:webHidden/>
            <w:sz w:val="20"/>
            <w:szCs w:val="20"/>
          </w:rPr>
        </w:r>
        <w:r w:rsidR="009D5837" w:rsidRPr="00B74567">
          <w:rPr>
            <w:rFonts w:ascii="Verdana" w:hAnsi="Verdana"/>
            <w:noProof/>
            <w:webHidden/>
            <w:sz w:val="20"/>
            <w:szCs w:val="20"/>
          </w:rPr>
          <w:fldChar w:fldCharType="separate"/>
        </w:r>
        <w:r w:rsidR="005810EE">
          <w:rPr>
            <w:rFonts w:ascii="Verdana" w:hAnsi="Verdana"/>
            <w:noProof/>
            <w:webHidden/>
            <w:sz w:val="20"/>
            <w:szCs w:val="20"/>
          </w:rPr>
          <w:t>54</w:t>
        </w:r>
        <w:r w:rsidR="009D5837" w:rsidRPr="00B74567">
          <w:rPr>
            <w:rFonts w:ascii="Verdana" w:hAnsi="Verdana"/>
            <w:noProof/>
            <w:webHidden/>
            <w:sz w:val="20"/>
            <w:szCs w:val="20"/>
          </w:rPr>
          <w:fldChar w:fldCharType="end"/>
        </w:r>
      </w:hyperlink>
    </w:p>
    <w:p w14:paraId="6FA0C12B" w14:textId="70480073" w:rsidR="009D5837" w:rsidRPr="00B74567" w:rsidRDefault="00D86616" w:rsidP="009D5837">
      <w:pPr>
        <w:pStyle w:val="TOC1"/>
        <w:rPr>
          <w:rStyle w:val="Hyperlink"/>
          <w:rFonts w:eastAsiaTheme="minorEastAsia" w:cstheme="minorBidi"/>
          <w:b w:val="0"/>
          <w:caps w:val="0"/>
          <w:snapToGrid/>
          <w:color w:val="auto"/>
          <w:u w:val="none"/>
          <w:lang w:val="es-CR" w:eastAsia="es-CR"/>
        </w:rPr>
      </w:pPr>
      <w:hyperlink w:anchor="_Toc498333512" w:history="1">
        <w:r w:rsidR="009D5837" w:rsidRPr="00B74567">
          <w:rPr>
            <w:rStyle w:val="Hyperlink"/>
            <w:rFonts w:cs="Verdana"/>
          </w:rPr>
          <w:t>VII-2</w:t>
        </w:r>
      </w:hyperlink>
      <w:r w:rsidR="009D5837" w:rsidRPr="00B74567">
        <w:rPr>
          <w:rStyle w:val="Hyperlink"/>
          <w:u w:val="none"/>
        </w:rPr>
        <w:t xml:space="preserve">  </w:t>
      </w:r>
      <w:hyperlink w:anchor="_Toc498333513" w:history="1">
        <w:r w:rsidR="009D5837" w:rsidRPr="00B74567">
          <w:rPr>
            <w:rStyle w:val="Hyperlink"/>
            <w:rFonts w:cs="Verdana"/>
          </w:rPr>
          <w:t>ACCESO A LA JUSTICIA</w:t>
        </w:r>
      </w:hyperlink>
      <w:r w:rsidR="009D5837" w:rsidRPr="00B74567">
        <w:rPr>
          <w:rStyle w:val="Hyperlink"/>
        </w:rPr>
        <w:t xml:space="preserve"> </w:t>
      </w:r>
    </w:p>
    <w:p w14:paraId="6B2C1896" w14:textId="051F7A39" w:rsidR="009D5837" w:rsidRPr="00B74567" w:rsidRDefault="00D86616" w:rsidP="009D5837">
      <w:pPr>
        <w:pStyle w:val="TOC1"/>
        <w:rPr>
          <w:rFonts w:eastAsiaTheme="minorEastAsia" w:cstheme="minorBidi"/>
          <w:snapToGrid/>
          <w:lang w:val="es-CR" w:eastAsia="es-CR"/>
        </w:rPr>
      </w:pPr>
      <w:hyperlink w:anchor="_Toc498333514" w:history="1">
        <w:r w:rsidR="009D5837" w:rsidRPr="00B74567">
          <w:rPr>
            <w:rStyle w:val="Hyperlink"/>
            <w:rFonts w:cs="Verdana"/>
          </w:rPr>
          <w:t>(ARTÍCULOS 8 y 25 DE LA CONVENCION AMERICANA)</w:t>
        </w:r>
        <w:r w:rsidR="009D5837" w:rsidRPr="00B74567">
          <w:rPr>
            <w:webHidden/>
          </w:rPr>
          <w:tab/>
        </w:r>
        <w:r w:rsidR="009D5837" w:rsidRPr="00B74567">
          <w:rPr>
            <w:webHidden/>
          </w:rPr>
          <w:fldChar w:fldCharType="begin"/>
        </w:r>
        <w:r w:rsidR="009D5837" w:rsidRPr="00B74567">
          <w:rPr>
            <w:webHidden/>
          </w:rPr>
          <w:instrText xml:space="preserve"> PAGEREF _Toc498333514 \h </w:instrText>
        </w:r>
        <w:r w:rsidR="009D5837" w:rsidRPr="00B74567">
          <w:rPr>
            <w:webHidden/>
          </w:rPr>
        </w:r>
        <w:r w:rsidR="009D5837" w:rsidRPr="00B74567">
          <w:rPr>
            <w:webHidden/>
          </w:rPr>
          <w:fldChar w:fldCharType="separate"/>
        </w:r>
        <w:r w:rsidR="005810EE">
          <w:rPr>
            <w:webHidden/>
          </w:rPr>
          <w:t>54</w:t>
        </w:r>
        <w:r w:rsidR="009D5837" w:rsidRPr="00B74567">
          <w:rPr>
            <w:webHidden/>
          </w:rPr>
          <w:fldChar w:fldCharType="end"/>
        </w:r>
      </w:hyperlink>
    </w:p>
    <w:p w14:paraId="15B816AD" w14:textId="77777777" w:rsidR="009D5837" w:rsidRPr="00B74567" w:rsidRDefault="00D86616" w:rsidP="00167383">
      <w:pPr>
        <w:pStyle w:val="TOC2"/>
        <w:rPr>
          <w:rFonts w:ascii="Verdana" w:eastAsiaTheme="minorEastAsia" w:hAnsi="Verdana" w:cstheme="minorBidi"/>
          <w:noProof/>
          <w:sz w:val="20"/>
          <w:szCs w:val="20"/>
          <w:lang w:val="es-CR" w:eastAsia="es-CR"/>
        </w:rPr>
      </w:pPr>
      <w:hyperlink w:anchor="_Toc498333515" w:history="1">
        <w:r w:rsidR="009D5837" w:rsidRPr="00B74567">
          <w:rPr>
            <w:rStyle w:val="Hyperlink"/>
            <w:rFonts w:ascii="Verdana" w:hAnsi="Verdana"/>
            <w:i/>
            <w:noProof/>
            <w:sz w:val="20"/>
            <w:szCs w:val="20"/>
          </w:rPr>
          <w:t>A.</w:t>
        </w:r>
        <w:r w:rsidR="009D5837" w:rsidRPr="00B74567">
          <w:rPr>
            <w:rFonts w:ascii="Verdana" w:eastAsiaTheme="minorEastAsia" w:hAnsi="Verdana" w:cstheme="minorBidi"/>
            <w:noProof/>
            <w:sz w:val="20"/>
            <w:szCs w:val="20"/>
            <w:lang w:val="es-CR" w:eastAsia="es-CR"/>
          </w:rPr>
          <w:tab/>
        </w:r>
        <w:r w:rsidR="009D5837" w:rsidRPr="00B74567">
          <w:rPr>
            <w:rStyle w:val="Hyperlink"/>
            <w:rFonts w:ascii="Verdana" w:hAnsi="Verdana"/>
            <w:i/>
            <w:noProof/>
            <w:sz w:val="20"/>
            <w:szCs w:val="20"/>
          </w:rPr>
          <w:t>Argumentos de las partes y de la Comisión</w:t>
        </w:r>
        <w:r w:rsidR="009D5837" w:rsidRPr="00B74567">
          <w:rPr>
            <w:rFonts w:ascii="Verdana" w:hAnsi="Verdana"/>
            <w:noProof/>
            <w:webHidden/>
            <w:sz w:val="20"/>
            <w:szCs w:val="20"/>
          </w:rPr>
          <w:tab/>
        </w:r>
        <w:r w:rsidR="009D5837" w:rsidRPr="00B74567">
          <w:rPr>
            <w:rFonts w:ascii="Verdana" w:hAnsi="Verdana"/>
            <w:noProof/>
            <w:webHidden/>
            <w:sz w:val="20"/>
            <w:szCs w:val="20"/>
          </w:rPr>
          <w:fldChar w:fldCharType="begin"/>
        </w:r>
        <w:r w:rsidR="009D5837" w:rsidRPr="00B74567">
          <w:rPr>
            <w:rFonts w:ascii="Verdana" w:hAnsi="Verdana"/>
            <w:noProof/>
            <w:webHidden/>
            <w:sz w:val="20"/>
            <w:szCs w:val="20"/>
          </w:rPr>
          <w:instrText xml:space="preserve"> PAGEREF _Toc498333515 \h </w:instrText>
        </w:r>
        <w:r w:rsidR="009D5837" w:rsidRPr="00B74567">
          <w:rPr>
            <w:rFonts w:ascii="Verdana" w:hAnsi="Verdana"/>
            <w:noProof/>
            <w:webHidden/>
            <w:sz w:val="20"/>
            <w:szCs w:val="20"/>
          </w:rPr>
        </w:r>
        <w:r w:rsidR="009D5837" w:rsidRPr="00B74567">
          <w:rPr>
            <w:rFonts w:ascii="Verdana" w:hAnsi="Verdana"/>
            <w:noProof/>
            <w:webHidden/>
            <w:sz w:val="20"/>
            <w:szCs w:val="20"/>
          </w:rPr>
          <w:fldChar w:fldCharType="separate"/>
        </w:r>
        <w:r w:rsidR="005810EE">
          <w:rPr>
            <w:rFonts w:ascii="Verdana" w:hAnsi="Verdana"/>
            <w:noProof/>
            <w:webHidden/>
            <w:sz w:val="20"/>
            <w:szCs w:val="20"/>
          </w:rPr>
          <w:t>54</w:t>
        </w:r>
        <w:r w:rsidR="009D5837" w:rsidRPr="00B74567">
          <w:rPr>
            <w:rFonts w:ascii="Verdana" w:hAnsi="Verdana"/>
            <w:noProof/>
            <w:webHidden/>
            <w:sz w:val="20"/>
            <w:szCs w:val="20"/>
          </w:rPr>
          <w:fldChar w:fldCharType="end"/>
        </w:r>
      </w:hyperlink>
    </w:p>
    <w:p w14:paraId="524A98C7" w14:textId="77777777" w:rsidR="009D5837" w:rsidRPr="00B74567" w:rsidRDefault="00D86616" w:rsidP="00167383">
      <w:pPr>
        <w:pStyle w:val="TOC2"/>
        <w:rPr>
          <w:rFonts w:ascii="Verdana" w:eastAsiaTheme="minorEastAsia" w:hAnsi="Verdana" w:cstheme="minorBidi"/>
          <w:noProof/>
          <w:sz w:val="20"/>
          <w:szCs w:val="20"/>
          <w:lang w:val="es-CR" w:eastAsia="es-CR"/>
        </w:rPr>
      </w:pPr>
      <w:hyperlink w:anchor="_Toc498333516" w:history="1">
        <w:r w:rsidR="009D5837" w:rsidRPr="00B74567">
          <w:rPr>
            <w:rStyle w:val="Hyperlink"/>
            <w:rFonts w:ascii="Verdana" w:hAnsi="Verdana"/>
            <w:i/>
            <w:noProof/>
            <w:sz w:val="20"/>
            <w:szCs w:val="20"/>
          </w:rPr>
          <w:t>B.</w:t>
        </w:r>
        <w:r w:rsidR="009D5837" w:rsidRPr="00B74567">
          <w:rPr>
            <w:rFonts w:ascii="Verdana" w:eastAsiaTheme="minorEastAsia" w:hAnsi="Verdana" w:cstheme="minorBidi"/>
            <w:noProof/>
            <w:sz w:val="20"/>
            <w:szCs w:val="20"/>
            <w:lang w:val="es-CR" w:eastAsia="es-CR"/>
          </w:rPr>
          <w:tab/>
        </w:r>
        <w:r w:rsidR="009D5837" w:rsidRPr="00B74567">
          <w:rPr>
            <w:rStyle w:val="Hyperlink"/>
            <w:rFonts w:ascii="Verdana" w:hAnsi="Verdana"/>
            <w:i/>
            <w:noProof/>
            <w:sz w:val="20"/>
            <w:szCs w:val="20"/>
          </w:rPr>
          <w:t>Consideraciones de la Corte</w:t>
        </w:r>
        <w:r w:rsidR="009D5837" w:rsidRPr="00B74567">
          <w:rPr>
            <w:rFonts w:ascii="Verdana" w:hAnsi="Verdana"/>
            <w:noProof/>
            <w:webHidden/>
            <w:sz w:val="20"/>
            <w:szCs w:val="20"/>
          </w:rPr>
          <w:tab/>
        </w:r>
        <w:r w:rsidR="009D5837" w:rsidRPr="00B74567">
          <w:rPr>
            <w:rFonts w:ascii="Verdana" w:hAnsi="Verdana"/>
            <w:noProof/>
            <w:webHidden/>
            <w:sz w:val="20"/>
            <w:szCs w:val="20"/>
          </w:rPr>
          <w:fldChar w:fldCharType="begin"/>
        </w:r>
        <w:r w:rsidR="009D5837" w:rsidRPr="00B74567">
          <w:rPr>
            <w:rFonts w:ascii="Verdana" w:hAnsi="Verdana"/>
            <w:noProof/>
            <w:webHidden/>
            <w:sz w:val="20"/>
            <w:szCs w:val="20"/>
          </w:rPr>
          <w:instrText xml:space="preserve"> PAGEREF _Toc498333516 \h </w:instrText>
        </w:r>
        <w:r w:rsidR="009D5837" w:rsidRPr="00B74567">
          <w:rPr>
            <w:rFonts w:ascii="Verdana" w:hAnsi="Verdana"/>
            <w:noProof/>
            <w:webHidden/>
            <w:sz w:val="20"/>
            <w:szCs w:val="20"/>
          </w:rPr>
        </w:r>
        <w:r w:rsidR="009D5837" w:rsidRPr="00B74567">
          <w:rPr>
            <w:rFonts w:ascii="Verdana" w:hAnsi="Verdana"/>
            <w:noProof/>
            <w:webHidden/>
            <w:sz w:val="20"/>
            <w:szCs w:val="20"/>
          </w:rPr>
          <w:fldChar w:fldCharType="separate"/>
        </w:r>
        <w:r w:rsidR="005810EE">
          <w:rPr>
            <w:rFonts w:ascii="Verdana" w:hAnsi="Verdana"/>
            <w:noProof/>
            <w:webHidden/>
            <w:sz w:val="20"/>
            <w:szCs w:val="20"/>
          </w:rPr>
          <w:t>55</w:t>
        </w:r>
        <w:r w:rsidR="009D5837" w:rsidRPr="00B74567">
          <w:rPr>
            <w:rFonts w:ascii="Verdana" w:hAnsi="Verdana"/>
            <w:noProof/>
            <w:webHidden/>
            <w:sz w:val="20"/>
            <w:szCs w:val="20"/>
          </w:rPr>
          <w:fldChar w:fldCharType="end"/>
        </w:r>
      </w:hyperlink>
    </w:p>
    <w:p w14:paraId="12D3F166" w14:textId="77777777" w:rsidR="009D5837" w:rsidRPr="00B74567" w:rsidRDefault="00D86616" w:rsidP="009D5837">
      <w:pPr>
        <w:pStyle w:val="TOC3"/>
        <w:tabs>
          <w:tab w:val="clear" w:pos="8828"/>
          <w:tab w:val="right" w:leader="dot" w:pos="8931"/>
        </w:tabs>
        <w:rPr>
          <w:rFonts w:ascii="Verdana" w:eastAsiaTheme="minorEastAsia" w:hAnsi="Verdana" w:cstheme="minorBidi"/>
          <w:noProof/>
          <w:sz w:val="20"/>
          <w:szCs w:val="20"/>
          <w:lang w:val="es-CR" w:eastAsia="es-CR"/>
        </w:rPr>
      </w:pPr>
      <w:hyperlink w:anchor="_Toc498333517" w:history="1">
        <w:r w:rsidR="009D5837" w:rsidRPr="00B74567">
          <w:rPr>
            <w:rStyle w:val="Hyperlink"/>
            <w:rFonts w:ascii="Verdana" w:hAnsi="Verdana"/>
            <w:i/>
            <w:noProof/>
            <w:sz w:val="20"/>
            <w:szCs w:val="20"/>
          </w:rPr>
          <w:t>1.</w:t>
        </w:r>
        <w:r w:rsidR="009D5837" w:rsidRPr="00B74567">
          <w:rPr>
            <w:rFonts w:ascii="Verdana" w:eastAsiaTheme="minorEastAsia" w:hAnsi="Verdana" w:cstheme="minorBidi"/>
            <w:noProof/>
            <w:sz w:val="20"/>
            <w:szCs w:val="20"/>
            <w:lang w:val="es-CR" w:eastAsia="es-CR"/>
          </w:rPr>
          <w:tab/>
        </w:r>
        <w:r w:rsidR="009D5837" w:rsidRPr="00B74567">
          <w:rPr>
            <w:rStyle w:val="Hyperlink"/>
            <w:rFonts w:ascii="Verdana" w:hAnsi="Verdana" w:cs="Verdana"/>
            <w:i/>
            <w:noProof/>
            <w:sz w:val="20"/>
            <w:szCs w:val="20"/>
            <w:lang w:val="es-MX" w:eastAsia="es-MX"/>
          </w:rPr>
          <w:t>El acceso a la justicia para tutelar la estabilidad laboral, como derecho reconocido en la Constitución</w:t>
        </w:r>
        <w:r w:rsidR="009D5837" w:rsidRPr="00B74567">
          <w:rPr>
            <w:rFonts w:ascii="Verdana" w:hAnsi="Verdana"/>
            <w:noProof/>
            <w:webHidden/>
            <w:sz w:val="20"/>
            <w:szCs w:val="20"/>
          </w:rPr>
          <w:tab/>
        </w:r>
        <w:r w:rsidR="009D5837" w:rsidRPr="00B74567">
          <w:rPr>
            <w:rFonts w:ascii="Verdana" w:hAnsi="Verdana"/>
            <w:noProof/>
            <w:webHidden/>
            <w:sz w:val="20"/>
            <w:szCs w:val="20"/>
          </w:rPr>
          <w:fldChar w:fldCharType="begin"/>
        </w:r>
        <w:r w:rsidR="009D5837" w:rsidRPr="00B74567">
          <w:rPr>
            <w:rFonts w:ascii="Verdana" w:hAnsi="Verdana"/>
            <w:noProof/>
            <w:webHidden/>
            <w:sz w:val="20"/>
            <w:szCs w:val="20"/>
          </w:rPr>
          <w:instrText xml:space="preserve"> PAGEREF _Toc498333517 \h </w:instrText>
        </w:r>
        <w:r w:rsidR="009D5837" w:rsidRPr="00B74567">
          <w:rPr>
            <w:rFonts w:ascii="Verdana" w:hAnsi="Verdana"/>
            <w:noProof/>
            <w:webHidden/>
            <w:sz w:val="20"/>
            <w:szCs w:val="20"/>
          </w:rPr>
        </w:r>
        <w:r w:rsidR="009D5837" w:rsidRPr="00B74567">
          <w:rPr>
            <w:rFonts w:ascii="Verdana" w:hAnsi="Verdana"/>
            <w:noProof/>
            <w:webHidden/>
            <w:sz w:val="20"/>
            <w:szCs w:val="20"/>
          </w:rPr>
          <w:fldChar w:fldCharType="separate"/>
        </w:r>
        <w:r w:rsidR="005810EE">
          <w:rPr>
            <w:rFonts w:ascii="Verdana" w:hAnsi="Verdana"/>
            <w:noProof/>
            <w:webHidden/>
            <w:sz w:val="20"/>
            <w:szCs w:val="20"/>
          </w:rPr>
          <w:t>56</w:t>
        </w:r>
        <w:r w:rsidR="009D5837" w:rsidRPr="00B74567">
          <w:rPr>
            <w:rFonts w:ascii="Verdana" w:hAnsi="Verdana"/>
            <w:noProof/>
            <w:webHidden/>
            <w:sz w:val="20"/>
            <w:szCs w:val="20"/>
          </w:rPr>
          <w:fldChar w:fldCharType="end"/>
        </w:r>
      </w:hyperlink>
    </w:p>
    <w:p w14:paraId="67E08721" w14:textId="77777777" w:rsidR="009D5837" w:rsidRPr="00B74567" w:rsidRDefault="00D86616" w:rsidP="009D5837">
      <w:pPr>
        <w:pStyle w:val="TOC3"/>
        <w:tabs>
          <w:tab w:val="clear" w:pos="8828"/>
          <w:tab w:val="right" w:leader="dot" w:pos="8931"/>
        </w:tabs>
        <w:rPr>
          <w:rFonts w:ascii="Verdana" w:eastAsiaTheme="minorEastAsia" w:hAnsi="Verdana" w:cstheme="minorBidi"/>
          <w:noProof/>
          <w:sz w:val="20"/>
          <w:szCs w:val="20"/>
          <w:lang w:val="es-CR" w:eastAsia="es-CR"/>
        </w:rPr>
      </w:pPr>
      <w:hyperlink w:anchor="_Toc498333518" w:history="1">
        <w:r w:rsidR="009D5837" w:rsidRPr="00B74567">
          <w:rPr>
            <w:rStyle w:val="Hyperlink"/>
            <w:rFonts w:ascii="Verdana" w:hAnsi="Verdana"/>
            <w:i/>
            <w:noProof/>
            <w:sz w:val="20"/>
            <w:szCs w:val="20"/>
            <w:lang w:val="es-MX"/>
          </w:rPr>
          <w:t>2.</w:t>
        </w:r>
        <w:r w:rsidR="009D5837" w:rsidRPr="00B74567">
          <w:rPr>
            <w:rFonts w:ascii="Verdana" w:eastAsiaTheme="minorEastAsia" w:hAnsi="Verdana" w:cstheme="minorBidi"/>
            <w:noProof/>
            <w:sz w:val="20"/>
            <w:szCs w:val="20"/>
            <w:lang w:val="es-CR" w:eastAsia="es-CR"/>
          </w:rPr>
          <w:tab/>
        </w:r>
        <w:r w:rsidR="009D5837" w:rsidRPr="00B74567">
          <w:rPr>
            <w:rStyle w:val="Hyperlink"/>
            <w:rFonts w:ascii="Verdana" w:hAnsi="Verdana"/>
            <w:i/>
            <w:noProof/>
            <w:sz w:val="20"/>
            <w:szCs w:val="20"/>
            <w:lang w:val="es-MX"/>
          </w:rPr>
          <w:t>Conclusión</w:t>
        </w:r>
        <w:r w:rsidR="009D5837" w:rsidRPr="00B74567">
          <w:rPr>
            <w:rFonts w:ascii="Verdana" w:hAnsi="Verdana"/>
            <w:noProof/>
            <w:webHidden/>
            <w:sz w:val="20"/>
            <w:szCs w:val="20"/>
          </w:rPr>
          <w:tab/>
        </w:r>
        <w:r w:rsidR="009D5837" w:rsidRPr="00B74567">
          <w:rPr>
            <w:rFonts w:ascii="Verdana" w:hAnsi="Verdana"/>
            <w:noProof/>
            <w:webHidden/>
            <w:sz w:val="20"/>
            <w:szCs w:val="20"/>
          </w:rPr>
          <w:fldChar w:fldCharType="begin"/>
        </w:r>
        <w:r w:rsidR="009D5837" w:rsidRPr="00B74567">
          <w:rPr>
            <w:rFonts w:ascii="Verdana" w:hAnsi="Verdana"/>
            <w:noProof/>
            <w:webHidden/>
            <w:sz w:val="20"/>
            <w:szCs w:val="20"/>
          </w:rPr>
          <w:instrText xml:space="preserve"> PAGEREF _Toc498333518 \h </w:instrText>
        </w:r>
        <w:r w:rsidR="009D5837" w:rsidRPr="00B74567">
          <w:rPr>
            <w:rFonts w:ascii="Verdana" w:hAnsi="Verdana"/>
            <w:noProof/>
            <w:webHidden/>
            <w:sz w:val="20"/>
            <w:szCs w:val="20"/>
          </w:rPr>
        </w:r>
        <w:r w:rsidR="009D5837" w:rsidRPr="00B74567">
          <w:rPr>
            <w:rFonts w:ascii="Verdana" w:hAnsi="Verdana"/>
            <w:noProof/>
            <w:webHidden/>
            <w:sz w:val="20"/>
            <w:szCs w:val="20"/>
          </w:rPr>
          <w:fldChar w:fldCharType="separate"/>
        </w:r>
        <w:r w:rsidR="005810EE">
          <w:rPr>
            <w:rFonts w:ascii="Verdana" w:hAnsi="Verdana"/>
            <w:noProof/>
            <w:webHidden/>
            <w:sz w:val="20"/>
            <w:szCs w:val="20"/>
          </w:rPr>
          <w:t>60</w:t>
        </w:r>
        <w:r w:rsidR="009D5837" w:rsidRPr="00B74567">
          <w:rPr>
            <w:rFonts w:ascii="Verdana" w:hAnsi="Verdana"/>
            <w:noProof/>
            <w:webHidden/>
            <w:sz w:val="20"/>
            <w:szCs w:val="20"/>
          </w:rPr>
          <w:fldChar w:fldCharType="end"/>
        </w:r>
      </w:hyperlink>
    </w:p>
    <w:p w14:paraId="2654B428" w14:textId="720FFCB3" w:rsidR="009D5837" w:rsidRPr="00B74567" w:rsidRDefault="00D86616" w:rsidP="009D5837">
      <w:pPr>
        <w:pStyle w:val="TOC1"/>
        <w:rPr>
          <w:rFonts w:eastAsiaTheme="minorEastAsia" w:cstheme="minorBidi"/>
          <w:snapToGrid/>
          <w:lang w:val="es-CR" w:eastAsia="es-CR"/>
        </w:rPr>
      </w:pPr>
      <w:hyperlink w:anchor="_Toc498333519" w:history="1">
        <w:r w:rsidR="009D5837" w:rsidRPr="00B74567">
          <w:rPr>
            <w:rStyle w:val="Hyperlink"/>
            <w:rFonts w:cs="Verdana"/>
          </w:rPr>
          <w:t>VIII</w:t>
        </w:r>
      </w:hyperlink>
      <w:r w:rsidR="009D5837" w:rsidRPr="00B74567">
        <w:rPr>
          <w:rStyle w:val="Hyperlink"/>
          <w:u w:val="none"/>
        </w:rPr>
        <w:t xml:space="preserve">  </w:t>
      </w:r>
      <w:hyperlink w:anchor="_Toc498333520" w:history="1">
        <w:r w:rsidR="009D5837" w:rsidRPr="00B74567">
          <w:rPr>
            <w:rStyle w:val="Hyperlink"/>
            <w:rFonts w:cs="Verdana"/>
          </w:rPr>
          <w:t>REPARACIONES</w:t>
        </w:r>
        <w:r w:rsidR="009D5837" w:rsidRPr="00B74567">
          <w:rPr>
            <w:webHidden/>
          </w:rPr>
          <w:tab/>
        </w:r>
        <w:r w:rsidR="009D5837" w:rsidRPr="00B74567">
          <w:rPr>
            <w:webHidden/>
          </w:rPr>
          <w:fldChar w:fldCharType="begin"/>
        </w:r>
        <w:r w:rsidR="009D5837" w:rsidRPr="00B74567">
          <w:rPr>
            <w:webHidden/>
          </w:rPr>
          <w:instrText xml:space="preserve"> PAGEREF _Toc498333520 \h </w:instrText>
        </w:r>
        <w:r w:rsidR="009D5837" w:rsidRPr="00B74567">
          <w:rPr>
            <w:webHidden/>
          </w:rPr>
        </w:r>
        <w:r w:rsidR="009D5837" w:rsidRPr="00B74567">
          <w:rPr>
            <w:webHidden/>
          </w:rPr>
          <w:fldChar w:fldCharType="separate"/>
        </w:r>
        <w:r w:rsidR="005810EE">
          <w:rPr>
            <w:webHidden/>
          </w:rPr>
          <w:t>61</w:t>
        </w:r>
        <w:r w:rsidR="009D5837" w:rsidRPr="00B74567">
          <w:rPr>
            <w:webHidden/>
          </w:rPr>
          <w:fldChar w:fldCharType="end"/>
        </w:r>
      </w:hyperlink>
    </w:p>
    <w:p w14:paraId="1A9024C5" w14:textId="77777777" w:rsidR="009D5837" w:rsidRPr="00B74567" w:rsidRDefault="00D86616" w:rsidP="009D5837">
      <w:pPr>
        <w:pStyle w:val="TOC1"/>
        <w:rPr>
          <w:rFonts w:eastAsiaTheme="minorEastAsia" w:cstheme="minorBidi"/>
          <w:snapToGrid/>
          <w:lang w:val="es-CR" w:eastAsia="es-CR"/>
        </w:rPr>
      </w:pPr>
      <w:hyperlink w:anchor="_Toc498333521" w:history="1">
        <w:r w:rsidR="009D5837" w:rsidRPr="00B74567">
          <w:rPr>
            <w:rStyle w:val="Hyperlink"/>
            <w:rFonts w:cs="Verdana"/>
          </w:rPr>
          <w:t>(Aplicación del artículo 63.1 de la Convención Americana)</w:t>
        </w:r>
        <w:r w:rsidR="009D5837" w:rsidRPr="00B74567">
          <w:rPr>
            <w:webHidden/>
          </w:rPr>
          <w:tab/>
        </w:r>
        <w:r w:rsidR="009D5837" w:rsidRPr="00B74567">
          <w:rPr>
            <w:webHidden/>
          </w:rPr>
          <w:fldChar w:fldCharType="begin"/>
        </w:r>
        <w:r w:rsidR="009D5837" w:rsidRPr="00B74567">
          <w:rPr>
            <w:webHidden/>
          </w:rPr>
          <w:instrText xml:space="preserve"> PAGEREF _Toc498333521 \h </w:instrText>
        </w:r>
        <w:r w:rsidR="009D5837" w:rsidRPr="00B74567">
          <w:rPr>
            <w:webHidden/>
          </w:rPr>
        </w:r>
        <w:r w:rsidR="009D5837" w:rsidRPr="00B74567">
          <w:rPr>
            <w:webHidden/>
          </w:rPr>
          <w:fldChar w:fldCharType="separate"/>
        </w:r>
        <w:r w:rsidR="005810EE">
          <w:rPr>
            <w:webHidden/>
          </w:rPr>
          <w:t>61</w:t>
        </w:r>
        <w:r w:rsidR="009D5837" w:rsidRPr="00B74567">
          <w:rPr>
            <w:webHidden/>
          </w:rPr>
          <w:fldChar w:fldCharType="end"/>
        </w:r>
      </w:hyperlink>
    </w:p>
    <w:p w14:paraId="26DF62EC" w14:textId="77777777" w:rsidR="009D5837" w:rsidRPr="00B74567" w:rsidRDefault="00D86616" w:rsidP="00167383">
      <w:pPr>
        <w:pStyle w:val="TOC2"/>
        <w:rPr>
          <w:rFonts w:ascii="Verdana" w:eastAsiaTheme="minorEastAsia" w:hAnsi="Verdana" w:cstheme="minorBidi"/>
          <w:noProof/>
          <w:sz w:val="20"/>
          <w:szCs w:val="20"/>
          <w:lang w:val="es-CR" w:eastAsia="es-CR"/>
        </w:rPr>
      </w:pPr>
      <w:hyperlink w:anchor="_Toc498333522" w:history="1">
        <w:r w:rsidR="009D5837" w:rsidRPr="00B74567">
          <w:rPr>
            <w:rStyle w:val="Hyperlink"/>
            <w:rFonts w:ascii="Verdana" w:hAnsi="Verdana"/>
            <w:i/>
            <w:noProof/>
            <w:sz w:val="20"/>
            <w:szCs w:val="20"/>
          </w:rPr>
          <w:t>A.</w:t>
        </w:r>
        <w:r w:rsidR="009D5837" w:rsidRPr="00B74567">
          <w:rPr>
            <w:rFonts w:ascii="Verdana" w:eastAsiaTheme="minorEastAsia" w:hAnsi="Verdana" w:cstheme="minorBidi"/>
            <w:noProof/>
            <w:sz w:val="20"/>
            <w:szCs w:val="20"/>
            <w:lang w:val="es-CR" w:eastAsia="es-CR"/>
          </w:rPr>
          <w:tab/>
        </w:r>
        <w:r w:rsidR="009D5837" w:rsidRPr="00B74567">
          <w:rPr>
            <w:rStyle w:val="Hyperlink"/>
            <w:rFonts w:ascii="Verdana" w:hAnsi="Verdana"/>
            <w:i/>
            <w:noProof/>
            <w:sz w:val="20"/>
            <w:szCs w:val="20"/>
          </w:rPr>
          <w:t>Parte lesionada</w:t>
        </w:r>
        <w:r w:rsidR="009D5837" w:rsidRPr="00B74567">
          <w:rPr>
            <w:rFonts w:ascii="Verdana" w:hAnsi="Verdana"/>
            <w:noProof/>
            <w:webHidden/>
            <w:sz w:val="20"/>
            <w:szCs w:val="20"/>
          </w:rPr>
          <w:tab/>
        </w:r>
        <w:r w:rsidR="009D5837" w:rsidRPr="00B74567">
          <w:rPr>
            <w:rFonts w:ascii="Verdana" w:hAnsi="Verdana"/>
            <w:noProof/>
            <w:webHidden/>
            <w:sz w:val="20"/>
            <w:szCs w:val="20"/>
          </w:rPr>
          <w:fldChar w:fldCharType="begin"/>
        </w:r>
        <w:r w:rsidR="009D5837" w:rsidRPr="00B74567">
          <w:rPr>
            <w:rFonts w:ascii="Verdana" w:hAnsi="Verdana"/>
            <w:noProof/>
            <w:webHidden/>
            <w:sz w:val="20"/>
            <w:szCs w:val="20"/>
          </w:rPr>
          <w:instrText xml:space="preserve"> PAGEREF _Toc498333522 \h </w:instrText>
        </w:r>
        <w:r w:rsidR="009D5837" w:rsidRPr="00B74567">
          <w:rPr>
            <w:rFonts w:ascii="Verdana" w:hAnsi="Verdana"/>
            <w:noProof/>
            <w:webHidden/>
            <w:sz w:val="20"/>
            <w:szCs w:val="20"/>
          </w:rPr>
        </w:r>
        <w:r w:rsidR="009D5837" w:rsidRPr="00B74567">
          <w:rPr>
            <w:rFonts w:ascii="Verdana" w:hAnsi="Verdana"/>
            <w:noProof/>
            <w:webHidden/>
            <w:sz w:val="20"/>
            <w:szCs w:val="20"/>
          </w:rPr>
          <w:fldChar w:fldCharType="separate"/>
        </w:r>
        <w:r w:rsidR="005810EE">
          <w:rPr>
            <w:rFonts w:ascii="Verdana" w:hAnsi="Verdana"/>
            <w:noProof/>
            <w:webHidden/>
            <w:sz w:val="20"/>
            <w:szCs w:val="20"/>
          </w:rPr>
          <w:t>61</w:t>
        </w:r>
        <w:r w:rsidR="009D5837" w:rsidRPr="00B74567">
          <w:rPr>
            <w:rFonts w:ascii="Verdana" w:hAnsi="Verdana"/>
            <w:noProof/>
            <w:webHidden/>
            <w:sz w:val="20"/>
            <w:szCs w:val="20"/>
          </w:rPr>
          <w:fldChar w:fldCharType="end"/>
        </w:r>
      </w:hyperlink>
    </w:p>
    <w:p w14:paraId="62E2CAE7" w14:textId="77777777" w:rsidR="009D5837" w:rsidRPr="00B74567" w:rsidRDefault="00D86616" w:rsidP="00167383">
      <w:pPr>
        <w:pStyle w:val="TOC2"/>
        <w:rPr>
          <w:rFonts w:ascii="Verdana" w:eastAsiaTheme="minorEastAsia" w:hAnsi="Verdana" w:cstheme="minorBidi"/>
          <w:noProof/>
          <w:sz w:val="20"/>
          <w:szCs w:val="20"/>
          <w:lang w:val="es-CR" w:eastAsia="es-CR"/>
        </w:rPr>
      </w:pPr>
      <w:hyperlink w:anchor="_Toc498333523" w:history="1">
        <w:r w:rsidR="009D5837" w:rsidRPr="00B74567">
          <w:rPr>
            <w:rStyle w:val="Hyperlink"/>
            <w:rFonts w:ascii="Verdana" w:hAnsi="Verdana"/>
            <w:i/>
            <w:noProof/>
            <w:sz w:val="20"/>
            <w:szCs w:val="20"/>
          </w:rPr>
          <w:t>B.</w:t>
        </w:r>
        <w:r w:rsidR="009D5837" w:rsidRPr="00B74567">
          <w:rPr>
            <w:rFonts w:ascii="Verdana" w:eastAsiaTheme="minorEastAsia" w:hAnsi="Verdana" w:cstheme="minorBidi"/>
            <w:noProof/>
            <w:sz w:val="20"/>
            <w:szCs w:val="20"/>
            <w:lang w:val="es-CR" w:eastAsia="es-CR"/>
          </w:rPr>
          <w:tab/>
        </w:r>
        <w:r w:rsidR="009D5837" w:rsidRPr="00B74567">
          <w:rPr>
            <w:rStyle w:val="Hyperlink"/>
            <w:rFonts w:ascii="Verdana" w:hAnsi="Verdana"/>
            <w:i/>
            <w:noProof/>
            <w:sz w:val="20"/>
            <w:szCs w:val="20"/>
          </w:rPr>
          <w:t>Medidas de satisfacción</w:t>
        </w:r>
        <w:r w:rsidR="009D5837" w:rsidRPr="00B74567">
          <w:rPr>
            <w:rFonts w:ascii="Verdana" w:hAnsi="Verdana"/>
            <w:noProof/>
            <w:webHidden/>
            <w:sz w:val="20"/>
            <w:szCs w:val="20"/>
          </w:rPr>
          <w:tab/>
        </w:r>
        <w:r w:rsidR="009D5837" w:rsidRPr="00B74567">
          <w:rPr>
            <w:rFonts w:ascii="Verdana" w:hAnsi="Verdana"/>
            <w:noProof/>
            <w:webHidden/>
            <w:sz w:val="20"/>
            <w:szCs w:val="20"/>
          </w:rPr>
          <w:fldChar w:fldCharType="begin"/>
        </w:r>
        <w:r w:rsidR="009D5837" w:rsidRPr="00B74567">
          <w:rPr>
            <w:rFonts w:ascii="Verdana" w:hAnsi="Verdana"/>
            <w:noProof/>
            <w:webHidden/>
            <w:sz w:val="20"/>
            <w:szCs w:val="20"/>
          </w:rPr>
          <w:instrText xml:space="preserve"> PAGEREF _Toc498333523 \h </w:instrText>
        </w:r>
        <w:r w:rsidR="009D5837" w:rsidRPr="00B74567">
          <w:rPr>
            <w:rFonts w:ascii="Verdana" w:hAnsi="Verdana"/>
            <w:noProof/>
            <w:webHidden/>
            <w:sz w:val="20"/>
            <w:szCs w:val="20"/>
          </w:rPr>
        </w:r>
        <w:r w:rsidR="009D5837" w:rsidRPr="00B74567">
          <w:rPr>
            <w:rFonts w:ascii="Verdana" w:hAnsi="Verdana"/>
            <w:noProof/>
            <w:webHidden/>
            <w:sz w:val="20"/>
            <w:szCs w:val="20"/>
          </w:rPr>
          <w:fldChar w:fldCharType="separate"/>
        </w:r>
        <w:r w:rsidR="005810EE">
          <w:rPr>
            <w:rFonts w:ascii="Verdana" w:hAnsi="Verdana"/>
            <w:noProof/>
            <w:webHidden/>
            <w:sz w:val="20"/>
            <w:szCs w:val="20"/>
          </w:rPr>
          <w:t>61</w:t>
        </w:r>
        <w:r w:rsidR="009D5837" w:rsidRPr="00B74567">
          <w:rPr>
            <w:rFonts w:ascii="Verdana" w:hAnsi="Verdana"/>
            <w:noProof/>
            <w:webHidden/>
            <w:sz w:val="20"/>
            <w:szCs w:val="20"/>
          </w:rPr>
          <w:fldChar w:fldCharType="end"/>
        </w:r>
      </w:hyperlink>
    </w:p>
    <w:p w14:paraId="318EF196" w14:textId="77777777" w:rsidR="009D5837" w:rsidRPr="00B74567" w:rsidRDefault="00D86616" w:rsidP="009D5837">
      <w:pPr>
        <w:pStyle w:val="TOC3"/>
        <w:tabs>
          <w:tab w:val="clear" w:pos="8828"/>
          <w:tab w:val="right" w:leader="dot" w:pos="8931"/>
        </w:tabs>
        <w:rPr>
          <w:rFonts w:ascii="Verdana" w:eastAsiaTheme="minorEastAsia" w:hAnsi="Verdana" w:cstheme="minorBidi"/>
          <w:noProof/>
          <w:sz w:val="20"/>
          <w:szCs w:val="20"/>
          <w:lang w:val="es-CR" w:eastAsia="es-CR"/>
        </w:rPr>
      </w:pPr>
      <w:hyperlink w:anchor="_Toc498333524" w:history="1">
        <w:r w:rsidR="009D5837" w:rsidRPr="00B74567">
          <w:rPr>
            <w:rStyle w:val="Hyperlink"/>
            <w:rFonts w:ascii="Verdana" w:hAnsi="Verdana"/>
            <w:i/>
            <w:noProof/>
            <w:sz w:val="20"/>
            <w:szCs w:val="20"/>
            <w:lang w:val="es-MX"/>
          </w:rPr>
          <w:t>1.</w:t>
        </w:r>
        <w:r w:rsidR="009D5837" w:rsidRPr="00B74567">
          <w:rPr>
            <w:rFonts w:ascii="Verdana" w:eastAsiaTheme="minorEastAsia" w:hAnsi="Verdana" w:cstheme="minorBidi"/>
            <w:noProof/>
            <w:sz w:val="20"/>
            <w:szCs w:val="20"/>
            <w:lang w:val="es-CR" w:eastAsia="es-CR"/>
          </w:rPr>
          <w:tab/>
        </w:r>
        <w:r w:rsidR="009D5837" w:rsidRPr="00B74567">
          <w:rPr>
            <w:rStyle w:val="Hyperlink"/>
            <w:rFonts w:ascii="Verdana" w:hAnsi="Verdana"/>
            <w:i/>
            <w:noProof/>
            <w:sz w:val="20"/>
            <w:szCs w:val="20"/>
            <w:lang w:val="es-MX"/>
          </w:rPr>
          <w:t>Publicaciones</w:t>
        </w:r>
        <w:r w:rsidR="009D5837" w:rsidRPr="00B74567">
          <w:rPr>
            <w:rFonts w:ascii="Verdana" w:hAnsi="Verdana"/>
            <w:noProof/>
            <w:webHidden/>
            <w:sz w:val="20"/>
            <w:szCs w:val="20"/>
          </w:rPr>
          <w:tab/>
        </w:r>
        <w:r w:rsidR="009D5837" w:rsidRPr="00B74567">
          <w:rPr>
            <w:rFonts w:ascii="Verdana" w:hAnsi="Verdana"/>
            <w:noProof/>
            <w:webHidden/>
            <w:sz w:val="20"/>
            <w:szCs w:val="20"/>
          </w:rPr>
          <w:fldChar w:fldCharType="begin"/>
        </w:r>
        <w:r w:rsidR="009D5837" w:rsidRPr="00B74567">
          <w:rPr>
            <w:rFonts w:ascii="Verdana" w:hAnsi="Verdana"/>
            <w:noProof/>
            <w:webHidden/>
            <w:sz w:val="20"/>
            <w:szCs w:val="20"/>
          </w:rPr>
          <w:instrText xml:space="preserve"> PAGEREF _Toc498333524 \h </w:instrText>
        </w:r>
        <w:r w:rsidR="009D5837" w:rsidRPr="00B74567">
          <w:rPr>
            <w:rFonts w:ascii="Verdana" w:hAnsi="Verdana"/>
            <w:noProof/>
            <w:webHidden/>
            <w:sz w:val="20"/>
            <w:szCs w:val="20"/>
          </w:rPr>
        </w:r>
        <w:r w:rsidR="009D5837" w:rsidRPr="00B74567">
          <w:rPr>
            <w:rFonts w:ascii="Verdana" w:hAnsi="Verdana"/>
            <w:noProof/>
            <w:webHidden/>
            <w:sz w:val="20"/>
            <w:szCs w:val="20"/>
          </w:rPr>
          <w:fldChar w:fldCharType="separate"/>
        </w:r>
        <w:r w:rsidR="005810EE">
          <w:rPr>
            <w:rFonts w:ascii="Verdana" w:hAnsi="Verdana"/>
            <w:noProof/>
            <w:webHidden/>
            <w:sz w:val="20"/>
            <w:szCs w:val="20"/>
          </w:rPr>
          <w:t>61</w:t>
        </w:r>
        <w:r w:rsidR="009D5837" w:rsidRPr="00B74567">
          <w:rPr>
            <w:rFonts w:ascii="Verdana" w:hAnsi="Verdana"/>
            <w:noProof/>
            <w:webHidden/>
            <w:sz w:val="20"/>
            <w:szCs w:val="20"/>
          </w:rPr>
          <w:fldChar w:fldCharType="end"/>
        </w:r>
      </w:hyperlink>
    </w:p>
    <w:p w14:paraId="53D6D006" w14:textId="77777777" w:rsidR="009D5837" w:rsidRPr="00B74567" w:rsidRDefault="00D86616" w:rsidP="00167383">
      <w:pPr>
        <w:pStyle w:val="TOC2"/>
        <w:rPr>
          <w:rFonts w:ascii="Verdana" w:eastAsiaTheme="minorEastAsia" w:hAnsi="Verdana" w:cstheme="minorBidi"/>
          <w:noProof/>
          <w:sz w:val="20"/>
          <w:szCs w:val="20"/>
          <w:lang w:val="es-CR" w:eastAsia="es-CR"/>
        </w:rPr>
      </w:pPr>
      <w:hyperlink w:anchor="_Toc498333525" w:history="1">
        <w:r w:rsidR="009D5837" w:rsidRPr="00B74567">
          <w:rPr>
            <w:rStyle w:val="Hyperlink"/>
            <w:rFonts w:ascii="Verdana" w:hAnsi="Verdana"/>
            <w:i/>
            <w:noProof/>
            <w:sz w:val="20"/>
            <w:szCs w:val="20"/>
          </w:rPr>
          <w:t>C.</w:t>
        </w:r>
        <w:r w:rsidR="009D5837" w:rsidRPr="00B74567">
          <w:rPr>
            <w:rFonts w:ascii="Verdana" w:eastAsiaTheme="minorEastAsia" w:hAnsi="Verdana" w:cstheme="minorBidi"/>
            <w:noProof/>
            <w:sz w:val="20"/>
            <w:szCs w:val="20"/>
            <w:lang w:val="es-CR" w:eastAsia="es-CR"/>
          </w:rPr>
          <w:tab/>
        </w:r>
        <w:r w:rsidR="009D5837" w:rsidRPr="00B74567">
          <w:rPr>
            <w:rStyle w:val="Hyperlink"/>
            <w:rFonts w:ascii="Verdana" w:hAnsi="Verdana"/>
            <w:i/>
            <w:noProof/>
            <w:sz w:val="20"/>
            <w:szCs w:val="20"/>
          </w:rPr>
          <w:t>Otras medidas solicitadas</w:t>
        </w:r>
        <w:r w:rsidR="009D5837" w:rsidRPr="00B74567">
          <w:rPr>
            <w:rFonts w:ascii="Verdana" w:hAnsi="Verdana"/>
            <w:noProof/>
            <w:webHidden/>
            <w:sz w:val="20"/>
            <w:szCs w:val="20"/>
          </w:rPr>
          <w:tab/>
        </w:r>
        <w:r w:rsidR="009D5837" w:rsidRPr="00B74567">
          <w:rPr>
            <w:rFonts w:ascii="Verdana" w:hAnsi="Verdana"/>
            <w:noProof/>
            <w:webHidden/>
            <w:sz w:val="20"/>
            <w:szCs w:val="20"/>
          </w:rPr>
          <w:fldChar w:fldCharType="begin"/>
        </w:r>
        <w:r w:rsidR="009D5837" w:rsidRPr="00B74567">
          <w:rPr>
            <w:rFonts w:ascii="Verdana" w:hAnsi="Verdana"/>
            <w:noProof/>
            <w:webHidden/>
            <w:sz w:val="20"/>
            <w:szCs w:val="20"/>
          </w:rPr>
          <w:instrText xml:space="preserve"> PAGEREF _Toc498333525 \h </w:instrText>
        </w:r>
        <w:r w:rsidR="009D5837" w:rsidRPr="00B74567">
          <w:rPr>
            <w:rFonts w:ascii="Verdana" w:hAnsi="Verdana"/>
            <w:noProof/>
            <w:webHidden/>
            <w:sz w:val="20"/>
            <w:szCs w:val="20"/>
          </w:rPr>
        </w:r>
        <w:r w:rsidR="009D5837" w:rsidRPr="00B74567">
          <w:rPr>
            <w:rFonts w:ascii="Verdana" w:hAnsi="Verdana"/>
            <w:noProof/>
            <w:webHidden/>
            <w:sz w:val="20"/>
            <w:szCs w:val="20"/>
          </w:rPr>
          <w:fldChar w:fldCharType="separate"/>
        </w:r>
        <w:r w:rsidR="005810EE">
          <w:rPr>
            <w:rFonts w:ascii="Verdana" w:hAnsi="Verdana"/>
            <w:noProof/>
            <w:webHidden/>
            <w:sz w:val="20"/>
            <w:szCs w:val="20"/>
          </w:rPr>
          <w:t>62</w:t>
        </w:r>
        <w:r w:rsidR="009D5837" w:rsidRPr="00B74567">
          <w:rPr>
            <w:rFonts w:ascii="Verdana" w:hAnsi="Verdana"/>
            <w:noProof/>
            <w:webHidden/>
            <w:sz w:val="20"/>
            <w:szCs w:val="20"/>
          </w:rPr>
          <w:fldChar w:fldCharType="end"/>
        </w:r>
      </w:hyperlink>
    </w:p>
    <w:p w14:paraId="72F7496C" w14:textId="77777777" w:rsidR="009D5837" w:rsidRPr="00B74567" w:rsidRDefault="00D86616" w:rsidP="00167383">
      <w:pPr>
        <w:pStyle w:val="TOC2"/>
        <w:rPr>
          <w:rFonts w:ascii="Verdana" w:eastAsiaTheme="minorEastAsia" w:hAnsi="Verdana" w:cstheme="minorBidi"/>
          <w:noProof/>
          <w:sz w:val="20"/>
          <w:szCs w:val="20"/>
          <w:lang w:val="es-CR" w:eastAsia="es-CR"/>
        </w:rPr>
      </w:pPr>
      <w:hyperlink w:anchor="_Toc498333526" w:history="1">
        <w:r w:rsidR="009D5837" w:rsidRPr="00B74567">
          <w:rPr>
            <w:rStyle w:val="Hyperlink"/>
            <w:rFonts w:ascii="Verdana" w:hAnsi="Verdana"/>
            <w:i/>
            <w:noProof/>
            <w:sz w:val="20"/>
            <w:szCs w:val="20"/>
          </w:rPr>
          <w:t>D.</w:t>
        </w:r>
        <w:r w:rsidR="009D5837" w:rsidRPr="00B74567">
          <w:rPr>
            <w:rFonts w:ascii="Verdana" w:eastAsiaTheme="minorEastAsia" w:hAnsi="Verdana" w:cstheme="minorBidi"/>
            <w:noProof/>
            <w:sz w:val="20"/>
            <w:szCs w:val="20"/>
            <w:lang w:val="es-CR" w:eastAsia="es-CR"/>
          </w:rPr>
          <w:tab/>
        </w:r>
        <w:r w:rsidR="009D5837" w:rsidRPr="00B74567">
          <w:rPr>
            <w:rStyle w:val="Hyperlink"/>
            <w:rFonts w:ascii="Verdana" w:hAnsi="Verdana"/>
            <w:i/>
            <w:noProof/>
            <w:sz w:val="20"/>
            <w:szCs w:val="20"/>
          </w:rPr>
          <w:t>Indemnización compensatoria</w:t>
        </w:r>
        <w:r w:rsidR="009D5837" w:rsidRPr="00B74567">
          <w:rPr>
            <w:rFonts w:ascii="Verdana" w:hAnsi="Verdana"/>
            <w:noProof/>
            <w:webHidden/>
            <w:sz w:val="20"/>
            <w:szCs w:val="20"/>
          </w:rPr>
          <w:tab/>
        </w:r>
        <w:r w:rsidR="009D5837" w:rsidRPr="00B74567">
          <w:rPr>
            <w:rFonts w:ascii="Verdana" w:hAnsi="Verdana"/>
            <w:noProof/>
            <w:webHidden/>
            <w:sz w:val="20"/>
            <w:szCs w:val="20"/>
          </w:rPr>
          <w:fldChar w:fldCharType="begin"/>
        </w:r>
        <w:r w:rsidR="009D5837" w:rsidRPr="00B74567">
          <w:rPr>
            <w:rFonts w:ascii="Verdana" w:hAnsi="Verdana"/>
            <w:noProof/>
            <w:webHidden/>
            <w:sz w:val="20"/>
            <w:szCs w:val="20"/>
          </w:rPr>
          <w:instrText xml:space="preserve"> PAGEREF _Toc498333526 \h </w:instrText>
        </w:r>
        <w:r w:rsidR="009D5837" w:rsidRPr="00B74567">
          <w:rPr>
            <w:rFonts w:ascii="Verdana" w:hAnsi="Verdana"/>
            <w:noProof/>
            <w:webHidden/>
            <w:sz w:val="20"/>
            <w:szCs w:val="20"/>
          </w:rPr>
        </w:r>
        <w:r w:rsidR="009D5837" w:rsidRPr="00B74567">
          <w:rPr>
            <w:rFonts w:ascii="Verdana" w:hAnsi="Verdana"/>
            <w:noProof/>
            <w:webHidden/>
            <w:sz w:val="20"/>
            <w:szCs w:val="20"/>
          </w:rPr>
          <w:fldChar w:fldCharType="separate"/>
        </w:r>
        <w:r w:rsidR="005810EE">
          <w:rPr>
            <w:rFonts w:ascii="Verdana" w:hAnsi="Verdana"/>
            <w:noProof/>
            <w:webHidden/>
            <w:sz w:val="20"/>
            <w:szCs w:val="20"/>
          </w:rPr>
          <w:t>63</w:t>
        </w:r>
        <w:r w:rsidR="009D5837" w:rsidRPr="00B74567">
          <w:rPr>
            <w:rFonts w:ascii="Verdana" w:hAnsi="Verdana"/>
            <w:noProof/>
            <w:webHidden/>
            <w:sz w:val="20"/>
            <w:szCs w:val="20"/>
          </w:rPr>
          <w:fldChar w:fldCharType="end"/>
        </w:r>
      </w:hyperlink>
    </w:p>
    <w:p w14:paraId="13C8ACDF" w14:textId="77777777" w:rsidR="009D5837" w:rsidRPr="00B74567" w:rsidRDefault="00D86616" w:rsidP="009D5837">
      <w:pPr>
        <w:pStyle w:val="TOC3"/>
        <w:tabs>
          <w:tab w:val="clear" w:pos="8828"/>
          <w:tab w:val="right" w:leader="dot" w:pos="8931"/>
        </w:tabs>
        <w:rPr>
          <w:rFonts w:ascii="Verdana" w:eastAsiaTheme="minorEastAsia" w:hAnsi="Verdana" w:cstheme="minorBidi"/>
          <w:noProof/>
          <w:sz w:val="20"/>
          <w:szCs w:val="20"/>
          <w:lang w:val="es-CR" w:eastAsia="es-CR"/>
        </w:rPr>
      </w:pPr>
      <w:hyperlink w:anchor="_Toc498333527" w:history="1">
        <w:r w:rsidR="009D5837" w:rsidRPr="00B74567">
          <w:rPr>
            <w:rStyle w:val="Hyperlink"/>
            <w:rFonts w:ascii="Verdana" w:hAnsi="Verdana"/>
            <w:i/>
            <w:noProof/>
            <w:sz w:val="20"/>
            <w:szCs w:val="20"/>
            <w:lang w:val="es-MX"/>
          </w:rPr>
          <w:t>1.</w:t>
        </w:r>
        <w:r w:rsidR="009D5837" w:rsidRPr="00B74567">
          <w:rPr>
            <w:rFonts w:ascii="Verdana" w:eastAsiaTheme="minorEastAsia" w:hAnsi="Verdana" w:cstheme="minorBidi"/>
            <w:noProof/>
            <w:sz w:val="20"/>
            <w:szCs w:val="20"/>
            <w:lang w:val="es-CR" w:eastAsia="es-CR"/>
          </w:rPr>
          <w:tab/>
        </w:r>
        <w:r w:rsidR="009D5837" w:rsidRPr="00B74567">
          <w:rPr>
            <w:rStyle w:val="Hyperlink"/>
            <w:rFonts w:ascii="Verdana" w:hAnsi="Verdana"/>
            <w:i/>
            <w:noProof/>
            <w:sz w:val="20"/>
            <w:szCs w:val="20"/>
            <w:lang w:val="es-MX"/>
          </w:rPr>
          <w:t>Daño material</w:t>
        </w:r>
        <w:r w:rsidR="009D5837" w:rsidRPr="00B74567">
          <w:rPr>
            <w:rFonts w:ascii="Verdana" w:hAnsi="Verdana"/>
            <w:noProof/>
            <w:webHidden/>
            <w:sz w:val="20"/>
            <w:szCs w:val="20"/>
          </w:rPr>
          <w:tab/>
        </w:r>
        <w:r w:rsidR="009D5837" w:rsidRPr="00B74567">
          <w:rPr>
            <w:rFonts w:ascii="Verdana" w:hAnsi="Verdana"/>
            <w:noProof/>
            <w:webHidden/>
            <w:sz w:val="20"/>
            <w:szCs w:val="20"/>
          </w:rPr>
          <w:fldChar w:fldCharType="begin"/>
        </w:r>
        <w:r w:rsidR="009D5837" w:rsidRPr="00B74567">
          <w:rPr>
            <w:rFonts w:ascii="Verdana" w:hAnsi="Verdana"/>
            <w:noProof/>
            <w:webHidden/>
            <w:sz w:val="20"/>
            <w:szCs w:val="20"/>
          </w:rPr>
          <w:instrText xml:space="preserve"> PAGEREF _Toc498333527 \h </w:instrText>
        </w:r>
        <w:r w:rsidR="009D5837" w:rsidRPr="00B74567">
          <w:rPr>
            <w:rFonts w:ascii="Verdana" w:hAnsi="Verdana"/>
            <w:noProof/>
            <w:webHidden/>
            <w:sz w:val="20"/>
            <w:szCs w:val="20"/>
          </w:rPr>
        </w:r>
        <w:r w:rsidR="009D5837" w:rsidRPr="00B74567">
          <w:rPr>
            <w:rFonts w:ascii="Verdana" w:hAnsi="Verdana"/>
            <w:noProof/>
            <w:webHidden/>
            <w:sz w:val="20"/>
            <w:szCs w:val="20"/>
          </w:rPr>
          <w:fldChar w:fldCharType="separate"/>
        </w:r>
        <w:r w:rsidR="005810EE">
          <w:rPr>
            <w:rFonts w:ascii="Verdana" w:hAnsi="Verdana"/>
            <w:noProof/>
            <w:webHidden/>
            <w:sz w:val="20"/>
            <w:szCs w:val="20"/>
          </w:rPr>
          <w:t>64</w:t>
        </w:r>
        <w:r w:rsidR="009D5837" w:rsidRPr="00B74567">
          <w:rPr>
            <w:rFonts w:ascii="Verdana" w:hAnsi="Verdana"/>
            <w:noProof/>
            <w:webHidden/>
            <w:sz w:val="20"/>
            <w:szCs w:val="20"/>
          </w:rPr>
          <w:fldChar w:fldCharType="end"/>
        </w:r>
      </w:hyperlink>
    </w:p>
    <w:p w14:paraId="149CAB6D" w14:textId="77777777" w:rsidR="009D5837" w:rsidRPr="00B74567" w:rsidRDefault="00D86616" w:rsidP="009D5837">
      <w:pPr>
        <w:pStyle w:val="TOC3"/>
        <w:tabs>
          <w:tab w:val="clear" w:pos="8828"/>
          <w:tab w:val="right" w:leader="dot" w:pos="8931"/>
        </w:tabs>
        <w:rPr>
          <w:rFonts w:ascii="Verdana" w:eastAsiaTheme="minorEastAsia" w:hAnsi="Verdana" w:cstheme="minorBidi"/>
          <w:noProof/>
          <w:sz w:val="20"/>
          <w:szCs w:val="20"/>
          <w:lang w:val="es-CR" w:eastAsia="es-CR"/>
        </w:rPr>
      </w:pPr>
      <w:hyperlink w:anchor="_Toc498333528" w:history="1">
        <w:r w:rsidR="009D5837" w:rsidRPr="00B74567">
          <w:rPr>
            <w:rStyle w:val="Hyperlink"/>
            <w:rFonts w:ascii="Verdana" w:hAnsi="Verdana"/>
            <w:i/>
            <w:noProof/>
            <w:sz w:val="20"/>
            <w:szCs w:val="20"/>
            <w:lang w:val="es-MX"/>
          </w:rPr>
          <w:t>2.</w:t>
        </w:r>
        <w:r w:rsidR="009D5837" w:rsidRPr="00B74567">
          <w:rPr>
            <w:rFonts w:ascii="Verdana" w:eastAsiaTheme="minorEastAsia" w:hAnsi="Verdana" w:cstheme="minorBidi"/>
            <w:noProof/>
            <w:sz w:val="20"/>
            <w:szCs w:val="20"/>
            <w:lang w:val="es-CR" w:eastAsia="es-CR"/>
          </w:rPr>
          <w:tab/>
        </w:r>
        <w:r w:rsidR="009D5837" w:rsidRPr="00B74567">
          <w:rPr>
            <w:rStyle w:val="Hyperlink"/>
            <w:rFonts w:ascii="Verdana" w:hAnsi="Verdana"/>
            <w:i/>
            <w:noProof/>
            <w:sz w:val="20"/>
            <w:szCs w:val="20"/>
            <w:lang w:val="es-MX"/>
          </w:rPr>
          <w:t>Daño inmaterial</w:t>
        </w:r>
        <w:r w:rsidR="009D5837" w:rsidRPr="00B74567">
          <w:rPr>
            <w:rFonts w:ascii="Verdana" w:hAnsi="Verdana"/>
            <w:noProof/>
            <w:webHidden/>
            <w:sz w:val="20"/>
            <w:szCs w:val="20"/>
          </w:rPr>
          <w:tab/>
        </w:r>
        <w:r w:rsidR="009D5837" w:rsidRPr="00B74567">
          <w:rPr>
            <w:rFonts w:ascii="Verdana" w:hAnsi="Verdana"/>
            <w:noProof/>
            <w:webHidden/>
            <w:sz w:val="20"/>
            <w:szCs w:val="20"/>
          </w:rPr>
          <w:fldChar w:fldCharType="begin"/>
        </w:r>
        <w:r w:rsidR="009D5837" w:rsidRPr="00B74567">
          <w:rPr>
            <w:rFonts w:ascii="Verdana" w:hAnsi="Verdana"/>
            <w:noProof/>
            <w:webHidden/>
            <w:sz w:val="20"/>
            <w:szCs w:val="20"/>
          </w:rPr>
          <w:instrText xml:space="preserve"> PAGEREF _Toc498333528 \h </w:instrText>
        </w:r>
        <w:r w:rsidR="009D5837" w:rsidRPr="00B74567">
          <w:rPr>
            <w:rFonts w:ascii="Verdana" w:hAnsi="Verdana"/>
            <w:noProof/>
            <w:webHidden/>
            <w:sz w:val="20"/>
            <w:szCs w:val="20"/>
          </w:rPr>
        </w:r>
        <w:r w:rsidR="009D5837" w:rsidRPr="00B74567">
          <w:rPr>
            <w:rFonts w:ascii="Verdana" w:hAnsi="Verdana"/>
            <w:noProof/>
            <w:webHidden/>
            <w:sz w:val="20"/>
            <w:szCs w:val="20"/>
          </w:rPr>
          <w:fldChar w:fldCharType="separate"/>
        </w:r>
        <w:r w:rsidR="005810EE">
          <w:rPr>
            <w:rFonts w:ascii="Verdana" w:hAnsi="Verdana"/>
            <w:noProof/>
            <w:webHidden/>
            <w:sz w:val="20"/>
            <w:szCs w:val="20"/>
          </w:rPr>
          <w:t>65</w:t>
        </w:r>
        <w:r w:rsidR="009D5837" w:rsidRPr="00B74567">
          <w:rPr>
            <w:rFonts w:ascii="Verdana" w:hAnsi="Verdana"/>
            <w:noProof/>
            <w:webHidden/>
            <w:sz w:val="20"/>
            <w:szCs w:val="20"/>
          </w:rPr>
          <w:fldChar w:fldCharType="end"/>
        </w:r>
      </w:hyperlink>
    </w:p>
    <w:p w14:paraId="596921DA" w14:textId="77777777" w:rsidR="009D5837" w:rsidRPr="00B74567" w:rsidRDefault="00D86616" w:rsidP="00167383">
      <w:pPr>
        <w:pStyle w:val="TOC2"/>
        <w:rPr>
          <w:rFonts w:ascii="Verdana" w:eastAsiaTheme="minorEastAsia" w:hAnsi="Verdana" w:cstheme="minorBidi"/>
          <w:noProof/>
          <w:sz w:val="20"/>
          <w:szCs w:val="20"/>
          <w:lang w:val="es-CR" w:eastAsia="es-CR"/>
        </w:rPr>
      </w:pPr>
      <w:hyperlink w:anchor="_Toc498333529" w:history="1">
        <w:r w:rsidR="009D5837" w:rsidRPr="00B74567">
          <w:rPr>
            <w:rStyle w:val="Hyperlink"/>
            <w:rFonts w:ascii="Verdana" w:hAnsi="Verdana"/>
            <w:i/>
            <w:noProof/>
            <w:sz w:val="20"/>
            <w:szCs w:val="20"/>
          </w:rPr>
          <w:t>E.</w:t>
        </w:r>
        <w:r w:rsidR="009D5837" w:rsidRPr="00B74567">
          <w:rPr>
            <w:rFonts w:ascii="Verdana" w:eastAsiaTheme="minorEastAsia" w:hAnsi="Verdana" w:cstheme="minorBidi"/>
            <w:noProof/>
            <w:sz w:val="20"/>
            <w:szCs w:val="20"/>
            <w:lang w:val="es-CR" w:eastAsia="es-CR"/>
          </w:rPr>
          <w:tab/>
        </w:r>
        <w:r w:rsidR="009D5837" w:rsidRPr="00B74567">
          <w:rPr>
            <w:rStyle w:val="Hyperlink"/>
            <w:rFonts w:ascii="Verdana" w:hAnsi="Verdana"/>
            <w:i/>
            <w:noProof/>
            <w:sz w:val="20"/>
            <w:szCs w:val="20"/>
          </w:rPr>
          <w:t>Costas y gastos</w:t>
        </w:r>
        <w:r w:rsidR="009D5837" w:rsidRPr="00B74567">
          <w:rPr>
            <w:rFonts w:ascii="Verdana" w:hAnsi="Verdana"/>
            <w:noProof/>
            <w:webHidden/>
            <w:sz w:val="20"/>
            <w:szCs w:val="20"/>
          </w:rPr>
          <w:tab/>
        </w:r>
        <w:r w:rsidR="009D5837" w:rsidRPr="00B74567">
          <w:rPr>
            <w:rFonts w:ascii="Verdana" w:hAnsi="Verdana"/>
            <w:noProof/>
            <w:webHidden/>
            <w:sz w:val="20"/>
            <w:szCs w:val="20"/>
          </w:rPr>
          <w:fldChar w:fldCharType="begin"/>
        </w:r>
        <w:r w:rsidR="009D5837" w:rsidRPr="00B74567">
          <w:rPr>
            <w:rFonts w:ascii="Verdana" w:hAnsi="Verdana"/>
            <w:noProof/>
            <w:webHidden/>
            <w:sz w:val="20"/>
            <w:szCs w:val="20"/>
          </w:rPr>
          <w:instrText xml:space="preserve"> PAGEREF _Toc498333529 \h </w:instrText>
        </w:r>
        <w:r w:rsidR="009D5837" w:rsidRPr="00B74567">
          <w:rPr>
            <w:rFonts w:ascii="Verdana" w:hAnsi="Verdana"/>
            <w:noProof/>
            <w:webHidden/>
            <w:sz w:val="20"/>
            <w:szCs w:val="20"/>
          </w:rPr>
        </w:r>
        <w:r w:rsidR="009D5837" w:rsidRPr="00B74567">
          <w:rPr>
            <w:rFonts w:ascii="Verdana" w:hAnsi="Verdana"/>
            <w:noProof/>
            <w:webHidden/>
            <w:sz w:val="20"/>
            <w:szCs w:val="20"/>
          </w:rPr>
          <w:fldChar w:fldCharType="separate"/>
        </w:r>
        <w:r w:rsidR="005810EE">
          <w:rPr>
            <w:rFonts w:ascii="Verdana" w:hAnsi="Verdana"/>
            <w:noProof/>
            <w:webHidden/>
            <w:sz w:val="20"/>
            <w:szCs w:val="20"/>
          </w:rPr>
          <w:t>66</w:t>
        </w:r>
        <w:r w:rsidR="009D5837" w:rsidRPr="00B74567">
          <w:rPr>
            <w:rFonts w:ascii="Verdana" w:hAnsi="Verdana"/>
            <w:noProof/>
            <w:webHidden/>
            <w:sz w:val="20"/>
            <w:szCs w:val="20"/>
          </w:rPr>
          <w:fldChar w:fldCharType="end"/>
        </w:r>
      </w:hyperlink>
    </w:p>
    <w:p w14:paraId="31449D4F" w14:textId="77777777" w:rsidR="009D5837" w:rsidRPr="00B74567" w:rsidRDefault="00D86616" w:rsidP="00167383">
      <w:pPr>
        <w:pStyle w:val="TOC2"/>
        <w:rPr>
          <w:rFonts w:ascii="Verdana" w:eastAsiaTheme="minorEastAsia" w:hAnsi="Verdana" w:cstheme="minorBidi"/>
          <w:noProof/>
          <w:sz w:val="20"/>
          <w:szCs w:val="20"/>
          <w:lang w:val="es-CR" w:eastAsia="es-CR"/>
        </w:rPr>
      </w:pPr>
      <w:hyperlink w:anchor="_Toc498333530" w:history="1">
        <w:r w:rsidR="009D5837" w:rsidRPr="00B74567">
          <w:rPr>
            <w:rStyle w:val="Hyperlink"/>
            <w:rFonts w:ascii="Verdana" w:hAnsi="Verdana"/>
            <w:i/>
            <w:noProof/>
            <w:sz w:val="20"/>
            <w:szCs w:val="20"/>
          </w:rPr>
          <w:t>F.</w:t>
        </w:r>
        <w:r w:rsidR="009D5837" w:rsidRPr="00B74567">
          <w:rPr>
            <w:rFonts w:ascii="Verdana" w:eastAsiaTheme="minorEastAsia" w:hAnsi="Verdana" w:cstheme="minorBidi"/>
            <w:noProof/>
            <w:sz w:val="20"/>
            <w:szCs w:val="20"/>
            <w:lang w:val="es-CR" w:eastAsia="es-CR"/>
          </w:rPr>
          <w:tab/>
        </w:r>
        <w:r w:rsidR="009D5837" w:rsidRPr="00B74567">
          <w:rPr>
            <w:rStyle w:val="Hyperlink"/>
            <w:rFonts w:ascii="Verdana" w:hAnsi="Verdana"/>
            <w:i/>
            <w:noProof/>
            <w:sz w:val="20"/>
            <w:szCs w:val="20"/>
          </w:rPr>
          <w:t>Reintegro de los gastos al Fondo de Asistencia Legal de Víctimas</w:t>
        </w:r>
        <w:r w:rsidR="009D5837" w:rsidRPr="00B74567">
          <w:rPr>
            <w:rFonts w:ascii="Verdana" w:hAnsi="Verdana"/>
            <w:noProof/>
            <w:webHidden/>
            <w:sz w:val="20"/>
            <w:szCs w:val="20"/>
          </w:rPr>
          <w:tab/>
        </w:r>
        <w:r w:rsidR="009D5837" w:rsidRPr="00B74567">
          <w:rPr>
            <w:rFonts w:ascii="Verdana" w:hAnsi="Verdana"/>
            <w:noProof/>
            <w:webHidden/>
            <w:sz w:val="20"/>
            <w:szCs w:val="20"/>
          </w:rPr>
          <w:fldChar w:fldCharType="begin"/>
        </w:r>
        <w:r w:rsidR="009D5837" w:rsidRPr="00B74567">
          <w:rPr>
            <w:rFonts w:ascii="Verdana" w:hAnsi="Verdana"/>
            <w:noProof/>
            <w:webHidden/>
            <w:sz w:val="20"/>
            <w:szCs w:val="20"/>
          </w:rPr>
          <w:instrText xml:space="preserve"> PAGEREF _Toc498333530 \h </w:instrText>
        </w:r>
        <w:r w:rsidR="009D5837" w:rsidRPr="00B74567">
          <w:rPr>
            <w:rFonts w:ascii="Verdana" w:hAnsi="Verdana"/>
            <w:noProof/>
            <w:webHidden/>
            <w:sz w:val="20"/>
            <w:szCs w:val="20"/>
          </w:rPr>
        </w:r>
        <w:r w:rsidR="009D5837" w:rsidRPr="00B74567">
          <w:rPr>
            <w:rFonts w:ascii="Verdana" w:hAnsi="Verdana"/>
            <w:noProof/>
            <w:webHidden/>
            <w:sz w:val="20"/>
            <w:szCs w:val="20"/>
          </w:rPr>
          <w:fldChar w:fldCharType="separate"/>
        </w:r>
        <w:r w:rsidR="005810EE">
          <w:rPr>
            <w:rFonts w:ascii="Verdana" w:hAnsi="Verdana"/>
            <w:noProof/>
            <w:webHidden/>
            <w:sz w:val="20"/>
            <w:szCs w:val="20"/>
          </w:rPr>
          <w:t>67</w:t>
        </w:r>
        <w:r w:rsidR="009D5837" w:rsidRPr="00B74567">
          <w:rPr>
            <w:rFonts w:ascii="Verdana" w:hAnsi="Verdana"/>
            <w:noProof/>
            <w:webHidden/>
            <w:sz w:val="20"/>
            <w:szCs w:val="20"/>
          </w:rPr>
          <w:fldChar w:fldCharType="end"/>
        </w:r>
      </w:hyperlink>
    </w:p>
    <w:p w14:paraId="3053B5DE" w14:textId="77777777" w:rsidR="009D5837" w:rsidRPr="00B74567" w:rsidRDefault="00D86616" w:rsidP="00167383">
      <w:pPr>
        <w:pStyle w:val="TOC2"/>
        <w:rPr>
          <w:rFonts w:ascii="Verdana" w:eastAsiaTheme="minorEastAsia" w:hAnsi="Verdana" w:cstheme="minorBidi"/>
          <w:noProof/>
          <w:sz w:val="20"/>
          <w:szCs w:val="20"/>
          <w:lang w:val="es-CR" w:eastAsia="es-CR"/>
        </w:rPr>
      </w:pPr>
      <w:hyperlink w:anchor="_Toc498333531" w:history="1">
        <w:r w:rsidR="009D5837" w:rsidRPr="00B74567">
          <w:rPr>
            <w:rStyle w:val="Hyperlink"/>
            <w:rFonts w:ascii="Verdana" w:hAnsi="Verdana"/>
            <w:i/>
            <w:noProof/>
            <w:sz w:val="20"/>
            <w:szCs w:val="20"/>
          </w:rPr>
          <w:t>G.</w:t>
        </w:r>
        <w:r w:rsidR="009D5837" w:rsidRPr="00B74567">
          <w:rPr>
            <w:rFonts w:ascii="Verdana" w:eastAsiaTheme="minorEastAsia" w:hAnsi="Verdana" w:cstheme="minorBidi"/>
            <w:noProof/>
            <w:sz w:val="20"/>
            <w:szCs w:val="20"/>
            <w:lang w:val="es-CR" w:eastAsia="es-CR"/>
          </w:rPr>
          <w:tab/>
        </w:r>
        <w:r w:rsidR="009D5837" w:rsidRPr="00B74567">
          <w:rPr>
            <w:rStyle w:val="Hyperlink"/>
            <w:rFonts w:ascii="Verdana" w:hAnsi="Verdana"/>
            <w:i/>
            <w:noProof/>
            <w:sz w:val="20"/>
            <w:szCs w:val="20"/>
          </w:rPr>
          <w:t>Modalidad de cumplimiento de los pagos ordenados</w:t>
        </w:r>
        <w:r w:rsidR="009D5837" w:rsidRPr="00B74567">
          <w:rPr>
            <w:rFonts w:ascii="Verdana" w:hAnsi="Verdana"/>
            <w:noProof/>
            <w:webHidden/>
            <w:sz w:val="20"/>
            <w:szCs w:val="20"/>
          </w:rPr>
          <w:tab/>
        </w:r>
        <w:r w:rsidR="009D5837" w:rsidRPr="00B74567">
          <w:rPr>
            <w:rFonts w:ascii="Verdana" w:hAnsi="Verdana"/>
            <w:noProof/>
            <w:webHidden/>
            <w:sz w:val="20"/>
            <w:szCs w:val="20"/>
          </w:rPr>
          <w:fldChar w:fldCharType="begin"/>
        </w:r>
        <w:r w:rsidR="009D5837" w:rsidRPr="00B74567">
          <w:rPr>
            <w:rFonts w:ascii="Verdana" w:hAnsi="Verdana"/>
            <w:noProof/>
            <w:webHidden/>
            <w:sz w:val="20"/>
            <w:szCs w:val="20"/>
          </w:rPr>
          <w:instrText xml:space="preserve"> PAGEREF _Toc498333531 \h </w:instrText>
        </w:r>
        <w:r w:rsidR="009D5837" w:rsidRPr="00B74567">
          <w:rPr>
            <w:rFonts w:ascii="Verdana" w:hAnsi="Verdana"/>
            <w:noProof/>
            <w:webHidden/>
            <w:sz w:val="20"/>
            <w:szCs w:val="20"/>
          </w:rPr>
        </w:r>
        <w:r w:rsidR="009D5837" w:rsidRPr="00B74567">
          <w:rPr>
            <w:rFonts w:ascii="Verdana" w:hAnsi="Verdana"/>
            <w:noProof/>
            <w:webHidden/>
            <w:sz w:val="20"/>
            <w:szCs w:val="20"/>
          </w:rPr>
          <w:fldChar w:fldCharType="separate"/>
        </w:r>
        <w:r w:rsidR="005810EE">
          <w:rPr>
            <w:rFonts w:ascii="Verdana" w:hAnsi="Verdana"/>
            <w:noProof/>
            <w:webHidden/>
            <w:sz w:val="20"/>
            <w:szCs w:val="20"/>
          </w:rPr>
          <w:t>68</w:t>
        </w:r>
        <w:r w:rsidR="009D5837" w:rsidRPr="00B74567">
          <w:rPr>
            <w:rFonts w:ascii="Verdana" w:hAnsi="Verdana"/>
            <w:noProof/>
            <w:webHidden/>
            <w:sz w:val="20"/>
            <w:szCs w:val="20"/>
          </w:rPr>
          <w:fldChar w:fldCharType="end"/>
        </w:r>
      </w:hyperlink>
    </w:p>
    <w:p w14:paraId="1674DB25" w14:textId="77777777" w:rsidR="009D5837" w:rsidRDefault="00D86616" w:rsidP="009D5837">
      <w:pPr>
        <w:pStyle w:val="TOC1"/>
        <w:rPr>
          <w:rFonts w:asciiTheme="minorHAnsi" w:eastAsiaTheme="minorEastAsia" w:hAnsiTheme="minorHAnsi" w:cstheme="minorBidi"/>
          <w:snapToGrid/>
          <w:sz w:val="22"/>
          <w:szCs w:val="22"/>
          <w:lang w:val="es-CR" w:eastAsia="es-CR"/>
        </w:rPr>
      </w:pPr>
      <w:hyperlink w:anchor="_Toc498333532" w:history="1">
        <w:r w:rsidR="009D5837" w:rsidRPr="00B74567">
          <w:rPr>
            <w:rStyle w:val="Hyperlink"/>
            <w:rFonts w:cs="Verdana"/>
          </w:rPr>
          <w:t>IX PUNTOS RESOLUTIVOS</w:t>
        </w:r>
        <w:r w:rsidR="009D5837" w:rsidRPr="00B74567">
          <w:rPr>
            <w:webHidden/>
          </w:rPr>
          <w:tab/>
        </w:r>
        <w:r w:rsidR="009D5837" w:rsidRPr="00B74567">
          <w:rPr>
            <w:webHidden/>
          </w:rPr>
          <w:fldChar w:fldCharType="begin"/>
        </w:r>
        <w:r w:rsidR="009D5837" w:rsidRPr="00B74567">
          <w:rPr>
            <w:webHidden/>
          </w:rPr>
          <w:instrText xml:space="preserve"> PAGEREF _Toc498333532 \h </w:instrText>
        </w:r>
        <w:r w:rsidR="009D5837" w:rsidRPr="00B74567">
          <w:rPr>
            <w:webHidden/>
          </w:rPr>
        </w:r>
        <w:r w:rsidR="009D5837" w:rsidRPr="00B74567">
          <w:rPr>
            <w:webHidden/>
          </w:rPr>
          <w:fldChar w:fldCharType="separate"/>
        </w:r>
        <w:r w:rsidR="005810EE">
          <w:rPr>
            <w:webHidden/>
          </w:rPr>
          <w:t>68</w:t>
        </w:r>
        <w:r w:rsidR="009D5837" w:rsidRPr="00B74567">
          <w:rPr>
            <w:webHidden/>
          </w:rPr>
          <w:fldChar w:fldCharType="end"/>
        </w:r>
      </w:hyperlink>
    </w:p>
    <w:p w14:paraId="16A8882A" w14:textId="77777777" w:rsidR="00240326" w:rsidRDefault="006F79F4" w:rsidP="009D5837">
      <w:pPr>
        <w:tabs>
          <w:tab w:val="left" w:pos="0"/>
          <w:tab w:val="left" w:pos="8730"/>
          <w:tab w:val="right" w:leader="dot" w:pos="8789"/>
          <w:tab w:val="left" w:pos="8931"/>
          <w:tab w:val="left" w:pos="9639"/>
          <w:tab w:val="right" w:leader="dot" w:pos="10065"/>
        </w:tabs>
        <w:ind w:right="815"/>
        <w:jc w:val="both"/>
        <w:rPr>
          <w:rFonts w:ascii="Verdana" w:hAnsi="Verdana" w:cs="Verdana"/>
          <w:b/>
          <w:caps/>
          <w:noProof/>
          <w:snapToGrid w:val="0"/>
          <w:sz w:val="18"/>
          <w:szCs w:val="18"/>
        </w:rPr>
      </w:pPr>
      <w:r w:rsidRPr="00A032B8">
        <w:rPr>
          <w:rFonts w:ascii="Verdana" w:hAnsi="Verdana" w:cs="Verdana"/>
          <w:b/>
          <w:caps/>
          <w:noProof/>
          <w:snapToGrid w:val="0"/>
          <w:sz w:val="18"/>
          <w:szCs w:val="18"/>
        </w:rPr>
        <w:fldChar w:fldCharType="end"/>
      </w:r>
    </w:p>
    <w:p w14:paraId="29E189B8" w14:textId="77777777" w:rsidR="00240326" w:rsidRDefault="00240326">
      <w:pPr>
        <w:spacing w:after="200" w:line="276" w:lineRule="auto"/>
        <w:rPr>
          <w:rFonts w:ascii="Verdana" w:hAnsi="Verdana" w:cs="Verdana"/>
          <w:b/>
          <w:caps/>
          <w:noProof/>
          <w:snapToGrid w:val="0"/>
          <w:sz w:val="18"/>
          <w:szCs w:val="18"/>
        </w:rPr>
      </w:pPr>
      <w:r>
        <w:rPr>
          <w:rFonts w:ascii="Verdana" w:hAnsi="Verdana" w:cs="Verdana"/>
          <w:b/>
          <w:caps/>
          <w:noProof/>
          <w:snapToGrid w:val="0"/>
          <w:sz w:val="18"/>
          <w:szCs w:val="18"/>
        </w:rPr>
        <w:br w:type="page"/>
      </w:r>
    </w:p>
    <w:p w14:paraId="4744C2C7" w14:textId="77777777" w:rsidR="006F79F4" w:rsidRPr="00CD6059" w:rsidRDefault="006F79F4" w:rsidP="006F79F4">
      <w:pPr>
        <w:pStyle w:val="Heading1"/>
        <w:tabs>
          <w:tab w:val="left" w:pos="851"/>
        </w:tabs>
        <w:spacing w:before="0"/>
        <w:jc w:val="center"/>
        <w:rPr>
          <w:rFonts w:cs="Verdana"/>
          <w:caps/>
          <w:snapToGrid w:val="0"/>
          <w:szCs w:val="20"/>
        </w:rPr>
      </w:pPr>
      <w:bookmarkStart w:id="1" w:name="_Toc498333468"/>
      <w:r w:rsidRPr="00CD6059">
        <w:rPr>
          <w:rFonts w:cs="Verdana"/>
          <w:caps/>
          <w:snapToGrid w:val="0"/>
          <w:szCs w:val="20"/>
        </w:rPr>
        <w:lastRenderedPageBreak/>
        <w:t>I</w:t>
      </w:r>
      <w:r w:rsidRPr="00CD6059">
        <w:rPr>
          <w:rFonts w:cs="Verdana"/>
          <w:caps/>
          <w:snapToGrid w:val="0"/>
          <w:szCs w:val="20"/>
        </w:rPr>
        <w:br/>
      </w:r>
      <w:bookmarkEnd w:id="0"/>
      <w:r w:rsidRPr="00CD6059">
        <w:rPr>
          <w:rFonts w:cs="Verdana"/>
          <w:caps/>
          <w:snapToGrid w:val="0"/>
          <w:szCs w:val="20"/>
        </w:rPr>
        <w:t>INTRODUCCIÓN DE LA CAUSA Y OBJETO DE LA CONTROVERSIA</w:t>
      </w:r>
      <w:bookmarkEnd w:id="1"/>
    </w:p>
    <w:p w14:paraId="33F120F7" w14:textId="77777777" w:rsidR="006F79F4" w:rsidRPr="00CD6059" w:rsidRDefault="006F79F4" w:rsidP="006F79F4">
      <w:pPr>
        <w:jc w:val="both"/>
        <w:rPr>
          <w:rFonts w:ascii="Verdana" w:hAnsi="Verdana"/>
          <w:sz w:val="20"/>
          <w:szCs w:val="20"/>
        </w:rPr>
      </w:pPr>
    </w:p>
    <w:p w14:paraId="5F084C35" w14:textId="1FACA055" w:rsidR="008C33CE" w:rsidRPr="00BD0D35" w:rsidRDefault="006F79F4" w:rsidP="00E66DD7">
      <w:pPr>
        <w:pStyle w:val="ListParagraph"/>
        <w:numPr>
          <w:ilvl w:val="0"/>
          <w:numId w:val="1"/>
        </w:numPr>
        <w:ind w:left="0" w:firstLine="0"/>
        <w:jc w:val="both"/>
        <w:rPr>
          <w:rFonts w:ascii="Verdana" w:hAnsi="Verdana"/>
          <w:sz w:val="20"/>
          <w:szCs w:val="20"/>
        </w:rPr>
      </w:pPr>
      <w:r w:rsidRPr="00393B00">
        <w:rPr>
          <w:rFonts w:ascii="Verdana" w:hAnsi="Verdana"/>
          <w:i/>
          <w:sz w:val="20"/>
          <w:szCs w:val="20"/>
        </w:rPr>
        <w:t>El caso sometido a la Corte</w:t>
      </w:r>
      <w:r w:rsidRPr="00393B00">
        <w:rPr>
          <w:rFonts w:ascii="Verdana" w:hAnsi="Verdana"/>
          <w:sz w:val="20"/>
          <w:szCs w:val="20"/>
        </w:rPr>
        <w:t xml:space="preserve">. </w:t>
      </w:r>
      <w:r w:rsidRPr="006A7D7E">
        <w:rPr>
          <w:rFonts w:ascii="Verdana" w:hAnsi="Verdana"/>
          <w:sz w:val="20"/>
          <w:szCs w:val="20"/>
        </w:rPr>
        <w:t>– El 28 de noviembre de 2015 la Comisión Interamericana de Derechos Humanos (en adelante “la Comisión” o “la Comisión Interamericana”</w:t>
      </w:r>
      <w:r w:rsidR="000909C0">
        <w:rPr>
          <w:rFonts w:ascii="Verdana" w:hAnsi="Verdana"/>
          <w:sz w:val="20"/>
          <w:szCs w:val="20"/>
        </w:rPr>
        <w:t xml:space="preserve"> o la CIDH</w:t>
      </w:r>
      <w:r w:rsidRPr="006A7D7E">
        <w:rPr>
          <w:rFonts w:ascii="Verdana" w:hAnsi="Verdana"/>
          <w:sz w:val="20"/>
          <w:szCs w:val="20"/>
        </w:rPr>
        <w:t xml:space="preserve">) sometió </w:t>
      </w:r>
      <w:r w:rsidRPr="0076651B">
        <w:rPr>
          <w:rFonts w:ascii="Verdana" w:hAnsi="Verdana"/>
          <w:sz w:val="20"/>
          <w:szCs w:val="20"/>
        </w:rPr>
        <w:t>a la jurisdicción de la Corte</w:t>
      </w:r>
      <w:r>
        <w:rPr>
          <w:rFonts w:ascii="Verdana" w:hAnsi="Verdana"/>
          <w:sz w:val="20"/>
          <w:szCs w:val="20"/>
        </w:rPr>
        <w:t xml:space="preserve"> </w:t>
      </w:r>
      <w:r w:rsidRPr="006A7D7E">
        <w:rPr>
          <w:rFonts w:ascii="Verdana" w:hAnsi="Verdana"/>
          <w:sz w:val="20"/>
          <w:szCs w:val="20"/>
        </w:rPr>
        <w:t xml:space="preserve">el caso </w:t>
      </w:r>
      <w:r w:rsidRPr="006A7D7E">
        <w:rPr>
          <w:rFonts w:ascii="Verdana" w:hAnsi="Verdana"/>
          <w:i/>
          <w:sz w:val="20"/>
          <w:szCs w:val="20"/>
        </w:rPr>
        <w:t xml:space="preserve">Lagos del Campo </w:t>
      </w:r>
      <w:r w:rsidRPr="006A7D7E">
        <w:rPr>
          <w:rFonts w:ascii="Verdana" w:hAnsi="Verdana"/>
          <w:sz w:val="20"/>
          <w:szCs w:val="20"/>
        </w:rPr>
        <w:t xml:space="preserve">contra la República del Perú (en adelante “el Estado” o “Perú”) ante la jurisdicción de la Corte Interamericana. De acuerdo con la Comisión, el caso se relaciona con el despido del señor Alfredo Lagos del Campo (en adelante “Lagos del Campo”) el 26 de junio de 1989 como consecuencia de manifestaciones realizadas siendo presidente del Comité Electoral de la Comunidad Industrial de la empresa </w:t>
      </w:r>
      <w:proofErr w:type="spellStart"/>
      <w:r w:rsidRPr="006A7D7E">
        <w:rPr>
          <w:rFonts w:ascii="Verdana" w:hAnsi="Verdana"/>
          <w:sz w:val="20"/>
          <w:szCs w:val="20"/>
        </w:rPr>
        <w:t>Ceper-Pirelli</w:t>
      </w:r>
      <w:proofErr w:type="spellEnd"/>
      <w:r w:rsidRPr="006A7D7E">
        <w:rPr>
          <w:rFonts w:ascii="Verdana" w:hAnsi="Verdana"/>
          <w:sz w:val="20"/>
          <w:szCs w:val="20"/>
        </w:rPr>
        <w:t>.</w:t>
      </w:r>
      <w:r w:rsidRPr="006A7D7E">
        <w:rPr>
          <w:rFonts w:ascii="Verdana" w:hAnsi="Verdana"/>
          <w:sz w:val="20"/>
          <w:szCs w:val="20"/>
          <w:lang w:val="es-ES"/>
        </w:rPr>
        <w:t xml:space="preserve"> Según la Comisión, las manifestaciones dadas por el señor Lagos del Campo </w:t>
      </w:r>
      <w:r w:rsidRPr="0076651B">
        <w:rPr>
          <w:rFonts w:ascii="Verdana" w:hAnsi="Verdana"/>
          <w:sz w:val="20"/>
          <w:szCs w:val="20"/>
          <w:lang w:val="es-ES"/>
        </w:rPr>
        <w:t>habrían tenido</w:t>
      </w:r>
      <w:r w:rsidRPr="006A7D7E">
        <w:rPr>
          <w:rFonts w:ascii="Verdana" w:hAnsi="Verdana"/>
          <w:sz w:val="20"/>
          <w:szCs w:val="20"/>
          <w:lang w:val="es-ES"/>
        </w:rPr>
        <w:t xml:space="preserve"> el objeto de denunciar y llamar la atención sobre actos de injerencia indebida de los empleadores en la vida de las organizaciones representativas de los trabajadores en la empresa y en la realización de elecciones internas de la Comunidad Industrial. Asimismo, la decisión de despido fue confirmada por los tribunales nacionales del Perú. </w:t>
      </w:r>
      <w:r>
        <w:rPr>
          <w:rFonts w:ascii="Verdana" w:hAnsi="Verdana"/>
          <w:sz w:val="20"/>
          <w:szCs w:val="20"/>
          <w:lang w:val="es-ES"/>
        </w:rPr>
        <w:t>Además, “[l]</w:t>
      </w:r>
      <w:r w:rsidRPr="00393B00">
        <w:rPr>
          <w:rFonts w:ascii="Verdana" w:hAnsi="Verdana"/>
          <w:sz w:val="20"/>
          <w:szCs w:val="20"/>
          <w:lang w:val="es-ES"/>
        </w:rPr>
        <w:t>a Comisión determinó que el despido del señor Lagos del Campo constituyó una injerencia arbitraria en el ejercicio del derecho a la libertad de expresión</w:t>
      </w:r>
      <w:r>
        <w:rPr>
          <w:rFonts w:ascii="Verdana" w:hAnsi="Verdana"/>
          <w:sz w:val="20"/>
          <w:szCs w:val="20"/>
          <w:lang w:val="es-ES"/>
        </w:rPr>
        <w:t xml:space="preserve"> […]</w:t>
      </w:r>
      <w:r w:rsidRPr="00393B00">
        <w:rPr>
          <w:rFonts w:ascii="Verdana" w:hAnsi="Verdana"/>
          <w:sz w:val="20"/>
          <w:szCs w:val="20"/>
          <w:lang w:val="es-ES"/>
        </w:rPr>
        <w:t>.</w:t>
      </w:r>
      <w:r w:rsidR="00585E16">
        <w:rPr>
          <w:rFonts w:ascii="Verdana" w:hAnsi="Verdana"/>
          <w:sz w:val="20"/>
          <w:szCs w:val="20"/>
          <w:lang w:val="es-ES"/>
        </w:rPr>
        <w:t xml:space="preserve"> </w:t>
      </w:r>
      <w:r>
        <w:rPr>
          <w:rFonts w:ascii="Verdana" w:hAnsi="Verdana"/>
          <w:sz w:val="20"/>
          <w:szCs w:val="20"/>
          <w:lang w:val="es-ES"/>
        </w:rPr>
        <w:t>L</w:t>
      </w:r>
      <w:r w:rsidRPr="00393B00">
        <w:rPr>
          <w:rFonts w:ascii="Verdana" w:hAnsi="Verdana"/>
          <w:sz w:val="20"/>
          <w:szCs w:val="20"/>
          <w:lang w:val="es-ES"/>
        </w:rPr>
        <w:t>a Comisión determinó que se aplicó el castigo más severo previsto en la legislación con consecuencias notables en la libertad de expresión de la</w:t>
      </w:r>
      <w:r>
        <w:rPr>
          <w:rFonts w:ascii="Verdana" w:hAnsi="Verdana"/>
          <w:sz w:val="20"/>
          <w:szCs w:val="20"/>
          <w:lang w:val="es-ES"/>
        </w:rPr>
        <w:t xml:space="preserve"> </w:t>
      </w:r>
      <w:r w:rsidR="009E49BF">
        <w:rPr>
          <w:rFonts w:ascii="Verdana" w:hAnsi="Verdana"/>
          <w:sz w:val="20"/>
          <w:szCs w:val="20"/>
          <w:lang w:val="es-ES"/>
        </w:rPr>
        <w:t>[</w:t>
      </w:r>
      <w:r>
        <w:rPr>
          <w:rFonts w:ascii="Verdana" w:hAnsi="Verdana"/>
          <w:sz w:val="20"/>
          <w:szCs w:val="20"/>
          <w:lang w:val="es-ES"/>
        </w:rPr>
        <w:t>presunta</w:t>
      </w:r>
      <w:r w:rsidR="009E49BF">
        <w:rPr>
          <w:rFonts w:ascii="Verdana" w:hAnsi="Verdana"/>
          <w:sz w:val="20"/>
          <w:szCs w:val="20"/>
          <w:lang w:val="es-ES"/>
        </w:rPr>
        <w:t>]</w:t>
      </w:r>
      <w:r w:rsidRPr="00393B00">
        <w:rPr>
          <w:rFonts w:ascii="Verdana" w:hAnsi="Verdana"/>
          <w:sz w:val="20"/>
          <w:szCs w:val="20"/>
          <w:lang w:val="es-ES"/>
        </w:rPr>
        <w:t xml:space="preserve"> víctima en tanto dirigente de trabajadores y en el derecho colectivo de trabajadores de recibir información sobre asuntos que l</w:t>
      </w:r>
      <w:r>
        <w:rPr>
          <w:rFonts w:ascii="Verdana" w:hAnsi="Verdana"/>
          <w:sz w:val="20"/>
          <w:szCs w:val="20"/>
          <w:lang w:val="es-ES"/>
        </w:rPr>
        <w:t>e</w:t>
      </w:r>
      <w:r w:rsidRPr="00393B00">
        <w:rPr>
          <w:rFonts w:ascii="Verdana" w:hAnsi="Verdana"/>
          <w:sz w:val="20"/>
          <w:szCs w:val="20"/>
          <w:lang w:val="es-ES"/>
        </w:rPr>
        <w:t xml:space="preserve"> conciernen</w:t>
      </w:r>
      <w:r>
        <w:rPr>
          <w:rFonts w:ascii="Verdana" w:hAnsi="Verdana"/>
          <w:sz w:val="20"/>
          <w:szCs w:val="20"/>
          <w:lang w:val="es-ES"/>
        </w:rPr>
        <w:t>”.</w:t>
      </w:r>
      <w:r w:rsidRPr="00333304">
        <w:rPr>
          <w:rFonts w:ascii="Verdana" w:hAnsi="Verdana"/>
          <w:sz w:val="20"/>
          <w:szCs w:val="20"/>
          <w:lang w:val="es-ES"/>
        </w:rPr>
        <w:t xml:space="preserve"> </w:t>
      </w:r>
      <w:r w:rsidRPr="007C6554">
        <w:rPr>
          <w:rFonts w:ascii="Verdana" w:hAnsi="Verdana"/>
          <w:sz w:val="20"/>
          <w:szCs w:val="20"/>
          <w:lang w:val="es-ES"/>
        </w:rPr>
        <w:t>Finalmente</w:t>
      </w:r>
      <w:r w:rsidRPr="00266456">
        <w:rPr>
          <w:rFonts w:ascii="Verdana" w:hAnsi="Verdana"/>
          <w:sz w:val="20"/>
          <w:szCs w:val="20"/>
          <w:lang w:val="es-ES"/>
        </w:rPr>
        <w:t xml:space="preserve">, </w:t>
      </w:r>
      <w:r w:rsidR="00266456" w:rsidRPr="00266456">
        <w:rPr>
          <w:rFonts w:ascii="Verdana" w:hAnsi="Verdana"/>
          <w:sz w:val="20"/>
          <w:szCs w:val="20"/>
          <w:lang w:val="es-ES"/>
        </w:rPr>
        <w:t>l</w:t>
      </w:r>
      <w:r w:rsidRPr="00266456">
        <w:rPr>
          <w:rFonts w:ascii="Verdana" w:hAnsi="Verdana"/>
          <w:sz w:val="20"/>
          <w:szCs w:val="20"/>
          <w:lang w:val="es-ES"/>
        </w:rPr>
        <w:t>a</w:t>
      </w:r>
      <w:r>
        <w:rPr>
          <w:rFonts w:ascii="Verdana" w:hAnsi="Verdana"/>
          <w:sz w:val="20"/>
          <w:szCs w:val="20"/>
          <w:lang w:val="es-ES"/>
        </w:rPr>
        <w:t xml:space="preserve"> Comisión precisó en su Informe de Fondo que lo que corresponde determinar en el presente caso es si el Estado cumplió su deber de garantizar los derechos de la presunta víctima en el contexto de las relaciones laborales, atendiendo a los alcances de los derechos reconocidos en la Convención Americana.</w:t>
      </w:r>
    </w:p>
    <w:p w14:paraId="4A7211FF" w14:textId="77777777" w:rsidR="006F79F4" w:rsidRPr="00CD6059" w:rsidRDefault="006F79F4" w:rsidP="00AF7637">
      <w:pPr>
        <w:pStyle w:val="ListParagraph"/>
        <w:ind w:left="0"/>
        <w:jc w:val="both"/>
        <w:rPr>
          <w:rFonts w:ascii="Verdana" w:hAnsi="Verdana"/>
          <w:sz w:val="20"/>
          <w:szCs w:val="20"/>
        </w:rPr>
      </w:pPr>
    </w:p>
    <w:p w14:paraId="152931F1" w14:textId="77777777" w:rsidR="006F79F4" w:rsidRPr="00CD6059" w:rsidRDefault="006F79F4" w:rsidP="00E66DD7">
      <w:pPr>
        <w:pStyle w:val="ListParagraph"/>
        <w:numPr>
          <w:ilvl w:val="0"/>
          <w:numId w:val="1"/>
        </w:numPr>
        <w:ind w:left="0" w:firstLine="0"/>
        <w:jc w:val="both"/>
        <w:rPr>
          <w:rFonts w:ascii="Verdana" w:hAnsi="Verdana"/>
          <w:sz w:val="20"/>
          <w:szCs w:val="20"/>
        </w:rPr>
      </w:pPr>
      <w:r w:rsidRPr="00CD6059">
        <w:rPr>
          <w:rFonts w:ascii="Verdana" w:hAnsi="Verdana"/>
          <w:i/>
          <w:sz w:val="20"/>
          <w:szCs w:val="20"/>
        </w:rPr>
        <w:t>Trámite ante la Comisión</w:t>
      </w:r>
      <w:r w:rsidRPr="00CD6059">
        <w:rPr>
          <w:rFonts w:ascii="Verdana" w:hAnsi="Verdana"/>
          <w:sz w:val="20"/>
          <w:szCs w:val="20"/>
        </w:rPr>
        <w:t xml:space="preserve">. – El trámite ante la Comisión fue el siguiente: </w:t>
      </w:r>
    </w:p>
    <w:p w14:paraId="686D96E8" w14:textId="77777777" w:rsidR="006F79F4" w:rsidRPr="00CD6059" w:rsidRDefault="006F79F4" w:rsidP="00AF7637">
      <w:pPr>
        <w:pStyle w:val="ListParagraph"/>
        <w:rPr>
          <w:rFonts w:ascii="Verdana" w:hAnsi="Verdana"/>
          <w:i/>
          <w:sz w:val="20"/>
          <w:szCs w:val="20"/>
        </w:rPr>
      </w:pPr>
    </w:p>
    <w:p w14:paraId="4F433080" w14:textId="474E16B6" w:rsidR="006F79F4" w:rsidRPr="007C6554" w:rsidRDefault="006F79F4" w:rsidP="00E66DD7">
      <w:pPr>
        <w:pStyle w:val="ListParagraph"/>
        <w:numPr>
          <w:ilvl w:val="0"/>
          <w:numId w:val="4"/>
        </w:numPr>
        <w:ind w:left="1066" w:hanging="357"/>
        <w:jc w:val="both"/>
        <w:rPr>
          <w:rFonts w:ascii="Verdana" w:hAnsi="Verdana"/>
          <w:sz w:val="18"/>
          <w:szCs w:val="18"/>
        </w:rPr>
      </w:pPr>
      <w:r w:rsidRPr="007C6554">
        <w:rPr>
          <w:rFonts w:ascii="Verdana" w:hAnsi="Verdana"/>
          <w:i/>
          <w:sz w:val="18"/>
          <w:szCs w:val="18"/>
        </w:rPr>
        <w:t>Petición</w:t>
      </w:r>
      <w:r w:rsidRPr="007C6554">
        <w:rPr>
          <w:rFonts w:ascii="Verdana" w:hAnsi="Verdana"/>
          <w:sz w:val="18"/>
          <w:szCs w:val="18"/>
        </w:rPr>
        <w:t xml:space="preserve">. – El </w:t>
      </w:r>
      <w:r w:rsidRPr="007C6554">
        <w:rPr>
          <w:rFonts w:ascii="Verdana" w:hAnsi="Verdana"/>
          <w:sz w:val="18"/>
          <w:szCs w:val="18"/>
          <w:lang w:val="es-ES"/>
        </w:rPr>
        <w:t xml:space="preserve">5 de agosto de 1998 </w:t>
      </w:r>
      <w:r w:rsidRPr="007C6554">
        <w:rPr>
          <w:rFonts w:ascii="Verdana" w:hAnsi="Verdana"/>
          <w:sz w:val="18"/>
          <w:szCs w:val="18"/>
        </w:rPr>
        <w:t>la Comisión recibió una petición presentada por la presunta víctima Lagos del Campo en la cual sostuvo la responsabilidad internacional de Perú por la falta de protección de su derecho, como dirigente laboral, a expresar opiniones en el contexto de un conflicto laboral electoral. Con posterioridad, la Asociación Pro Derechos Humanos, APRODEH (en adelante, “los peticionarios”), se constituyó como representante de la presunta víctima del caso.</w:t>
      </w:r>
    </w:p>
    <w:p w14:paraId="5FA87FC1" w14:textId="77777777" w:rsidR="006F79F4" w:rsidRPr="007C6554" w:rsidRDefault="006F79F4" w:rsidP="00AF7637">
      <w:pPr>
        <w:jc w:val="both"/>
        <w:rPr>
          <w:rFonts w:ascii="Verdana" w:hAnsi="Verdana"/>
          <w:sz w:val="18"/>
          <w:szCs w:val="18"/>
        </w:rPr>
      </w:pPr>
    </w:p>
    <w:p w14:paraId="5E3A0679" w14:textId="7AE6266C" w:rsidR="006F79F4" w:rsidRPr="007C6554" w:rsidRDefault="006F79F4" w:rsidP="00E66DD7">
      <w:pPr>
        <w:pStyle w:val="ListParagraph"/>
        <w:numPr>
          <w:ilvl w:val="0"/>
          <w:numId w:val="4"/>
        </w:numPr>
        <w:ind w:left="1066" w:hanging="357"/>
        <w:jc w:val="both"/>
        <w:rPr>
          <w:rFonts w:ascii="Verdana" w:hAnsi="Verdana"/>
          <w:sz w:val="18"/>
          <w:szCs w:val="18"/>
        </w:rPr>
      </w:pPr>
      <w:r w:rsidRPr="007C6554">
        <w:rPr>
          <w:rFonts w:ascii="Verdana" w:hAnsi="Verdana"/>
          <w:i/>
          <w:sz w:val="18"/>
          <w:szCs w:val="18"/>
        </w:rPr>
        <w:t>Informe de Admisibilidad.</w:t>
      </w:r>
      <w:r w:rsidRPr="007C6554">
        <w:rPr>
          <w:rFonts w:ascii="Verdana" w:hAnsi="Verdana"/>
          <w:sz w:val="18"/>
          <w:szCs w:val="18"/>
        </w:rPr>
        <w:t xml:space="preserve"> – El 1 de noviembre de 2010 la Comisión emitió el Informe de Admisibilidad No. 152/10 (en adelante “Informe de Admisibilidad”), en el que concluyó que la petición era admisible en relación a los artículos 8 y 13 de la Convención Americana, en relación con los artículos 1.1 y 2 de dicho instrumento, en perjuicio de Lagos del Campo. La Comisión también declaró que </w:t>
      </w:r>
      <w:r w:rsidRPr="007C6554">
        <w:rPr>
          <w:rFonts w:ascii="Verdana" w:eastAsiaTheme="minorHAnsi" w:hAnsi="Verdana" w:cs="Arial"/>
          <w:sz w:val="18"/>
          <w:szCs w:val="18"/>
          <w:lang w:val="es-CR"/>
        </w:rPr>
        <w:t>la petición era inadmisible en cuanto a la posible violación de los artículos 24 y 25 de la Convención.</w:t>
      </w:r>
    </w:p>
    <w:p w14:paraId="7317375B" w14:textId="77777777" w:rsidR="006F79F4" w:rsidRPr="007C6554" w:rsidRDefault="006F79F4" w:rsidP="00AF7637">
      <w:pPr>
        <w:pStyle w:val="ListParagraph"/>
        <w:rPr>
          <w:rFonts w:ascii="Verdana" w:hAnsi="Verdana"/>
          <w:i/>
          <w:sz w:val="18"/>
          <w:szCs w:val="18"/>
        </w:rPr>
      </w:pPr>
    </w:p>
    <w:p w14:paraId="5CB3915F" w14:textId="0A657B08" w:rsidR="006F79F4" w:rsidRPr="007C6554" w:rsidRDefault="006F79F4" w:rsidP="00E66DD7">
      <w:pPr>
        <w:pStyle w:val="ListParagraph"/>
        <w:numPr>
          <w:ilvl w:val="0"/>
          <w:numId w:val="4"/>
        </w:numPr>
        <w:ind w:left="1066" w:hanging="357"/>
        <w:jc w:val="both"/>
        <w:rPr>
          <w:rFonts w:ascii="Verdana" w:hAnsi="Verdana"/>
          <w:sz w:val="18"/>
          <w:szCs w:val="18"/>
        </w:rPr>
      </w:pPr>
      <w:r w:rsidRPr="007C6554">
        <w:rPr>
          <w:rFonts w:ascii="Verdana" w:hAnsi="Verdana"/>
          <w:i/>
          <w:sz w:val="18"/>
          <w:szCs w:val="18"/>
        </w:rPr>
        <w:t>Informe de Fondo.</w:t>
      </w:r>
      <w:r w:rsidRPr="007C6554">
        <w:rPr>
          <w:rFonts w:ascii="Verdana" w:hAnsi="Verdana"/>
          <w:sz w:val="18"/>
          <w:szCs w:val="18"/>
        </w:rPr>
        <w:t xml:space="preserve"> – El 21 de julio de 2015 la Comisión aprobó el Informe de Fondo No. 27/15, en los términos del artículo 50 de la Convención Americana (en adelante “Informe de Fondo” o “Informe 27/15”), en el cual llegó a la siguiente conclusión, y formuló varias recomendaciones al Estado, a saber:</w:t>
      </w:r>
    </w:p>
    <w:p w14:paraId="6FDCD854" w14:textId="77777777" w:rsidR="006F79F4" w:rsidRPr="007C6554" w:rsidRDefault="006F79F4" w:rsidP="00AF7637">
      <w:pPr>
        <w:ind w:left="708"/>
        <w:jc w:val="both"/>
        <w:rPr>
          <w:rFonts w:ascii="Verdana" w:hAnsi="Verdana"/>
          <w:sz w:val="18"/>
          <w:szCs w:val="18"/>
        </w:rPr>
      </w:pPr>
    </w:p>
    <w:p w14:paraId="06640129" w14:textId="77777777" w:rsidR="006F79F4" w:rsidRPr="007C6554" w:rsidRDefault="006F79F4" w:rsidP="00AF7637">
      <w:pPr>
        <w:ind w:left="348" w:firstLine="720"/>
        <w:jc w:val="both"/>
        <w:rPr>
          <w:rFonts w:ascii="Verdana" w:hAnsi="Verdana"/>
          <w:sz w:val="18"/>
          <w:szCs w:val="18"/>
        </w:rPr>
      </w:pPr>
      <w:r w:rsidRPr="007C6554">
        <w:rPr>
          <w:rFonts w:ascii="Verdana" w:hAnsi="Verdana"/>
          <w:sz w:val="18"/>
          <w:szCs w:val="18"/>
        </w:rPr>
        <w:t>Conclusión:</w:t>
      </w:r>
    </w:p>
    <w:p w14:paraId="458D31EC" w14:textId="77777777" w:rsidR="006F79F4" w:rsidRPr="007C6554" w:rsidRDefault="006F79F4" w:rsidP="00AF7637">
      <w:pPr>
        <w:jc w:val="both"/>
        <w:rPr>
          <w:rFonts w:ascii="Verdana" w:hAnsi="Verdana"/>
          <w:sz w:val="18"/>
          <w:szCs w:val="18"/>
        </w:rPr>
      </w:pPr>
    </w:p>
    <w:p w14:paraId="54C11522" w14:textId="093D52B0" w:rsidR="006F79F4" w:rsidRPr="007C6554" w:rsidRDefault="006F79F4" w:rsidP="00E66DD7">
      <w:pPr>
        <w:pStyle w:val="ListParagraph"/>
        <w:numPr>
          <w:ilvl w:val="0"/>
          <w:numId w:val="2"/>
        </w:numPr>
        <w:tabs>
          <w:tab w:val="left" w:pos="1418"/>
        </w:tabs>
        <w:ind w:left="1775" w:hanging="357"/>
        <w:jc w:val="both"/>
        <w:rPr>
          <w:rFonts w:ascii="Verdana" w:hAnsi="Verdana"/>
          <w:sz w:val="18"/>
          <w:szCs w:val="18"/>
        </w:rPr>
      </w:pPr>
      <w:r w:rsidRPr="00B94A60">
        <w:rPr>
          <w:rFonts w:ascii="Verdana" w:hAnsi="Verdana"/>
          <w:sz w:val="18"/>
          <w:szCs w:val="18"/>
        </w:rPr>
        <w:t>El</w:t>
      </w:r>
      <w:r w:rsidRPr="003550CD">
        <w:rPr>
          <w:rFonts w:ascii="Verdana" w:hAnsi="Verdana"/>
          <w:sz w:val="18"/>
          <w:szCs w:val="18"/>
        </w:rPr>
        <w:t xml:space="preserve"> Estado es responsable por la violación de los derechos a las garantías judiciales y libertad de expresión, de conformidad con los </w:t>
      </w:r>
      <w:r w:rsidRPr="002A78F7">
        <w:rPr>
          <w:rFonts w:ascii="Verdana" w:hAnsi="Verdana"/>
          <w:sz w:val="18"/>
          <w:szCs w:val="18"/>
        </w:rPr>
        <w:t>artículos 8.1 y 13 de la Convención Americana en relación con los artículos 1.1, 2 y 16.1 del mismo instrumento, en perjuicio del señor Lagos del Campo.</w:t>
      </w:r>
    </w:p>
    <w:p w14:paraId="0E54907F" w14:textId="77777777" w:rsidR="006F79F4" w:rsidRPr="007C6554" w:rsidRDefault="006F79F4" w:rsidP="00AF7637">
      <w:pPr>
        <w:jc w:val="both"/>
        <w:rPr>
          <w:rFonts w:ascii="Verdana" w:hAnsi="Verdana"/>
          <w:sz w:val="18"/>
          <w:szCs w:val="18"/>
        </w:rPr>
      </w:pPr>
    </w:p>
    <w:p w14:paraId="5D381520" w14:textId="77777777" w:rsidR="006F79F4" w:rsidRPr="007C6554" w:rsidRDefault="006F79F4" w:rsidP="00AF7637">
      <w:pPr>
        <w:ind w:left="348" w:firstLine="720"/>
        <w:jc w:val="both"/>
        <w:rPr>
          <w:rFonts w:ascii="Verdana" w:hAnsi="Verdana"/>
          <w:sz w:val="18"/>
          <w:szCs w:val="18"/>
        </w:rPr>
      </w:pPr>
      <w:r w:rsidRPr="007C6554">
        <w:rPr>
          <w:rFonts w:ascii="Verdana" w:hAnsi="Verdana"/>
          <w:sz w:val="18"/>
          <w:szCs w:val="18"/>
        </w:rPr>
        <w:t>Recomendaciones:</w:t>
      </w:r>
    </w:p>
    <w:p w14:paraId="4B8F6748" w14:textId="77777777" w:rsidR="006F79F4" w:rsidRPr="007C6554" w:rsidRDefault="006F79F4" w:rsidP="00AF7637">
      <w:pPr>
        <w:jc w:val="both"/>
        <w:rPr>
          <w:rFonts w:ascii="Verdana" w:hAnsi="Verdana"/>
          <w:sz w:val="18"/>
          <w:szCs w:val="18"/>
        </w:rPr>
      </w:pPr>
    </w:p>
    <w:p w14:paraId="577A1C42" w14:textId="77777777" w:rsidR="006F79F4" w:rsidRPr="002A78F7" w:rsidRDefault="006F79F4" w:rsidP="00E66DD7">
      <w:pPr>
        <w:pStyle w:val="ListParagraph"/>
        <w:numPr>
          <w:ilvl w:val="0"/>
          <w:numId w:val="5"/>
        </w:numPr>
        <w:jc w:val="both"/>
        <w:rPr>
          <w:rFonts w:ascii="Verdana" w:hAnsi="Verdana"/>
          <w:sz w:val="18"/>
          <w:szCs w:val="18"/>
        </w:rPr>
      </w:pPr>
      <w:r w:rsidRPr="00B94A60">
        <w:rPr>
          <w:rFonts w:ascii="Verdana" w:eastAsiaTheme="minorHAnsi" w:hAnsi="Verdana" w:cs="Arial"/>
          <w:sz w:val="18"/>
          <w:szCs w:val="18"/>
          <w:lang w:val="es-CR"/>
        </w:rPr>
        <w:t>Reparar integralmente al señor Lagos del Campo por las violaciones declaradas en el presente informe. Esta reparación debe incorporar tanto el asp</w:t>
      </w:r>
      <w:r w:rsidRPr="003550CD">
        <w:rPr>
          <w:rFonts w:ascii="Verdana" w:eastAsiaTheme="minorHAnsi" w:hAnsi="Verdana" w:cs="Arial"/>
          <w:sz w:val="18"/>
          <w:szCs w:val="18"/>
          <w:lang w:val="es-CR"/>
        </w:rPr>
        <w:t>ecto material como moral;</w:t>
      </w:r>
    </w:p>
    <w:p w14:paraId="029AE76C" w14:textId="77777777" w:rsidR="006F79F4" w:rsidRPr="00E8124B" w:rsidRDefault="006F79F4" w:rsidP="00AF7637">
      <w:pPr>
        <w:pStyle w:val="ListParagraph"/>
        <w:ind w:left="1776"/>
        <w:jc w:val="both"/>
        <w:rPr>
          <w:rFonts w:ascii="Verdana" w:hAnsi="Verdana"/>
          <w:sz w:val="18"/>
          <w:szCs w:val="18"/>
        </w:rPr>
      </w:pPr>
    </w:p>
    <w:p w14:paraId="0BACCCBD" w14:textId="77777777" w:rsidR="006F79F4" w:rsidRPr="007B445D" w:rsidRDefault="006F79F4" w:rsidP="00E66DD7">
      <w:pPr>
        <w:pStyle w:val="ListParagraph"/>
        <w:numPr>
          <w:ilvl w:val="0"/>
          <w:numId w:val="5"/>
        </w:numPr>
        <w:ind w:left="1775" w:hanging="357"/>
        <w:jc w:val="both"/>
        <w:rPr>
          <w:rFonts w:ascii="Verdana" w:hAnsi="Verdana"/>
          <w:sz w:val="18"/>
          <w:szCs w:val="18"/>
        </w:rPr>
      </w:pPr>
      <w:r w:rsidRPr="007B445D">
        <w:rPr>
          <w:rFonts w:ascii="Verdana" w:eastAsiaTheme="minorHAnsi" w:hAnsi="Verdana" w:cs="Arial"/>
          <w:sz w:val="18"/>
          <w:szCs w:val="18"/>
          <w:lang w:val="es-CR"/>
        </w:rPr>
        <w:t>Adoptar medidas de no repetición a fin de asegurar que los representantes de los trabajadores y líderes sindicales puedan gozar de su derecho a la libertad de expresión, de conformidad con los estándares establecidos en este informe, y</w:t>
      </w:r>
    </w:p>
    <w:p w14:paraId="7F373278" w14:textId="77777777" w:rsidR="006F79F4" w:rsidRPr="0004324B" w:rsidRDefault="006F79F4" w:rsidP="00AF7637">
      <w:pPr>
        <w:pStyle w:val="ListParagraph"/>
        <w:ind w:left="1776"/>
        <w:jc w:val="both"/>
        <w:rPr>
          <w:rFonts w:ascii="Verdana" w:hAnsi="Verdana"/>
          <w:sz w:val="18"/>
          <w:szCs w:val="18"/>
        </w:rPr>
      </w:pPr>
    </w:p>
    <w:p w14:paraId="03982531" w14:textId="7A73D5CE" w:rsidR="006F79F4" w:rsidRPr="007C6554" w:rsidRDefault="006F79F4" w:rsidP="00E66DD7">
      <w:pPr>
        <w:pStyle w:val="ListParagraph"/>
        <w:numPr>
          <w:ilvl w:val="0"/>
          <w:numId w:val="5"/>
        </w:numPr>
        <w:jc w:val="both"/>
        <w:rPr>
          <w:rFonts w:ascii="Verdana" w:hAnsi="Verdana"/>
          <w:sz w:val="18"/>
          <w:szCs w:val="18"/>
        </w:rPr>
      </w:pPr>
      <w:r w:rsidRPr="00B94A60">
        <w:rPr>
          <w:rFonts w:ascii="Verdana" w:eastAsiaTheme="minorHAnsi" w:hAnsi="Verdana" w:cs="Arial"/>
          <w:sz w:val="18"/>
          <w:szCs w:val="18"/>
          <w:lang w:val="es-CR"/>
        </w:rPr>
        <w:t>Adoptar medidas para asegurar que la legislación y su aplicación por parte de los tribunales internos se adecue a los principios establecidos por el derecho internacional de los derechos humanos en materia de libertad de expresión en contextos laborales, reiterados en el presente caso.</w:t>
      </w:r>
    </w:p>
    <w:p w14:paraId="7ED779E0" w14:textId="77777777" w:rsidR="006F79F4" w:rsidRPr="007C6554" w:rsidRDefault="006F79F4" w:rsidP="00AF7637">
      <w:pPr>
        <w:jc w:val="both"/>
        <w:rPr>
          <w:rFonts w:ascii="Verdana" w:hAnsi="Verdana"/>
          <w:sz w:val="18"/>
          <w:szCs w:val="18"/>
        </w:rPr>
      </w:pPr>
    </w:p>
    <w:p w14:paraId="2B6B859B" w14:textId="10853A3B" w:rsidR="006F79F4" w:rsidRPr="007C6554" w:rsidRDefault="006F79F4" w:rsidP="00E66DD7">
      <w:pPr>
        <w:pStyle w:val="ListParagraph"/>
        <w:numPr>
          <w:ilvl w:val="0"/>
          <w:numId w:val="4"/>
        </w:numPr>
        <w:jc w:val="both"/>
        <w:rPr>
          <w:rFonts w:ascii="Verdana" w:hAnsi="Verdana"/>
          <w:sz w:val="18"/>
          <w:szCs w:val="18"/>
        </w:rPr>
      </w:pPr>
      <w:r w:rsidRPr="007C6554">
        <w:rPr>
          <w:rFonts w:ascii="Verdana" w:hAnsi="Verdana"/>
          <w:i/>
          <w:sz w:val="18"/>
          <w:szCs w:val="18"/>
        </w:rPr>
        <w:t xml:space="preserve">Notificación al Estado. </w:t>
      </w:r>
      <w:r w:rsidRPr="007C6554">
        <w:rPr>
          <w:rFonts w:ascii="Verdana" w:hAnsi="Verdana"/>
          <w:sz w:val="18"/>
          <w:szCs w:val="18"/>
        </w:rPr>
        <w:t>– El 28 de agosto de 2015 la Comisión notificó el Informe de Fondo al Estado, otorgándosele un plazo de dos meses para informar sobre el cumplimiento de las recomendaciones.</w:t>
      </w:r>
    </w:p>
    <w:p w14:paraId="56F14F1E" w14:textId="77777777" w:rsidR="006F79F4" w:rsidRPr="007C6554" w:rsidRDefault="006F79F4" w:rsidP="00AF7637">
      <w:pPr>
        <w:ind w:left="708"/>
        <w:jc w:val="both"/>
        <w:rPr>
          <w:rFonts w:ascii="Verdana" w:hAnsi="Verdana"/>
          <w:sz w:val="18"/>
          <w:szCs w:val="18"/>
        </w:rPr>
      </w:pPr>
    </w:p>
    <w:p w14:paraId="02751A81" w14:textId="4138ADCE" w:rsidR="006F79F4" w:rsidRPr="007C6554" w:rsidRDefault="006F79F4" w:rsidP="00E66DD7">
      <w:pPr>
        <w:pStyle w:val="ListParagraph"/>
        <w:numPr>
          <w:ilvl w:val="0"/>
          <w:numId w:val="4"/>
        </w:numPr>
        <w:jc w:val="both"/>
        <w:rPr>
          <w:rFonts w:ascii="Verdana" w:eastAsiaTheme="minorHAnsi" w:hAnsi="Verdana" w:cs="Arial"/>
          <w:sz w:val="18"/>
          <w:szCs w:val="18"/>
          <w:lang w:val="es-CR"/>
        </w:rPr>
      </w:pPr>
      <w:r w:rsidRPr="007C6554">
        <w:rPr>
          <w:rFonts w:ascii="Verdana" w:hAnsi="Verdana"/>
          <w:i/>
          <w:sz w:val="18"/>
          <w:szCs w:val="18"/>
        </w:rPr>
        <w:t>Informe de cumplimiento.</w:t>
      </w:r>
      <w:r w:rsidRPr="007C6554">
        <w:rPr>
          <w:rFonts w:ascii="Verdana" w:hAnsi="Verdana"/>
          <w:sz w:val="18"/>
          <w:szCs w:val="18"/>
        </w:rPr>
        <w:t xml:space="preserve"> – El 29 de octubre de 2015 </w:t>
      </w:r>
      <w:r w:rsidRPr="007C6554">
        <w:rPr>
          <w:rFonts w:ascii="Verdana" w:eastAsiaTheme="minorHAnsi" w:hAnsi="Verdana" w:cs="Arial"/>
          <w:sz w:val="18"/>
          <w:szCs w:val="18"/>
          <w:lang w:val="es-CR"/>
        </w:rPr>
        <w:t>el Estado presentó un informe en el cual indicó que no se han vulnerado los derechos establecidos en los artículos 8.1 y 13 de la Convención en relación con los artículos 1.1, 2 y 16.1 del mismo instrumento, en perjuicio del señor Lagos del Campo.</w:t>
      </w:r>
    </w:p>
    <w:p w14:paraId="618669DA" w14:textId="77777777" w:rsidR="006F79F4" w:rsidRPr="007C6554" w:rsidRDefault="006F79F4" w:rsidP="00AF7637">
      <w:pPr>
        <w:ind w:left="708"/>
        <w:jc w:val="both"/>
        <w:rPr>
          <w:rFonts w:ascii="Verdana" w:hAnsi="Verdana"/>
          <w:i/>
          <w:sz w:val="18"/>
          <w:szCs w:val="18"/>
        </w:rPr>
      </w:pPr>
    </w:p>
    <w:p w14:paraId="7C97C9BA" w14:textId="30498ABD" w:rsidR="006F79F4" w:rsidRPr="005D0F69" w:rsidRDefault="006F79F4" w:rsidP="00E66DD7">
      <w:pPr>
        <w:pStyle w:val="ListParagraph"/>
        <w:numPr>
          <w:ilvl w:val="0"/>
          <w:numId w:val="1"/>
        </w:numPr>
        <w:ind w:left="0" w:firstLine="0"/>
        <w:jc w:val="both"/>
        <w:rPr>
          <w:rFonts w:ascii="Verdana" w:hAnsi="Verdana"/>
          <w:sz w:val="20"/>
          <w:szCs w:val="20"/>
        </w:rPr>
      </w:pPr>
      <w:r w:rsidRPr="005D0F69">
        <w:rPr>
          <w:rFonts w:ascii="Verdana" w:hAnsi="Verdana"/>
          <w:i/>
          <w:sz w:val="20"/>
          <w:szCs w:val="20"/>
        </w:rPr>
        <w:t>Sometimiento a la Corte.</w:t>
      </w:r>
      <w:r w:rsidRPr="005D0F69">
        <w:rPr>
          <w:rFonts w:ascii="Verdana" w:hAnsi="Verdana"/>
          <w:sz w:val="20"/>
          <w:szCs w:val="20"/>
        </w:rPr>
        <w:t xml:space="preserve"> – El 28 de noviembre de 2015 la Comisión decidió enviar el caso a la Corte Interamericana ante la necesidad de obtención de justicia. Asimismo, </w:t>
      </w:r>
      <w:r w:rsidR="008C33CE" w:rsidRPr="005D0F69">
        <w:rPr>
          <w:rFonts w:ascii="Verdana" w:hAnsi="Verdana"/>
          <w:sz w:val="20"/>
          <w:szCs w:val="20"/>
        </w:rPr>
        <w:t xml:space="preserve">sometió </w:t>
      </w:r>
      <w:r w:rsidRPr="005D0F69">
        <w:rPr>
          <w:rFonts w:ascii="Verdana" w:hAnsi="Verdana"/>
          <w:sz w:val="20"/>
          <w:szCs w:val="20"/>
        </w:rPr>
        <w:t>a la jurisdicción del Tribunal la totalidad de los hechos y violaciones de derechos humanos descritos en el Informe de Fondo</w:t>
      </w:r>
      <w:r w:rsidRPr="005D0F69">
        <w:rPr>
          <w:rStyle w:val="FootnoteReference"/>
          <w:szCs w:val="20"/>
        </w:rPr>
        <w:footnoteReference w:id="2"/>
      </w:r>
      <w:r w:rsidRPr="005D0F69">
        <w:rPr>
          <w:rFonts w:ascii="Verdana" w:hAnsi="Verdana"/>
          <w:sz w:val="20"/>
          <w:szCs w:val="20"/>
        </w:rPr>
        <w:t>.</w:t>
      </w:r>
    </w:p>
    <w:p w14:paraId="6622ED3D" w14:textId="77777777" w:rsidR="006F79F4" w:rsidRPr="00CD6059" w:rsidRDefault="006F79F4" w:rsidP="00AF7637">
      <w:pPr>
        <w:pStyle w:val="ListParagraph"/>
        <w:rPr>
          <w:rFonts w:ascii="Verdana" w:hAnsi="Verdana"/>
          <w:sz w:val="20"/>
          <w:szCs w:val="20"/>
        </w:rPr>
      </w:pPr>
    </w:p>
    <w:p w14:paraId="64F422FC" w14:textId="20E2581C" w:rsidR="006F79F4" w:rsidRPr="00CD6059" w:rsidRDefault="006F79F4" w:rsidP="00E66DD7">
      <w:pPr>
        <w:pStyle w:val="ListParagraph"/>
        <w:numPr>
          <w:ilvl w:val="0"/>
          <w:numId w:val="1"/>
        </w:numPr>
        <w:ind w:left="0" w:firstLine="0"/>
        <w:jc w:val="both"/>
        <w:rPr>
          <w:rFonts w:ascii="Verdana" w:hAnsi="Verdana"/>
          <w:sz w:val="20"/>
          <w:szCs w:val="20"/>
        </w:rPr>
      </w:pPr>
      <w:r w:rsidRPr="00CD6059">
        <w:rPr>
          <w:rFonts w:ascii="Verdana" w:hAnsi="Verdana"/>
          <w:i/>
          <w:sz w:val="20"/>
          <w:szCs w:val="20"/>
        </w:rPr>
        <w:t>Solicitudes de la Comisión Interamericana.</w:t>
      </w:r>
      <w:r w:rsidRPr="00CD6059">
        <w:rPr>
          <w:rFonts w:ascii="Verdana" w:hAnsi="Verdana"/>
          <w:sz w:val="20"/>
          <w:szCs w:val="20"/>
        </w:rPr>
        <w:t xml:space="preserve"> – Con base en lo anterior, la Comisión</w:t>
      </w:r>
      <w:r>
        <w:rPr>
          <w:rFonts w:ascii="Verdana" w:hAnsi="Verdana"/>
          <w:sz w:val="20"/>
          <w:szCs w:val="20"/>
        </w:rPr>
        <w:t xml:space="preserve"> solicitó a la Corte que concluya y declare la responsabilidad internacional del Estado por la violación de los derechos </w:t>
      </w:r>
      <w:r w:rsidRPr="0076651B">
        <w:rPr>
          <w:rFonts w:ascii="Verdana" w:hAnsi="Verdana"/>
          <w:sz w:val="20"/>
          <w:szCs w:val="20"/>
        </w:rPr>
        <w:t>señalados en su Informe de Fondo</w:t>
      </w:r>
      <w:r>
        <w:rPr>
          <w:rFonts w:ascii="Verdana" w:hAnsi="Verdana"/>
          <w:sz w:val="20"/>
          <w:szCs w:val="20"/>
        </w:rPr>
        <w:t>, en perjuicio de</w:t>
      </w:r>
      <w:r w:rsidRPr="0076651B">
        <w:rPr>
          <w:rFonts w:ascii="Verdana" w:hAnsi="Verdana"/>
          <w:sz w:val="20"/>
          <w:szCs w:val="20"/>
        </w:rPr>
        <w:t xml:space="preserve">l señor </w:t>
      </w:r>
      <w:r>
        <w:rPr>
          <w:rFonts w:ascii="Verdana" w:hAnsi="Verdana"/>
          <w:sz w:val="20"/>
          <w:szCs w:val="20"/>
        </w:rPr>
        <w:t xml:space="preserve">Lagos del Campo. Además, solicitó </w:t>
      </w:r>
      <w:r w:rsidR="00BD0D35">
        <w:rPr>
          <w:rFonts w:ascii="Verdana" w:hAnsi="Verdana"/>
          <w:sz w:val="20"/>
        </w:rPr>
        <w:t>que ordenara al Estado, como medidas de reparación, las recomendaciones contenidas en el mismo</w:t>
      </w:r>
      <w:r w:rsidR="00524EDB" w:rsidRPr="00333304">
        <w:rPr>
          <w:rFonts w:ascii="Verdana" w:hAnsi="Verdana"/>
          <w:sz w:val="20"/>
          <w:szCs w:val="20"/>
        </w:rPr>
        <w:t>.</w:t>
      </w:r>
    </w:p>
    <w:p w14:paraId="04EF17FC" w14:textId="77777777" w:rsidR="006F79F4" w:rsidRPr="00CD6059" w:rsidRDefault="006F79F4" w:rsidP="006F79F4">
      <w:pPr>
        <w:pStyle w:val="ListParagraph"/>
        <w:ind w:left="0"/>
        <w:jc w:val="both"/>
        <w:rPr>
          <w:rFonts w:ascii="Verdana" w:hAnsi="Verdana"/>
          <w:sz w:val="20"/>
          <w:szCs w:val="20"/>
        </w:rPr>
      </w:pPr>
    </w:p>
    <w:p w14:paraId="6377CA61" w14:textId="77777777" w:rsidR="006F79F4" w:rsidRPr="00CD6059" w:rsidRDefault="006F79F4" w:rsidP="006F79F4">
      <w:pPr>
        <w:pStyle w:val="Heading1"/>
        <w:tabs>
          <w:tab w:val="left" w:pos="851"/>
        </w:tabs>
        <w:spacing w:before="0"/>
        <w:jc w:val="center"/>
        <w:rPr>
          <w:rFonts w:cs="Verdana"/>
          <w:caps/>
          <w:snapToGrid w:val="0"/>
          <w:szCs w:val="20"/>
        </w:rPr>
      </w:pPr>
      <w:bookmarkStart w:id="2" w:name="_Toc498333469"/>
      <w:r w:rsidRPr="00CD6059">
        <w:rPr>
          <w:rFonts w:cs="Verdana"/>
          <w:caps/>
          <w:snapToGrid w:val="0"/>
          <w:szCs w:val="20"/>
        </w:rPr>
        <w:t>II</w:t>
      </w:r>
      <w:r w:rsidRPr="00CD6059">
        <w:rPr>
          <w:rFonts w:cs="Verdana"/>
          <w:caps/>
          <w:snapToGrid w:val="0"/>
          <w:szCs w:val="20"/>
        </w:rPr>
        <w:br/>
        <w:t>PROCEDIMIENTO ANTE LA CORTE</w:t>
      </w:r>
      <w:bookmarkEnd w:id="2"/>
    </w:p>
    <w:p w14:paraId="059BCF0C" w14:textId="77777777" w:rsidR="006F79F4" w:rsidRPr="00870C74" w:rsidRDefault="006F79F4" w:rsidP="006F79F4">
      <w:pPr>
        <w:pStyle w:val="ListParagraph"/>
        <w:ind w:left="0"/>
        <w:jc w:val="both"/>
        <w:rPr>
          <w:rFonts w:ascii="Verdana" w:hAnsi="Verdana"/>
          <w:sz w:val="20"/>
          <w:szCs w:val="20"/>
        </w:rPr>
      </w:pPr>
    </w:p>
    <w:p w14:paraId="4562B0BD" w14:textId="0817EEE3" w:rsidR="006F79F4" w:rsidRPr="006A7D7E" w:rsidRDefault="006F79F4" w:rsidP="00E66DD7">
      <w:pPr>
        <w:pStyle w:val="ListParagraph"/>
        <w:numPr>
          <w:ilvl w:val="0"/>
          <w:numId w:val="1"/>
        </w:numPr>
        <w:ind w:left="0" w:firstLine="0"/>
        <w:jc w:val="both"/>
        <w:rPr>
          <w:rFonts w:ascii="Verdana" w:hAnsi="Verdana"/>
          <w:sz w:val="20"/>
          <w:szCs w:val="20"/>
        </w:rPr>
      </w:pPr>
      <w:r w:rsidRPr="006A7D7E">
        <w:rPr>
          <w:rFonts w:ascii="Verdana" w:hAnsi="Verdana"/>
          <w:i/>
          <w:sz w:val="20"/>
          <w:szCs w:val="20"/>
        </w:rPr>
        <w:t>Notificación al Estado</w:t>
      </w:r>
      <w:r w:rsidRPr="006A7D7E">
        <w:rPr>
          <w:rStyle w:val="FootnoteReference"/>
          <w:i/>
          <w:szCs w:val="20"/>
        </w:rPr>
        <w:footnoteReference w:id="3"/>
      </w:r>
      <w:r w:rsidRPr="006A7D7E">
        <w:rPr>
          <w:rFonts w:ascii="Verdana" w:hAnsi="Verdana"/>
          <w:i/>
          <w:sz w:val="20"/>
          <w:szCs w:val="20"/>
        </w:rPr>
        <w:t xml:space="preserve"> y a los representantes.</w:t>
      </w:r>
      <w:r w:rsidRPr="006A7D7E">
        <w:rPr>
          <w:rFonts w:ascii="Verdana" w:hAnsi="Verdana"/>
          <w:sz w:val="20"/>
          <w:szCs w:val="20"/>
        </w:rPr>
        <w:t xml:space="preserve"> – El sometimiento del caso por </w:t>
      </w:r>
      <w:r w:rsidRPr="007C6554">
        <w:rPr>
          <w:rFonts w:ascii="Verdana" w:hAnsi="Verdana"/>
          <w:sz w:val="20"/>
          <w:szCs w:val="20"/>
        </w:rPr>
        <w:t>parte de</w:t>
      </w:r>
      <w:r>
        <w:rPr>
          <w:rFonts w:ascii="Verdana" w:hAnsi="Verdana"/>
          <w:sz w:val="20"/>
          <w:szCs w:val="20"/>
        </w:rPr>
        <w:t xml:space="preserve"> </w:t>
      </w:r>
      <w:r w:rsidRPr="006A7D7E">
        <w:rPr>
          <w:rFonts w:ascii="Verdana" w:hAnsi="Verdana"/>
          <w:sz w:val="20"/>
          <w:szCs w:val="20"/>
        </w:rPr>
        <w:t xml:space="preserve">la Comisión fue notificado al Estado y a los representantes el </w:t>
      </w:r>
      <w:r w:rsidRPr="00266456">
        <w:rPr>
          <w:rFonts w:ascii="Verdana" w:hAnsi="Verdana"/>
          <w:sz w:val="20"/>
          <w:szCs w:val="20"/>
        </w:rPr>
        <w:t>15</w:t>
      </w:r>
      <w:r w:rsidRPr="006A7D7E">
        <w:rPr>
          <w:rFonts w:ascii="Verdana" w:hAnsi="Verdana"/>
          <w:sz w:val="20"/>
          <w:szCs w:val="20"/>
        </w:rPr>
        <w:t xml:space="preserve"> de febrero de 2016. </w:t>
      </w:r>
    </w:p>
    <w:p w14:paraId="76231108" w14:textId="77777777" w:rsidR="006F79F4" w:rsidRPr="006A7D7E" w:rsidRDefault="006F79F4" w:rsidP="00AF7637">
      <w:pPr>
        <w:pStyle w:val="ListParagraph"/>
        <w:ind w:left="0"/>
        <w:jc w:val="both"/>
        <w:rPr>
          <w:rFonts w:ascii="Verdana" w:hAnsi="Verdana"/>
          <w:sz w:val="20"/>
          <w:szCs w:val="20"/>
        </w:rPr>
      </w:pPr>
    </w:p>
    <w:p w14:paraId="37142132" w14:textId="03C1B1FC" w:rsidR="00EC6021" w:rsidRDefault="006F79F4" w:rsidP="00333304">
      <w:pPr>
        <w:pStyle w:val="ListParagraph"/>
        <w:numPr>
          <w:ilvl w:val="0"/>
          <w:numId w:val="1"/>
        </w:numPr>
        <w:ind w:left="0" w:firstLine="0"/>
        <w:jc w:val="both"/>
        <w:rPr>
          <w:rFonts w:ascii="Verdana" w:hAnsi="Verdana"/>
          <w:sz w:val="20"/>
          <w:szCs w:val="20"/>
        </w:rPr>
      </w:pPr>
      <w:r w:rsidRPr="00524EDB">
        <w:rPr>
          <w:rFonts w:ascii="Verdana" w:hAnsi="Verdana"/>
          <w:i/>
          <w:sz w:val="20"/>
          <w:szCs w:val="20"/>
        </w:rPr>
        <w:t>Escrito de solicitudes, argumentos y pruebas.</w:t>
      </w:r>
      <w:r w:rsidRPr="00524EDB">
        <w:rPr>
          <w:rFonts w:ascii="Verdana" w:hAnsi="Verdana"/>
          <w:sz w:val="20"/>
          <w:szCs w:val="20"/>
        </w:rPr>
        <w:t xml:space="preserve"> – El 15 de abril de 2016 los representantes presentaron su escrito de solicitudes, argumentos y pruebas (en adelante</w:t>
      </w:r>
      <w:r w:rsidRPr="00FF0C2D">
        <w:rPr>
          <w:rFonts w:ascii="Verdana" w:hAnsi="Verdana"/>
          <w:sz w:val="20"/>
          <w:szCs w:val="20"/>
        </w:rPr>
        <w:t xml:space="preserve"> “esc</w:t>
      </w:r>
      <w:r w:rsidRPr="00524EDB">
        <w:rPr>
          <w:rFonts w:ascii="Verdana" w:hAnsi="Verdana"/>
          <w:sz w:val="20"/>
          <w:szCs w:val="20"/>
        </w:rPr>
        <w:t>rito de solicitudes y argumentos”), en el cual solicitaron acogerse al Fondo de Asistencia Legal de Víctimas de la Corte Interamericana (en adelante “Fondo de Asistencia de la Corte” o el “Fondo”).</w:t>
      </w:r>
    </w:p>
    <w:p w14:paraId="242AE307" w14:textId="77777777" w:rsidR="006F79F4" w:rsidRPr="00524EDB" w:rsidRDefault="006F79F4" w:rsidP="00333304">
      <w:pPr>
        <w:pStyle w:val="ListParagraph"/>
        <w:ind w:left="0"/>
        <w:jc w:val="both"/>
        <w:rPr>
          <w:rFonts w:ascii="Verdana" w:hAnsi="Verdana"/>
          <w:sz w:val="20"/>
          <w:szCs w:val="20"/>
        </w:rPr>
      </w:pPr>
    </w:p>
    <w:p w14:paraId="1807BAF3" w14:textId="46652050" w:rsidR="006F79F4" w:rsidRPr="006A7D7E" w:rsidRDefault="006F79F4" w:rsidP="00E66DD7">
      <w:pPr>
        <w:pStyle w:val="ListParagraph"/>
        <w:numPr>
          <w:ilvl w:val="0"/>
          <w:numId w:val="1"/>
        </w:numPr>
        <w:ind w:left="0" w:firstLine="0"/>
        <w:jc w:val="both"/>
        <w:rPr>
          <w:rFonts w:ascii="Verdana" w:hAnsi="Verdana"/>
          <w:sz w:val="20"/>
          <w:szCs w:val="20"/>
        </w:rPr>
      </w:pPr>
      <w:r w:rsidRPr="006A7D7E">
        <w:rPr>
          <w:rFonts w:ascii="Verdana" w:hAnsi="Verdana"/>
          <w:i/>
          <w:sz w:val="20"/>
          <w:szCs w:val="20"/>
        </w:rPr>
        <w:t>Escrito de contestación.</w:t>
      </w:r>
      <w:r w:rsidRPr="006A7D7E">
        <w:rPr>
          <w:rFonts w:ascii="Verdana" w:hAnsi="Verdana"/>
          <w:sz w:val="20"/>
          <w:szCs w:val="20"/>
        </w:rPr>
        <w:t xml:space="preserve"> – El 27 de junio de 2016 el Estado presentó ante la Corte su contestación al escrito de sometimiento del caso y de observaciones al escrito de solicitudes, argumentos y pruebas (en adelante “escrito de contestación”).</w:t>
      </w:r>
      <w:r w:rsidR="00524EDB">
        <w:rPr>
          <w:rFonts w:ascii="Verdana" w:hAnsi="Verdana"/>
          <w:sz w:val="20"/>
          <w:szCs w:val="20"/>
        </w:rPr>
        <w:t xml:space="preserve"> </w:t>
      </w:r>
      <w:r w:rsidRPr="006A7D7E">
        <w:rPr>
          <w:rFonts w:ascii="Verdana" w:hAnsi="Verdana"/>
          <w:sz w:val="20"/>
          <w:szCs w:val="20"/>
        </w:rPr>
        <w:t xml:space="preserve">En dicho escrito el Estado interpuso </w:t>
      </w:r>
      <w:r>
        <w:rPr>
          <w:rFonts w:ascii="Verdana" w:hAnsi="Verdana"/>
          <w:sz w:val="20"/>
          <w:szCs w:val="20"/>
        </w:rPr>
        <w:t>una serie de “observaciones al Informe de Admisibilidad y plantearon cuestionamientos procesales a los argumentos interpuestos por la Comisión y los representantes”</w:t>
      </w:r>
      <w:r w:rsidRPr="006A7D7E">
        <w:rPr>
          <w:rFonts w:ascii="Verdana" w:hAnsi="Verdana"/>
          <w:sz w:val="20"/>
          <w:szCs w:val="20"/>
        </w:rPr>
        <w:t>.</w:t>
      </w:r>
    </w:p>
    <w:p w14:paraId="7B9BC5A1" w14:textId="77777777" w:rsidR="006F79F4" w:rsidRPr="00A659C5" w:rsidRDefault="006F79F4" w:rsidP="00AF7637">
      <w:pPr>
        <w:pStyle w:val="ListParagraph"/>
        <w:ind w:left="0"/>
        <w:rPr>
          <w:rFonts w:ascii="Verdana" w:hAnsi="Verdana"/>
          <w:sz w:val="20"/>
          <w:szCs w:val="20"/>
        </w:rPr>
      </w:pPr>
    </w:p>
    <w:p w14:paraId="21F9AB06" w14:textId="5EB8FFA0" w:rsidR="006F79F4" w:rsidRPr="005D0F69" w:rsidRDefault="006F79F4" w:rsidP="00E66DD7">
      <w:pPr>
        <w:pStyle w:val="ListParagraph"/>
        <w:numPr>
          <w:ilvl w:val="0"/>
          <w:numId w:val="1"/>
        </w:numPr>
        <w:ind w:left="0" w:firstLine="0"/>
        <w:jc w:val="both"/>
        <w:rPr>
          <w:rFonts w:ascii="Verdana" w:hAnsi="Verdana"/>
          <w:i/>
          <w:sz w:val="20"/>
          <w:szCs w:val="20"/>
        </w:rPr>
      </w:pPr>
      <w:r w:rsidRPr="00A659C5">
        <w:rPr>
          <w:rFonts w:ascii="Verdana" w:hAnsi="Verdana"/>
          <w:i/>
          <w:sz w:val="20"/>
          <w:szCs w:val="20"/>
        </w:rPr>
        <w:lastRenderedPageBreak/>
        <w:t>Observaciones a las excepciones preliminares.</w:t>
      </w:r>
      <w:r w:rsidR="007C68E6" w:rsidRPr="00333304">
        <w:rPr>
          <w:rFonts w:ascii="Verdana" w:hAnsi="Verdana"/>
          <w:sz w:val="20"/>
          <w:szCs w:val="20"/>
        </w:rPr>
        <w:t xml:space="preserve"> </w:t>
      </w:r>
      <w:r w:rsidRPr="006A7D7E">
        <w:rPr>
          <w:rFonts w:ascii="Verdana" w:hAnsi="Verdana"/>
          <w:sz w:val="20"/>
          <w:szCs w:val="20"/>
        </w:rPr>
        <w:t>El 14 y 16 de agosto de 2016, respectivamente, los representantes y la Comisión</w:t>
      </w:r>
      <w:r w:rsidR="00524EDB" w:rsidRPr="00333304">
        <w:rPr>
          <w:rFonts w:ascii="Verdana" w:hAnsi="Verdana"/>
          <w:sz w:val="20"/>
          <w:szCs w:val="20"/>
        </w:rPr>
        <w:t xml:space="preserve"> </w:t>
      </w:r>
      <w:r w:rsidRPr="006A7D7E">
        <w:rPr>
          <w:rFonts w:ascii="Verdana" w:hAnsi="Verdana"/>
          <w:sz w:val="20"/>
          <w:szCs w:val="20"/>
        </w:rPr>
        <w:t xml:space="preserve">remitieron sus observaciones a las </w:t>
      </w:r>
      <w:r>
        <w:rPr>
          <w:rFonts w:ascii="Verdana" w:hAnsi="Verdana"/>
          <w:sz w:val="20"/>
          <w:szCs w:val="20"/>
        </w:rPr>
        <w:t>“observaciones al Informe de Admisibilidad y cuestionamientos procesales”</w:t>
      </w:r>
      <w:r w:rsidRPr="006A7D7E">
        <w:rPr>
          <w:rFonts w:ascii="Verdana" w:hAnsi="Verdana"/>
          <w:sz w:val="20"/>
          <w:szCs w:val="20"/>
        </w:rPr>
        <w:t xml:space="preserve"> interpuestas por el Estado. </w:t>
      </w:r>
    </w:p>
    <w:p w14:paraId="3C49942A" w14:textId="77777777" w:rsidR="00BD0D35" w:rsidRPr="005D0F69" w:rsidRDefault="00BD0D35" w:rsidP="005D0F69">
      <w:pPr>
        <w:pStyle w:val="ListParagraph"/>
        <w:ind w:left="0"/>
        <w:jc w:val="both"/>
        <w:rPr>
          <w:rFonts w:ascii="Verdana" w:hAnsi="Verdana"/>
          <w:i/>
          <w:sz w:val="20"/>
          <w:szCs w:val="20"/>
        </w:rPr>
      </w:pPr>
    </w:p>
    <w:p w14:paraId="5B7012DE" w14:textId="3C8FA722" w:rsidR="00BD0D35" w:rsidRPr="006A7D7E" w:rsidRDefault="00BD0D35" w:rsidP="00E66DD7">
      <w:pPr>
        <w:pStyle w:val="ListParagraph"/>
        <w:numPr>
          <w:ilvl w:val="0"/>
          <w:numId w:val="1"/>
        </w:numPr>
        <w:ind w:left="0" w:firstLine="0"/>
        <w:jc w:val="both"/>
        <w:rPr>
          <w:rFonts w:ascii="Verdana" w:hAnsi="Verdana"/>
          <w:i/>
          <w:sz w:val="20"/>
          <w:szCs w:val="20"/>
        </w:rPr>
      </w:pPr>
      <w:r>
        <w:rPr>
          <w:rFonts w:ascii="Verdana" w:hAnsi="Verdana"/>
          <w:i/>
          <w:sz w:val="20"/>
          <w:szCs w:val="20"/>
        </w:rPr>
        <w:t>Fondo de Asistencia Legal de las Víctimas</w:t>
      </w:r>
      <w:r>
        <w:rPr>
          <w:rFonts w:ascii="Verdana" w:hAnsi="Verdana"/>
          <w:sz w:val="20"/>
        </w:rPr>
        <w:t>.- Mediante Resolución del Presidente de la Corte de 14 de julio de 2016</w:t>
      </w:r>
      <w:r w:rsidR="00DD091E">
        <w:rPr>
          <w:rFonts w:ascii="Verdana" w:hAnsi="Verdana"/>
          <w:sz w:val="20"/>
        </w:rPr>
        <w:t xml:space="preserve"> </w:t>
      </w:r>
      <w:r>
        <w:rPr>
          <w:rFonts w:ascii="Verdana" w:hAnsi="Verdana"/>
          <w:sz w:val="20"/>
        </w:rPr>
        <w:t>se declaró procedente la solicitud interpuesta por la presunta víctima, a través de sus representantes, para acogerse al Fondo de Asistencia de la Corte</w:t>
      </w:r>
      <w:r>
        <w:rPr>
          <w:rStyle w:val="FootnoteReference"/>
        </w:rPr>
        <w:footnoteReference w:id="4"/>
      </w:r>
      <w:r>
        <w:rPr>
          <w:rFonts w:ascii="Verdana" w:hAnsi="Verdana"/>
          <w:sz w:val="20"/>
        </w:rPr>
        <w:t>.</w:t>
      </w:r>
    </w:p>
    <w:p w14:paraId="0222D07D" w14:textId="77777777" w:rsidR="006F79F4" w:rsidRPr="006A7D7E" w:rsidRDefault="006F79F4" w:rsidP="00AF7637">
      <w:pPr>
        <w:autoSpaceDE w:val="0"/>
        <w:autoSpaceDN w:val="0"/>
        <w:adjustRightInd w:val="0"/>
        <w:jc w:val="both"/>
        <w:rPr>
          <w:rFonts w:ascii="Verdana" w:eastAsiaTheme="minorHAnsi" w:hAnsi="Verdana" w:cs="Verdana"/>
          <w:color w:val="000000"/>
          <w:sz w:val="20"/>
          <w:szCs w:val="20"/>
          <w:lang w:val="es-MX"/>
        </w:rPr>
      </w:pPr>
    </w:p>
    <w:p w14:paraId="0CA4ED95" w14:textId="207BDE06" w:rsidR="006F79F4" w:rsidRPr="005571BA" w:rsidRDefault="006F79F4" w:rsidP="00E66DD7">
      <w:pPr>
        <w:pStyle w:val="ListParagraph"/>
        <w:numPr>
          <w:ilvl w:val="0"/>
          <w:numId w:val="1"/>
        </w:numPr>
        <w:ind w:left="0" w:firstLine="0"/>
        <w:jc w:val="both"/>
        <w:rPr>
          <w:rFonts w:ascii="Verdana" w:hAnsi="Verdana"/>
          <w:sz w:val="20"/>
          <w:szCs w:val="20"/>
        </w:rPr>
      </w:pPr>
      <w:r w:rsidRPr="006A7D7E">
        <w:rPr>
          <w:rFonts w:ascii="Verdana" w:hAnsi="Verdana"/>
          <w:i/>
          <w:sz w:val="20"/>
          <w:szCs w:val="20"/>
        </w:rPr>
        <w:t>Audiencia pública.</w:t>
      </w:r>
      <w:r w:rsidRPr="006A7D7E">
        <w:rPr>
          <w:rFonts w:ascii="Verdana" w:hAnsi="Verdana"/>
          <w:sz w:val="20"/>
          <w:szCs w:val="20"/>
        </w:rPr>
        <w:t xml:space="preserve"> </w:t>
      </w:r>
      <w:r w:rsidRPr="006A7D7E">
        <w:rPr>
          <w:rFonts w:ascii="Verdana" w:eastAsiaTheme="minorHAnsi" w:hAnsi="Verdana" w:cs="Verdana"/>
          <w:color w:val="000000"/>
          <w:sz w:val="20"/>
          <w:szCs w:val="20"/>
          <w:lang w:val="es-MX"/>
        </w:rPr>
        <w:t>–</w:t>
      </w:r>
      <w:r w:rsidRPr="006A7D7E">
        <w:rPr>
          <w:rFonts w:ascii="Verdana" w:hAnsi="Verdana"/>
          <w:sz w:val="20"/>
          <w:szCs w:val="20"/>
        </w:rPr>
        <w:t xml:space="preserve"> Mediante Resolución del Presidente de la Corte de 21 de noviembre de 2016</w:t>
      </w:r>
      <w:r w:rsidRPr="006A7D7E">
        <w:rPr>
          <w:rFonts w:ascii="Verdana" w:hAnsi="Verdana"/>
          <w:sz w:val="20"/>
          <w:szCs w:val="20"/>
          <w:vertAlign w:val="superscript"/>
        </w:rPr>
        <w:footnoteReference w:id="5"/>
      </w:r>
      <w:r w:rsidRPr="006A7D7E">
        <w:rPr>
          <w:rFonts w:ascii="Verdana" w:hAnsi="Verdana"/>
          <w:sz w:val="20"/>
          <w:szCs w:val="20"/>
        </w:rPr>
        <w:t xml:space="preserve"> se resolvió, entre otras situaciones: a) convocar a las partes a una audiencia pública</w:t>
      </w:r>
      <w:r w:rsidRPr="006A7D7E">
        <w:rPr>
          <w:rStyle w:val="FootnoteReference"/>
          <w:szCs w:val="20"/>
        </w:rPr>
        <w:footnoteReference w:id="6"/>
      </w:r>
      <w:r w:rsidRPr="006A7D7E">
        <w:rPr>
          <w:rFonts w:ascii="Verdana" w:hAnsi="Verdana"/>
          <w:sz w:val="20"/>
          <w:szCs w:val="20"/>
        </w:rPr>
        <w:t xml:space="preserve"> para recibir las declaraciones de la presunta víctima, así como de dos peritos</w:t>
      </w:r>
      <w:r>
        <w:rPr>
          <w:rFonts w:ascii="Verdana" w:hAnsi="Verdana"/>
          <w:sz w:val="20"/>
          <w:szCs w:val="20"/>
        </w:rPr>
        <w:t>;</w:t>
      </w:r>
      <w:r w:rsidRPr="006A7D7E">
        <w:rPr>
          <w:rFonts w:ascii="Verdana" w:hAnsi="Verdana"/>
          <w:sz w:val="20"/>
          <w:szCs w:val="20"/>
        </w:rPr>
        <w:t xml:space="preserve"> uno propuesto por la Comisión y otro por el Estado, y b) requerir</w:t>
      </w:r>
      <w:r w:rsidR="008C33CE">
        <w:rPr>
          <w:rFonts w:ascii="Verdana" w:hAnsi="Verdana"/>
          <w:sz w:val="20"/>
          <w:szCs w:val="20"/>
        </w:rPr>
        <w:t>,</w:t>
      </w:r>
      <w:r w:rsidRPr="006A7D7E">
        <w:rPr>
          <w:rFonts w:ascii="Verdana" w:hAnsi="Verdana"/>
          <w:sz w:val="20"/>
          <w:szCs w:val="20"/>
        </w:rPr>
        <w:t xml:space="preserve"> de conformidad con el principio de economía procesal y de la facultad que le otorga el artículo 50.1 del Reglamento de la Corte, que dos peritos, uno propuesto por el Estado</w:t>
      </w:r>
      <w:r>
        <w:rPr>
          <w:rStyle w:val="FootnoteReference"/>
          <w:szCs w:val="20"/>
        </w:rPr>
        <w:footnoteReference w:id="7"/>
      </w:r>
      <w:r w:rsidRPr="006A7D7E">
        <w:rPr>
          <w:rFonts w:ascii="Verdana" w:hAnsi="Verdana"/>
          <w:sz w:val="20"/>
          <w:szCs w:val="20"/>
        </w:rPr>
        <w:t xml:space="preserve"> y otro por los representantes</w:t>
      </w:r>
      <w:r>
        <w:rPr>
          <w:rStyle w:val="FootnoteReference"/>
          <w:szCs w:val="20"/>
        </w:rPr>
        <w:footnoteReference w:id="8"/>
      </w:r>
      <w:r w:rsidRPr="006A7D7E">
        <w:rPr>
          <w:rFonts w:ascii="Verdana" w:hAnsi="Verdana"/>
          <w:sz w:val="20"/>
          <w:szCs w:val="20"/>
        </w:rPr>
        <w:t xml:space="preserve"> presten su declaración ante fedatario público</w:t>
      </w:r>
      <w:r w:rsidRPr="006A7D7E">
        <w:rPr>
          <w:rStyle w:val="FootnoteReference"/>
          <w:rFonts w:eastAsiaTheme="minorHAnsi"/>
          <w:color w:val="000000"/>
          <w:szCs w:val="20"/>
          <w:lang w:val="es-MX"/>
        </w:rPr>
        <w:footnoteReference w:id="9"/>
      </w:r>
      <w:r w:rsidRPr="006A7D7E">
        <w:rPr>
          <w:rFonts w:ascii="Verdana" w:hAnsi="Verdana"/>
          <w:sz w:val="20"/>
          <w:szCs w:val="20"/>
        </w:rPr>
        <w:t>. La audiencia pública fue celebrada el 7 de febrero de 2017 en la ciudad de San</w:t>
      </w:r>
      <w:r w:rsidRPr="00312E3F">
        <w:rPr>
          <w:rFonts w:ascii="Verdana" w:hAnsi="Verdana"/>
          <w:sz w:val="20"/>
          <w:szCs w:val="20"/>
        </w:rPr>
        <w:t xml:space="preserve"> José, Costa Rica, durante el </w:t>
      </w:r>
      <w:r w:rsidRPr="00B56499">
        <w:rPr>
          <w:rFonts w:ascii="Verdana" w:hAnsi="Verdana"/>
          <w:sz w:val="20"/>
          <w:szCs w:val="20"/>
        </w:rPr>
        <w:t>11</w:t>
      </w:r>
      <w:r>
        <w:rPr>
          <w:rFonts w:ascii="Verdana" w:hAnsi="Verdana"/>
          <w:sz w:val="20"/>
          <w:szCs w:val="20"/>
        </w:rPr>
        <w:t>7</w:t>
      </w:r>
      <w:r w:rsidRPr="00B56499">
        <w:rPr>
          <w:rFonts w:ascii="Verdana" w:hAnsi="Verdana"/>
          <w:sz w:val="20"/>
          <w:szCs w:val="20"/>
        </w:rPr>
        <w:t xml:space="preserve"> Período Ordinario de Sesiones de la Corte</w:t>
      </w:r>
      <w:r w:rsidRPr="00CD6059">
        <w:rPr>
          <w:rStyle w:val="FootnoteReference"/>
          <w:szCs w:val="20"/>
        </w:rPr>
        <w:footnoteReference w:id="10"/>
      </w:r>
      <w:r w:rsidRPr="00B56499">
        <w:rPr>
          <w:rFonts w:ascii="Verdana" w:hAnsi="Verdana"/>
          <w:sz w:val="20"/>
          <w:szCs w:val="20"/>
        </w:rPr>
        <w:t>. En la audiencia se recibieron las declaraciones de la</w:t>
      </w:r>
      <w:r w:rsidRPr="00312E3F">
        <w:rPr>
          <w:rFonts w:ascii="Verdana" w:hAnsi="Verdana"/>
          <w:sz w:val="20"/>
          <w:szCs w:val="20"/>
        </w:rPr>
        <w:t xml:space="preserve"> presunta víctima </w:t>
      </w:r>
      <w:r w:rsidRPr="00312E3F">
        <w:rPr>
          <w:rFonts w:ascii="Verdana" w:hAnsi="Verdana"/>
          <w:sz w:val="20"/>
          <w:szCs w:val="20"/>
          <w:lang w:val="es-ES"/>
        </w:rPr>
        <w:t xml:space="preserve">el señor </w:t>
      </w:r>
      <w:r>
        <w:rPr>
          <w:rFonts w:ascii="Verdana" w:hAnsi="Verdana"/>
          <w:sz w:val="20"/>
          <w:szCs w:val="20"/>
          <w:lang w:val="es-ES"/>
        </w:rPr>
        <w:t>Lagos del Campo</w:t>
      </w:r>
      <w:r w:rsidRPr="00B56499">
        <w:rPr>
          <w:rFonts w:ascii="Verdana" w:hAnsi="Verdana"/>
          <w:sz w:val="20"/>
          <w:szCs w:val="20"/>
        </w:rPr>
        <w:t xml:space="preserve"> y del perito </w:t>
      </w:r>
      <w:r w:rsidRPr="007C6554">
        <w:rPr>
          <w:rFonts w:ascii="Verdana" w:hAnsi="Verdana"/>
          <w:sz w:val="20"/>
          <w:szCs w:val="20"/>
        </w:rPr>
        <w:t xml:space="preserve">Damián </w:t>
      </w:r>
      <w:proofErr w:type="spellStart"/>
      <w:r w:rsidRPr="007C6554">
        <w:rPr>
          <w:rFonts w:ascii="Verdana" w:hAnsi="Verdana"/>
          <w:sz w:val="20"/>
          <w:szCs w:val="20"/>
        </w:rPr>
        <w:t>Loreti</w:t>
      </w:r>
      <w:proofErr w:type="spellEnd"/>
      <w:r>
        <w:rPr>
          <w:rFonts w:ascii="Verdana" w:hAnsi="Verdana"/>
          <w:sz w:val="20"/>
          <w:szCs w:val="20"/>
        </w:rPr>
        <w:t>,</w:t>
      </w:r>
      <w:r w:rsidRPr="00B56499">
        <w:rPr>
          <w:rFonts w:ascii="Verdana" w:hAnsi="Verdana"/>
          <w:sz w:val="20"/>
          <w:szCs w:val="20"/>
        </w:rPr>
        <w:t xml:space="preserve"> propuesto por </w:t>
      </w:r>
      <w:r w:rsidRPr="007C6554">
        <w:rPr>
          <w:rFonts w:ascii="Verdana" w:hAnsi="Verdana"/>
          <w:sz w:val="20"/>
          <w:szCs w:val="20"/>
        </w:rPr>
        <w:t>la Comisión</w:t>
      </w:r>
      <w:r w:rsidRPr="00B56499">
        <w:rPr>
          <w:rFonts w:ascii="Verdana" w:hAnsi="Verdana"/>
          <w:sz w:val="20"/>
          <w:szCs w:val="20"/>
        </w:rPr>
        <w:t xml:space="preserve">, así como del perito </w:t>
      </w:r>
      <w:r w:rsidRPr="007C6554">
        <w:rPr>
          <w:rFonts w:ascii="Verdana" w:hAnsi="Verdana"/>
          <w:sz w:val="20"/>
          <w:szCs w:val="20"/>
        </w:rPr>
        <w:t>C</w:t>
      </w:r>
      <w:r w:rsidR="009E49BF">
        <w:rPr>
          <w:rFonts w:ascii="Verdana" w:hAnsi="Verdana"/>
          <w:sz w:val="20"/>
          <w:szCs w:val="20"/>
        </w:rPr>
        <w:t>é</w:t>
      </w:r>
      <w:r w:rsidRPr="007C6554">
        <w:rPr>
          <w:rFonts w:ascii="Verdana" w:hAnsi="Verdana"/>
          <w:sz w:val="20"/>
          <w:szCs w:val="20"/>
        </w:rPr>
        <w:t xml:space="preserve">sar Gonzáles </w:t>
      </w:r>
      <w:proofErr w:type="spellStart"/>
      <w:r w:rsidRPr="007C6554">
        <w:rPr>
          <w:rFonts w:ascii="Verdana" w:hAnsi="Verdana"/>
          <w:sz w:val="20"/>
          <w:szCs w:val="20"/>
        </w:rPr>
        <w:t>Hunt</w:t>
      </w:r>
      <w:proofErr w:type="spellEnd"/>
      <w:r w:rsidRPr="005571BA">
        <w:rPr>
          <w:rFonts w:ascii="Verdana" w:hAnsi="Verdana"/>
          <w:sz w:val="20"/>
          <w:szCs w:val="20"/>
        </w:rPr>
        <w:t xml:space="preserve"> propuesto por el Estado. Asimismo, se recibieron alegatos finales orales de los representantes y del Estado, así como las observaciones de la Comisión</w:t>
      </w:r>
      <w:r w:rsidR="00386930">
        <w:rPr>
          <w:rFonts w:ascii="Verdana" w:hAnsi="Verdana"/>
          <w:sz w:val="20"/>
          <w:szCs w:val="20"/>
        </w:rPr>
        <w:t>.</w:t>
      </w:r>
    </w:p>
    <w:p w14:paraId="2E3B1A04" w14:textId="77777777" w:rsidR="006F79F4" w:rsidRPr="00FB5FF8" w:rsidRDefault="006F79F4" w:rsidP="00AF7637">
      <w:pPr>
        <w:rPr>
          <w:rFonts w:ascii="Verdana" w:hAnsi="Verdana"/>
          <w:sz w:val="20"/>
          <w:szCs w:val="20"/>
        </w:rPr>
      </w:pPr>
    </w:p>
    <w:p w14:paraId="20FBEFF8" w14:textId="6E0B9D6A" w:rsidR="006F79F4" w:rsidRPr="00386930" w:rsidRDefault="006F79F4" w:rsidP="00386930">
      <w:pPr>
        <w:pStyle w:val="ListParagraph"/>
        <w:numPr>
          <w:ilvl w:val="0"/>
          <w:numId w:val="1"/>
        </w:numPr>
        <w:ind w:left="0" w:firstLine="0"/>
        <w:jc w:val="both"/>
        <w:rPr>
          <w:rFonts w:ascii="Verdana" w:hAnsi="Verdana"/>
          <w:sz w:val="20"/>
          <w:szCs w:val="20"/>
        </w:rPr>
      </w:pPr>
      <w:r>
        <w:rPr>
          <w:rFonts w:ascii="Verdana" w:hAnsi="Verdana"/>
          <w:i/>
          <w:sz w:val="20"/>
          <w:szCs w:val="20"/>
        </w:rPr>
        <w:t>A</w:t>
      </w:r>
      <w:r w:rsidRPr="00734D22">
        <w:rPr>
          <w:rFonts w:ascii="Verdana" w:hAnsi="Verdana"/>
          <w:i/>
          <w:sz w:val="20"/>
          <w:szCs w:val="20"/>
        </w:rPr>
        <w:t xml:space="preserve">legatos </w:t>
      </w:r>
      <w:r>
        <w:rPr>
          <w:rFonts w:ascii="Verdana" w:hAnsi="Verdana"/>
          <w:i/>
          <w:sz w:val="20"/>
          <w:szCs w:val="20"/>
        </w:rPr>
        <w:t>y o</w:t>
      </w:r>
      <w:r w:rsidRPr="00734D22">
        <w:rPr>
          <w:rFonts w:ascii="Verdana" w:hAnsi="Verdana"/>
          <w:i/>
          <w:sz w:val="20"/>
          <w:szCs w:val="20"/>
        </w:rPr>
        <w:t>bservaciones finales escrit</w:t>
      </w:r>
      <w:r>
        <w:rPr>
          <w:rFonts w:ascii="Verdana" w:hAnsi="Verdana"/>
          <w:i/>
          <w:sz w:val="20"/>
          <w:szCs w:val="20"/>
        </w:rPr>
        <w:t>a</w:t>
      </w:r>
      <w:r w:rsidRPr="00734D22">
        <w:rPr>
          <w:rFonts w:ascii="Verdana" w:hAnsi="Verdana"/>
          <w:i/>
          <w:sz w:val="20"/>
          <w:szCs w:val="20"/>
        </w:rPr>
        <w:t>s.</w:t>
      </w:r>
      <w:r w:rsidRPr="00734D22">
        <w:rPr>
          <w:rFonts w:ascii="Verdana" w:hAnsi="Verdana"/>
          <w:sz w:val="20"/>
          <w:szCs w:val="20"/>
        </w:rPr>
        <w:t xml:space="preserve"> – El </w:t>
      </w:r>
      <w:r w:rsidRPr="00266456">
        <w:rPr>
          <w:rFonts w:ascii="Verdana" w:hAnsi="Verdana"/>
          <w:sz w:val="20"/>
          <w:szCs w:val="20"/>
        </w:rPr>
        <w:t>8 de marzo de 2017</w:t>
      </w:r>
      <w:r w:rsidRPr="00734D22">
        <w:rPr>
          <w:rFonts w:ascii="Verdana" w:hAnsi="Verdana"/>
          <w:sz w:val="20"/>
          <w:szCs w:val="20"/>
        </w:rPr>
        <w:t xml:space="preserve"> el Estado</w:t>
      </w:r>
      <w:r>
        <w:rPr>
          <w:rFonts w:ascii="Verdana" w:hAnsi="Verdana"/>
          <w:sz w:val="20"/>
          <w:szCs w:val="20"/>
        </w:rPr>
        <w:t xml:space="preserve"> y</w:t>
      </w:r>
      <w:r w:rsidRPr="00734D22">
        <w:rPr>
          <w:rFonts w:ascii="Verdana" w:hAnsi="Verdana"/>
          <w:sz w:val="20"/>
          <w:szCs w:val="20"/>
        </w:rPr>
        <w:t xml:space="preserve"> los representantes presentaron sus alegatos finales escritos y </w:t>
      </w:r>
      <w:r>
        <w:rPr>
          <w:rFonts w:ascii="Verdana" w:hAnsi="Verdana"/>
          <w:sz w:val="20"/>
          <w:szCs w:val="20"/>
        </w:rPr>
        <w:t xml:space="preserve">sus </w:t>
      </w:r>
      <w:r w:rsidRPr="00734D22">
        <w:rPr>
          <w:rFonts w:ascii="Verdana" w:hAnsi="Verdana"/>
          <w:sz w:val="20"/>
          <w:szCs w:val="20"/>
        </w:rPr>
        <w:t xml:space="preserve">anexos, así </w:t>
      </w:r>
      <w:r>
        <w:rPr>
          <w:rFonts w:ascii="Verdana" w:hAnsi="Verdana"/>
          <w:sz w:val="20"/>
          <w:szCs w:val="20"/>
        </w:rPr>
        <w:t>como</w:t>
      </w:r>
      <w:r w:rsidRPr="00734D22">
        <w:rPr>
          <w:rFonts w:ascii="Verdana" w:hAnsi="Verdana"/>
          <w:sz w:val="20"/>
          <w:szCs w:val="20"/>
        </w:rPr>
        <w:t xml:space="preserve"> la Comisión </w:t>
      </w:r>
      <w:r>
        <w:rPr>
          <w:rFonts w:ascii="Verdana" w:hAnsi="Verdana"/>
          <w:sz w:val="20"/>
          <w:szCs w:val="20"/>
        </w:rPr>
        <w:t xml:space="preserve">presentó </w:t>
      </w:r>
      <w:r w:rsidRPr="00734D22">
        <w:rPr>
          <w:rFonts w:ascii="Verdana" w:hAnsi="Verdana"/>
          <w:sz w:val="20"/>
          <w:szCs w:val="20"/>
        </w:rPr>
        <w:t>sus observaciones finales escritas.</w:t>
      </w:r>
      <w:r w:rsidR="00386930">
        <w:rPr>
          <w:rFonts w:ascii="Verdana" w:hAnsi="Verdana"/>
          <w:sz w:val="20"/>
          <w:szCs w:val="20"/>
        </w:rPr>
        <w:t xml:space="preserve"> </w:t>
      </w:r>
      <w:r w:rsidRPr="002B70F4">
        <w:rPr>
          <w:rFonts w:ascii="Verdana" w:hAnsi="Verdana"/>
          <w:sz w:val="20"/>
          <w:szCs w:val="20"/>
        </w:rPr>
        <w:t xml:space="preserve">El </w:t>
      </w:r>
      <w:r w:rsidRPr="0076651B">
        <w:rPr>
          <w:rFonts w:ascii="Verdana" w:hAnsi="Verdana"/>
          <w:sz w:val="20"/>
          <w:szCs w:val="20"/>
        </w:rPr>
        <w:t>9</w:t>
      </w:r>
      <w:r w:rsidRPr="002B70F4">
        <w:rPr>
          <w:rFonts w:ascii="Verdana" w:hAnsi="Verdana"/>
          <w:sz w:val="20"/>
          <w:szCs w:val="20"/>
        </w:rPr>
        <w:t xml:space="preserve"> de </w:t>
      </w:r>
      <w:r w:rsidRPr="0076651B">
        <w:rPr>
          <w:rFonts w:ascii="Verdana" w:hAnsi="Verdana"/>
          <w:sz w:val="20"/>
          <w:szCs w:val="20"/>
        </w:rPr>
        <w:t>marzo</w:t>
      </w:r>
      <w:r w:rsidRPr="002B70F4">
        <w:rPr>
          <w:rFonts w:ascii="Verdana" w:hAnsi="Verdana"/>
          <w:sz w:val="20"/>
          <w:szCs w:val="20"/>
        </w:rPr>
        <w:t xml:space="preserve"> de 2017</w:t>
      </w:r>
      <w:r w:rsidRPr="006A7FA3">
        <w:rPr>
          <w:rFonts w:ascii="Verdana" w:hAnsi="Verdana"/>
          <w:sz w:val="20"/>
          <w:szCs w:val="20"/>
        </w:rPr>
        <w:t xml:space="preserve"> la Secretaría de la Corte remitió los anexos a los </w:t>
      </w:r>
      <w:r w:rsidRPr="0076651B">
        <w:rPr>
          <w:rFonts w:ascii="Verdana" w:hAnsi="Verdana"/>
          <w:sz w:val="20"/>
          <w:szCs w:val="20"/>
        </w:rPr>
        <w:t>alegatos finales escritos y solicitó a las partes y a la Comisión las observaciones que estimaren pertinentes. Mediante comunicación de 20 de marzo de 2017</w:t>
      </w:r>
      <w:r w:rsidR="00386930">
        <w:rPr>
          <w:rFonts w:ascii="Verdana" w:hAnsi="Verdana"/>
          <w:sz w:val="20"/>
          <w:szCs w:val="20"/>
        </w:rPr>
        <w:t xml:space="preserve">, </w:t>
      </w:r>
      <w:r w:rsidRPr="00386930">
        <w:rPr>
          <w:rFonts w:ascii="Verdana" w:hAnsi="Verdana"/>
          <w:sz w:val="20"/>
          <w:szCs w:val="20"/>
        </w:rPr>
        <w:t xml:space="preserve">los representantes presentaron observaciones </w:t>
      </w:r>
      <w:r w:rsidR="000909C0">
        <w:rPr>
          <w:rFonts w:ascii="Verdana" w:hAnsi="Verdana"/>
          <w:sz w:val="20"/>
          <w:szCs w:val="20"/>
        </w:rPr>
        <w:t>sobre</w:t>
      </w:r>
      <w:r w:rsidRPr="00386930">
        <w:rPr>
          <w:rFonts w:ascii="Verdana" w:hAnsi="Verdana"/>
          <w:sz w:val="20"/>
          <w:szCs w:val="20"/>
        </w:rPr>
        <w:t xml:space="preserve"> algunos anexos. </w:t>
      </w:r>
    </w:p>
    <w:p w14:paraId="7C31B343" w14:textId="77777777" w:rsidR="006F79F4" w:rsidRPr="009C7422" w:rsidRDefault="006F79F4" w:rsidP="00AF7637">
      <w:pPr>
        <w:pStyle w:val="ListParagraph"/>
        <w:ind w:left="0"/>
        <w:rPr>
          <w:rFonts w:ascii="Verdana" w:hAnsi="Verdana"/>
          <w:sz w:val="20"/>
          <w:szCs w:val="20"/>
        </w:rPr>
      </w:pPr>
    </w:p>
    <w:p w14:paraId="19B71E0F" w14:textId="0C28CCF4" w:rsidR="006F79F4" w:rsidRPr="009C7422" w:rsidRDefault="006F79F4" w:rsidP="00E66DD7">
      <w:pPr>
        <w:pStyle w:val="ListParagraph"/>
        <w:numPr>
          <w:ilvl w:val="0"/>
          <w:numId w:val="1"/>
        </w:numPr>
        <w:ind w:left="0" w:firstLine="0"/>
        <w:jc w:val="both"/>
        <w:rPr>
          <w:rFonts w:ascii="Verdana" w:hAnsi="Verdana"/>
          <w:sz w:val="20"/>
          <w:szCs w:val="20"/>
        </w:rPr>
      </w:pPr>
      <w:r w:rsidRPr="008921FD">
        <w:rPr>
          <w:rFonts w:ascii="Verdana" w:hAnsi="Verdana"/>
          <w:i/>
          <w:sz w:val="20"/>
          <w:szCs w:val="20"/>
        </w:rPr>
        <w:t>Erogaciones</w:t>
      </w:r>
      <w:r w:rsidRPr="008921FD">
        <w:rPr>
          <w:rFonts w:ascii="Verdana" w:hAnsi="Verdana"/>
          <w:sz w:val="20"/>
          <w:szCs w:val="20"/>
        </w:rPr>
        <w:t xml:space="preserve"> </w:t>
      </w:r>
      <w:r w:rsidRPr="00786F4B">
        <w:rPr>
          <w:rFonts w:ascii="Verdana" w:hAnsi="Verdana"/>
          <w:i/>
          <w:sz w:val="20"/>
          <w:szCs w:val="20"/>
        </w:rPr>
        <w:t>en aplicación del</w:t>
      </w:r>
      <w:r w:rsidRPr="008921FD">
        <w:rPr>
          <w:rFonts w:ascii="Verdana" w:hAnsi="Verdana"/>
          <w:sz w:val="20"/>
          <w:szCs w:val="20"/>
        </w:rPr>
        <w:t xml:space="preserve"> </w:t>
      </w:r>
      <w:r w:rsidRPr="00786F4B">
        <w:rPr>
          <w:rFonts w:ascii="Verdana" w:hAnsi="Verdana"/>
          <w:i/>
          <w:sz w:val="20"/>
          <w:szCs w:val="20"/>
        </w:rPr>
        <w:t>Fondo de Asistencia</w:t>
      </w:r>
      <w:r w:rsidRPr="008921FD">
        <w:rPr>
          <w:rFonts w:ascii="Verdana" w:hAnsi="Verdana"/>
          <w:sz w:val="20"/>
          <w:szCs w:val="20"/>
        </w:rPr>
        <w:t xml:space="preserve">. </w:t>
      </w:r>
      <w:r w:rsidR="00DE6F3B">
        <w:rPr>
          <w:rFonts w:ascii="Verdana" w:hAnsi="Verdana"/>
          <w:sz w:val="20"/>
          <w:szCs w:val="20"/>
        </w:rPr>
        <w:t xml:space="preserve">– El </w:t>
      </w:r>
      <w:r w:rsidR="009E49BF">
        <w:rPr>
          <w:rFonts w:ascii="Verdana" w:hAnsi="Verdana"/>
          <w:sz w:val="20"/>
          <w:szCs w:val="20"/>
        </w:rPr>
        <w:t>7</w:t>
      </w:r>
      <w:r w:rsidRPr="00EB5530">
        <w:rPr>
          <w:rFonts w:ascii="Verdana" w:hAnsi="Verdana"/>
          <w:sz w:val="20"/>
          <w:szCs w:val="20"/>
        </w:rPr>
        <w:t xml:space="preserve"> de </w:t>
      </w:r>
      <w:r w:rsidR="00DE6F3B" w:rsidRPr="00EB5530">
        <w:rPr>
          <w:rFonts w:ascii="Verdana" w:hAnsi="Verdana"/>
          <w:sz w:val="20"/>
          <w:szCs w:val="20"/>
        </w:rPr>
        <w:t xml:space="preserve">abril </w:t>
      </w:r>
      <w:r w:rsidRPr="00EB5530">
        <w:rPr>
          <w:rFonts w:ascii="Verdana" w:hAnsi="Verdana"/>
          <w:sz w:val="20"/>
          <w:szCs w:val="20"/>
        </w:rPr>
        <w:t>de</w:t>
      </w:r>
      <w:r w:rsidRPr="009C7422">
        <w:rPr>
          <w:rFonts w:ascii="Verdana" w:hAnsi="Verdana"/>
          <w:sz w:val="20"/>
          <w:szCs w:val="20"/>
        </w:rPr>
        <w:t xml:space="preserve"> 201</w:t>
      </w:r>
      <w:r>
        <w:rPr>
          <w:rFonts w:ascii="Verdana" w:hAnsi="Verdana"/>
          <w:sz w:val="20"/>
          <w:szCs w:val="20"/>
        </w:rPr>
        <w:t>7</w:t>
      </w:r>
      <w:r w:rsidRPr="009C7422">
        <w:rPr>
          <w:rFonts w:ascii="Verdana" w:hAnsi="Verdana"/>
          <w:sz w:val="20"/>
          <w:szCs w:val="20"/>
        </w:rPr>
        <w:t xml:space="preserve"> la Secretaría</w:t>
      </w:r>
      <w:r w:rsidRPr="008921FD">
        <w:rPr>
          <w:rFonts w:ascii="Verdana" w:hAnsi="Verdana"/>
          <w:sz w:val="20"/>
          <w:szCs w:val="20"/>
        </w:rPr>
        <w:t>, siguiendo instrucciones del Presidente de la Corte, remitió información al Estado sobre las eroga</w:t>
      </w:r>
      <w:r w:rsidRPr="006A7FA3">
        <w:rPr>
          <w:rFonts w:ascii="Verdana" w:hAnsi="Verdana"/>
          <w:sz w:val="20"/>
          <w:szCs w:val="20"/>
        </w:rPr>
        <w:t xml:space="preserve">ciones efectuadas en aplicación del Fondo de Asistencia en el presente caso y, según lo dispuesto en el artículo 5 del Reglamento de la Corte sobre el Funcionamiento del referido </w:t>
      </w:r>
      <w:r w:rsidRPr="006A7FA3">
        <w:rPr>
          <w:rFonts w:ascii="Verdana" w:hAnsi="Verdana"/>
          <w:sz w:val="20"/>
          <w:szCs w:val="20"/>
        </w:rPr>
        <w:lastRenderedPageBreak/>
        <w:t>Fondo, le otorgó un plazo para presentar las observaciones que estimara pertinentes</w:t>
      </w:r>
      <w:r>
        <w:rPr>
          <w:rFonts w:ascii="Verdana" w:hAnsi="Verdana"/>
          <w:sz w:val="20"/>
          <w:szCs w:val="20"/>
        </w:rPr>
        <w:t xml:space="preserve">. </w:t>
      </w:r>
      <w:r w:rsidRPr="006A7FA3">
        <w:rPr>
          <w:rFonts w:ascii="Verdana" w:hAnsi="Verdana"/>
          <w:sz w:val="20"/>
          <w:szCs w:val="20"/>
        </w:rPr>
        <w:t xml:space="preserve">El Estado presentó observaciones </w:t>
      </w:r>
      <w:r w:rsidR="005D0F69" w:rsidRPr="005D0F69">
        <w:rPr>
          <w:rFonts w:ascii="Verdana" w:hAnsi="Verdana"/>
          <w:sz w:val="20"/>
          <w:szCs w:val="20"/>
        </w:rPr>
        <w:t>el 17 de abril</w:t>
      </w:r>
      <w:r w:rsidRPr="005D0F69">
        <w:rPr>
          <w:rFonts w:ascii="Verdana" w:hAnsi="Verdana"/>
          <w:sz w:val="20"/>
          <w:szCs w:val="20"/>
        </w:rPr>
        <w:t xml:space="preserve"> de 2017</w:t>
      </w:r>
      <w:r w:rsidR="00386930">
        <w:rPr>
          <w:rFonts w:ascii="Verdana" w:hAnsi="Verdana"/>
          <w:sz w:val="20"/>
          <w:szCs w:val="20"/>
        </w:rPr>
        <w:t>.</w:t>
      </w:r>
    </w:p>
    <w:p w14:paraId="2108DD93" w14:textId="77777777" w:rsidR="006F79F4" w:rsidRPr="008921FD" w:rsidRDefault="006F79F4" w:rsidP="00AF7637">
      <w:pPr>
        <w:pStyle w:val="ListParagraph"/>
        <w:ind w:left="0"/>
        <w:jc w:val="both"/>
        <w:rPr>
          <w:rFonts w:ascii="Verdana" w:hAnsi="Verdana"/>
          <w:sz w:val="20"/>
          <w:szCs w:val="20"/>
        </w:rPr>
      </w:pPr>
    </w:p>
    <w:p w14:paraId="6C2905C0" w14:textId="144B5C13" w:rsidR="006F79F4" w:rsidRDefault="006F79F4" w:rsidP="00E66DD7">
      <w:pPr>
        <w:pStyle w:val="ListParagraph"/>
        <w:numPr>
          <w:ilvl w:val="0"/>
          <w:numId w:val="1"/>
        </w:numPr>
        <w:ind w:left="0" w:firstLine="0"/>
        <w:jc w:val="both"/>
        <w:rPr>
          <w:rFonts w:ascii="Verdana" w:hAnsi="Verdana"/>
          <w:sz w:val="20"/>
          <w:szCs w:val="20"/>
        </w:rPr>
      </w:pPr>
      <w:r w:rsidRPr="009C7422">
        <w:rPr>
          <w:rFonts w:ascii="Verdana" w:hAnsi="Verdana"/>
          <w:i/>
          <w:sz w:val="20"/>
          <w:szCs w:val="20"/>
        </w:rPr>
        <w:t>Deliberación del presente caso</w:t>
      </w:r>
      <w:r w:rsidRPr="008921FD">
        <w:rPr>
          <w:rFonts w:ascii="Verdana" w:hAnsi="Verdana"/>
          <w:i/>
          <w:sz w:val="20"/>
          <w:szCs w:val="20"/>
        </w:rPr>
        <w:t>.</w:t>
      </w:r>
      <w:r w:rsidRPr="008921FD">
        <w:rPr>
          <w:rFonts w:ascii="Verdana" w:hAnsi="Verdana"/>
          <w:sz w:val="20"/>
          <w:szCs w:val="20"/>
        </w:rPr>
        <w:t xml:space="preserve"> – La Corte inició la deliberación de</w:t>
      </w:r>
      <w:r w:rsidRPr="00CD6059">
        <w:rPr>
          <w:rFonts w:ascii="Verdana" w:hAnsi="Verdana"/>
          <w:sz w:val="20"/>
          <w:szCs w:val="20"/>
        </w:rPr>
        <w:t xml:space="preserve"> la presente </w:t>
      </w:r>
      <w:r w:rsidR="005D0F69" w:rsidRPr="005D0F69">
        <w:rPr>
          <w:rFonts w:ascii="Verdana" w:hAnsi="Verdana"/>
          <w:sz w:val="20"/>
          <w:szCs w:val="20"/>
        </w:rPr>
        <w:t xml:space="preserve">Sentencia </w:t>
      </w:r>
      <w:r w:rsidR="00DE6F3B" w:rsidRPr="00E535D8">
        <w:rPr>
          <w:rFonts w:ascii="Verdana" w:hAnsi="Verdana"/>
          <w:sz w:val="20"/>
          <w:szCs w:val="20"/>
        </w:rPr>
        <w:t>el 18</w:t>
      </w:r>
      <w:r w:rsidR="005D0F69" w:rsidRPr="00E535D8">
        <w:rPr>
          <w:rFonts w:ascii="Verdana" w:hAnsi="Verdana"/>
          <w:sz w:val="20"/>
          <w:szCs w:val="20"/>
        </w:rPr>
        <w:t xml:space="preserve"> de mayo</w:t>
      </w:r>
      <w:r w:rsidRPr="00E535D8">
        <w:rPr>
          <w:rFonts w:ascii="Verdana" w:hAnsi="Verdana"/>
          <w:sz w:val="20"/>
          <w:szCs w:val="20"/>
        </w:rPr>
        <w:t xml:space="preserve"> de 2017</w:t>
      </w:r>
      <w:r w:rsidR="00DE6F3B" w:rsidRPr="00E535D8">
        <w:rPr>
          <w:rFonts w:ascii="Verdana" w:hAnsi="Verdana"/>
          <w:sz w:val="20"/>
          <w:szCs w:val="20"/>
        </w:rPr>
        <w:t xml:space="preserve"> y posteriormente </w:t>
      </w:r>
      <w:r w:rsidR="00DE6F3B" w:rsidRPr="00333304">
        <w:rPr>
          <w:rFonts w:ascii="Verdana" w:hAnsi="Verdana"/>
          <w:sz w:val="20"/>
          <w:szCs w:val="20"/>
        </w:rPr>
        <w:t xml:space="preserve">el </w:t>
      </w:r>
      <w:r w:rsidR="00DF19CA" w:rsidRPr="00333304">
        <w:rPr>
          <w:rFonts w:ascii="Verdana" w:hAnsi="Verdana"/>
          <w:sz w:val="20"/>
          <w:szCs w:val="20"/>
        </w:rPr>
        <w:t>29</w:t>
      </w:r>
      <w:r w:rsidR="00DE6F3B" w:rsidRPr="00333304">
        <w:rPr>
          <w:rFonts w:ascii="Verdana" w:hAnsi="Verdana"/>
          <w:sz w:val="20"/>
          <w:szCs w:val="20"/>
        </w:rPr>
        <w:t xml:space="preserve"> de agosto de 2017</w:t>
      </w:r>
      <w:r w:rsidRPr="00333304">
        <w:rPr>
          <w:rFonts w:ascii="Verdana" w:hAnsi="Verdana"/>
          <w:sz w:val="20"/>
          <w:szCs w:val="20"/>
        </w:rPr>
        <w:t>.</w:t>
      </w:r>
      <w:r>
        <w:rPr>
          <w:rFonts w:ascii="Verdana" w:hAnsi="Verdana"/>
          <w:sz w:val="20"/>
          <w:szCs w:val="20"/>
        </w:rPr>
        <w:t xml:space="preserve"> </w:t>
      </w:r>
    </w:p>
    <w:p w14:paraId="7CCE7D2C" w14:textId="77777777" w:rsidR="006F79F4" w:rsidRPr="00786F4B" w:rsidRDefault="006F79F4" w:rsidP="006F79F4">
      <w:pPr>
        <w:pStyle w:val="ListParagraph"/>
        <w:rPr>
          <w:rFonts w:ascii="Verdana" w:hAnsi="Verdana"/>
          <w:sz w:val="20"/>
          <w:szCs w:val="20"/>
        </w:rPr>
      </w:pPr>
    </w:p>
    <w:p w14:paraId="18A50CE1" w14:textId="77777777" w:rsidR="006F79F4" w:rsidRDefault="006F79F4" w:rsidP="006F79F4">
      <w:pPr>
        <w:pStyle w:val="Heading1"/>
        <w:tabs>
          <w:tab w:val="left" w:pos="851"/>
        </w:tabs>
        <w:spacing w:before="0"/>
        <w:jc w:val="center"/>
        <w:rPr>
          <w:rFonts w:cs="Verdana"/>
          <w:caps/>
          <w:snapToGrid w:val="0"/>
          <w:szCs w:val="20"/>
        </w:rPr>
      </w:pPr>
      <w:bookmarkStart w:id="3" w:name="_Toc437960385"/>
      <w:bookmarkStart w:id="4" w:name="_Toc498333470"/>
      <w:r w:rsidRPr="009F6F45">
        <w:rPr>
          <w:rFonts w:cs="Verdana"/>
          <w:caps/>
          <w:snapToGrid w:val="0"/>
          <w:szCs w:val="20"/>
        </w:rPr>
        <w:t>III</w:t>
      </w:r>
      <w:r w:rsidRPr="009F6F45">
        <w:rPr>
          <w:rFonts w:cs="Verdana"/>
          <w:caps/>
          <w:snapToGrid w:val="0"/>
          <w:szCs w:val="20"/>
        </w:rPr>
        <w:br/>
        <w:t>COMPETENCIA</w:t>
      </w:r>
      <w:bookmarkEnd w:id="3"/>
      <w:bookmarkEnd w:id="4"/>
    </w:p>
    <w:p w14:paraId="0EEBCC03" w14:textId="77777777" w:rsidR="006F79F4" w:rsidRPr="006C3B8D" w:rsidRDefault="006F79F4" w:rsidP="006F79F4"/>
    <w:p w14:paraId="06FE5261" w14:textId="42B6027A" w:rsidR="006F79F4" w:rsidRPr="007C6554" w:rsidRDefault="006F79F4" w:rsidP="00E66DD7">
      <w:pPr>
        <w:pStyle w:val="ListParagraph"/>
        <w:numPr>
          <w:ilvl w:val="0"/>
          <w:numId w:val="1"/>
        </w:numPr>
        <w:ind w:left="0" w:firstLine="0"/>
        <w:jc w:val="both"/>
        <w:rPr>
          <w:rFonts w:ascii="Verdana" w:hAnsi="Verdana"/>
          <w:sz w:val="20"/>
          <w:szCs w:val="20"/>
        </w:rPr>
      </w:pPr>
      <w:r w:rsidRPr="0004677C">
        <w:rPr>
          <w:rFonts w:ascii="Verdana" w:hAnsi="Verdana"/>
          <w:sz w:val="20"/>
          <w:szCs w:val="20"/>
          <w:lang w:val="es-ES"/>
        </w:rPr>
        <w:t>La</w:t>
      </w:r>
      <w:r w:rsidRPr="0004677C">
        <w:rPr>
          <w:rFonts w:ascii="Verdana" w:eastAsia="Times New Roman" w:hAnsi="Verdana"/>
          <w:sz w:val="20"/>
          <w:szCs w:val="20"/>
          <w:lang w:val="es-ES"/>
        </w:rPr>
        <w:t xml:space="preserve"> Corte es competente para conocer del presente caso en los términos del artículo 62.3 de la Convención Americana, </w:t>
      </w:r>
      <w:r w:rsidR="001B481A" w:rsidRPr="00333304">
        <w:rPr>
          <w:rFonts w:ascii="Verdana" w:eastAsia="Times New Roman" w:hAnsi="Verdana"/>
          <w:sz w:val="20"/>
          <w:szCs w:val="20"/>
          <w:lang w:val="es-ES"/>
        </w:rPr>
        <w:t>puesto</w:t>
      </w:r>
      <w:r w:rsidRPr="0004677C">
        <w:rPr>
          <w:rFonts w:ascii="Verdana" w:eastAsia="Times New Roman" w:hAnsi="Verdana"/>
          <w:sz w:val="20"/>
          <w:szCs w:val="20"/>
          <w:lang w:val="es-ES"/>
        </w:rPr>
        <w:t xml:space="preserve"> </w:t>
      </w:r>
      <w:r w:rsidRPr="0076651B">
        <w:rPr>
          <w:rFonts w:ascii="Verdana" w:eastAsia="Times New Roman" w:hAnsi="Verdana"/>
          <w:sz w:val="20"/>
          <w:szCs w:val="20"/>
          <w:lang w:val="es-ES"/>
        </w:rPr>
        <w:t>que Perú ratificó la Convención Americana el 28 de julio de 1978, y reconoció la competencia contenciosa de la Corte el 21 de enero de 1981.</w:t>
      </w:r>
    </w:p>
    <w:p w14:paraId="65AB0B0F" w14:textId="77777777" w:rsidR="006F79F4" w:rsidRPr="0076651B" w:rsidRDefault="006F79F4" w:rsidP="006F79F4">
      <w:pPr>
        <w:pStyle w:val="ListParagraph"/>
        <w:ind w:left="0"/>
        <w:jc w:val="both"/>
        <w:rPr>
          <w:rFonts w:ascii="Verdana" w:hAnsi="Verdana"/>
          <w:sz w:val="20"/>
          <w:szCs w:val="20"/>
        </w:rPr>
      </w:pPr>
    </w:p>
    <w:p w14:paraId="39C32B7E" w14:textId="3AA79FC2" w:rsidR="00AF7637" w:rsidRPr="007005FF" w:rsidRDefault="00374FC9" w:rsidP="00AF7637">
      <w:pPr>
        <w:pStyle w:val="Heading1"/>
        <w:tabs>
          <w:tab w:val="left" w:pos="851"/>
        </w:tabs>
        <w:spacing w:before="0"/>
        <w:jc w:val="center"/>
        <w:rPr>
          <w:rFonts w:cs="Verdana"/>
          <w:caps/>
          <w:snapToGrid w:val="0"/>
          <w:szCs w:val="20"/>
        </w:rPr>
      </w:pPr>
      <w:bookmarkStart w:id="5" w:name="_Toc437960386"/>
      <w:bookmarkStart w:id="6" w:name="_Toc498333471"/>
      <w:r>
        <w:rPr>
          <w:rFonts w:cs="Verdana"/>
          <w:caps/>
          <w:snapToGrid w:val="0"/>
          <w:szCs w:val="20"/>
        </w:rPr>
        <w:t>I</w:t>
      </w:r>
      <w:r w:rsidR="00AF7637" w:rsidRPr="00577DD8">
        <w:rPr>
          <w:rFonts w:cs="Verdana"/>
          <w:caps/>
          <w:snapToGrid w:val="0"/>
          <w:szCs w:val="20"/>
        </w:rPr>
        <w:t>V</w:t>
      </w:r>
      <w:r w:rsidR="00AF7637" w:rsidRPr="00577DD8">
        <w:rPr>
          <w:rFonts w:cs="Verdana"/>
          <w:caps/>
          <w:snapToGrid w:val="0"/>
          <w:szCs w:val="20"/>
        </w:rPr>
        <w:br/>
      </w:r>
      <w:r w:rsidR="00AF7637" w:rsidRPr="005D0F69">
        <w:rPr>
          <w:caps/>
          <w:snapToGrid w:val="0"/>
        </w:rPr>
        <w:t>EXCEPCIONES PRELIMINARES</w:t>
      </w:r>
      <w:bookmarkEnd w:id="5"/>
      <w:bookmarkEnd w:id="6"/>
    </w:p>
    <w:p w14:paraId="0F684868" w14:textId="77777777" w:rsidR="00AF7637" w:rsidRPr="007005FF" w:rsidRDefault="00AF7637" w:rsidP="00AF7637"/>
    <w:p w14:paraId="0A754255" w14:textId="58B1934B" w:rsidR="00154B4B" w:rsidRPr="00E3547C" w:rsidRDefault="00154B4B" w:rsidP="00E66DD7">
      <w:pPr>
        <w:pStyle w:val="Heading2"/>
        <w:numPr>
          <w:ilvl w:val="0"/>
          <w:numId w:val="8"/>
        </w:numPr>
        <w:rPr>
          <w:i/>
          <w:szCs w:val="20"/>
        </w:rPr>
      </w:pPr>
      <w:r w:rsidRPr="00154B4B">
        <w:rPr>
          <w:i/>
          <w:szCs w:val="20"/>
        </w:rPr>
        <w:t xml:space="preserve"> </w:t>
      </w:r>
      <w:bookmarkStart w:id="7" w:name="_Toc498333472"/>
      <w:r w:rsidRPr="005B3D37">
        <w:rPr>
          <w:rFonts w:eastAsia="MS Gothic"/>
          <w:i/>
          <w:lang w:val="es-CR"/>
        </w:rPr>
        <w:t>Planteamientos del Estado y observaciones de la Comisión y los representantes</w:t>
      </w:r>
      <w:bookmarkEnd w:id="7"/>
    </w:p>
    <w:p w14:paraId="4F7E7751" w14:textId="77777777" w:rsidR="00154B4B" w:rsidRDefault="00154B4B" w:rsidP="00154B4B">
      <w:pPr>
        <w:pStyle w:val="ListParagraph"/>
        <w:ind w:left="0"/>
        <w:jc w:val="both"/>
        <w:rPr>
          <w:rFonts w:ascii="Verdana" w:hAnsi="Verdana"/>
          <w:sz w:val="20"/>
          <w:szCs w:val="20"/>
          <w:lang w:val="es-MX"/>
        </w:rPr>
      </w:pPr>
    </w:p>
    <w:p w14:paraId="41B4405B" w14:textId="2DD7B4A9" w:rsidR="00154B4B" w:rsidRDefault="00154B4B" w:rsidP="00E66DD7">
      <w:pPr>
        <w:pStyle w:val="ListParagraph"/>
        <w:numPr>
          <w:ilvl w:val="0"/>
          <w:numId w:val="1"/>
        </w:numPr>
        <w:ind w:left="0" w:firstLine="0"/>
        <w:jc w:val="both"/>
        <w:rPr>
          <w:rFonts w:ascii="Verdana" w:hAnsi="Verdana"/>
          <w:sz w:val="20"/>
          <w:szCs w:val="20"/>
          <w:lang w:val="es-MX"/>
        </w:rPr>
      </w:pPr>
      <w:r>
        <w:rPr>
          <w:rFonts w:ascii="Verdana" w:hAnsi="Verdana"/>
          <w:sz w:val="20"/>
          <w:szCs w:val="20"/>
          <w:lang w:val="es-MX"/>
        </w:rPr>
        <w:t xml:space="preserve">El </w:t>
      </w:r>
      <w:r w:rsidRPr="006F62A3">
        <w:rPr>
          <w:rFonts w:ascii="Verdana" w:hAnsi="Verdana"/>
          <w:b/>
          <w:i/>
          <w:sz w:val="20"/>
          <w:szCs w:val="20"/>
          <w:lang w:val="es-MX"/>
        </w:rPr>
        <w:t>Estado</w:t>
      </w:r>
      <w:r>
        <w:rPr>
          <w:rFonts w:ascii="Verdana" w:hAnsi="Verdana"/>
          <w:sz w:val="20"/>
          <w:szCs w:val="20"/>
          <w:lang w:val="es-MX"/>
        </w:rPr>
        <w:t xml:space="preserve"> solicitó a la Corte que realizara un control de legalidad del Informe de Admisibilidad de la Comisión y formuló </w:t>
      </w:r>
      <w:r w:rsidR="003B4ECF">
        <w:rPr>
          <w:rFonts w:ascii="Verdana" w:hAnsi="Verdana"/>
          <w:sz w:val="20"/>
          <w:szCs w:val="20"/>
          <w:lang w:val="es-MX"/>
        </w:rPr>
        <w:t>seis</w:t>
      </w:r>
      <w:r>
        <w:rPr>
          <w:rFonts w:ascii="Verdana" w:hAnsi="Verdana"/>
          <w:sz w:val="20"/>
          <w:szCs w:val="20"/>
          <w:lang w:val="es-MX"/>
        </w:rPr>
        <w:t xml:space="preserve"> “cuestionamientos procesales”, en los siguientes términos:</w:t>
      </w:r>
    </w:p>
    <w:p w14:paraId="3B15CC69" w14:textId="77777777" w:rsidR="00154B4B" w:rsidRDefault="00154B4B" w:rsidP="00154B4B">
      <w:pPr>
        <w:pStyle w:val="ListParagraph"/>
        <w:ind w:left="0"/>
        <w:jc w:val="both"/>
        <w:rPr>
          <w:rFonts w:ascii="Verdana" w:hAnsi="Verdana"/>
          <w:sz w:val="20"/>
          <w:szCs w:val="20"/>
          <w:lang w:val="es-MX"/>
        </w:rPr>
      </w:pPr>
    </w:p>
    <w:p w14:paraId="4E4F9A75" w14:textId="4EA2D216" w:rsidR="00154B4B" w:rsidRPr="00C71AC5" w:rsidRDefault="00154B4B" w:rsidP="00E66DD7">
      <w:pPr>
        <w:pStyle w:val="ListParagraph"/>
        <w:numPr>
          <w:ilvl w:val="0"/>
          <w:numId w:val="17"/>
        </w:numPr>
        <w:ind w:hanging="11"/>
        <w:jc w:val="both"/>
        <w:rPr>
          <w:rFonts w:ascii="Verdana" w:hAnsi="Verdana"/>
          <w:sz w:val="20"/>
          <w:szCs w:val="20"/>
          <w:lang w:val="es-MX"/>
        </w:rPr>
      </w:pPr>
      <w:r w:rsidRPr="00DF3DCF">
        <w:rPr>
          <w:rFonts w:ascii="Verdana" w:hAnsi="Verdana"/>
          <w:sz w:val="20"/>
          <w:szCs w:val="20"/>
          <w:lang w:val="es-MX"/>
        </w:rPr>
        <w:t xml:space="preserve"> </w:t>
      </w:r>
      <w:r w:rsidRPr="00C71AC5">
        <w:rPr>
          <w:rFonts w:ascii="Verdana" w:hAnsi="Verdana"/>
          <w:i/>
          <w:sz w:val="20"/>
          <w:szCs w:val="20"/>
          <w:lang w:val="es-MX"/>
        </w:rPr>
        <w:t>“Control de legalidad sobre el informe de admisibilidad de la CIDH relativo al presente caso”</w:t>
      </w:r>
      <w:r w:rsidR="00386930">
        <w:rPr>
          <w:rFonts w:ascii="Verdana" w:hAnsi="Verdana"/>
          <w:sz w:val="20"/>
          <w:szCs w:val="20"/>
          <w:lang w:val="es-MX"/>
        </w:rPr>
        <w:t xml:space="preserve">: </w:t>
      </w:r>
      <w:r w:rsidRPr="00C71AC5">
        <w:rPr>
          <w:rFonts w:ascii="Verdana" w:hAnsi="Verdana"/>
          <w:sz w:val="20"/>
          <w:szCs w:val="20"/>
          <w:lang w:val="es-MX"/>
        </w:rPr>
        <w:t>El Estado solicitó a la Corte que ejerza el debido control de legalidad sobre las omisiones de la Comisión con relación a la falta de verificación del plazo máximo para interponer la petición acorde con el artículo 46.1 b) de la Convención. Al respecto señaló que la Comisión consideró el 14 de octubre de 1993 como la fecha de petición del señor Lagos del Campo, aun cua</w:t>
      </w:r>
      <w:r>
        <w:rPr>
          <w:rFonts w:ascii="Verdana" w:hAnsi="Verdana"/>
          <w:sz w:val="20"/>
          <w:szCs w:val="20"/>
          <w:lang w:val="es-MX"/>
        </w:rPr>
        <w:t>ndo e</w:t>
      </w:r>
      <w:r w:rsidRPr="00C71AC5">
        <w:rPr>
          <w:rFonts w:ascii="Verdana" w:hAnsi="Verdana"/>
          <w:sz w:val="20"/>
          <w:szCs w:val="20"/>
          <w:lang w:val="es-MX"/>
        </w:rPr>
        <w:t>sta fue trasladada por la oficina de la Organización de Estados Americanos en Perú el 5 de agosto de 1998 violando así los principios de seguridad jurídica y equidad procesal. Adicionalmente, y en relación con lo anterior, el Estado consideró que la Comisión realizó una verificación contraria a las reglas procesales en lo que respecta al cumplimiento del requisito de admisibilidad de la petición, referido al plazo de los seis meses, en relación con las alegadas violaciones al derecho a la libertad de expresión y el derecho a ser oído. En consecuencia, solicitó a la Corte que determine cuál debe ser el proceder de la Comisión en circunstancias similares y que declare que la actuación de la CIDH no fue acorde a las reglas procesales y con sus competencias, y que la petición debió ser rechazada</w:t>
      </w:r>
      <w:r w:rsidRPr="00333304">
        <w:rPr>
          <w:rFonts w:ascii="Verdana" w:hAnsi="Verdana"/>
          <w:sz w:val="20"/>
          <w:szCs w:val="20"/>
          <w:lang w:val="es-MX"/>
        </w:rPr>
        <w:t>.</w:t>
      </w:r>
    </w:p>
    <w:p w14:paraId="5EE54AD3" w14:textId="77777777" w:rsidR="00154B4B" w:rsidRPr="00210213" w:rsidRDefault="00154B4B" w:rsidP="001B45F8">
      <w:pPr>
        <w:ind w:left="360" w:hanging="11"/>
        <w:jc w:val="both"/>
        <w:rPr>
          <w:rFonts w:ascii="Verdana" w:hAnsi="Verdana"/>
          <w:sz w:val="20"/>
          <w:szCs w:val="20"/>
          <w:lang w:val="es-MX"/>
        </w:rPr>
      </w:pPr>
    </w:p>
    <w:p w14:paraId="1D747611" w14:textId="74806609" w:rsidR="00154B4B" w:rsidRPr="00C71AC5" w:rsidRDefault="00154B4B" w:rsidP="00E66DD7">
      <w:pPr>
        <w:pStyle w:val="ListParagraph"/>
        <w:numPr>
          <w:ilvl w:val="0"/>
          <w:numId w:val="17"/>
        </w:numPr>
        <w:ind w:hanging="11"/>
        <w:jc w:val="both"/>
        <w:rPr>
          <w:rFonts w:ascii="Verdana" w:hAnsi="Verdana"/>
          <w:sz w:val="20"/>
          <w:szCs w:val="20"/>
          <w:lang w:val="es-MX"/>
        </w:rPr>
      </w:pPr>
      <w:r w:rsidRPr="00C71AC5">
        <w:rPr>
          <w:rFonts w:ascii="Verdana" w:hAnsi="Verdana"/>
          <w:i/>
          <w:sz w:val="20"/>
          <w:szCs w:val="20"/>
          <w:lang w:val="es-MX"/>
        </w:rPr>
        <w:t>“Ausencia del agotamiento de los recursos internos con relación a la alegación sobre la falta de debida motivación de las resoluciones judiciales”</w:t>
      </w:r>
      <w:r w:rsidR="006C25F6">
        <w:rPr>
          <w:rFonts w:ascii="Verdana" w:hAnsi="Verdana"/>
          <w:sz w:val="20"/>
          <w:szCs w:val="20"/>
          <w:lang w:val="es-MX"/>
        </w:rPr>
        <w:t>.</w:t>
      </w:r>
      <w:r w:rsidRPr="00C71AC5">
        <w:rPr>
          <w:rFonts w:ascii="Verdana" w:hAnsi="Verdana"/>
          <w:sz w:val="20"/>
          <w:szCs w:val="20"/>
          <w:lang w:val="es-MX"/>
        </w:rPr>
        <w:t xml:space="preserve"> El Estado argumentó que la Comisión realizó una evaluación incompleta o parcial de admisibilidad de la petición en cuanto al cumplimiento del agotamiento de recursos internos, y que desarrolló de manera insuficiente las razones por las que consideró cumplido tal requisito, sin explicar la vinculación entre los recursos interpuestos y el contenido de las vulneraciones alegadas</w:t>
      </w:r>
      <w:r w:rsidRPr="00A032B8">
        <w:rPr>
          <w:rFonts w:ascii="Verdana" w:hAnsi="Verdana"/>
          <w:sz w:val="20"/>
          <w:szCs w:val="20"/>
          <w:lang w:val="es-MX"/>
        </w:rPr>
        <w:t>.</w:t>
      </w:r>
      <w:r w:rsidRPr="00C71AC5">
        <w:rPr>
          <w:rFonts w:ascii="Verdana" w:hAnsi="Verdana"/>
          <w:sz w:val="20"/>
          <w:szCs w:val="20"/>
          <w:lang w:val="es-MX"/>
        </w:rPr>
        <w:t xml:space="preserve"> En este sentido, solicitó a la Corte analizar si la decisión judicial tomada en cuenta por la Comisión como el último recurso agotado por el peticionario efectivamente buscó revertir todas y cada una de las vi</w:t>
      </w:r>
      <w:r w:rsidR="003B4ECF">
        <w:rPr>
          <w:rFonts w:ascii="Verdana" w:hAnsi="Verdana"/>
          <w:sz w:val="20"/>
          <w:szCs w:val="20"/>
          <w:lang w:val="es-MX"/>
        </w:rPr>
        <w:t>olaciones a los derechos alegado</w:t>
      </w:r>
      <w:r w:rsidRPr="00C71AC5">
        <w:rPr>
          <w:rFonts w:ascii="Verdana" w:hAnsi="Verdana"/>
          <w:sz w:val="20"/>
          <w:szCs w:val="20"/>
          <w:lang w:val="es-MX"/>
        </w:rPr>
        <w:t>s en</w:t>
      </w:r>
      <w:r w:rsidR="00DD091E">
        <w:rPr>
          <w:rFonts w:ascii="Verdana" w:hAnsi="Verdana"/>
          <w:sz w:val="20"/>
          <w:szCs w:val="20"/>
          <w:lang w:val="es-MX"/>
        </w:rPr>
        <w:t xml:space="preserve"> </w:t>
      </w:r>
      <w:r w:rsidRPr="00C71AC5">
        <w:rPr>
          <w:rFonts w:ascii="Verdana" w:hAnsi="Verdana"/>
          <w:sz w:val="20"/>
          <w:szCs w:val="20"/>
          <w:lang w:val="es-MX"/>
        </w:rPr>
        <w:t>la petición presentada a la</w:t>
      </w:r>
      <w:r w:rsidR="001819F5">
        <w:rPr>
          <w:rFonts w:ascii="Verdana" w:hAnsi="Verdana"/>
          <w:sz w:val="20"/>
          <w:szCs w:val="20"/>
          <w:lang w:val="es-MX"/>
        </w:rPr>
        <w:t xml:space="preserve"> </w:t>
      </w:r>
      <w:r w:rsidRPr="00C71AC5">
        <w:rPr>
          <w:rFonts w:ascii="Verdana" w:hAnsi="Verdana"/>
          <w:sz w:val="20"/>
          <w:szCs w:val="20"/>
          <w:lang w:val="es-MX"/>
        </w:rPr>
        <w:t>Comisión Interamericana</w:t>
      </w:r>
      <w:r w:rsidR="00386930" w:rsidRPr="00333304">
        <w:rPr>
          <w:rFonts w:ascii="Verdana" w:hAnsi="Verdana"/>
          <w:sz w:val="20"/>
          <w:szCs w:val="20"/>
          <w:lang w:val="es-MX"/>
        </w:rPr>
        <w:t>.</w:t>
      </w:r>
      <w:r w:rsidRPr="00333304">
        <w:rPr>
          <w:rFonts w:ascii="Verdana" w:hAnsi="Verdana"/>
          <w:sz w:val="20"/>
          <w:szCs w:val="20"/>
          <w:lang w:val="es-MX"/>
        </w:rPr>
        <w:t xml:space="preserve"> </w:t>
      </w:r>
      <w:r w:rsidRPr="00C71AC5">
        <w:rPr>
          <w:rFonts w:ascii="Verdana" w:hAnsi="Verdana"/>
          <w:sz w:val="20"/>
          <w:szCs w:val="20"/>
          <w:lang w:val="es-MX"/>
        </w:rPr>
        <w:t>El Estado sometió a consideración este aspecto ante la Corte, pues considera que debe existir claridad y transparencia en los criterios que emplea la Comisión para la admisión de peticiones, con independencia de que el Estado haya alegado la cuestión en el momento procesal oportuno.</w:t>
      </w:r>
    </w:p>
    <w:p w14:paraId="17E235DB" w14:textId="77777777" w:rsidR="00154B4B" w:rsidRDefault="00154B4B" w:rsidP="001B45F8">
      <w:pPr>
        <w:pStyle w:val="ListParagraph"/>
        <w:ind w:hanging="11"/>
        <w:jc w:val="both"/>
        <w:rPr>
          <w:rFonts w:ascii="Verdana" w:hAnsi="Verdana"/>
          <w:sz w:val="20"/>
          <w:szCs w:val="20"/>
          <w:lang w:val="es-MX"/>
        </w:rPr>
      </w:pPr>
    </w:p>
    <w:p w14:paraId="5C38D791" w14:textId="6A7393D1" w:rsidR="00154B4B" w:rsidRPr="00C71AC5" w:rsidRDefault="00154B4B" w:rsidP="00E66DD7">
      <w:pPr>
        <w:pStyle w:val="ListParagraph"/>
        <w:numPr>
          <w:ilvl w:val="0"/>
          <w:numId w:val="17"/>
        </w:numPr>
        <w:ind w:hanging="11"/>
        <w:jc w:val="both"/>
        <w:rPr>
          <w:rFonts w:ascii="Verdana" w:hAnsi="Verdana"/>
          <w:sz w:val="20"/>
          <w:szCs w:val="20"/>
          <w:lang w:val="es-MX"/>
        </w:rPr>
      </w:pPr>
      <w:r w:rsidRPr="00C71AC5">
        <w:rPr>
          <w:rFonts w:ascii="Verdana" w:hAnsi="Verdana"/>
          <w:i/>
          <w:sz w:val="20"/>
          <w:szCs w:val="20"/>
          <w:lang w:val="es-MX"/>
        </w:rPr>
        <w:lastRenderedPageBreak/>
        <w:t>“Observaciones a la debida inclusión del artículo</w:t>
      </w:r>
      <w:r w:rsidR="00A032B8">
        <w:rPr>
          <w:rFonts w:ascii="Verdana" w:hAnsi="Verdana"/>
          <w:i/>
          <w:sz w:val="20"/>
          <w:szCs w:val="20"/>
          <w:lang w:val="es-MX"/>
        </w:rPr>
        <w:t xml:space="preserve"> 16 en el Informe de F</w:t>
      </w:r>
      <w:r w:rsidRPr="00C71AC5">
        <w:rPr>
          <w:rFonts w:ascii="Verdana" w:hAnsi="Verdana"/>
          <w:i/>
          <w:sz w:val="20"/>
          <w:szCs w:val="20"/>
          <w:lang w:val="es-MX"/>
        </w:rPr>
        <w:t>ondo de la CIDH”</w:t>
      </w:r>
      <w:r w:rsidR="006C25F6">
        <w:rPr>
          <w:rFonts w:ascii="Verdana" w:hAnsi="Verdana"/>
          <w:sz w:val="20"/>
          <w:szCs w:val="20"/>
          <w:lang w:val="es-MX"/>
        </w:rPr>
        <w:t>.</w:t>
      </w:r>
      <w:r w:rsidRPr="00C71AC5">
        <w:rPr>
          <w:rFonts w:ascii="Verdana" w:hAnsi="Verdana"/>
          <w:sz w:val="20"/>
          <w:szCs w:val="20"/>
          <w:lang w:val="es-MX"/>
        </w:rPr>
        <w:t xml:space="preserve"> </w:t>
      </w:r>
      <w:r w:rsidRPr="00C71AC5">
        <w:rPr>
          <w:rFonts w:ascii="Verdana" w:hAnsi="Verdana"/>
          <w:sz w:val="20"/>
          <w:szCs w:val="20"/>
          <w:lang w:val="es-ES"/>
        </w:rPr>
        <w:t xml:space="preserve">El Estado alegó que la Comisión admitió la petición con relación a los artículos 8 y 13 con relación a los artículos 1.1 y 2 de la Convención, pero que en el Informe de Fondo incluyó indebidamente presuntas violaciones al artículo 16.1 de la Convención. Al respecto, señaló que ni en los hechos del caso aportados por los peticionarios, ni en los documentos brindados por los mismos, existe referencia alguna a que, en razón del ejercicio del derecho a la libertad de expresión, y el consecuente alegado despido arbitrario del señor Lagos del Campo, se haya vulnerado su libertad de asociación. En consecuencia, el Estado alegó que nunca tuvo oportunidad de formular alegatos con relación a dicho aspecto, lo que constituyó una violación a su derecho a la defensa. Por lo anterior, solicitó a la Corte rechazar los alegatos relacionados con presuntas violaciones al artículo 16. </w:t>
      </w:r>
    </w:p>
    <w:p w14:paraId="0BB2BAAF" w14:textId="77777777" w:rsidR="00154B4B" w:rsidRPr="00210213" w:rsidRDefault="00154B4B" w:rsidP="001B45F8">
      <w:pPr>
        <w:ind w:hanging="11"/>
        <w:jc w:val="both"/>
        <w:rPr>
          <w:rFonts w:ascii="Verdana" w:hAnsi="Verdana"/>
          <w:sz w:val="20"/>
          <w:szCs w:val="20"/>
          <w:lang w:val="es-MX"/>
        </w:rPr>
      </w:pPr>
    </w:p>
    <w:p w14:paraId="62B0795B" w14:textId="2F56ACF2" w:rsidR="00154B4B" w:rsidRPr="00C71AC5" w:rsidRDefault="00154B4B" w:rsidP="00E66DD7">
      <w:pPr>
        <w:pStyle w:val="ListParagraph"/>
        <w:numPr>
          <w:ilvl w:val="0"/>
          <w:numId w:val="17"/>
        </w:numPr>
        <w:ind w:hanging="11"/>
        <w:jc w:val="both"/>
        <w:rPr>
          <w:rFonts w:ascii="Verdana" w:hAnsi="Verdana"/>
          <w:sz w:val="20"/>
          <w:szCs w:val="20"/>
          <w:lang w:val="es-MX"/>
        </w:rPr>
      </w:pPr>
      <w:r w:rsidRPr="00C71AC5">
        <w:rPr>
          <w:rFonts w:ascii="Verdana" w:hAnsi="Verdana"/>
          <w:i/>
          <w:sz w:val="20"/>
          <w:szCs w:val="20"/>
          <w:lang w:val="es-MX"/>
        </w:rPr>
        <w:t>“Falta de competencia de la CIDH para asumir un rol de cuarta instancia”</w:t>
      </w:r>
      <w:r w:rsidR="006C25F6">
        <w:rPr>
          <w:rFonts w:ascii="Verdana" w:hAnsi="Verdana"/>
          <w:sz w:val="20"/>
          <w:szCs w:val="20"/>
          <w:lang w:val="es-MX"/>
        </w:rPr>
        <w:t>.</w:t>
      </w:r>
      <w:r w:rsidRPr="00C71AC5">
        <w:rPr>
          <w:rFonts w:ascii="Verdana" w:hAnsi="Verdana"/>
          <w:sz w:val="20"/>
          <w:szCs w:val="20"/>
          <w:lang w:val="es-MX"/>
        </w:rPr>
        <w:t xml:space="preserve"> </w:t>
      </w:r>
      <w:r w:rsidRPr="00C71AC5">
        <w:rPr>
          <w:rFonts w:ascii="Verdana" w:hAnsi="Verdana"/>
          <w:sz w:val="20"/>
          <w:szCs w:val="20"/>
          <w:lang w:val="es-ES"/>
        </w:rPr>
        <w:t>El Estado alegó que la pretensión del peticio</w:t>
      </w:r>
      <w:r>
        <w:rPr>
          <w:rFonts w:ascii="Verdana" w:hAnsi="Verdana"/>
          <w:sz w:val="20"/>
          <w:szCs w:val="20"/>
          <w:lang w:val="es-ES"/>
        </w:rPr>
        <w:t>nario ante la Comisión fue que e</w:t>
      </w:r>
      <w:r w:rsidRPr="00C71AC5">
        <w:rPr>
          <w:rFonts w:ascii="Verdana" w:hAnsi="Verdana"/>
          <w:sz w:val="20"/>
          <w:szCs w:val="20"/>
          <w:lang w:val="es-ES"/>
        </w:rPr>
        <w:t>sta actuara como un tribunal interno con facultad para evaluar pruebas y hechos relacionados con su proceso en el ámbito interno, lo que excede sus competencias. Por ello, solicitó que la Corte valore el proceso laboral y el proceso de amparo con la finalidad de constatar que ambos se desarrollaron con pleno respeto a las garantías del debido proceso, dándosele la oportunidad al señor Lagos del Campo para recurrir las decisiones judiciales que le fueron adversas.</w:t>
      </w:r>
    </w:p>
    <w:p w14:paraId="272C713A" w14:textId="77777777" w:rsidR="00154B4B" w:rsidRPr="00BE3C2E" w:rsidRDefault="00154B4B" w:rsidP="001B45F8">
      <w:pPr>
        <w:pStyle w:val="ListParagraph"/>
        <w:ind w:hanging="11"/>
        <w:rPr>
          <w:rFonts w:ascii="Verdana" w:hAnsi="Verdana"/>
          <w:i/>
          <w:sz w:val="20"/>
          <w:szCs w:val="20"/>
          <w:lang w:val="es-MX"/>
        </w:rPr>
      </w:pPr>
    </w:p>
    <w:p w14:paraId="6F007763" w14:textId="1AF6797A" w:rsidR="00154B4B" w:rsidRPr="00C71AC5" w:rsidRDefault="00154B4B" w:rsidP="00E66DD7">
      <w:pPr>
        <w:pStyle w:val="ListParagraph"/>
        <w:numPr>
          <w:ilvl w:val="0"/>
          <w:numId w:val="17"/>
        </w:numPr>
        <w:ind w:hanging="11"/>
        <w:jc w:val="both"/>
        <w:rPr>
          <w:rFonts w:ascii="Verdana" w:hAnsi="Verdana"/>
          <w:sz w:val="20"/>
          <w:szCs w:val="20"/>
          <w:lang w:val="es-MX"/>
        </w:rPr>
      </w:pPr>
      <w:r w:rsidRPr="00C71AC5">
        <w:rPr>
          <w:rFonts w:ascii="Verdana" w:hAnsi="Verdana"/>
          <w:i/>
          <w:sz w:val="20"/>
          <w:szCs w:val="20"/>
          <w:lang w:val="es-MX"/>
        </w:rPr>
        <w:t>“Observaciones al escrito de solicitudes, argumentos y pruebas con relación a la delimitación de la controversia jurídica”</w:t>
      </w:r>
      <w:r w:rsidR="006C25F6">
        <w:rPr>
          <w:rFonts w:ascii="Verdana" w:hAnsi="Verdana"/>
          <w:sz w:val="20"/>
          <w:szCs w:val="20"/>
          <w:lang w:val="es-MX"/>
        </w:rPr>
        <w:t>.</w:t>
      </w:r>
      <w:r w:rsidRPr="00C71AC5">
        <w:rPr>
          <w:rFonts w:ascii="Verdana" w:hAnsi="Verdana"/>
          <w:sz w:val="20"/>
          <w:szCs w:val="20"/>
          <w:lang w:val="es-MX"/>
        </w:rPr>
        <w:t xml:space="preserve"> </w:t>
      </w:r>
      <w:r w:rsidRPr="00C71AC5">
        <w:rPr>
          <w:rFonts w:ascii="Verdana" w:hAnsi="Verdana"/>
          <w:sz w:val="20"/>
          <w:szCs w:val="20"/>
          <w:lang w:val="es-ES"/>
        </w:rPr>
        <w:t>El Estado</w:t>
      </w:r>
      <w:r w:rsidRPr="00C71AC5">
        <w:rPr>
          <w:rFonts w:ascii="Verdana" w:hAnsi="Verdana"/>
          <w:b/>
          <w:i/>
          <w:sz w:val="20"/>
          <w:szCs w:val="20"/>
          <w:lang w:val="es-ES"/>
        </w:rPr>
        <w:t xml:space="preserve"> </w:t>
      </w:r>
      <w:r w:rsidRPr="00C71AC5">
        <w:rPr>
          <w:rFonts w:ascii="Verdana" w:hAnsi="Verdana"/>
          <w:sz w:val="20"/>
          <w:szCs w:val="20"/>
          <w:lang w:val="es-ES"/>
        </w:rPr>
        <w:t>alegó que los recursos que no fueron materia de análisis para efectos de establecer el cumplimiento de los requisitos de admisibilidad, es decir aquellos posteriores al recurso interpuesto el 15 de marzo de 1993, no pueden ser empleados para considerar violaciones a derechos adicionales a los contenidos en el Informe de Fondo. De igual forma, alegó que los representantes de la presunta víctima emplearon indebidamente los sucesos relacionados con el autogolpe de</w:t>
      </w:r>
      <w:r w:rsidR="00053B34">
        <w:rPr>
          <w:rFonts w:ascii="Verdana" w:hAnsi="Verdana"/>
          <w:sz w:val="20"/>
          <w:szCs w:val="20"/>
          <w:lang w:val="es-ES"/>
        </w:rPr>
        <w:t>l</w:t>
      </w:r>
      <w:r w:rsidRPr="00C71AC5">
        <w:rPr>
          <w:rFonts w:ascii="Verdana" w:hAnsi="Verdana"/>
          <w:sz w:val="20"/>
          <w:szCs w:val="20"/>
          <w:lang w:val="es-ES"/>
        </w:rPr>
        <w:t xml:space="preserve"> 5 de abril de 1992 y la desactivación del Tribunal de Garantías Constitucionales para sustentar una pretendida afectación al derecho a impugnar resoluciones judiciales, aun cuando estos hechos no han sido considerados en el Informe de Fondo de la Comisión. En consecuencia, solicit</w:t>
      </w:r>
      <w:r w:rsidR="00053B34">
        <w:rPr>
          <w:rFonts w:ascii="Verdana" w:hAnsi="Verdana"/>
          <w:sz w:val="20"/>
          <w:szCs w:val="20"/>
          <w:lang w:val="es-ES"/>
        </w:rPr>
        <w:t>ó</w:t>
      </w:r>
      <w:r w:rsidRPr="00C71AC5">
        <w:rPr>
          <w:rFonts w:ascii="Verdana" w:hAnsi="Verdana"/>
          <w:sz w:val="20"/>
          <w:szCs w:val="20"/>
          <w:lang w:val="es-ES"/>
        </w:rPr>
        <w:t xml:space="preserve"> que la Corte estable</w:t>
      </w:r>
      <w:r w:rsidR="00053B34">
        <w:rPr>
          <w:rFonts w:ascii="Verdana" w:hAnsi="Verdana"/>
          <w:sz w:val="20"/>
          <w:szCs w:val="20"/>
          <w:lang w:val="es-ES"/>
        </w:rPr>
        <w:t>ciera</w:t>
      </w:r>
      <w:r w:rsidRPr="00C71AC5">
        <w:rPr>
          <w:rFonts w:ascii="Verdana" w:hAnsi="Verdana"/>
          <w:sz w:val="20"/>
          <w:szCs w:val="20"/>
          <w:lang w:val="es-ES"/>
        </w:rPr>
        <w:t xml:space="preserve"> que las alegaciones presentadas por los representantes sobre afectaciones al derecho a ser oído por un juez o tribunal y al derecho a impugnar resoluciones, así como los hechos nuevos y el contexto aludido por los representantes, no </w:t>
      </w:r>
      <w:r w:rsidR="00053B34">
        <w:rPr>
          <w:rFonts w:ascii="Verdana" w:hAnsi="Verdana"/>
          <w:sz w:val="20"/>
          <w:szCs w:val="20"/>
          <w:lang w:val="es-ES"/>
        </w:rPr>
        <w:t>fueran</w:t>
      </w:r>
      <w:r w:rsidRPr="00C71AC5">
        <w:rPr>
          <w:rFonts w:ascii="Verdana" w:hAnsi="Verdana"/>
          <w:sz w:val="20"/>
          <w:szCs w:val="20"/>
          <w:lang w:val="es-ES"/>
        </w:rPr>
        <w:t xml:space="preserve"> considerados como parte de la controversia.</w:t>
      </w:r>
    </w:p>
    <w:p w14:paraId="7FF10F71" w14:textId="77777777" w:rsidR="00154B4B" w:rsidRPr="00BE3C2E" w:rsidRDefault="00154B4B" w:rsidP="001B45F8">
      <w:pPr>
        <w:ind w:hanging="11"/>
        <w:jc w:val="both"/>
        <w:rPr>
          <w:rFonts w:ascii="Verdana" w:hAnsi="Verdana"/>
          <w:sz w:val="20"/>
          <w:szCs w:val="20"/>
          <w:lang w:val="es-MX"/>
        </w:rPr>
      </w:pPr>
    </w:p>
    <w:p w14:paraId="5DEA5344" w14:textId="6F7A9062" w:rsidR="00154B4B" w:rsidRPr="00BE3C2E" w:rsidRDefault="00154B4B" w:rsidP="00E66DD7">
      <w:pPr>
        <w:pStyle w:val="ListParagraph"/>
        <w:numPr>
          <w:ilvl w:val="0"/>
          <w:numId w:val="17"/>
        </w:numPr>
        <w:ind w:hanging="11"/>
        <w:jc w:val="both"/>
        <w:rPr>
          <w:rFonts w:ascii="Verdana" w:hAnsi="Verdana"/>
          <w:sz w:val="20"/>
          <w:szCs w:val="20"/>
          <w:lang w:val="es-MX"/>
        </w:rPr>
      </w:pPr>
      <w:r w:rsidRPr="00BE3C2E">
        <w:rPr>
          <w:rFonts w:ascii="Verdana" w:hAnsi="Verdana"/>
          <w:i/>
          <w:sz w:val="20"/>
          <w:szCs w:val="20"/>
          <w:lang w:val="es-MX"/>
        </w:rPr>
        <w:t>“Indebida inclusión de presuntas víctimas adicionales en el ESAP”</w:t>
      </w:r>
      <w:r w:rsidR="006C25F6">
        <w:rPr>
          <w:rFonts w:ascii="Verdana" w:hAnsi="Verdana"/>
          <w:sz w:val="20"/>
          <w:szCs w:val="20"/>
          <w:lang w:val="es-MX"/>
        </w:rPr>
        <w:t>.</w:t>
      </w:r>
      <w:r>
        <w:rPr>
          <w:rFonts w:ascii="Verdana" w:hAnsi="Verdana"/>
          <w:sz w:val="20"/>
          <w:szCs w:val="20"/>
          <w:lang w:val="es-MX"/>
        </w:rPr>
        <w:t xml:space="preserve"> El Estado alegó</w:t>
      </w:r>
      <w:r w:rsidRPr="00BE3C2E">
        <w:rPr>
          <w:rFonts w:ascii="Verdana" w:hAnsi="Verdana"/>
          <w:sz w:val="20"/>
          <w:szCs w:val="20"/>
          <w:lang w:val="es-MX"/>
        </w:rPr>
        <w:t xml:space="preserve"> </w:t>
      </w:r>
      <w:r w:rsidRPr="00BE3C2E">
        <w:rPr>
          <w:rFonts w:ascii="Verdana" w:hAnsi="Verdana"/>
          <w:sz w:val="20"/>
          <w:szCs w:val="20"/>
        </w:rPr>
        <w:t>que</w:t>
      </w:r>
      <w:r>
        <w:rPr>
          <w:rFonts w:ascii="Verdana" w:hAnsi="Verdana"/>
          <w:sz w:val="20"/>
          <w:szCs w:val="20"/>
        </w:rPr>
        <w:t xml:space="preserve"> las presuntas víctimas son aquellas señaladas por la Comisión en</w:t>
      </w:r>
      <w:r w:rsidRPr="00BE3C2E">
        <w:rPr>
          <w:rFonts w:ascii="Verdana" w:hAnsi="Verdana"/>
          <w:sz w:val="20"/>
          <w:szCs w:val="20"/>
        </w:rPr>
        <w:t xml:space="preserve"> el Informe de Fondo</w:t>
      </w:r>
      <w:r>
        <w:rPr>
          <w:rFonts w:ascii="Verdana" w:hAnsi="Verdana"/>
          <w:sz w:val="20"/>
          <w:szCs w:val="20"/>
        </w:rPr>
        <w:t>, que en el presente caso</w:t>
      </w:r>
      <w:r w:rsidRPr="00BE3C2E">
        <w:rPr>
          <w:rFonts w:ascii="Verdana" w:hAnsi="Verdana"/>
          <w:sz w:val="20"/>
          <w:szCs w:val="20"/>
        </w:rPr>
        <w:t xml:space="preserve"> s</w:t>
      </w:r>
      <w:r>
        <w:rPr>
          <w:rFonts w:ascii="Verdana" w:hAnsi="Verdana"/>
          <w:sz w:val="20"/>
          <w:szCs w:val="20"/>
        </w:rPr>
        <w:t>olo considera</w:t>
      </w:r>
      <w:r w:rsidRPr="00BE3C2E">
        <w:rPr>
          <w:rFonts w:ascii="Verdana" w:hAnsi="Verdana"/>
          <w:sz w:val="20"/>
          <w:szCs w:val="20"/>
        </w:rPr>
        <w:t xml:space="preserve"> como presunta v</w:t>
      </w:r>
      <w:r>
        <w:rPr>
          <w:rFonts w:ascii="Verdana" w:hAnsi="Verdana"/>
          <w:sz w:val="20"/>
          <w:szCs w:val="20"/>
        </w:rPr>
        <w:t>íctima al señor Lagos del Campo. En razón de lo anterior</w:t>
      </w:r>
      <w:r w:rsidRPr="00BE3C2E">
        <w:rPr>
          <w:rFonts w:ascii="Verdana" w:hAnsi="Verdana"/>
          <w:sz w:val="20"/>
          <w:szCs w:val="20"/>
        </w:rPr>
        <w:t xml:space="preserve"> </w:t>
      </w:r>
      <w:r>
        <w:rPr>
          <w:rFonts w:ascii="Verdana" w:hAnsi="Verdana"/>
          <w:sz w:val="20"/>
          <w:szCs w:val="20"/>
        </w:rPr>
        <w:t xml:space="preserve">el Estado </w:t>
      </w:r>
      <w:r w:rsidRPr="00BE3C2E">
        <w:rPr>
          <w:rFonts w:ascii="Verdana" w:hAnsi="Verdana"/>
          <w:sz w:val="20"/>
          <w:szCs w:val="20"/>
        </w:rPr>
        <w:t>se opone a la inclusión de presuntas víctimas r</w:t>
      </w:r>
      <w:r>
        <w:rPr>
          <w:rFonts w:ascii="Verdana" w:hAnsi="Verdana"/>
          <w:sz w:val="20"/>
          <w:szCs w:val="20"/>
        </w:rPr>
        <w:t>ealizada por los representantes</w:t>
      </w:r>
      <w:r w:rsidRPr="00BE3C2E">
        <w:rPr>
          <w:rFonts w:ascii="Verdana" w:hAnsi="Verdana"/>
          <w:sz w:val="20"/>
          <w:szCs w:val="20"/>
        </w:rPr>
        <w:t xml:space="preserve"> a favor de quienes solicitan medidas de reparación, </w:t>
      </w:r>
      <w:r>
        <w:rPr>
          <w:rFonts w:ascii="Verdana" w:hAnsi="Verdana"/>
          <w:sz w:val="20"/>
          <w:szCs w:val="20"/>
        </w:rPr>
        <w:t>pues</w:t>
      </w:r>
      <w:r w:rsidRPr="00BE3C2E">
        <w:rPr>
          <w:rFonts w:ascii="Verdana" w:hAnsi="Verdana"/>
          <w:sz w:val="20"/>
          <w:szCs w:val="20"/>
        </w:rPr>
        <w:t xml:space="preserve"> no han sido considerados en el Informe de Fondo de la Comisión.</w:t>
      </w:r>
    </w:p>
    <w:p w14:paraId="0189433B" w14:textId="77777777" w:rsidR="00154B4B" w:rsidRDefault="00154B4B" w:rsidP="00154B4B">
      <w:pPr>
        <w:pStyle w:val="ListParagraph"/>
        <w:ind w:left="0"/>
        <w:jc w:val="both"/>
        <w:rPr>
          <w:rFonts w:ascii="Verdana" w:hAnsi="Verdana"/>
          <w:sz w:val="20"/>
          <w:szCs w:val="20"/>
          <w:lang w:val="es-MX"/>
        </w:rPr>
      </w:pPr>
    </w:p>
    <w:p w14:paraId="09E4D4A7" w14:textId="7CD74AB2" w:rsidR="00154B4B" w:rsidRPr="006F62A3" w:rsidRDefault="00154B4B" w:rsidP="00E66DD7">
      <w:pPr>
        <w:pStyle w:val="ListParagraph"/>
        <w:numPr>
          <w:ilvl w:val="0"/>
          <w:numId w:val="1"/>
        </w:numPr>
        <w:ind w:left="0" w:firstLine="0"/>
        <w:jc w:val="both"/>
        <w:rPr>
          <w:rFonts w:ascii="Verdana" w:hAnsi="Verdana"/>
          <w:sz w:val="20"/>
          <w:szCs w:val="20"/>
          <w:lang w:val="es-MX"/>
        </w:rPr>
      </w:pPr>
      <w:r>
        <w:rPr>
          <w:rFonts w:ascii="Verdana" w:hAnsi="Verdana"/>
          <w:sz w:val="20"/>
          <w:szCs w:val="20"/>
          <w:lang w:val="es-MX"/>
        </w:rPr>
        <w:t xml:space="preserve">La </w:t>
      </w:r>
      <w:r w:rsidRPr="00BE3C2E">
        <w:rPr>
          <w:rFonts w:ascii="Verdana" w:hAnsi="Verdana"/>
          <w:b/>
          <w:i/>
          <w:sz w:val="20"/>
          <w:szCs w:val="20"/>
          <w:lang w:val="es-MX"/>
        </w:rPr>
        <w:t>Comisión</w:t>
      </w:r>
      <w:r>
        <w:rPr>
          <w:rFonts w:ascii="Verdana" w:hAnsi="Verdana"/>
          <w:b/>
          <w:sz w:val="20"/>
          <w:szCs w:val="20"/>
          <w:lang w:val="es-MX"/>
        </w:rPr>
        <w:t xml:space="preserve"> </w:t>
      </w:r>
      <w:r w:rsidR="008D084E">
        <w:rPr>
          <w:rFonts w:ascii="Verdana" w:hAnsi="Verdana"/>
          <w:sz w:val="20"/>
          <w:szCs w:val="20"/>
          <w:lang w:val="es-MX"/>
        </w:rPr>
        <w:t xml:space="preserve">sostuvo que los alegatos a) [control de legalidad sobre el informe de la Comisión] y </w:t>
      </w:r>
      <w:r>
        <w:rPr>
          <w:rFonts w:ascii="Verdana" w:hAnsi="Verdana"/>
          <w:sz w:val="20"/>
          <w:szCs w:val="20"/>
          <w:lang w:val="es-MX"/>
        </w:rPr>
        <w:t>b)</w:t>
      </w:r>
      <w:r w:rsidR="008D084E">
        <w:rPr>
          <w:rFonts w:ascii="Verdana" w:hAnsi="Verdana"/>
          <w:sz w:val="20"/>
          <w:szCs w:val="20"/>
          <w:lang w:val="es-MX"/>
        </w:rPr>
        <w:t xml:space="preserve"> [falta de agotamiento de los recursos internos]</w:t>
      </w:r>
      <w:r>
        <w:rPr>
          <w:rFonts w:ascii="Verdana" w:hAnsi="Verdana"/>
          <w:sz w:val="20"/>
          <w:szCs w:val="20"/>
          <w:lang w:val="es-MX"/>
        </w:rPr>
        <w:t xml:space="preserve"> tienen la naturaleza de excepciones preliminares que no fueron presentadas por el Estado en el momento procesal oportuno, y por lo tanto deben ser rechazadas por extemporáneas</w:t>
      </w:r>
      <w:r w:rsidR="008352F8">
        <w:rPr>
          <w:rFonts w:ascii="Verdana" w:hAnsi="Verdana"/>
          <w:sz w:val="20"/>
          <w:szCs w:val="20"/>
          <w:lang w:val="es-MX"/>
        </w:rPr>
        <w:t>.</w:t>
      </w:r>
      <w:r w:rsidRPr="00333304">
        <w:rPr>
          <w:rFonts w:ascii="Verdana" w:hAnsi="Verdana"/>
          <w:sz w:val="20"/>
          <w:szCs w:val="20"/>
          <w:lang w:val="es-MX"/>
        </w:rPr>
        <w:t xml:space="preserve"> </w:t>
      </w:r>
      <w:r>
        <w:rPr>
          <w:rFonts w:ascii="Verdana" w:hAnsi="Verdana"/>
          <w:sz w:val="20"/>
          <w:szCs w:val="20"/>
          <w:lang w:val="es-MX"/>
        </w:rPr>
        <w:t>Adicionalm</w:t>
      </w:r>
      <w:r w:rsidR="008D084E">
        <w:rPr>
          <w:rFonts w:ascii="Verdana" w:hAnsi="Verdana"/>
          <w:sz w:val="20"/>
          <w:szCs w:val="20"/>
          <w:lang w:val="es-MX"/>
        </w:rPr>
        <w:t xml:space="preserve">ente, observó que los alegatos </w:t>
      </w:r>
      <w:r>
        <w:rPr>
          <w:rFonts w:ascii="Verdana" w:hAnsi="Verdana"/>
          <w:sz w:val="20"/>
          <w:szCs w:val="20"/>
          <w:lang w:val="es-MX"/>
        </w:rPr>
        <w:t>c)</w:t>
      </w:r>
      <w:r w:rsidR="008D084E">
        <w:rPr>
          <w:rFonts w:ascii="Verdana" w:hAnsi="Verdana"/>
          <w:sz w:val="20"/>
          <w:szCs w:val="20"/>
          <w:lang w:val="es-MX"/>
        </w:rPr>
        <w:t xml:space="preserve"> [debida i</w:t>
      </w:r>
      <w:r w:rsidR="00A032B8">
        <w:rPr>
          <w:rFonts w:ascii="Verdana" w:hAnsi="Verdana"/>
          <w:sz w:val="20"/>
          <w:szCs w:val="20"/>
          <w:lang w:val="es-MX"/>
        </w:rPr>
        <w:t>nclusión del artículo 16 en el Informe de F</w:t>
      </w:r>
      <w:r w:rsidR="008D084E">
        <w:rPr>
          <w:rFonts w:ascii="Verdana" w:hAnsi="Verdana"/>
          <w:sz w:val="20"/>
          <w:szCs w:val="20"/>
          <w:lang w:val="es-MX"/>
        </w:rPr>
        <w:t xml:space="preserve">ondo] y </w:t>
      </w:r>
      <w:r>
        <w:rPr>
          <w:rFonts w:ascii="Verdana" w:hAnsi="Verdana"/>
          <w:sz w:val="20"/>
          <w:szCs w:val="20"/>
          <w:lang w:val="es-MX"/>
        </w:rPr>
        <w:t>d)</w:t>
      </w:r>
      <w:r w:rsidR="008D084E">
        <w:rPr>
          <w:rFonts w:ascii="Verdana" w:hAnsi="Verdana"/>
          <w:sz w:val="20"/>
          <w:szCs w:val="20"/>
          <w:lang w:val="es-MX"/>
        </w:rPr>
        <w:t xml:space="preserve"> [falta de competencia de la comisión para asumir un rol de cuarta instancia]</w:t>
      </w:r>
      <w:r w:rsidR="008352F8">
        <w:rPr>
          <w:rFonts w:ascii="Verdana" w:hAnsi="Verdana"/>
          <w:sz w:val="20"/>
          <w:szCs w:val="20"/>
          <w:lang w:val="es-MX"/>
        </w:rPr>
        <w:t xml:space="preserve"> </w:t>
      </w:r>
      <w:r>
        <w:rPr>
          <w:rFonts w:ascii="Verdana" w:hAnsi="Verdana"/>
          <w:sz w:val="20"/>
          <w:szCs w:val="20"/>
          <w:lang w:val="es-MX"/>
        </w:rPr>
        <w:t>no son excepciones preliminares, sino cuestiones que atañen al fondo del asunto. R</w:t>
      </w:r>
      <w:r w:rsidR="008D084E">
        <w:rPr>
          <w:rFonts w:ascii="Verdana" w:hAnsi="Verdana"/>
          <w:sz w:val="20"/>
          <w:szCs w:val="20"/>
          <w:lang w:val="es-MX"/>
        </w:rPr>
        <w:t xml:space="preserve">especto al alegato </w:t>
      </w:r>
      <w:r>
        <w:rPr>
          <w:rFonts w:ascii="Verdana" w:hAnsi="Verdana"/>
          <w:sz w:val="20"/>
          <w:szCs w:val="20"/>
          <w:lang w:val="es-MX"/>
        </w:rPr>
        <w:t>e)</w:t>
      </w:r>
      <w:r w:rsidR="008D084E">
        <w:rPr>
          <w:rFonts w:ascii="Verdana" w:hAnsi="Verdana"/>
          <w:sz w:val="20"/>
          <w:szCs w:val="20"/>
          <w:lang w:val="es-MX"/>
        </w:rPr>
        <w:t xml:space="preserve"> [delimitación de la controversia jurídica]</w:t>
      </w:r>
      <w:r>
        <w:rPr>
          <w:rFonts w:ascii="Verdana" w:hAnsi="Verdana"/>
          <w:sz w:val="20"/>
          <w:szCs w:val="20"/>
          <w:lang w:val="es-MX"/>
        </w:rPr>
        <w:t>, la Comisión alegó que los hechos que el Estado pretende excluir mediante ese extremo sí se encuentran en el marco fáctico definido por la Comisión. F</w:t>
      </w:r>
      <w:r w:rsidR="008D084E">
        <w:rPr>
          <w:rFonts w:ascii="Verdana" w:hAnsi="Verdana"/>
          <w:sz w:val="20"/>
          <w:szCs w:val="20"/>
          <w:lang w:val="es-MX"/>
        </w:rPr>
        <w:t xml:space="preserve">inalmente, respecto al alegato </w:t>
      </w:r>
      <w:r>
        <w:rPr>
          <w:rFonts w:ascii="Verdana" w:hAnsi="Verdana"/>
          <w:sz w:val="20"/>
          <w:szCs w:val="20"/>
          <w:lang w:val="es-MX"/>
        </w:rPr>
        <w:t>f)</w:t>
      </w:r>
      <w:r w:rsidR="008D084E">
        <w:rPr>
          <w:rFonts w:ascii="Verdana" w:hAnsi="Verdana"/>
          <w:sz w:val="20"/>
          <w:szCs w:val="20"/>
          <w:lang w:val="es-MX"/>
        </w:rPr>
        <w:t xml:space="preserve"> [indebida inclusión de presuntas víctimas]</w:t>
      </w:r>
      <w:r>
        <w:rPr>
          <w:rFonts w:ascii="Verdana" w:hAnsi="Verdana"/>
          <w:sz w:val="20"/>
          <w:szCs w:val="20"/>
          <w:lang w:val="es-MX"/>
        </w:rPr>
        <w:t xml:space="preserve">, la </w:t>
      </w:r>
      <w:r>
        <w:rPr>
          <w:rFonts w:ascii="Verdana" w:hAnsi="Verdana"/>
          <w:sz w:val="20"/>
          <w:szCs w:val="20"/>
          <w:lang w:val="es-MX"/>
        </w:rPr>
        <w:lastRenderedPageBreak/>
        <w:t>Comisión coincidió con el Estado en relación a que el señor Lagos del Campo es la única víctima declarada en el Informe de Fondo</w:t>
      </w:r>
      <w:r w:rsidR="0086485F">
        <w:rPr>
          <w:rFonts w:ascii="Verdana" w:hAnsi="Verdana"/>
          <w:sz w:val="20"/>
          <w:szCs w:val="20"/>
          <w:lang w:val="es-MX"/>
        </w:rPr>
        <w:t xml:space="preserve">. </w:t>
      </w:r>
      <w:r>
        <w:rPr>
          <w:rFonts w:ascii="Verdana" w:hAnsi="Verdana"/>
          <w:sz w:val="20"/>
          <w:szCs w:val="20"/>
          <w:lang w:val="es-MX"/>
        </w:rPr>
        <w:t>Por su parte, l</w:t>
      </w:r>
      <w:r w:rsidRPr="006F62A3">
        <w:rPr>
          <w:rFonts w:ascii="Verdana" w:hAnsi="Verdana"/>
          <w:sz w:val="20"/>
          <w:szCs w:val="20"/>
          <w:lang w:val="es-MX"/>
        </w:rPr>
        <w:t xml:space="preserve">os </w:t>
      </w:r>
      <w:r w:rsidRPr="006F62A3">
        <w:rPr>
          <w:rFonts w:ascii="Verdana" w:hAnsi="Verdana"/>
          <w:b/>
          <w:i/>
          <w:sz w:val="20"/>
          <w:szCs w:val="20"/>
          <w:lang w:val="es-MX"/>
        </w:rPr>
        <w:t xml:space="preserve">representantes </w:t>
      </w:r>
      <w:r w:rsidRPr="006F62A3">
        <w:rPr>
          <w:rFonts w:ascii="Verdana" w:hAnsi="Verdana"/>
          <w:sz w:val="20"/>
          <w:szCs w:val="20"/>
          <w:lang w:val="es-MX"/>
        </w:rPr>
        <w:t>coincidieron en lo general con la posición de la Comisión</w:t>
      </w:r>
      <w:r w:rsidR="0086485F">
        <w:rPr>
          <w:rFonts w:ascii="Verdana" w:hAnsi="Verdana"/>
          <w:sz w:val="20"/>
          <w:szCs w:val="20"/>
          <w:lang w:val="es-MX"/>
        </w:rPr>
        <w:t xml:space="preserve">. </w:t>
      </w:r>
      <w:r w:rsidRPr="006F62A3">
        <w:rPr>
          <w:rFonts w:ascii="Verdana" w:hAnsi="Verdana"/>
          <w:sz w:val="20"/>
          <w:szCs w:val="20"/>
          <w:lang w:val="es-MX"/>
        </w:rPr>
        <w:t>En relación con la inclusión de víctimas adicionales, los representantes, a través de su escrito de 5 de septiembre de 2016 solicitaron a la Corte que, en el presente caso, sólo se considere como víctima al señor Lagos del Campo</w:t>
      </w:r>
      <w:r w:rsidR="00830CF2">
        <w:rPr>
          <w:rFonts w:ascii="Verdana" w:hAnsi="Verdana"/>
          <w:sz w:val="20"/>
          <w:szCs w:val="20"/>
          <w:lang w:val="es-MX"/>
        </w:rPr>
        <w:t xml:space="preserve">. </w:t>
      </w:r>
    </w:p>
    <w:p w14:paraId="2ABEB036" w14:textId="77777777" w:rsidR="00154B4B" w:rsidRDefault="00154B4B" w:rsidP="00154B4B">
      <w:pPr>
        <w:jc w:val="both"/>
        <w:rPr>
          <w:rFonts w:ascii="Verdana" w:hAnsi="Verdana"/>
          <w:sz w:val="20"/>
          <w:szCs w:val="20"/>
          <w:lang w:val="es-MX"/>
        </w:rPr>
      </w:pPr>
    </w:p>
    <w:p w14:paraId="707AC6AB" w14:textId="77777777" w:rsidR="00154B4B" w:rsidRPr="00897912" w:rsidRDefault="00154B4B" w:rsidP="00E66DD7">
      <w:pPr>
        <w:pStyle w:val="Heading2"/>
        <w:numPr>
          <w:ilvl w:val="0"/>
          <w:numId w:val="8"/>
        </w:numPr>
        <w:rPr>
          <w:i/>
          <w:szCs w:val="20"/>
        </w:rPr>
      </w:pPr>
      <w:bookmarkStart w:id="8" w:name="_Toc498333473"/>
      <w:r w:rsidRPr="00E3547C">
        <w:rPr>
          <w:i/>
          <w:szCs w:val="20"/>
        </w:rPr>
        <w:t>Consideraciones de la Corte</w:t>
      </w:r>
      <w:bookmarkEnd w:id="8"/>
      <w:r w:rsidRPr="00E3547C">
        <w:rPr>
          <w:i/>
          <w:szCs w:val="20"/>
        </w:rPr>
        <w:t xml:space="preserve"> </w:t>
      </w:r>
    </w:p>
    <w:p w14:paraId="31247569" w14:textId="77777777" w:rsidR="00154B4B" w:rsidRDefault="00154B4B" w:rsidP="00154B4B">
      <w:pPr>
        <w:jc w:val="both"/>
        <w:rPr>
          <w:rFonts w:ascii="Verdana" w:hAnsi="Verdana"/>
          <w:sz w:val="20"/>
          <w:szCs w:val="20"/>
          <w:lang w:val="es-MX"/>
        </w:rPr>
      </w:pPr>
    </w:p>
    <w:p w14:paraId="5EB912C9" w14:textId="516942A2" w:rsidR="00154B4B" w:rsidRPr="006D61BA" w:rsidRDefault="00154B4B" w:rsidP="00E66DD7">
      <w:pPr>
        <w:pStyle w:val="ListParagraph"/>
        <w:numPr>
          <w:ilvl w:val="0"/>
          <w:numId w:val="1"/>
        </w:numPr>
        <w:ind w:left="0" w:firstLine="0"/>
        <w:jc w:val="both"/>
        <w:rPr>
          <w:rFonts w:eastAsia="Verdana" w:cs="Verdana"/>
        </w:rPr>
      </w:pPr>
      <w:r w:rsidRPr="00C43B5F">
        <w:rPr>
          <w:rFonts w:ascii="Verdana" w:hAnsi="Verdana"/>
          <w:sz w:val="20"/>
        </w:rPr>
        <w:t>Atendiendo a la naturaleza diversa de los argumentos formulados por el Estado</w:t>
      </w:r>
      <w:r>
        <w:rPr>
          <w:rFonts w:ascii="Verdana" w:hAnsi="Verdana"/>
          <w:sz w:val="20"/>
        </w:rPr>
        <w:t>,</w:t>
      </w:r>
      <w:r w:rsidRPr="00C43B5F">
        <w:rPr>
          <w:rFonts w:ascii="Verdana" w:hAnsi="Verdana"/>
          <w:sz w:val="20"/>
        </w:rPr>
        <w:t xml:space="preserve"> y </w:t>
      </w:r>
      <w:r>
        <w:rPr>
          <w:rFonts w:ascii="Verdana" w:hAnsi="Verdana"/>
          <w:sz w:val="20"/>
        </w:rPr>
        <w:t>a la afirmación expresa del Estado respecto a que é</w:t>
      </w:r>
      <w:r w:rsidRPr="00C43B5F">
        <w:rPr>
          <w:rFonts w:ascii="Verdana" w:hAnsi="Verdana"/>
          <w:sz w:val="20"/>
        </w:rPr>
        <w:t>stos no fueron planteados como excepciones preliminares,</w:t>
      </w:r>
      <w:r>
        <w:rPr>
          <w:rFonts w:ascii="Verdana" w:hAnsi="Verdana"/>
          <w:sz w:val="20"/>
        </w:rPr>
        <w:t xml:space="preserve"> sino como una solicitud para que la Corte realizara un “control de legalidad” y respondiera ciertos “cuestionamientos procesales”,</w:t>
      </w:r>
      <w:r w:rsidRPr="00C43B5F">
        <w:rPr>
          <w:rFonts w:ascii="Verdana" w:hAnsi="Verdana"/>
          <w:sz w:val="20"/>
        </w:rPr>
        <w:t xml:space="preserve"> la Corte</w:t>
      </w:r>
      <w:r>
        <w:rPr>
          <w:rFonts w:ascii="Verdana" w:hAnsi="Verdana"/>
          <w:sz w:val="20"/>
        </w:rPr>
        <w:t xml:space="preserve"> </w:t>
      </w:r>
      <w:r>
        <w:rPr>
          <w:rFonts w:ascii="Verdana" w:hAnsi="Verdana"/>
          <w:sz w:val="20"/>
          <w:szCs w:val="20"/>
        </w:rPr>
        <w:t>recuerda</w:t>
      </w:r>
      <w:r w:rsidRPr="007005FF">
        <w:rPr>
          <w:rFonts w:ascii="Verdana" w:hAnsi="Verdana"/>
          <w:sz w:val="20"/>
          <w:szCs w:val="20"/>
        </w:rPr>
        <w:t xml:space="preserve"> </w:t>
      </w:r>
      <w:r w:rsidRPr="007005FF">
        <w:rPr>
          <w:rFonts w:ascii="Verdana" w:hAnsi="Verdana"/>
          <w:sz w:val="20"/>
          <w:szCs w:val="20"/>
          <w:lang w:val="es-CR"/>
        </w:rPr>
        <w:t>que las excepciones preliminares son objeciones a la admisibilidad de una demanda o a la competencia del Tribunal para conocer de un determinado caso o de alguno de sus aspectos, ya sea en razón de la persona, materia, tiempo o lugar, siempre y cuando dichos planteamientos tengan el carácter de preliminares</w:t>
      </w:r>
      <w:r w:rsidRPr="009D5EA7">
        <w:rPr>
          <w:rFonts w:ascii="Verdana" w:eastAsia="Verdana" w:hAnsi="Verdana" w:cs="Verdana"/>
          <w:sz w:val="20"/>
          <w:vertAlign w:val="superscript"/>
        </w:rPr>
        <w:footnoteReference w:id="11"/>
      </w:r>
      <w:r>
        <w:rPr>
          <w:rFonts w:ascii="Verdana" w:hAnsi="Verdana"/>
          <w:sz w:val="20"/>
          <w:szCs w:val="20"/>
          <w:lang w:val="es-CR"/>
        </w:rPr>
        <w:t>.</w:t>
      </w:r>
      <w:r w:rsidRPr="007005FF">
        <w:rPr>
          <w:rFonts w:ascii="Verdana" w:hAnsi="Verdana"/>
          <w:sz w:val="20"/>
          <w:szCs w:val="20"/>
        </w:rPr>
        <w:t xml:space="preserve"> Por ello, independientemente de </w:t>
      </w:r>
      <w:r>
        <w:rPr>
          <w:rFonts w:ascii="Verdana" w:hAnsi="Verdana"/>
          <w:sz w:val="20"/>
          <w:szCs w:val="20"/>
        </w:rPr>
        <w:t>la denominación que sea dada por el Estado en sus escritos</w:t>
      </w:r>
      <w:r w:rsidRPr="007005FF">
        <w:rPr>
          <w:rFonts w:ascii="Verdana" w:hAnsi="Verdana"/>
          <w:sz w:val="20"/>
          <w:szCs w:val="20"/>
        </w:rPr>
        <w:t xml:space="preserve">, si al analizar </w:t>
      </w:r>
      <w:r>
        <w:rPr>
          <w:rFonts w:ascii="Verdana" w:hAnsi="Verdana"/>
          <w:sz w:val="20"/>
          <w:szCs w:val="20"/>
        </w:rPr>
        <w:t>los</w:t>
      </w:r>
      <w:r w:rsidRPr="007005FF">
        <w:rPr>
          <w:rFonts w:ascii="Verdana" w:hAnsi="Verdana"/>
          <w:sz w:val="20"/>
          <w:szCs w:val="20"/>
        </w:rPr>
        <w:t xml:space="preserve"> planteamientos se determinara que tienen la naturaleza de excepción preliminar,</w:t>
      </w:r>
      <w:r w:rsidR="00C364F7">
        <w:rPr>
          <w:rFonts w:ascii="Verdana" w:hAnsi="Verdana"/>
          <w:sz w:val="20"/>
          <w:szCs w:val="20"/>
        </w:rPr>
        <w:t xml:space="preserve"> es decir que objeten la admisibilidad de la demanda o la competencia de la Corte para conocer del caso o de alguno de sus aspectos,</w:t>
      </w:r>
      <w:r w:rsidRPr="007005FF">
        <w:rPr>
          <w:rFonts w:ascii="Verdana" w:hAnsi="Verdana"/>
          <w:sz w:val="20"/>
          <w:szCs w:val="20"/>
        </w:rPr>
        <w:t xml:space="preserve"> entonces deberá</w:t>
      </w:r>
      <w:r>
        <w:rPr>
          <w:rFonts w:ascii="Verdana" w:hAnsi="Verdana"/>
          <w:sz w:val="20"/>
          <w:szCs w:val="20"/>
        </w:rPr>
        <w:t xml:space="preserve">n ser </w:t>
      </w:r>
      <w:r w:rsidRPr="00653B63">
        <w:rPr>
          <w:rFonts w:ascii="Verdana" w:hAnsi="Verdana"/>
          <w:sz w:val="20"/>
          <w:szCs w:val="20"/>
        </w:rPr>
        <w:t>resueltos</w:t>
      </w:r>
      <w:r w:rsidRPr="006D61BA">
        <w:rPr>
          <w:rFonts w:ascii="Verdana" w:hAnsi="Verdana"/>
          <w:sz w:val="20"/>
          <w:szCs w:val="20"/>
        </w:rPr>
        <w:t xml:space="preserve"> como tal</w:t>
      </w:r>
      <w:r w:rsidRPr="00653B63">
        <w:rPr>
          <w:rFonts w:ascii="Verdana" w:eastAsia="Verdana" w:hAnsi="Verdana" w:cs="Verdana"/>
          <w:sz w:val="20"/>
          <w:vertAlign w:val="superscript"/>
        </w:rPr>
        <w:footnoteReference w:id="12"/>
      </w:r>
      <w:r w:rsidRPr="00653B63">
        <w:rPr>
          <w:rFonts w:ascii="Verdana" w:hAnsi="Verdana"/>
          <w:sz w:val="20"/>
          <w:szCs w:val="20"/>
        </w:rPr>
        <w:t>.</w:t>
      </w:r>
    </w:p>
    <w:p w14:paraId="7D129A75" w14:textId="77777777" w:rsidR="00154B4B" w:rsidRPr="000D5308" w:rsidRDefault="00154B4B" w:rsidP="00154B4B">
      <w:pPr>
        <w:pStyle w:val="ListParagraph"/>
        <w:ind w:left="0"/>
        <w:jc w:val="both"/>
        <w:rPr>
          <w:rFonts w:ascii="Verdana" w:hAnsi="Verdana"/>
          <w:sz w:val="20"/>
        </w:rPr>
      </w:pPr>
    </w:p>
    <w:p w14:paraId="3D78E68B" w14:textId="4C99040C" w:rsidR="008D084E" w:rsidRPr="0062065E" w:rsidRDefault="00154B4B" w:rsidP="00E66DD7">
      <w:pPr>
        <w:pStyle w:val="ListParagraph"/>
        <w:numPr>
          <w:ilvl w:val="0"/>
          <w:numId w:val="1"/>
        </w:numPr>
        <w:ind w:left="0" w:firstLine="0"/>
        <w:jc w:val="both"/>
        <w:rPr>
          <w:rFonts w:ascii="Verdana" w:hAnsi="Verdana"/>
          <w:sz w:val="20"/>
          <w:szCs w:val="20"/>
          <w:lang w:val="es-MX"/>
        </w:rPr>
      </w:pPr>
      <w:r w:rsidRPr="00AA1F88">
        <w:rPr>
          <w:rFonts w:ascii="Verdana" w:hAnsi="Verdana"/>
          <w:sz w:val="20"/>
        </w:rPr>
        <w:t>En el presente caso, la Cor</w:t>
      </w:r>
      <w:r w:rsidR="008D084E" w:rsidRPr="00990959">
        <w:rPr>
          <w:rFonts w:ascii="Verdana" w:hAnsi="Verdana"/>
          <w:sz w:val="20"/>
        </w:rPr>
        <w:t xml:space="preserve">te hace notar que los alegatos </w:t>
      </w:r>
      <w:r w:rsidRPr="00990959">
        <w:rPr>
          <w:rFonts w:ascii="Verdana" w:hAnsi="Verdana"/>
          <w:sz w:val="20"/>
        </w:rPr>
        <w:t>a)</w:t>
      </w:r>
      <w:r w:rsidR="008D084E" w:rsidRPr="00990959">
        <w:rPr>
          <w:rFonts w:ascii="Verdana" w:hAnsi="Verdana"/>
          <w:sz w:val="20"/>
        </w:rPr>
        <w:t xml:space="preserve"> </w:t>
      </w:r>
      <w:r w:rsidR="008D084E" w:rsidRPr="00E72D85">
        <w:rPr>
          <w:rFonts w:ascii="Verdana" w:hAnsi="Verdana"/>
          <w:sz w:val="20"/>
          <w:szCs w:val="20"/>
          <w:lang w:val="es-MX"/>
        </w:rPr>
        <w:t>[control de legalidad sobre el informe de la Comisión]</w:t>
      </w:r>
      <w:r w:rsidR="008D084E" w:rsidRPr="00915ACA">
        <w:rPr>
          <w:rFonts w:ascii="Verdana" w:hAnsi="Verdana"/>
          <w:sz w:val="20"/>
        </w:rPr>
        <w:t xml:space="preserve"> y </w:t>
      </w:r>
      <w:r w:rsidRPr="00BB752A">
        <w:rPr>
          <w:rFonts w:ascii="Verdana" w:hAnsi="Verdana"/>
          <w:sz w:val="20"/>
        </w:rPr>
        <w:t xml:space="preserve">b) </w:t>
      </w:r>
      <w:r w:rsidR="008D084E" w:rsidRPr="000C6082">
        <w:rPr>
          <w:rFonts w:ascii="Verdana" w:hAnsi="Verdana"/>
          <w:sz w:val="20"/>
          <w:szCs w:val="20"/>
          <w:lang w:val="es-MX"/>
        </w:rPr>
        <w:t>[falta de agotamiento de los recursos internos]</w:t>
      </w:r>
      <w:r w:rsidRPr="000C6082">
        <w:rPr>
          <w:rFonts w:ascii="Verdana" w:hAnsi="Verdana"/>
          <w:sz w:val="20"/>
        </w:rPr>
        <w:t xml:space="preserve"> del Estado </w:t>
      </w:r>
      <w:r w:rsidR="00D214EC" w:rsidRPr="005D0F69">
        <w:rPr>
          <w:rFonts w:ascii="Verdana" w:hAnsi="Verdana"/>
          <w:sz w:val="20"/>
          <w:lang w:val="es-MX"/>
        </w:rPr>
        <w:t>se relacionan con un alegado incumplimiento por parte</w:t>
      </w:r>
      <w:r w:rsidRPr="005D0F69">
        <w:rPr>
          <w:rFonts w:ascii="Verdana" w:hAnsi="Verdana"/>
          <w:sz w:val="20"/>
          <w:lang w:val="es-MX"/>
        </w:rPr>
        <w:t xml:space="preserve"> de </w:t>
      </w:r>
      <w:r w:rsidR="00D214EC" w:rsidRPr="005D0F69">
        <w:rPr>
          <w:rFonts w:ascii="Verdana" w:hAnsi="Verdana"/>
          <w:sz w:val="20"/>
          <w:lang w:val="es-MX"/>
        </w:rPr>
        <w:t xml:space="preserve">la Comisión de </w:t>
      </w:r>
      <w:r w:rsidRPr="005D0F69">
        <w:rPr>
          <w:rFonts w:ascii="Verdana" w:hAnsi="Verdana"/>
          <w:sz w:val="20"/>
          <w:lang w:val="es-MX"/>
        </w:rPr>
        <w:t xml:space="preserve">los </w:t>
      </w:r>
      <w:r w:rsidR="00D214EC" w:rsidRPr="005D0F69">
        <w:rPr>
          <w:rFonts w:ascii="Verdana" w:hAnsi="Verdana"/>
          <w:sz w:val="20"/>
          <w:lang w:val="es-MX"/>
        </w:rPr>
        <w:t>requisitos de admisibilidad previstos</w:t>
      </w:r>
      <w:r w:rsidRPr="00653B63">
        <w:rPr>
          <w:rFonts w:ascii="Verdana" w:hAnsi="Verdana"/>
          <w:sz w:val="20"/>
          <w:lang w:val="es-MX"/>
        </w:rPr>
        <w:t xml:space="preserve"> en los artículos 46.1 a) y b) de la Convención. En esos términos, y de conformidad con su jurisprudencia reiterada, la Corte desestima ambas excepciones preliminares al no haber sido formuladas en el momento procesal oportuno, es decir durante el procedim</w:t>
      </w:r>
      <w:r w:rsidRPr="006D61BA">
        <w:rPr>
          <w:rFonts w:ascii="Verdana" w:hAnsi="Verdana"/>
          <w:sz w:val="20"/>
          <w:lang w:val="es-MX"/>
        </w:rPr>
        <w:t>iento de admisibilidad ante la Comisión</w:t>
      </w:r>
      <w:r w:rsidRPr="00653B63">
        <w:rPr>
          <w:rStyle w:val="FootnoteReference"/>
          <w:lang w:val="es-MX"/>
        </w:rPr>
        <w:footnoteReference w:id="13"/>
      </w:r>
      <w:r w:rsidRPr="00653B63">
        <w:rPr>
          <w:rFonts w:ascii="Verdana" w:hAnsi="Verdana"/>
          <w:sz w:val="20"/>
          <w:lang w:val="es-MX"/>
        </w:rPr>
        <w:t>. Por otro lado,</w:t>
      </w:r>
      <w:r w:rsidR="008D084E" w:rsidRPr="006D61BA">
        <w:rPr>
          <w:rFonts w:ascii="Verdana" w:hAnsi="Verdana"/>
          <w:sz w:val="20"/>
          <w:lang w:val="es-MX"/>
        </w:rPr>
        <w:t xml:space="preserve"> en lo que respecta al alegato </w:t>
      </w:r>
      <w:r w:rsidRPr="000D5308">
        <w:rPr>
          <w:rFonts w:ascii="Verdana" w:hAnsi="Verdana"/>
          <w:sz w:val="20"/>
          <w:lang w:val="es-MX"/>
        </w:rPr>
        <w:t xml:space="preserve">d) </w:t>
      </w:r>
      <w:r w:rsidR="008D084E" w:rsidRPr="000D5308">
        <w:rPr>
          <w:rFonts w:ascii="Verdana" w:hAnsi="Verdana"/>
          <w:sz w:val="20"/>
          <w:szCs w:val="20"/>
          <w:lang w:val="es-MX"/>
        </w:rPr>
        <w:t>[falta de competencia de la comisión para asumir un rol de cuarta instancia]</w:t>
      </w:r>
      <w:r w:rsidRPr="000D5308">
        <w:rPr>
          <w:rFonts w:ascii="Verdana" w:hAnsi="Verdana"/>
          <w:sz w:val="20"/>
          <w:szCs w:val="20"/>
          <w:lang w:val="es-MX"/>
        </w:rPr>
        <w:t>,</w:t>
      </w:r>
      <w:r w:rsidRPr="000D5308">
        <w:rPr>
          <w:rFonts w:ascii="Verdana" w:hAnsi="Verdana"/>
          <w:sz w:val="20"/>
          <w:lang w:val="es-MX"/>
        </w:rPr>
        <w:t xml:space="preserve"> la Corte advierte que la solicitud del Estado no busca objetar la admisibilidad del caso por este Tribunal, ni alega la afectación de su derecho a la defensa por supuestas irregularida</w:t>
      </w:r>
      <w:r w:rsidRPr="00AA1F88">
        <w:rPr>
          <w:rFonts w:ascii="Verdana" w:hAnsi="Verdana"/>
          <w:sz w:val="20"/>
          <w:lang w:val="es-MX"/>
        </w:rPr>
        <w:t>des cometidas durante el trámite ante la Comisión, sino que se trata de un alegato que atañe al fondo del asunto, y que por lo tanto será resuelto en el acápite correspondiente (</w:t>
      </w:r>
      <w:r w:rsidRPr="009D5837">
        <w:rPr>
          <w:rFonts w:ascii="Verdana" w:hAnsi="Verdana"/>
          <w:i/>
          <w:sz w:val="20"/>
          <w:lang w:val="es-MX"/>
        </w:rPr>
        <w:t>infra</w:t>
      </w:r>
      <w:r w:rsidRPr="00AA1F88">
        <w:rPr>
          <w:rFonts w:ascii="Verdana" w:hAnsi="Verdana"/>
          <w:sz w:val="20"/>
          <w:lang w:val="es-MX"/>
        </w:rPr>
        <w:t xml:space="preserve"> </w:t>
      </w:r>
      <w:r w:rsidR="00B91A4D">
        <w:rPr>
          <w:rFonts w:ascii="Verdana" w:hAnsi="Verdana"/>
          <w:sz w:val="20"/>
          <w:lang w:val="es-MX"/>
        </w:rPr>
        <w:t>párr. 97</w:t>
      </w:r>
      <w:r w:rsidRPr="00AA1F88">
        <w:rPr>
          <w:rFonts w:ascii="Verdana" w:hAnsi="Verdana"/>
          <w:sz w:val="20"/>
          <w:lang w:val="es-MX"/>
        </w:rPr>
        <w:t>). Asimismo,</w:t>
      </w:r>
      <w:r w:rsidR="008D084E" w:rsidRPr="00990959">
        <w:rPr>
          <w:rFonts w:ascii="Verdana" w:hAnsi="Verdana"/>
          <w:sz w:val="20"/>
          <w:lang w:val="es-MX"/>
        </w:rPr>
        <w:t xml:space="preserve"> en lo que respecta al alegato </w:t>
      </w:r>
      <w:r w:rsidRPr="00E72D85">
        <w:rPr>
          <w:rFonts w:ascii="Verdana" w:hAnsi="Verdana"/>
          <w:sz w:val="20"/>
          <w:lang w:val="es-MX"/>
        </w:rPr>
        <w:t>f)</w:t>
      </w:r>
      <w:r w:rsidR="008D084E" w:rsidRPr="00915ACA">
        <w:rPr>
          <w:rFonts w:ascii="Verdana" w:hAnsi="Verdana"/>
          <w:sz w:val="20"/>
          <w:lang w:val="es-MX"/>
        </w:rPr>
        <w:t xml:space="preserve"> </w:t>
      </w:r>
      <w:r w:rsidR="008D084E" w:rsidRPr="00BB752A">
        <w:rPr>
          <w:rFonts w:ascii="Verdana" w:hAnsi="Verdana"/>
          <w:sz w:val="20"/>
          <w:szCs w:val="20"/>
          <w:lang w:val="es-MX"/>
        </w:rPr>
        <w:t>[indebida inclusión</w:t>
      </w:r>
      <w:r w:rsidR="008D084E" w:rsidRPr="000C6082">
        <w:rPr>
          <w:rFonts w:ascii="Verdana" w:hAnsi="Verdana"/>
          <w:sz w:val="20"/>
          <w:szCs w:val="20"/>
          <w:lang w:val="es-MX"/>
        </w:rPr>
        <w:t xml:space="preserve"> de presuntas víctimas]</w:t>
      </w:r>
      <w:r w:rsidRPr="000C6082">
        <w:rPr>
          <w:rFonts w:ascii="Verdana" w:hAnsi="Verdana"/>
          <w:sz w:val="20"/>
          <w:szCs w:val="20"/>
          <w:lang w:val="es-MX"/>
        </w:rPr>
        <w:t xml:space="preserve"> </w:t>
      </w:r>
      <w:r w:rsidRPr="000C6082">
        <w:rPr>
          <w:rFonts w:ascii="Verdana" w:hAnsi="Verdana"/>
          <w:sz w:val="20"/>
          <w:lang w:val="es-MX"/>
        </w:rPr>
        <w:t>del Estado</w:t>
      </w:r>
      <w:r w:rsidRPr="000C6082">
        <w:rPr>
          <w:rFonts w:ascii="Verdana" w:hAnsi="Verdana"/>
          <w:sz w:val="20"/>
          <w:szCs w:val="20"/>
          <w:lang w:val="es-MX"/>
        </w:rPr>
        <w:t>,</w:t>
      </w:r>
      <w:r w:rsidRPr="000C6082">
        <w:rPr>
          <w:rFonts w:ascii="Verdana" w:hAnsi="Verdana"/>
          <w:sz w:val="20"/>
          <w:lang w:val="es-MX"/>
        </w:rPr>
        <w:t xml:space="preserve"> la Corte concluye que,</w:t>
      </w:r>
      <w:r w:rsidR="00224537">
        <w:rPr>
          <w:rFonts w:ascii="Verdana" w:hAnsi="Verdana"/>
          <w:sz w:val="20"/>
          <w:lang w:val="es-MX"/>
        </w:rPr>
        <w:t xml:space="preserve"> en virtud de las posiciones de las</w:t>
      </w:r>
      <w:r w:rsidRPr="000C6082">
        <w:rPr>
          <w:rFonts w:ascii="Verdana" w:hAnsi="Verdana"/>
          <w:sz w:val="20"/>
          <w:lang w:val="es-MX"/>
        </w:rPr>
        <w:t xml:space="preserve"> partes, la controversia ha cesado. </w:t>
      </w:r>
    </w:p>
    <w:p w14:paraId="66F4694E" w14:textId="77777777" w:rsidR="008D084E" w:rsidRPr="00AD7CB4" w:rsidRDefault="008D084E" w:rsidP="005D0F69">
      <w:pPr>
        <w:pStyle w:val="ListParagraph"/>
        <w:ind w:left="0"/>
        <w:jc w:val="both"/>
        <w:rPr>
          <w:rFonts w:ascii="Verdana" w:hAnsi="Verdana"/>
          <w:sz w:val="20"/>
          <w:szCs w:val="20"/>
          <w:lang w:val="es-MX"/>
        </w:rPr>
      </w:pPr>
    </w:p>
    <w:p w14:paraId="780339A3" w14:textId="478C1BE3" w:rsidR="00154B4B" w:rsidRPr="005D0F69" w:rsidRDefault="007E0655" w:rsidP="00E66DD7">
      <w:pPr>
        <w:pStyle w:val="ListParagraph"/>
        <w:numPr>
          <w:ilvl w:val="0"/>
          <w:numId w:val="1"/>
        </w:numPr>
        <w:ind w:left="0" w:firstLine="0"/>
        <w:jc w:val="both"/>
        <w:rPr>
          <w:rFonts w:ascii="Verdana" w:hAnsi="Verdana"/>
          <w:sz w:val="20"/>
          <w:lang w:val="es-MX"/>
        </w:rPr>
      </w:pPr>
      <w:r w:rsidRPr="005D0F69">
        <w:rPr>
          <w:rFonts w:ascii="Verdana" w:hAnsi="Verdana"/>
          <w:sz w:val="20"/>
          <w:szCs w:val="20"/>
          <w:lang w:val="es-MX"/>
        </w:rPr>
        <w:t>A</w:t>
      </w:r>
      <w:r w:rsidR="00AC5A07" w:rsidRPr="005D0F69">
        <w:rPr>
          <w:rFonts w:ascii="Verdana" w:hAnsi="Verdana"/>
          <w:sz w:val="20"/>
          <w:szCs w:val="20"/>
          <w:lang w:val="es-MX"/>
        </w:rPr>
        <w:t xml:space="preserve"> </w:t>
      </w:r>
      <w:r w:rsidR="00154B4B" w:rsidRPr="005D0F69">
        <w:rPr>
          <w:rFonts w:ascii="Verdana" w:hAnsi="Verdana"/>
          <w:sz w:val="20"/>
          <w:szCs w:val="20"/>
          <w:lang w:val="es-MX"/>
        </w:rPr>
        <w:t>continuación</w:t>
      </w:r>
      <w:r w:rsidR="00AC5A07" w:rsidRPr="005D0F69">
        <w:rPr>
          <w:rFonts w:ascii="Verdana" w:hAnsi="Verdana"/>
          <w:sz w:val="20"/>
          <w:szCs w:val="20"/>
          <w:lang w:val="es-MX"/>
        </w:rPr>
        <w:t>,</w:t>
      </w:r>
      <w:r w:rsidR="00154B4B" w:rsidRPr="005D0F69">
        <w:rPr>
          <w:rFonts w:ascii="Verdana" w:hAnsi="Verdana"/>
          <w:sz w:val="20"/>
          <w:szCs w:val="20"/>
          <w:lang w:val="es-MX"/>
        </w:rPr>
        <w:t xml:space="preserve"> este Tribunal </w:t>
      </w:r>
      <w:r w:rsidR="008D084E" w:rsidRPr="005D0F69">
        <w:rPr>
          <w:rFonts w:ascii="Verdana" w:hAnsi="Verdana"/>
          <w:sz w:val="20"/>
          <w:szCs w:val="20"/>
          <w:lang w:val="es-MX"/>
        </w:rPr>
        <w:t>analizará</w:t>
      </w:r>
      <w:r w:rsidR="008D084E" w:rsidRPr="005D0F69">
        <w:rPr>
          <w:rFonts w:ascii="Verdana" w:hAnsi="Verdana"/>
          <w:sz w:val="20"/>
          <w:szCs w:val="20"/>
          <w:lang w:val="es-CR"/>
        </w:rPr>
        <w:t xml:space="preserve"> los alegatos c) </w:t>
      </w:r>
      <w:r w:rsidR="008D084E" w:rsidRPr="005D0F69">
        <w:rPr>
          <w:rFonts w:ascii="Verdana" w:hAnsi="Verdana"/>
          <w:sz w:val="20"/>
          <w:szCs w:val="20"/>
          <w:lang w:val="es-MX"/>
        </w:rPr>
        <w:t>[</w:t>
      </w:r>
      <w:r w:rsidR="001423EE" w:rsidRPr="005D0F69">
        <w:rPr>
          <w:rFonts w:ascii="Verdana" w:hAnsi="Verdana"/>
          <w:sz w:val="20"/>
          <w:szCs w:val="20"/>
          <w:lang w:val="es-MX"/>
        </w:rPr>
        <w:t>in</w:t>
      </w:r>
      <w:r w:rsidR="008D084E" w:rsidRPr="005D0F69">
        <w:rPr>
          <w:rFonts w:ascii="Verdana" w:hAnsi="Verdana"/>
          <w:sz w:val="20"/>
          <w:szCs w:val="20"/>
          <w:lang w:val="es-MX"/>
        </w:rPr>
        <w:t>debida i</w:t>
      </w:r>
      <w:r w:rsidR="00A032B8">
        <w:rPr>
          <w:rFonts w:ascii="Verdana" w:hAnsi="Verdana"/>
          <w:sz w:val="20"/>
          <w:szCs w:val="20"/>
          <w:lang w:val="es-MX"/>
        </w:rPr>
        <w:t>nclusión del artículo 16 en el Informe de F</w:t>
      </w:r>
      <w:r w:rsidR="008D084E" w:rsidRPr="005D0F69">
        <w:rPr>
          <w:rFonts w:ascii="Verdana" w:hAnsi="Verdana"/>
          <w:sz w:val="20"/>
          <w:szCs w:val="20"/>
          <w:lang w:val="es-MX"/>
        </w:rPr>
        <w:t>ondo]</w:t>
      </w:r>
      <w:r w:rsidR="008D084E" w:rsidRPr="005D0F69">
        <w:rPr>
          <w:rFonts w:ascii="Verdana" w:hAnsi="Verdana"/>
          <w:sz w:val="20"/>
          <w:szCs w:val="20"/>
          <w:lang w:val="es-CR"/>
        </w:rPr>
        <w:t xml:space="preserve"> y </w:t>
      </w:r>
      <w:r w:rsidR="00154B4B" w:rsidRPr="005D0F69">
        <w:rPr>
          <w:rFonts w:ascii="Verdana" w:hAnsi="Verdana"/>
          <w:sz w:val="20"/>
          <w:szCs w:val="20"/>
          <w:lang w:val="es-CR"/>
        </w:rPr>
        <w:t>e)</w:t>
      </w:r>
      <w:r w:rsidR="008D084E" w:rsidRPr="005D0F69">
        <w:rPr>
          <w:rFonts w:ascii="Verdana" w:hAnsi="Verdana"/>
          <w:sz w:val="20"/>
          <w:szCs w:val="20"/>
          <w:lang w:val="es-CR"/>
        </w:rPr>
        <w:t xml:space="preserve"> </w:t>
      </w:r>
      <w:r w:rsidR="008D084E" w:rsidRPr="005D0F69">
        <w:rPr>
          <w:rFonts w:ascii="Verdana" w:hAnsi="Verdana"/>
          <w:sz w:val="20"/>
          <w:szCs w:val="20"/>
          <w:lang w:val="es-MX"/>
        </w:rPr>
        <w:t>[delimitación de la controversia jurídica]</w:t>
      </w:r>
      <w:r w:rsidR="00154B4B" w:rsidRPr="005D0F69">
        <w:rPr>
          <w:rFonts w:ascii="Verdana" w:hAnsi="Verdana"/>
          <w:sz w:val="20"/>
          <w:szCs w:val="20"/>
          <w:lang w:val="es-CR"/>
        </w:rPr>
        <w:t xml:space="preserve"> del Estado.</w:t>
      </w:r>
    </w:p>
    <w:p w14:paraId="2EC7136F" w14:textId="77777777" w:rsidR="00154B4B" w:rsidRPr="005D0F69" w:rsidRDefault="00154B4B" w:rsidP="00154B4B">
      <w:pPr>
        <w:pStyle w:val="ListParagraph"/>
        <w:rPr>
          <w:rFonts w:ascii="Verdana" w:hAnsi="Verdana"/>
          <w:sz w:val="20"/>
          <w:szCs w:val="20"/>
          <w:lang w:val="es-MX"/>
        </w:rPr>
      </w:pPr>
    </w:p>
    <w:p w14:paraId="26414E7C" w14:textId="77777777" w:rsidR="00154B4B" w:rsidRPr="005B3D37" w:rsidRDefault="00154B4B" w:rsidP="00E66DD7">
      <w:pPr>
        <w:pStyle w:val="Heading3"/>
        <w:numPr>
          <w:ilvl w:val="0"/>
          <w:numId w:val="7"/>
        </w:numPr>
        <w:jc w:val="both"/>
        <w:rPr>
          <w:b w:val="0"/>
          <w:i/>
          <w:szCs w:val="20"/>
        </w:rPr>
      </w:pPr>
      <w:bookmarkStart w:id="9" w:name="_Toc498333474"/>
      <w:r w:rsidRPr="005B3D37">
        <w:rPr>
          <w:i/>
          <w:szCs w:val="20"/>
        </w:rPr>
        <w:t>Inclusión del artículo 16 de la Convención en el Informe de Fondo</w:t>
      </w:r>
      <w:bookmarkEnd w:id="9"/>
    </w:p>
    <w:p w14:paraId="326CB7A0" w14:textId="77777777" w:rsidR="00154B4B" w:rsidRPr="006F62A3" w:rsidRDefault="00154B4B" w:rsidP="00154B4B">
      <w:pPr>
        <w:tabs>
          <w:tab w:val="left" w:pos="1134"/>
        </w:tabs>
        <w:jc w:val="both"/>
        <w:rPr>
          <w:rFonts w:ascii="Verdana" w:hAnsi="Verdana"/>
          <w:b/>
          <w:i/>
          <w:sz w:val="20"/>
          <w:szCs w:val="20"/>
          <w:lang w:val="es-ES"/>
        </w:rPr>
      </w:pPr>
    </w:p>
    <w:p w14:paraId="0FCD4108" w14:textId="77777777" w:rsidR="00154B4B" w:rsidRDefault="00154B4B" w:rsidP="00E66DD7">
      <w:pPr>
        <w:pStyle w:val="ListParagraph"/>
        <w:numPr>
          <w:ilvl w:val="0"/>
          <w:numId w:val="1"/>
        </w:numPr>
        <w:ind w:left="0" w:firstLine="0"/>
        <w:jc w:val="both"/>
        <w:rPr>
          <w:rFonts w:ascii="Verdana" w:hAnsi="Verdana"/>
          <w:sz w:val="20"/>
          <w:szCs w:val="20"/>
          <w:lang w:val="es-CO"/>
        </w:rPr>
      </w:pPr>
      <w:r>
        <w:rPr>
          <w:rFonts w:ascii="Verdana" w:hAnsi="Verdana"/>
          <w:sz w:val="20"/>
          <w:szCs w:val="20"/>
          <w:lang w:val="es-CO"/>
        </w:rPr>
        <w:t xml:space="preserve">La Corte reitera que, respecto a la inclusión por parte de la Comisión de nuevos derechos en el Informe de Fondo, que no fueron indicados previamente en el Informe de Admisibilidad, ni en la Convención Americana, ni en el Reglamento de la Comisión Interamericana, existe </w:t>
      </w:r>
      <w:r>
        <w:rPr>
          <w:rFonts w:ascii="Verdana" w:hAnsi="Verdana"/>
          <w:sz w:val="20"/>
          <w:szCs w:val="20"/>
          <w:lang w:val="es-CO"/>
        </w:rPr>
        <w:lastRenderedPageBreak/>
        <w:t>normatividad alguna que disponga que en el Informe de Admisibilidad se deben establecer todos los derechos presuntamente vulnerados</w:t>
      </w:r>
      <w:r>
        <w:rPr>
          <w:rStyle w:val="FootnoteReference"/>
          <w:szCs w:val="20"/>
          <w:lang w:val="es-CO"/>
        </w:rPr>
        <w:footnoteReference w:id="14"/>
      </w:r>
      <w:r>
        <w:rPr>
          <w:rFonts w:ascii="Verdana" w:hAnsi="Verdana"/>
          <w:sz w:val="20"/>
          <w:szCs w:val="20"/>
          <w:lang w:val="es-CO"/>
        </w:rPr>
        <w:t>. Al respecto, los artículos 46</w:t>
      </w:r>
      <w:r>
        <w:rPr>
          <w:rStyle w:val="FootnoteReference"/>
          <w:szCs w:val="20"/>
        </w:rPr>
        <w:footnoteReference w:id="15"/>
      </w:r>
      <w:r>
        <w:rPr>
          <w:rFonts w:ascii="Verdana" w:hAnsi="Verdana"/>
          <w:sz w:val="20"/>
          <w:szCs w:val="20"/>
          <w:lang w:val="es-CO"/>
        </w:rPr>
        <w:t xml:space="preserve"> y 47</w:t>
      </w:r>
      <w:r>
        <w:rPr>
          <w:rStyle w:val="FootnoteReference"/>
          <w:szCs w:val="20"/>
        </w:rPr>
        <w:footnoteReference w:id="16"/>
      </w:r>
      <w:r>
        <w:rPr>
          <w:rFonts w:ascii="Verdana" w:hAnsi="Verdana"/>
          <w:sz w:val="20"/>
          <w:szCs w:val="20"/>
          <w:lang w:val="es-CO"/>
        </w:rPr>
        <w:t xml:space="preserve"> de la Convención Americana establecen exclusivamente los requisitos por los cuales una petición puede ser declarada admisible o inadmisible, mas no impone a la Comisión la obligación de determinar cuáles serían los derechos objeto del trámite. En este sentido, los derechos indicados en el Informe de Admisibilidad son el resultado de un examen preliminar de la petición que se encuentra en curso, por lo que no limitan la posibilidad de que en etapas posteriores del proceso puedan incluirse otros derechos o artículos que presuntamente hayan sido vulnerados, siempre y cuando se respete el derecho de defensa del Estado en el marco de la base fáctica del caso bajo análisis</w:t>
      </w:r>
      <w:r>
        <w:rPr>
          <w:rStyle w:val="FootnoteReference"/>
          <w:szCs w:val="20"/>
          <w:lang w:val="es-CO"/>
        </w:rPr>
        <w:footnoteReference w:id="17"/>
      </w:r>
      <w:r>
        <w:rPr>
          <w:rFonts w:ascii="Verdana" w:hAnsi="Verdana"/>
          <w:sz w:val="20"/>
          <w:szCs w:val="20"/>
          <w:lang w:val="es-CO"/>
        </w:rPr>
        <w:t>.</w:t>
      </w:r>
    </w:p>
    <w:p w14:paraId="50448375" w14:textId="77777777" w:rsidR="00154B4B" w:rsidRDefault="00154B4B" w:rsidP="00154B4B">
      <w:pPr>
        <w:pStyle w:val="ListParagraph"/>
        <w:ind w:left="0"/>
        <w:jc w:val="both"/>
        <w:rPr>
          <w:rFonts w:ascii="Verdana" w:hAnsi="Verdana"/>
          <w:sz w:val="20"/>
          <w:szCs w:val="20"/>
          <w:lang w:val="es-CO"/>
        </w:rPr>
      </w:pPr>
    </w:p>
    <w:p w14:paraId="6F73F824" w14:textId="12A316DE" w:rsidR="00154B4B" w:rsidRDefault="00154B4B" w:rsidP="00E66DD7">
      <w:pPr>
        <w:pStyle w:val="ListParagraph"/>
        <w:numPr>
          <w:ilvl w:val="0"/>
          <w:numId w:val="1"/>
        </w:numPr>
        <w:ind w:left="0" w:firstLine="0"/>
        <w:jc w:val="both"/>
        <w:rPr>
          <w:rFonts w:ascii="Verdana" w:hAnsi="Verdana"/>
          <w:sz w:val="20"/>
          <w:szCs w:val="20"/>
        </w:rPr>
      </w:pPr>
      <w:r w:rsidRPr="00C9297C">
        <w:rPr>
          <w:rFonts w:ascii="Verdana" w:hAnsi="Verdana"/>
          <w:sz w:val="20"/>
          <w:szCs w:val="20"/>
          <w:lang w:val="es-CO"/>
        </w:rPr>
        <w:t>En el presente caso, el Tribunal observa que</w:t>
      </w:r>
      <w:r w:rsidRPr="00C9297C">
        <w:rPr>
          <w:rFonts w:ascii="Verdana" w:hAnsi="Verdana"/>
          <w:sz w:val="20"/>
          <w:szCs w:val="20"/>
        </w:rPr>
        <w:t xml:space="preserve"> el Estado tenía conocimiento de los hechos que sustentan la presunta violación al artículo 16, en tanto estos se encuentran narrados en la petición inicial dirigida a la Comisión Interamericana de 13 de octubre de 1993</w:t>
      </w:r>
      <w:r w:rsidRPr="00C9297C">
        <w:rPr>
          <w:rStyle w:val="FootnoteReference"/>
          <w:szCs w:val="20"/>
        </w:rPr>
        <w:footnoteReference w:id="18"/>
      </w:r>
      <w:r w:rsidRPr="00C9297C">
        <w:rPr>
          <w:rFonts w:ascii="Verdana" w:hAnsi="Verdana"/>
          <w:sz w:val="20"/>
          <w:szCs w:val="20"/>
        </w:rPr>
        <w:t>. En dicha comunicación, el señor Lagos del Campo manifestó que el motivo de su despido estaba relacionado con su calidad como dirigente laboral, lo cual es la base fáctica utilizada por la Comisión para formular su alegato en torno a la violación al artículo 16 de la Convención</w:t>
      </w:r>
      <w:r w:rsidRPr="00C9297C">
        <w:rPr>
          <w:rStyle w:val="FootnoteReference"/>
          <w:szCs w:val="20"/>
        </w:rPr>
        <w:footnoteReference w:id="19"/>
      </w:r>
      <w:r w:rsidRPr="00C9297C">
        <w:rPr>
          <w:rFonts w:ascii="Verdana" w:hAnsi="Verdana"/>
          <w:sz w:val="20"/>
          <w:szCs w:val="20"/>
        </w:rPr>
        <w:t>. En particular, en dicha carta, el señor Lagos del Campo manifestó que fue despedid</w:t>
      </w:r>
      <w:r>
        <w:rPr>
          <w:rFonts w:ascii="Verdana" w:hAnsi="Verdana"/>
          <w:sz w:val="20"/>
          <w:szCs w:val="20"/>
        </w:rPr>
        <w:t xml:space="preserve">o cuando ostentaba el cargo de </w:t>
      </w:r>
      <w:r w:rsidRPr="00C9297C">
        <w:rPr>
          <w:rFonts w:ascii="Verdana" w:hAnsi="Verdana"/>
          <w:sz w:val="20"/>
          <w:szCs w:val="20"/>
        </w:rPr>
        <w:t>Presidente del Comité Electoral dentro de la Comunidad Industrial</w:t>
      </w:r>
      <w:r>
        <w:rPr>
          <w:rFonts w:ascii="Verdana" w:hAnsi="Verdana"/>
          <w:sz w:val="20"/>
          <w:szCs w:val="20"/>
        </w:rPr>
        <w:t xml:space="preserve"> de la empresa </w:t>
      </w:r>
      <w:proofErr w:type="spellStart"/>
      <w:r>
        <w:rPr>
          <w:rFonts w:ascii="Verdana" w:hAnsi="Verdana"/>
          <w:sz w:val="20"/>
          <w:szCs w:val="20"/>
        </w:rPr>
        <w:t>Ceper</w:t>
      </w:r>
      <w:proofErr w:type="spellEnd"/>
      <w:r>
        <w:rPr>
          <w:rFonts w:ascii="Verdana" w:hAnsi="Verdana"/>
          <w:sz w:val="20"/>
          <w:szCs w:val="20"/>
        </w:rPr>
        <w:t xml:space="preserve"> </w:t>
      </w:r>
      <w:proofErr w:type="spellStart"/>
      <w:r>
        <w:rPr>
          <w:rFonts w:ascii="Verdana" w:hAnsi="Verdana"/>
          <w:sz w:val="20"/>
          <w:szCs w:val="20"/>
        </w:rPr>
        <w:t>Pirelli</w:t>
      </w:r>
      <w:proofErr w:type="spellEnd"/>
      <w:r>
        <w:rPr>
          <w:rFonts w:ascii="Verdana" w:hAnsi="Verdana"/>
          <w:sz w:val="20"/>
          <w:szCs w:val="20"/>
        </w:rPr>
        <w:t xml:space="preserve"> </w:t>
      </w:r>
      <w:r w:rsidRPr="00C9297C">
        <w:rPr>
          <w:rFonts w:ascii="Verdana" w:hAnsi="Verdana"/>
          <w:sz w:val="20"/>
          <w:szCs w:val="20"/>
        </w:rPr>
        <w:t>“por el solo hecho de ser un</w:t>
      </w:r>
      <w:r w:rsidR="006D5615">
        <w:rPr>
          <w:rFonts w:ascii="Verdana" w:hAnsi="Verdana"/>
          <w:sz w:val="20"/>
          <w:szCs w:val="20"/>
        </w:rPr>
        <w:t xml:space="preserve"> [dirigente laboral]</w:t>
      </w:r>
      <w:r w:rsidRPr="00C9297C">
        <w:rPr>
          <w:rFonts w:ascii="Verdana" w:hAnsi="Verdana"/>
          <w:sz w:val="20"/>
          <w:szCs w:val="20"/>
        </w:rPr>
        <w:t>, que viene luchando en defensa de los sagrados derechos y beneficios que les asiste a los trabajadores de mi país y en especial de los que laboran en la Empresa Conductores Eléctricos Peruanos S.A. CEPER PIRELLI</w:t>
      </w:r>
      <w:r w:rsidRPr="00C9297C">
        <w:rPr>
          <w:rStyle w:val="FootnoteReference"/>
          <w:szCs w:val="20"/>
        </w:rPr>
        <w:footnoteReference w:id="20"/>
      </w:r>
      <w:r w:rsidR="006D5615">
        <w:rPr>
          <w:rFonts w:ascii="Verdana" w:hAnsi="Verdana"/>
          <w:sz w:val="20"/>
          <w:szCs w:val="20"/>
        </w:rPr>
        <w:t>”</w:t>
      </w:r>
      <w:r w:rsidR="00696BC7">
        <w:rPr>
          <w:rFonts w:ascii="Verdana" w:hAnsi="Verdana"/>
          <w:sz w:val="20"/>
          <w:szCs w:val="20"/>
        </w:rPr>
        <w:t>.</w:t>
      </w:r>
      <w:r w:rsidR="006D5615">
        <w:rPr>
          <w:rFonts w:ascii="Verdana" w:hAnsi="Verdana"/>
          <w:sz w:val="20"/>
          <w:szCs w:val="20"/>
        </w:rPr>
        <w:t xml:space="preserve"> </w:t>
      </w:r>
    </w:p>
    <w:p w14:paraId="33FA198C" w14:textId="77777777" w:rsidR="006D5615" w:rsidRPr="005D0F69" w:rsidRDefault="006D5615" w:rsidP="005D0F69">
      <w:pPr>
        <w:pStyle w:val="ListParagraph"/>
        <w:rPr>
          <w:rFonts w:ascii="Verdana" w:hAnsi="Verdana"/>
          <w:sz w:val="20"/>
          <w:szCs w:val="20"/>
        </w:rPr>
      </w:pPr>
    </w:p>
    <w:p w14:paraId="66893D5E" w14:textId="388EC879" w:rsidR="006D5615" w:rsidRPr="006D5615" w:rsidRDefault="006D5615" w:rsidP="00E66DD7">
      <w:pPr>
        <w:pStyle w:val="ListParagraph"/>
        <w:numPr>
          <w:ilvl w:val="0"/>
          <w:numId w:val="1"/>
        </w:numPr>
        <w:ind w:left="0" w:firstLine="0"/>
        <w:jc w:val="both"/>
        <w:rPr>
          <w:rFonts w:ascii="Verdana" w:hAnsi="Verdana"/>
          <w:sz w:val="20"/>
          <w:szCs w:val="20"/>
        </w:rPr>
      </w:pPr>
      <w:r w:rsidRPr="007005FF">
        <w:rPr>
          <w:rFonts w:ascii="Verdana" w:hAnsi="Verdana"/>
          <w:sz w:val="20"/>
          <w:szCs w:val="20"/>
        </w:rPr>
        <w:t>En el mismo sentido, este Tribunal considera que existen elementos que permitan inferir que el señor Lagos del Campo alegó en sus escritos iniciales que, con motivo de su despido, habrían sido afectados los derechos de otros trabajadores. En efecto, la presunta víctima señaló en su demanda ante el Juez de Trabajo que “es evidente que la sanción aplicada en mi perjuicio, además de improcedente e injustificada, constituye un acto de intromisión en los asuntos internos de la Comunidad Industrial”</w:t>
      </w:r>
      <w:r w:rsidRPr="007005FF">
        <w:rPr>
          <w:rStyle w:val="FootnoteReference"/>
          <w:szCs w:val="20"/>
        </w:rPr>
        <w:footnoteReference w:id="21"/>
      </w:r>
      <w:r w:rsidRPr="007005FF">
        <w:rPr>
          <w:rFonts w:ascii="Verdana" w:hAnsi="Verdana"/>
          <w:sz w:val="20"/>
          <w:szCs w:val="20"/>
        </w:rPr>
        <w:t xml:space="preserve">. En opinión de la Corte, esta y otras referencias relacionadas con la conexión entre el despido de la presunta víctima y la afectación a la </w:t>
      </w:r>
      <w:r w:rsidRPr="007005FF">
        <w:rPr>
          <w:rFonts w:ascii="Verdana" w:hAnsi="Verdana"/>
          <w:sz w:val="20"/>
          <w:szCs w:val="20"/>
        </w:rPr>
        <w:lastRenderedPageBreak/>
        <w:t>Comunidad Industrial y sus miembros, permiten concluir que el Estado contó con oportunidad para pronunciarse sobre hechos relacionados con la posible violación a la libertad de asociación del señor Lagos del Campo y de otros trabajadores.</w:t>
      </w:r>
    </w:p>
    <w:p w14:paraId="4F0378B6" w14:textId="77777777" w:rsidR="00154B4B" w:rsidRDefault="00154B4B" w:rsidP="00154B4B">
      <w:pPr>
        <w:pStyle w:val="ListParagraph"/>
        <w:ind w:left="0"/>
        <w:rPr>
          <w:rFonts w:ascii="Verdana" w:hAnsi="Verdana"/>
          <w:sz w:val="20"/>
          <w:szCs w:val="20"/>
        </w:rPr>
      </w:pPr>
    </w:p>
    <w:p w14:paraId="533AACB7" w14:textId="4B251674" w:rsidR="00154B4B" w:rsidRPr="009B4DFE" w:rsidRDefault="006D5615" w:rsidP="00E66DD7">
      <w:pPr>
        <w:pStyle w:val="ListParagraph"/>
        <w:numPr>
          <w:ilvl w:val="0"/>
          <w:numId w:val="1"/>
        </w:numPr>
        <w:ind w:left="0" w:firstLine="0"/>
        <w:jc w:val="both"/>
        <w:rPr>
          <w:rFonts w:ascii="Verdana" w:hAnsi="Verdana"/>
          <w:sz w:val="20"/>
          <w:szCs w:val="20"/>
          <w:lang w:val="es-CO"/>
        </w:rPr>
      </w:pPr>
      <w:r>
        <w:rPr>
          <w:rFonts w:ascii="Verdana" w:hAnsi="Verdana"/>
          <w:sz w:val="20"/>
          <w:szCs w:val="20"/>
        </w:rPr>
        <w:t>En consideración a lo anterior</w:t>
      </w:r>
      <w:r w:rsidR="00154B4B">
        <w:rPr>
          <w:rFonts w:ascii="Verdana" w:hAnsi="Verdana"/>
          <w:sz w:val="20"/>
          <w:szCs w:val="20"/>
        </w:rPr>
        <w:t xml:space="preserve">, </w:t>
      </w:r>
      <w:r w:rsidR="00154B4B">
        <w:rPr>
          <w:rFonts w:ascii="Verdana" w:hAnsi="Verdana"/>
          <w:sz w:val="20"/>
          <w:szCs w:val="20"/>
          <w:lang w:val="es-CO"/>
        </w:rPr>
        <w:t>la Corte concluye que el Estado tuvo conocimiento de los hechos que sustentan la presunta violación del artículo 16 de la Convención en perjuicio del señor Lagos del Campo desde el inicio del trámite del proceso ante la Comisión, por lo que habría podido expresar su posición de haberlo considerado pertinente. Por la misma razón, la Comisión podía considerar en su Informe de Fondo otra calificación de los mismos hechos distinta a la realizada en el Informe de Admisibilidad, sin que lo anterior implicara una vulneración al derecho de defensa del Estado. En consecuencia</w:t>
      </w:r>
      <w:r w:rsidR="00154B4B" w:rsidRPr="009B4DFE">
        <w:rPr>
          <w:rFonts w:ascii="Verdana" w:hAnsi="Verdana"/>
          <w:sz w:val="20"/>
          <w:szCs w:val="20"/>
          <w:lang w:val="es-CO"/>
        </w:rPr>
        <w:t>, la Corte concluye que, en el particular, no existió violación al derecho de defensa en el procedimiento ante la Comisión Interamericana en los términos planteados por el Estado.</w:t>
      </w:r>
    </w:p>
    <w:p w14:paraId="0D00D714" w14:textId="77777777" w:rsidR="00154B4B" w:rsidRDefault="00154B4B" w:rsidP="00154B4B">
      <w:pPr>
        <w:pStyle w:val="ListParagraph"/>
        <w:ind w:left="0"/>
        <w:jc w:val="both"/>
        <w:rPr>
          <w:rFonts w:ascii="Verdana" w:hAnsi="Verdana"/>
          <w:sz w:val="20"/>
          <w:szCs w:val="20"/>
          <w:lang w:val="es-CO"/>
        </w:rPr>
      </w:pPr>
    </w:p>
    <w:p w14:paraId="5199065F" w14:textId="1ED0DEEA" w:rsidR="00154B4B" w:rsidRPr="005B3D37" w:rsidRDefault="00154B4B" w:rsidP="00E66DD7">
      <w:pPr>
        <w:pStyle w:val="Heading3"/>
        <w:numPr>
          <w:ilvl w:val="0"/>
          <w:numId w:val="7"/>
        </w:numPr>
        <w:jc w:val="both"/>
        <w:rPr>
          <w:i/>
          <w:szCs w:val="20"/>
        </w:rPr>
      </w:pPr>
      <w:bookmarkStart w:id="10" w:name="_Toc498333475"/>
      <w:r w:rsidRPr="005B3D37">
        <w:rPr>
          <w:i/>
          <w:szCs w:val="20"/>
        </w:rPr>
        <w:t>Delimitación temporal del análisis de acciones judiciales</w:t>
      </w:r>
      <w:bookmarkEnd w:id="10"/>
    </w:p>
    <w:p w14:paraId="02423CF9" w14:textId="77777777" w:rsidR="00154B4B" w:rsidRDefault="00154B4B" w:rsidP="00154B4B">
      <w:pPr>
        <w:pStyle w:val="ListParagraph"/>
        <w:ind w:left="0"/>
        <w:jc w:val="both"/>
        <w:rPr>
          <w:rFonts w:ascii="Verdana" w:hAnsi="Verdana"/>
          <w:sz w:val="20"/>
          <w:szCs w:val="20"/>
          <w:lang w:val="es-CO"/>
        </w:rPr>
      </w:pPr>
    </w:p>
    <w:p w14:paraId="4229DF5E" w14:textId="77777777" w:rsidR="00154B4B" w:rsidRPr="006D61BA" w:rsidRDefault="00154B4B" w:rsidP="00E66DD7">
      <w:pPr>
        <w:pStyle w:val="ListParagraph"/>
        <w:numPr>
          <w:ilvl w:val="0"/>
          <w:numId w:val="1"/>
        </w:numPr>
        <w:ind w:left="0" w:firstLine="0"/>
        <w:jc w:val="both"/>
        <w:rPr>
          <w:rFonts w:ascii="Verdana" w:hAnsi="Verdana"/>
          <w:sz w:val="20"/>
          <w:szCs w:val="20"/>
        </w:rPr>
      </w:pPr>
      <w:r w:rsidRPr="00061FA6">
        <w:rPr>
          <w:rFonts w:ascii="Verdana" w:hAnsi="Verdana"/>
          <w:sz w:val="20"/>
          <w:szCs w:val="20"/>
        </w:rPr>
        <w:t xml:space="preserve">Esta Corte ha establecido que el marco fáctico del proceso ante la misma se encuentra constituido por los hechos contenidos en el Informe de Fondo sometidos a consideración de la Corte. En consecuencia, no es admisible que las partes aleguen nuevos hechos distintos de los contenidos en dicho Informe de Fondo, sin perjuicio de exponer aquellos que permitan explicar, </w:t>
      </w:r>
      <w:r w:rsidRPr="00653B63">
        <w:rPr>
          <w:rFonts w:ascii="Verdana" w:hAnsi="Verdana"/>
          <w:sz w:val="20"/>
          <w:szCs w:val="20"/>
        </w:rPr>
        <w:t>aclarar o desestimar los que hayan sido mencionados en el mismo y hayan sido sometidos a consideración de la Corte (también llamados “hechos complementarios”)</w:t>
      </w:r>
      <w:r w:rsidRPr="00653B63">
        <w:rPr>
          <w:rStyle w:val="FootnoteReference"/>
          <w:szCs w:val="20"/>
        </w:rPr>
        <w:footnoteReference w:id="22"/>
      </w:r>
      <w:r w:rsidRPr="00653B63">
        <w:rPr>
          <w:rFonts w:ascii="Verdana" w:hAnsi="Verdana"/>
          <w:sz w:val="20"/>
          <w:szCs w:val="20"/>
        </w:rPr>
        <w:t>. La excepción a este principio son los hechos que se califican como supervinientes, que podrían ser remitidos al Tribunal siempre que se encuen</w:t>
      </w:r>
      <w:r w:rsidRPr="006D61BA">
        <w:rPr>
          <w:rFonts w:ascii="Verdana" w:hAnsi="Verdana"/>
          <w:sz w:val="20"/>
          <w:szCs w:val="20"/>
        </w:rPr>
        <w:t xml:space="preserve">tren ligados a los hechos del caso y en cualquier estado del proceso antes de la emisión de la sentencia. </w:t>
      </w:r>
    </w:p>
    <w:p w14:paraId="5B6AFADB" w14:textId="77777777" w:rsidR="00154B4B" w:rsidRPr="000D5308" w:rsidRDefault="00154B4B" w:rsidP="00154B4B">
      <w:pPr>
        <w:pStyle w:val="ListParagraph"/>
        <w:rPr>
          <w:rFonts w:ascii="Verdana" w:hAnsi="Verdana"/>
          <w:sz w:val="20"/>
          <w:szCs w:val="20"/>
        </w:rPr>
      </w:pPr>
    </w:p>
    <w:p w14:paraId="46A619F4" w14:textId="6A59905D" w:rsidR="00653B63" w:rsidRPr="00653B63" w:rsidRDefault="00154B4B" w:rsidP="00E66DD7">
      <w:pPr>
        <w:pStyle w:val="ListParagraph"/>
        <w:numPr>
          <w:ilvl w:val="0"/>
          <w:numId w:val="1"/>
        </w:numPr>
        <w:ind w:left="0" w:firstLine="0"/>
        <w:jc w:val="both"/>
        <w:rPr>
          <w:rFonts w:ascii="Verdana" w:hAnsi="Verdana"/>
          <w:sz w:val="20"/>
        </w:rPr>
      </w:pPr>
      <w:r w:rsidRPr="000D5308">
        <w:rPr>
          <w:rFonts w:ascii="Verdana" w:hAnsi="Verdana"/>
          <w:sz w:val="20"/>
          <w:szCs w:val="20"/>
        </w:rPr>
        <w:t>En el presente caso, la Corte constata que en el Informe de Fondo la Comisión incluyó diversos recursos</w:t>
      </w:r>
      <w:r w:rsidRPr="00AA1F88">
        <w:rPr>
          <w:rFonts w:ascii="Verdana" w:hAnsi="Verdana"/>
          <w:sz w:val="20"/>
          <w:szCs w:val="20"/>
        </w:rPr>
        <w:t xml:space="preserve"> interpuestos por el señor Lagos del Campo, entre ellos se encuentran los de fecha</w:t>
      </w:r>
      <w:r w:rsidRPr="00990959">
        <w:rPr>
          <w:rFonts w:ascii="Verdana" w:hAnsi="Verdana"/>
          <w:sz w:val="20"/>
          <w:szCs w:val="20"/>
          <w:lang w:val="es-ES"/>
        </w:rPr>
        <w:t xml:space="preserve"> 30 de marzo, 28 de abril y 4 de mayo de 1993 así como los recursos interpuestos en 1996, y de forma posterior</w:t>
      </w:r>
      <w:r w:rsidRPr="00E72D85">
        <w:rPr>
          <w:rFonts w:ascii="Verdana" w:hAnsi="Verdana"/>
          <w:sz w:val="20"/>
          <w:szCs w:val="20"/>
        </w:rPr>
        <w:t>.</w:t>
      </w:r>
      <w:r w:rsidRPr="00BB752A">
        <w:rPr>
          <w:rFonts w:ascii="Verdana" w:hAnsi="Verdana"/>
          <w:sz w:val="20"/>
          <w:szCs w:val="20"/>
        </w:rPr>
        <w:t xml:space="preserve"> Asimismo, la Comisión hizo referencia en el Informe de</w:t>
      </w:r>
      <w:r w:rsidRPr="000C6082">
        <w:rPr>
          <w:rFonts w:ascii="Verdana" w:hAnsi="Verdana"/>
          <w:sz w:val="20"/>
          <w:szCs w:val="20"/>
        </w:rPr>
        <w:t xml:space="preserve"> Fondo a los hechos relacionados con el autogolpe de 5 de abril de 1992 y la desactivación del Tribunal de Garantías Constitucionales.</w:t>
      </w:r>
      <w:r w:rsidR="00F41D30">
        <w:rPr>
          <w:rFonts w:ascii="Verdana" w:hAnsi="Verdana"/>
          <w:sz w:val="20"/>
          <w:szCs w:val="20"/>
        </w:rPr>
        <w:t xml:space="preserve"> </w:t>
      </w:r>
      <w:r w:rsidRPr="000C6082">
        <w:rPr>
          <w:rFonts w:ascii="Verdana" w:hAnsi="Verdana"/>
          <w:sz w:val="20"/>
          <w:szCs w:val="20"/>
        </w:rPr>
        <w:t xml:space="preserve">Por esta razón, dado que los hechos antes mencionados fueron sometidos a la jurisdicción de la Corte por parte de la Comisión, podrán ser tomados en cuenta al momento de realizar el estudio de fondo. </w:t>
      </w:r>
      <w:r w:rsidRPr="000C6082">
        <w:rPr>
          <w:rFonts w:ascii="Verdana" w:hAnsi="Verdana"/>
          <w:sz w:val="20"/>
        </w:rPr>
        <w:t>En el mismo sentido, los hechos narrados por los representantes en el</w:t>
      </w:r>
      <w:r w:rsidR="001F25C7" w:rsidRPr="0062065E">
        <w:rPr>
          <w:rFonts w:ascii="Verdana" w:hAnsi="Verdana"/>
          <w:sz w:val="20"/>
        </w:rPr>
        <w:t xml:space="preserve"> </w:t>
      </w:r>
      <w:r w:rsidR="001F25C7" w:rsidRPr="00AD7CB4">
        <w:rPr>
          <w:rFonts w:ascii="Verdana" w:hAnsi="Verdana"/>
          <w:sz w:val="20"/>
          <w:szCs w:val="20"/>
        </w:rPr>
        <w:t>escrito de solicitudes, argumentos y pruebas</w:t>
      </w:r>
      <w:r w:rsidRPr="00535854">
        <w:rPr>
          <w:rFonts w:ascii="Verdana" w:hAnsi="Verdana"/>
          <w:sz w:val="20"/>
        </w:rPr>
        <w:t xml:space="preserve"> serán tomados en consideración en tanto no constituyan h</w:t>
      </w:r>
      <w:r w:rsidRPr="005D0F69">
        <w:rPr>
          <w:rFonts w:ascii="Verdana" w:hAnsi="Verdana"/>
          <w:sz w:val="20"/>
        </w:rPr>
        <w:t xml:space="preserve">echos nuevos. En consecuencia, la Corte considera improcedente la solicitud </w:t>
      </w:r>
      <w:r w:rsidRPr="005D0F69">
        <w:rPr>
          <w:rFonts w:ascii="Verdana" w:hAnsi="Verdana"/>
          <w:sz w:val="20"/>
          <w:szCs w:val="20"/>
        </w:rPr>
        <w:t>de</w:t>
      </w:r>
      <w:r w:rsidR="006D5615" w:rsidRPr="005D0F69">
        <w:rPr>
          <w:rFonts w:ascii="Verdana" w:hAnsi="Verdana"/>
          <w:sz w:val="20"/>
          <w:szCs w:val="20"/>
        </w:rPr>
        <w:t xml:space="preserve">l Estado </w:t>
      </w:r>
      <w:r w:rsidR="00653B63">
        <w:rPr>
          <w:rFonts w:ascii="Verdana" w:hAnsi="Verdana"/>
          <w:sz w:val="20"/>
          <w:szCs w:val="20"/>
        </w:rPr>
        <w:t xml:space="preserve">en este respecto. </w:t>
      </w:r>
    </w:p>
    <w:p w14:paraId="6BC60A54" w14:textId="67EF7B9D" w:rsidR="00AF7637" w:rsidRPr="00AF7637" w:rsidRDefault="00AF7637" w:rsidP="005D0F69">
      <w:pPr>
        <w:pStyle w:val="ListParagraph"/>
        <w:ind w:left="0"/>
        <w:jc w:val="both"/>
        <w:rPr>
          <w:rFonts w:ascii="Verdana" w:hAnsi="Verdana"/>
          <w:sz w:val="20"/>
          <w:szCs w:val="20"/>
        </w:rPr>
      </w:pPr>
    </w:p>
    <w:p w14:paraId="63C4E73D" w14:textId="107DFD97" w:rsidR="008C33CE" w:rsidRPr="007F10A2" w:rsidRDefault="008C33CE" w:rsidP="008C33CE">
      <w:pPr>
        <w:pStyle w:val="Heading1"/>
        <w:tabs>
          <w:tab w:val="left" w:pos="851"/>
        </w:tabs>
        <w:spacing w:before="0"/>
        <w:jc w:val="center"/>
        <w:rPr>
          <w:rFonts w:cs="Verdana"/>
          <w:caps/>
          <w:snapToGrid w:val="0"/>
          <w:szCs w:val="20"/>
        </w:rPr>
      </w:pPr>
      <w:bookmarkStart w:id="11" w:name="_Toc498333476"/>
      <w:r>
        <w:rPr>
          <w:rFonts w:cs="Verdana"/>
          <w:caps/>
          <w:snapToGrid w:val="0"/>
          <w:szCs w:val="20"/>
        </w:rPr>
        <w:t>V</w:t>
      </w:r>
      <w:r w:rsidRPr="007F10A2">
        <w:rPr>
          <w:rFonts w:cs="Verdana"/>
          <w:caps/>
          <w:snapToGrid w:val="0"/>
          <w:szCs w:val="20"/>
        </w:rPr>
        <w:br/>
        <w:t>PRUEBA</w:t>
      </w:r>
      <w:bookmarkEnd w:id="11"/>
    </w:p>
    <w:p w14:paraId="13E7F092" w14:textId="77777777" w:rsidR="008C33CE" w:rsidRPr="007A52C1" w:rsidRDefault="008C33CE" w:rsidP="008C33CE">
      <w:pPr>
        <w:jc w:val="both"/>
        <w:rPr>
          <w:rFonts w:ascii="Verdana" w:hAnsi="Verdana"/>
          <w:sz w:val="20"/>
          <w:szCs w:val="20"/>
          <w:highlight w:val="yellow"/>
        </w:rPr>
      </w:pPr>
    </w:p>
    <w:p w14:paraId="4404C99C" w14:textId="77777777" w:rsidR="008C33CE" w:rsidRPr="006F79F4" w:rsidRDefault="008C33CE" w:rsidP="00E66DD7">
      <w:pPr>
        <w:pStyle w:val="Heading2"/>
        <w:numPr>
          <w:ilvl w:val="0"/>
          <w:numId w:val="19"/>
        </w:numPr>
        <w:rPr>
          <w:rFonts w:eastAsia="MS Gothic"/>
          <w:i/>
          <w:lang w:val="es-CR"/>
        </w:rPr>
      </w:pPr>
      <w:bookmarkStart w:id="12" w:name="_Toc498333477"/>
      <w:r w:rsidRPr="006F79F4">
        <w:rPr>
          <w:rFonts w:eastAsia="MS Gothic"/>
          <w:i/>
          <w:lang w:val="es-CR"/>
        </w:rPr>
        <w:t>Prueba documental, testimonial y pericial</w:t>
      </w:r>
      <w:bookmarkEnd w:id="12"/>
    </w:p>
    <w:p w14:paraId="06B744D6" w14:textId="77777777" w:rsidR="008C33CE" w:rsidRPr="002F613F" w:rsidRDefault="008C33CE" w:rsidP="008C33CE">
      <w:pPr>
        <w:pStyle w:val="ListParagraph"/>
        <w:ind w:left="0"/>
        <w:jc w:val="both"/>
        <w:rPr>
          <w:rFonts w:ascii="Verdana" w:hAnsi="Verdana"/>
          <w:sz w:val="20"/>
          <w:szCs w:val="20"/>
        </w:rPr>
      </w:pPr>
    </w:p>
    <w:p w14:paraId="3FD86D14" w14:textId="4549A667" w:rsidR="008C33CE" w:rsidRPr="002F613F" w:rsidRDefault="008C33CE" w:rsidP="00E66DD7">
      <w:pPr>
        <w:pStyle w:val="ListParagraph"/>
        <w:numPr>
          <w:ilvl w:val="0"/>
          <w:numId w:val="1"/>
        </w:numPr>
        <w:ind w:left="0" w:firstLine="0"/>
        <w:jc w:val="both"/>
        <w:rPr>
          <w:rFonts w:ascii="Verdana" w:hAnsi="Verdana"/>
          <w:sz w:val="20"/>
          <w:szCs w:val="20"/>
        </w:rPr>
      </w:pPr>
      <w:r w:rsidRPr="002F613F">
        <w:rPr>
          <w:rFonts w:ascii="Verdana" w:hAnsi="Verdana"/>
          <w:sz w:val="20"/>
          <w:szCs w:val="20"/>
        </w:rPr>
        <w:t>La Corte recibió diversos documentos presentados como prueba por la Comisión, los representantes y el Estado, adjuntos a sus escritos principales (</w:t>
      </w:r>
      <w:r w:rsidR="00224537" w:rsidRPr="00224537">
        <w:rPr>
          <w:rFonts w:ascii="Verdana" w:hAnsi="Verdana"/>
          <w:i/>
          <w:sz w:val="20"/>
          <w:szCs w:val="20"/>
        </w:rPr>
        <w:t>supra</w:t>
      </w:r>
      <w:r w:rsidRPr="002F613F">
        <w:rPr>
          <w:rFonts w:ascii="Verdana" w:hAnsi="Verdana"/>
          <w:sz w:val="20"/>
          <w:szCs w:val="20"/>
        </w:rPr>
        <w:t xml:space="preserve"> </w:t>
      </w:r>
      <w:proofErr w:type="spellStart"/>
      <w:r w:rsidRPr="002F613F">
        <w:rPr>
          <w:rFonts w:ascii="Verdana" w:hAnsi="Verdana"/>
          <w:sz w:val="20"/>
          <w:szCs w:val="20"/>
        </w:rPr>
        <w:t>párrs</w:t>
      </w:r>
      <w:proofErr w:type="spellEnd"/>
      <w:r w:rsidRPr="002F613F">
        <w:rPr>
          <w:rFonts w:ascii="Verdana" w:hAnsi="Verdana"/>
          <w:sz w:val="20"/>
          <w:szCs w:val="20"/>
        </w:rPr>
        <w:t>.</w:t>
      </w:r>
      <w:r w:rsidR="002A3B2C">
        <w:rPr>
          <w:rFonts w:ascii="Verdana" w:hAnsi="Verdana"/>
          <w:sz w:val="20"/>
          <w:szCs w:val="20"/>
        </w:rPr>
        <w:t xml:space="preserve"> 6 y 7</w:t>
      </w:r>
      <w:r w:rsidRPr="002F613F">
        <w:rPr>
          <w:rFonts w:ascii="Verdana" w:hAnsi="Verdana"/>
          <w:sz w:val="20"/>
          <w:szCs w:val="20"/>
        </w:rPr>
        <w:t xml:space="preserve">). Además, la Corte recibió la declaración rendida ante fedatario público por: Carlos Alberto </w:t>
      </w:r>
      <w:proofErr w:type="spellStart"/>
      <w:r w:rsidRPr="002F613F">
        <w:rPr>
          <w:rFonts w:ascii="Verdana" w:hAnsi="Verdana"/>
          <w:sz w:val="20"/>
          <w:szCs w:val="20"/>
        </w:rPr>
        <w:t>Jibaja</w:t>
      </w:r>
      <w:proofErr w:type="spellEnd"/>
      <w:r w:rsidRPr="002F613F">
        <w:rPr>
          <w:rFonts w:ascii="Verdana" w:hAnsi="Verdana"/>
          <w:sz w:val="20"/>
          <w:szCs w:val="20"/>
        </w:rPr>
        <w:t xml:space="preserve"> </w:t>
      </w:r>
      <w:r w:rsidRPr="0076651B">
        <w:rPr>
          <w:rFonts w:ascii="Verdana" w:hAnsi="Verdana"/>
          <w:sz w:val="20"/>
          <w:szCs w:val="20"/>
        </w:rPr>
        <w:t xml:space="preserve">Zárate y Omar </w:t>
      </w:r>
      <w:proofErr w:type="spellStart"/>
      <w:r w:rsidRPr="0076651B">
        <w:rPr>
          <w:rFonts w:ascii="Verdana" w:hAnsi="Verdana"/>
          <w:sz w:val="20"/>
          <w:szCs w:val="20"/>
        </w:rPr>
        <w:t>Sar</w:t>
      </w:r>
      <w:proofErr w:type="spellEnd"/>
      <w:r w:rsidRPr="0076651B">
        <w:rPr>
          <w:rFonts w:ascii="Verdana" w:hAnsi="Verdana"/>
          <w:sz w:val="20"/>
          <w:szCs w:val="20"/>
        </w:rPr>
        <w:t xml:space="preserve"> Suárez, propuestos por los representantes y el Estado, respectivamente.</w:t>
      </w:r>
      <w:r w:rsidRPr="002F613F">
        <w:rPr>
          <w:rFonts w:ascii="Verdana" w:hAnsi="Verdana"/>
          <w:sz w:val="20"/>
          <w:szCs w:val="20"/>
        </w:rPr>
        <w:t xml:space="preserve"> En cuanto a la prueba rendida en audiencia pública, la Corte escuchó las declaraciones de la presunta </w:t>
      </w:r>
      <w:r w:rsidRPr="002F613F">
        <w:rPr>
          <w:rFonts w:ascii="Verdana" w:hAnsi="Verdana"/>
          <w:sz w:val="20"/>
          <w:szCs w:val="20"/>
        </w:rPr>
        <w:lastRenderedPageBreak/>
        <w:t xml:space="preserve">víctima </w:t>
      </w:r>
      <w:r w:rsidRPr="002F613F">
        <w:rPr>
          <w:rFonts w:ascii="Verdana" w:hAnsi="Verdana"/>
          <w:sz w:val="20"/>
          <w:szCs w:val="20"/>
          <w:lang w:val="es-ES"/>
        </w:rPr>
        <w:t>el señor Lagos del Campo</w:t>
      </w:r>
      <w:r w:rsidRPr="002F613F">
        <w:rPr>
          <w:rFonts w:ascii="Verdana" w:hAnsi="Verdana"/>
          <w:sz w:val="20"/>
          <w:szCs w:val="20"/>
        </w:rPr>
        <w:t xml:space="preserve">; así como los peritajes de Damián </w:t>
      </w:r>
      <w:proofErr w:type="spellStart"/>
      <w:r w:rsidRPr="002F613F">
        <w:rPr>
          <w:rFonts w:ascii="Verdana" w:hAnsi="Verdana"/>
          <w:sz w:val="20"/>
          <w:szCs w:val="20"/>
        </w:rPr>
        <w:t>Loreti</w:t>
      </w:r>
      <w:proofErr w:type="spellEnd"/>
      <w:r w:rsidRPr="002F613F">
        <w:rPr>
          <w:rFonts w:ascii="Verdana" w:hAnsi="Verdana"/>
          <w:sz w:val="20"/>
          <w:szCs w:val="20"/>
        </w:rPr>
        <w:t xml:space="preserve"> y C</w:t>
      </w:r>
      <w:r w:rsidR="002A3B2C">
        <w:rPr>
          <w:rFonts w:ascii="Verdana" w:hAnsi="Verdana"/>
          <w:sz w:val="20"/>
          <w:szCs w:val="20"/>
        </w:rPr>
        <w:t>é</w:t>
      </w:r>
      <w:r w:rsidRPr="002F613F">
        <w:rPr>
          <w:rFonts w:ascii="Verdana" w:hAnsi="Verdana"/>
          <w:sz w:val="20"/>
          <w:szCs w:val="20"/>
        </w:rPr>
        <w:t xml:space="preserve">sar Gonzáles </w:t>
      </w:r>
      <w:proofErr w:type="spellStart"/>
      <w:r w:rsidRPr="002F613F">
        <w:rPr>
          <w:rFonts w:ascii="Verdana" w:hAnsi="Verdana"/>
          <w:sz w:val="20"/>
          <w:szCs w:val="20"/>
        </w:rPr>
        <w:t>Hunt</w:t>
      </w:r>
      <w:proofErr w:type="spellEnd"/>
      <w:r w:rsidRPr="002F613F">
        <w:rPr>
          <w:rFonts w:ascii="Verdana" w:hAnsi="Verdana"/>
          <w:sz w:val="20"/>
          <w:szCs w:val="20"/>
        </w:rPr>
        <w:t>, propuestos por la Comisión y el Estado, respectivamente</w:t>
      </w:r>
      <w:r w:rsidRPr="002F613F">
        <w:rPr>
          <w:rStyle w:val="FootnoteReference"/>
          <w:szCs w:val="20"/>
        </w:rPr>
        <w:footnoteReference w:id="23"/>
      </w:r>
      <w:r w:rsidRPr="002F613F">
        <w:rPr>
          <w:rFonts w:ascii="Verdana" w:hAnsi="Verdana"/>
          <w:sz w:val="20"/>
          <w:szCs w:val="20"/>
        </w:rPr>
        <w:t>.</w:t>
      </w:r>
    </w:p>
    <w:p w14:paraId="6CDD7FF7" w14:textId="77777777" w:rsidR="008C33CE" w:rsidRPr="007A52C1" w:rsidRDefault="008C33CE" w:rsidP="008C33CE">
      <w:pPr>
        <w:jc w:val="both"/>
        <w:rPr>
          <w:rFonts w:ascii="Verdana" w:hAnsi="Verdana"/>
          <w:sz w:val="20"/>
          <w:szCs w:val="20"/>
          <w:highlight w:val="yellow"/>
        </w:rPr>
      </w:pPr>
    </w:p>
    <w:p w14:paraId="08830F8F" w14:textId="77777777" w:rsidR="008C33CE" w:rsidRPr="006F79F4" w:rsidRDefault="008C33CE" w:rsidP="00E66DD7">
      <w:pPr>
        <w:pStyle w:val="Heading2"/>
        <w:numPr>
          <w:ilvl w:val="0"/>
          <w:numId w:val="19"/>
        </w:numPr>
        <w:rPr>
          <w:rFonts w:eastAsia="MS Gothic"/>
          <w:i/>
          <w:lang w:val="es-CR"/>
        </w:rPr>
      </w:pPr>
      <w:bookmarkStart w:id="13" w:name="_Toc498333478"/>
      <w:r w:rsidRPr="006F79F4">
        <w:rPr>
          <w:rFonts w:eastAsia="MS Gothic"/>
          <w:i/>
          <w:lang w:val="es-CR"/>
        </w:rPr>
        <w:t>Admisión de la prueba</w:t>
      </w:r>
      <w:bookmarkEnd w:id="13"/>
    </w:p>
    <w:p w14:paraId="26F898EC" w14:textId="77777777" w:rsidR="008C33CE" w:rsidRDefault="008C33CE" w:rsidP="008C33CE">
      <w:pPr>
        <w:pStyle w:val="Heading3"/>
        <w:jc w:val="both"/>
        <w:rPr>
          <w:rFonts w:eastAsia="Calibri" w:cs="Times New Roman"/>
          <w:b w:val="0"/>
          <w:bCs w:val="0"/>
          <w:szCs w:val="20"/>
        </w:rPr>
      </w:pPr>
    </w:p>
    <w:p w14:paraId="2A0F6383" w14:textId="77777777" w:rsidR="008C33CE" w:rsidRPr="002F613F" w:rsidRDefault="008C33CE" w:rsidP="00E66DD7">
      <w:pPr>
        <w:pStyle w:val="Heading3"/>
        <w:numPr>
          <w:ilvl w:val="0"/>
          <w:numId w:val="20"/>
        </w:numPr>
        <w:jc w:val="both"/>
        <w:rPr>
          <w:i/>
          <w:strike/>
          <w:szCs w:val="20"/>
        </w:rPr>
      </w:pPr>
      <w:bookmarkStart w:id="14" w:name="_Toc498333479"/>
      <w:r w:rsidRPr="002F613F">
        <w:rPr>
          <w:i/>
          <w:szCs w:val="20"/>
        </w:rPr>
        <w:t>Admisión de la prueba documental</w:t>
      </w:r>
      <w:bookmarkEnd w:id="14"/>
    </w:p>
    <w:p w14:paraId="2B6960E6" w14:textId="77777777" w:rsidR="008C33CE" w:rsidRPr="00D46C16" w:rsidRDefault="008C33CE" w:rsidP="008C33CE">
      <w:pPr>
        <w:pStyle w:val="ListParagraph"/>
        <w:ind w:left="0"/>
        <w:jc w:val="both"/>
        <w:rPr>
          <w:rFonts w:ascii="Verdana" w:hAnsi="Verdana"/>
          <w:sz w:val="20"/>
          <w:szCs w:val="20"/>
        </w:rPr>
      </w:pPr>
    </w:p>
    <w:p w14:paraId="04B715E6" w14:textId="090429D0" w:rsidR="008C33CE" w:rsidRPr="003500A9" w:rsidRDefault="008C33CE" w:rsidP="00E66DD7">
      <w:pPr>
        <w:pStyle w:val="ListParagraph"/>
        <w:numPr>
          <w:ilvl w:val="0"/>
          <w:numId w:val="1"/>
        </w:numPr>
        <w:tabs>
          <w:tab w:val="left" w:pos="168"/>
          <w:tab w:val="left" w:pos="851"/>
          <w:tab w:val="left" w:pos="2618"/>
          <w:tab w:val="left" w:pos="4536"/>
        </w:tabs>
        <w:ind w:left="0" w:firstLine="0"/>
        <w:jc w:val="both"/>
        <w:rPr>
          <w:rFonts w:ascii="Verdana" w:hAnsi="Verdana"/>
          <w:sz w:val="20"/>
          <w:szCs w:val="20"/>
        </w:rPr>
      </w:pPr>
      <w:r w:rsidRPr="00D46C16">
        <w:rPr>
          <w:rFonts w:ascii="Verdana" w:hAnsi="Verdana"/>
          <w:sz w:val="20"/>
          <w:szCs w:val="20"/>
        </w:rPr>
        <w:t xml:space="preserve">En el presente caso, como en otros, la Corte admite aquellos documentos presentados por las partes y la Comisión </w:t>
      </w:r>
      <w:r w:rsidRPr="006D61BA">
        <w:rPr>
          <w:rFonts w:ascii="Verdana" w:hAnsi="Verdana"/>
          <w:sz w:val="20"/>
          <w:szCs w:val="20"/>
        </w:rPr>
        <w:t>en la debida oportunidad procesal o solicitados como prueba para mejor resolver, que no fueron c</w:t>
      </w:r>
      <w:r w:rsidRPr="000D5308">
        <w:rPr>
          <w:rFonts w:ascii="Verdana" w:hAnsi="Verdana"/>
          <w:sz w:val="20"/>
          <w:szCs w:val="20"/>
        </w:rPr>
        <w:t>ontrovertidos ni objetados, ni cuya autenticidad fue puesta en duda</w:t>
      </w:r>
      <w:r w:rsidRPr="006D61BA">
        <w:rPr>
          <w:rFonts w:ascii="Verdana" w:hAnsi="Verdana"/>
          <w:sz w:val="20"/>
          <w:szCs w:val="20"/>
          <w:vertAlign w:val="superscript"/>
        </w:rPr>
        <w:footnoteReference w:id="24"/>
      </w:r>
      <w:r w:rsidRPr="006D61BA">
        <w:rPr>
          <w:rFonts w:ascii="Verdana" w:hAnsi="Verdana"/>
          <w:sz w:val="20"/>
          <w:szCs w:val="20"/>
        </w:rPr>
        <w:t>. Los documentos solicitados por la Corte, que fueron aportados por las partes con posterioridad a la audiencia pública, son incorporados al acervo probatorio en aplicación del artículo 58</w:t>
      </w:r>
      <w:r w:rsidRPr="000D5308">
        <w:rPr>
          <w:rFonts w:ascii="Verdana" w:hAnsi="Verdana"/>
          <w:sz w:val="20"/>
          <w:szCs w:val="20"/>
        </w:rPr>
        <w:t xml:space="preserve"> del Reglamento </w:t>
      </w:r>
      <w:r w:rsidRPr="005D0F69">
        <w:rPr>
          <w:rFonts w:ascii="Verdana" w:hAnsi="Verdana"/>
          <w:sz w:val="20"/>
          <w:szCs w:val="20"/>
        </w:rPr>
        <w:t>(</w:t>
      </w:r>
      <w:r w:rsidR="00224537" w:rsidRPr="00224537">
        <w:rPr>
          <w:rFonts w:ascii="Verdana" w:hAnsi="Verdana"/>
          <w:i/>
          <w:sz w:val="20"/>
          <w:szCs w:val="20"/>
        </w:rPr>
        <w:t>supra</w:t>
      </w:r>
      <w:r w:rsidRPr="005D0F69">
        <w:rPr>
          <w:rFonts w:ascii="Verdana" w:hAnsi="Verdana"/>
          <w:sz w:val="20"/>
          <w:szCs w:val="20"/>
        </w:rPr>
        <w:t xml:space="preserve"> párr. </w:t>
      </w:r>
      <w:r w:rsidR="00EC6021">
        <w:rPr>
          <w:rFonts w:ascii="Verdana" w:hAnsi="Verdana"/>
          <w:sz w:val="20"/>
          <w:szCs w:val="20"/>
        </w:rPr>
        <w:t>10</w:t>
      </w:r>
      <w:r w:rsidRPr="005D0F69">
        <w:rPr>
          <w:rFonts w:ascii="Verdana" w:hAnsi="Verdana"/>
          <w:sz w:val="20"/>
          <w:szCs w:val="20"/>
        </w:rPr>
        <w:t>).</w:t>
      </w:r>
      <w:r w:rsidRPr="003500A9">
        <w:rPr>
          <w:rFonts w:ascii="Verdana" w:hAnsi="Verdana"/>
          <w:sz w:val="20"/>
          <w:szCs w:val="20"/>
        </w:rPr>
        <w:t xml:space="preserve"> </w:t>
      </w:r>
    </w:p>
    <w:p w14:paraId="44302028" w14:textId="77777777" w:rsidR="008C33CE" w:rsidRDefault="008C33CE" w:rsidP="008C33CE">
      <w:pPr>
        <w:pStyle w:val="ListParagraph"/>
        <w:ind w:left="0"/>
        <w:jc w:val="both"/>
        <w:rPr>
          <w:rFonts w:ascii="Verdana" w:hAnsi="Verdana"/>
          <w:sz w:val="20"/>
          <w:szCs w:val="20"/>
        </w:rPr>
      </w:pPr>
    </w:p>
    <w:p w14:paraId="054E84BD" w14:textId="00CFC9B4" w:rsidR="008C33CE" w:rsidRPr="007C6554" w:rsidRDefault="008C33CE" w:rsidP="00E66DD7">
      <w:pPr>
        <w:pStyle w:val="ListParagraph"/>
        <w:numPr>
          <w:ilvl w:val="0"/>
          <w:numId w:val="1"/>
        </w:numPr>
        <w:ind w:left="0" w:firstLine="0"/>
        <w:jc w:val="both"/>
        <w:rPr>
          <w:rFonts w:ascii="Verdana" w:hAnsi="Verdana"/>
          <w:b/>
          <w:sz w:val="20"/>
          <w:szCs w:val="20"/>
        </w:rPr>
      </w:pPr>
      <w:r>
        <w:rPr>
          <w:rFonts w:ascii="Verdana" w:hAnsi="Verdana"/>
          <w:sz w:val="20"/>
          <w:szCs w:val="20"/>
        </w:rPr>
        <w:t>Por su parte, e</w:t>
      </w:r>
      <w:r w:rsidRPr="0076651B">
        <w:rPr>
          <w:rFonts w:ascii="Verdana" w:hAnsi="Verdana"/>
          <w:sz w:val="20"/>
          <w:szCs w:val="20"/>
        </w:rPr>
        <w:t xml:space="preserve">l 20 de marzo de 2017 los representantes presentaron observaciones a los anexos </w:t>
      </w:r>
      <w:r>
        <w:rPr>
          <w:rFonts w:ascii="Verdana" w:hAnsi="Verdana"/>
          <w:sz w:val="20"/>
          <w:szCs w:val="20"/>
        </w:rPr>
        <w:t>remitidos</w:t>
      </w:r>
      <w:r w:rsidRPr="0076651B">
        <w:rPr>
          <w:rFonts w:ascii="Verdana" w:hAnsi="Verdana"/>
          <w:sz w:val="20"/>
          <w:szCs w:val="20"/>
        </w:rPr>
        <w:t xml:space="preserve"> por el Estado junto a sus alegatos finales escritos</w:t>
      </w:r>
      <w:r>
        <w:rPr>
          <w:rFonts w:ascii="Verdana" w:hAnsi="Verdana"/>
          <w:sz w:val="20"/>
          <w:szCs w:val="20"/>
        </w:rPr>
        <w:t xml:space="preserve">. </w:t>
      </w:r>
      <w:r w:rsidRPr="0076651B">
        <w:rPr>
          <w:rFonts w:ascii="Verdana" w:hAnsi="Verdana"/>
          <w:sz w:val="20"/>
          <w:szCs w:val="20"/>
        </w:rPr>
        <w:t>En cuanto a documentos incompletos o ilegibles, la Corte considera que ello no afecta su admisibilidad</w:t>
      </w:r>
      <w:r w:rsidR="001819F5">
        <w:rPr>
          <w:rFonts w:ascii="Verdana" w:hAnsi="Verdana"/>
          <w:sz w:val="20"/>
          <w:szCs w:val="20"/>
        </w:rPr>
        <w:t>,</w:t>
      </w:r>
      <w:r w:rsidRPr="0076651B">
        <w:rPr>
          <w:rFonts w:ascii="Verdana" w:hAnsi="Verdana"/>
          <w:sz w:val="20"/>
          <w:szCs w:val="20"/>
        </w:rPr>
        <w:t xml:space="preserve"> aunque si puede afectar su peso probatorio. Sin embargo, la Corte considera que los anexos mencionados responden a la prueba para mejor resolver solicitada en el transcurso de la audiencia pública, por lo que se admiten en virtud del artículo 58.</w:t>
      </w:r>
      <w:r>
        <w:rPr>
          <w:rFonts w:ascii="Verdana" w:hAnsi="Verdana"/>
          <w:sz w:val="20"/>
          <w:szCs w:val="20"/>
        </w:rPr>
        <w:t xml:space="preserve"> </w:t>
      </w:r>
      <w:r w:rsidRPr="0076651B">
        <w:rPr>
          <w:rFonts w:ascii="Verdana" w:hAnsi="Verdana"/>
          <w:sz w:val="20"/>
          <w:szCs w:val="20"/>
        </w:rPr>
        <w:t>b) del Reglamento.</w:t>
      </w:r>
    </w:p>
    <w:p w14:paraId="3046F0D9" w14:textId="77777777" w:rsidR="008C33CE" w:rsidRPr="007A52C1" w:rsidRDefault="008C33CE" w:rsidP="008C33CE">
      <w:pPr>
        <w:jc w:val="both"/>
        <w:rPr>
          <w:rFonts w:ascii="Verdana" w:hAnsi="Verdana"/>
          <w:sz w:val="20"/>
          <w:szCs w:val="20"/>
          <w:highlight w:val="yellow"/>
          <w:u w:val="single"/>
        </w:rPr>
      </w:pPr>
    </w:p>
    <w:p w14:paraId="2C92726D" w14:textId="77777777" w:rsidR="008C33CE" w:rsidRPr="00375165" w:rsidRDefault="008C33CE" w:rsidP="00E66DD7">
      <w:pPr>
        <w:pStyle w:val="Heading3"/>
        <w:numPr>
          <w:ilvl w:val="0"/>
          <w:numId w:val="20"/>
        </w:numPr>
        <w:jc w:val="both"/>
        <w:rPr>
          <w:i/>
          <w:szCs w:val="20"/>
        </w:rPr>
      </w:pPr>
      <w:bookmarkStart w:id="15" w:name="_Toc498333480"/>
      <w:r w:rsidRPr="00375165">
        <w:rPr>
          <w:i/>
          <w:szCs w:val="20"/>
        </w:rPr>
        <w:t>Admisión de la prueba testimonial y pericial</w:t>
      </w:r>
      <w:bookmarkEnd w:id="15"/>
    </w:p>
    <w:p w14:paraId="093C7EEA" w14:textId="77777777" w:rsidR="008C33CE" w:rsidRPr="00375165" w:rsidRDefault="008C33CE" w:rsidP="008C33CE">
      <w:pPr>
        <w:jc w:val="both"/>
        <w:rPr>
          <w:rFonts w:ascii="Verdana" w:hAnsi="Verdana"/>
          <w:sz w:val="20"/>
          <w:szCs w:val="20"/>
        </w:rPr>
      </w:pPr>
    </w:p>
    <w:p w14:paraId="70DD9D23" w14:textId="383B7497" w:rsidR="008C33CE" w:rsidRPr="0076651B" w:rsidRDefault="008C33CE" w:rsidP="00E66DD7">
      <w:pPr>
        <w:pStyle w:val="ListParagraph"/>
        <w:numPr>
          <w:ilvl w:val="0"/>
          <w:numId w:val="1"/>
        </w:numPr>
        <w:ind w:left="0" w:firstLine="0"/>
        <w:jc w:val="both"/>
        <w:rPr>
          <w:rFonts w:ascii="Verdana" w:hAnsi="Verdana"/>
          <w:sz w:val="20"/>
          <w:szCs w:val="20"/>
        </w:rPr>
      </w:pPr>
      <w:r w:rsidRPr="0076651B">
        <w:rPr>
          <w:rFonts w:ascii="Verdana" w:eastAsia="Times New Roman" w:hAnsi="Verdana"/>
          <w:sz w:val="20"/>
          <w:szCs w:val="20"/>
        </w:rPr>
        <w:t xml:space="preserve">La Corte estima pertinente admitir </w:t>
      </w:r>
      <w:r w:rsidRPr="0076651B">
        <w:rPr>
          <w:rFonts w:ascii="Verdana" w:hAnsi="Verdana"/>
          <w:sz w:val="20"/>
          <w:szCs w:val="20"/>
        </w:rPr>
        <w:t xml:space="preserve">las declaraciones rendidas durante la audiencia pública y ante fedatario público, </w:t>
      </w:r>
      <w:r w:rsidRPr="0076651B">
        <w:rPr>
          <w:rFonts w:ascii="Verdana" w:eastAsia="Times New Roman" w:hAnsi="Verdana"/>
          <w:sz w:val="20"/>
          <w:szCs w:val="20"/>
        </w:rPr>
        <w:t>en cuanto se ajusten al objeto definido por el Presidente en la Resolución que ordenó recibirlas y al objeto del presente caso (</w:t>
      </w:r>
      <w:r w:rsidR="00224537" w:rsidRPr="00224537">
        <w:rPr>
          <w:rFonts w:ascii="Verdana" w:eastAsia="Times New Roman" w:hAnsi="Verdana"/>
          <w:i/>
          <w:sz w:val="20"/>
          <w:szCs w:val="20"/>
        </w:rPr>
        <w:t>supra</w:t>
      </w:r>
      <w:r w:rsidRPr="0076651B">
        <w:rPr>
          <w:rFonts w:ascii="Verdana" w:eastAsia="Times New Roman" w:hAnsi="Verdana"/>
          <w:sz w:val="20"/>
          <w:szCs w:val="20"/>
        </w:rPr>
        <w:t xml:space="preserve"> párr.</w:t>
      </w:r>
      <w:r w:rsidR="001C0F23">
        <w:rPr>
          <w:rFonts w:ascii="Verdana" w:eastAsia="Times New Roman" w:hAnsi="Verdana"/>
          <w:sz w:val="20"/>
          <w:szCs w:val="20"/>
        </w:rPr>
        <w:t xml:space="preserve"> </w:t>
      </w:r>
      <w:r w:rsidR="00EC6021">
        <w:rPr>
          <w:rFonts w:ascii="Verdana" w:eastAsia="Times New Roman" w:hAnsi="Verdana"/>
          <w:sz w:val="20"/>
          <w:szCs w:val="20"/>
        </w:rPr>
        <w:t>10</w:t>
      </w:r>
      <w:r w:rsidRPr="0076651B">
        <w:rPr>
          <w:rFonts w:ascii="Verdana" w:eastAsia="Times New Roman" w:hAnsi="Verdana"/>
          <w:sz w:val="20"/>
          <w:szCs w:val="20"/>
        </w:rPr>
        <w:t>).</w:t>
      </w:r>
    </w:p>
    <w:p w14:paraId="00E24885" w14:textId="77777777" w:rsidR="008C33CE" w:rsidRPr="0076651B" w:rsidRDefault="008C33CE" w:rsidP="008C33CE">
      <w:pPr>
        <w:pStyle w:val="ListParagraph"/>
        <w:ind w:left="0"/>
        <w:jc w:val="both"/>
        <w:rPr>
          <w:rFonts w:ascii="Verdana" w:hAnsi="Verdana"/>
          <w:sz w:val="20"/>
          <w:szCs w:val="20"/>
        </w:rPr>
      </w:pPr>
    </w:p>
    <w:p w14:paraId="0404D316" w14:textId="7FC4C4DC" w:rsidR="008C33CE" w:rsidRPr="0076651B" w:rsidRDefault="008C33CE" w:rsidP="00E66DD7">
      <w:pPr>
        <w:pStyle w:val="ListParagraph"/>
        <w:numPr>
          <w:ilvl w:val="0"/>
          <w:numId w:val="1"/>
        </w:numPr>
        <w:ind w:left="0" w:firstLine="0"/>
        <w:jc w:val="both"/>
        <w:rPr>
          <w:rFonts w:ascii="Verdana" w:hAnsi="Verdana"/>
          <w:sz w:val="20"/>
          <w:szCs w:val="20"/>
          <w:lang w:val="es-MX"/>
        </w:rPr>
      </w:pPr>
      <w:r w:rsidRPr="0076651B">
        <w:rPr>
          <w:rFonts w:ascii="Verdana" w:hAnsi="Verdana"/>
          <w:sz w:val="20"/>
          <w:szCs w:val="20"/>
        </w:rPr>
        <w:t xml:space="preserve">Mediante comunicación de 30 de enero de 2017 el Estado desistió de la presentación de la declaración pericial del señor Omar </w:t>
      </w:r>
      <w:proofErr w:type="spellStart"/>
      <w:r w:rsidRPr="0076651B">
        <w:rPr>
          <w:rFonts w:ascii="Verdana" w:hAnsi="Verdana"/>
          <w:sz w:val="20"/>
          <w:szCs w:val="20"/>
        </w:rPr>
        <w:t>Sar</w:t>
      </w:r>
      <w:proofErr w:type="spellEnd"/>
      <w:r w:rsidRPr="0076651B">
        <w:rPr>
          <w:rFonts w:ascii="Verdana" w:hAnsi="Verdana"/>
          <w:sz w:val="20"/>
          <w:szCs w:val="20"/>
        </w:rPr>
        <w:t xml:space="preserve"> Suárez</w:t>
      </w:r>
      <w:r w:rsidR="001C0F23" w:rsidRPr="00333304">
        <w:rPr>
          <w:rFonts w:ascii="Verdana" w:hAnsi="Verdana"/>
          <w:sz w:val="20"/>
          <w:szCs w:val="20"/>
        </w:rPr>
        <w:t>.</w:t>
      </w:r>
      <w:r w:rsidRPr="0076651B">
        <w:rPr>
          <w:rFonts w:ascii="Verdana" w:hAnsi="Verdana"/>
          <w:sz w:val="20"/>
          <w:szCs w:val="20"/>
        </w:rPr>
        <w:t xml:space="preserve"> Dicho desistimiento fue objetado por los representantes el 7 de febrero de 2017 durante la audiencia pública y mediante comunicación de 13 de febrero de 2017</w:t>
      </w:r>
      <w:r w:rsidR="001C0F23">
        <w:rPr>
          <w:rFonts w:ascii="Verdana" w:hAnsi="Verdana"/>
          <w:sz w:val="20"/>
          <w:szCs w:val="20"/>
        </w:rPr>
        <w:t>.</w:t>
      </w:r>
      <w:r w:rsidRPr="0076651B">
        <w:rPr>
          <w:rFonts w:ascii="Verdana" w:hAnsi="Verdana"/>
          <w:sz w:val="20"/>
          <w:szCs w:val="20"/>
        </w:rPr>
        <w:t xml:space="preserve"> </w:t>
      </w:r>
      <w:r>
        <w:rPr>
          <w:rFonts w:ascii="Verdana" w:hAnsi="Verdana"/>
          <w:sz w:val="20"/>
          <w:szCs w:val="20"/>
        </w:rPr>
        <w:t>Al respecto, l</w:t>
      </w:r>
      <w:r w:rsidRPr="0076651B">
        <w:rPr>
          <w:rFonts w:ascii="Verdana" w:hAnsi="Verdana"/>
          <w:sz w:val="20"/>
          <w:szCs w:val="20"/>
        </w:rPr>
        <w:t>a</w:t>
      </w:r>
      <w:r w:rsidRPr="0076651B">
        <w:rPr>
          <w:rFonts w:ascii="Verdana" w:hAnsi="Verdana"/>
          <w:sz w:val="20"/>
          <w:szCs w:val="20"/>
          <w:lang w:val="es-MX"/>
        </w:rPr>
        <w:t xml:space="preserve"> representación de la víctima objetó los motivos de dicho desistimiento e informó que el mismo ya había sido realizado</w:t>
      </w:r>
      <w:r>
        <w:rPr>
          <w:rFonts w:ascii="Verdana" w:hAnsi="Verdana"/>
          <w:sz w:val="20"/>
          <w:szCs w:val="20"/>
          <w:lang w:val="es-CR"/>
        </w:rPr>
        <w:t>, p</w:t>
      </w:r>
      <w:r w:rsidRPr="0076651B">
        <w:rPr>
          <w:rFonts w:ascii="Verdana" w:hAnsi="Verdana"/>
          <w:sz w:val="20"/>
          <w:szCs w:val="20"/>
          <w:lang w:val="es-CR"/>
        </w:rPr>
        <w:t xml:space="preserve">or lo que solicitó el peritaje y las respuestas a sus preguntas y remitieron fotografías en las que el señor Omar </w:t>
      </w:r>
      <w:proofErr w:type="spellStart"/>
      <w:r w:rsidRPr="0076651B">
        <w:rPr>
          <w:rFonts w:ascii="Verdana" w:hAnsi="Verdana"/>
          <w:sz w:val="20"/>
          <w:szCs w:val="20"/>
          <w:lang w:val="es-CR"/>
        </w:rPr>
        <w:t>Sar</w:t>
      </w:r>
      <w:proofErr w:type="spellEnd"/>
      <w:r w:rsidRPr="0076651B">
        <w:rPr>
          <w:rFonts w:ascii="Verdana" w:hAnsi="Verdana"/>
          <w:sz w:val="20"/>
          <w:szCs w:val="20"/>
          <w:lang w:val="es-CR"/>
        </w:rPr>
        <w:t xml:space="preserve"> Suárez </w:t>
      </w:r>
      <w:r>
        <w:rPr>
          <w:rFonts w:ascii="Verdana" w:hAnsi="Verdana"/>
          <w:sz w:val="20"/>
          <w:szCs w:val="20"/>
          <w:lang w:val="es-CR"/>
        </w:rPr>
        <w:t>aparentemente habría rendido el mismo ante notario público.</w:t>
      </w:r>
    </w:p>
    <w:p w14:paraId="4822B262" w14:textId="77777777" w:rsidR="008C33CE" w:rsidRPr="0076651B" w:rsidRDefault="008C33CE" w:rsidP="008C33CE">
      <w:pPr>
        <w:pStyle w:val="ListParagraph"/>
        <w:ind w:left="0"/>
        <w:jc w:val="both"/>
        <w:rPr>
          <w:rFonts w:ascii="Verdana" w:hAnsi="Verdana"/>
          <w:sz w:val="20"/>
          <w:szCs w:val="20"/>
          <w:lang w:val="es-MX"/>
        </w:rPr>
      </w:pPr>
    </w:p>
    <w:p w14:paraId="76223234" w14:textId="3AC123E2" w:rsidR="008C33CE" w:rsidRPr="0076651B" w:rsidRDefault="008C33CE" w:rsidP="00E66DD7">
      <w:pPr>
        <w:pStyle w:val="ListParagraph"/>
        <w:numPr>
          <w:ilvl w:val="0"/>
          <w:numId w:val="1"/>
        </w:numPr>
        <w:ind w:left="0" w:firstLine="0"/>
        <w:jc w:val="both"/>
        <w:rPr>
          <w:rFonts w:ascii="Verdana" w:hAnsi="Verdana"/>
          <w:sz w:val="20"/>
          <w:szCs w:val="20"/>
        </w:rPr>
      </w:pPr>
      <w:r w:rsidRPr="0076651B">
        <w:rPr>
          <w:rFonts w:ascii="Verdana" w:hAnsi="Verdana"/>
          <w:sz w:val="20"/>
          <w:szCs w:val="20"/>
        </w:rPr>
        <w:t xml:space="preserve">En vista de lo anterior, mediante nota de </w:t>
      </w:r>
      <w:r>
        <w:rPr>
          <w:rFonts w:ascii="Verdana" w:hAnsi="Verdana"/>
          <w:sz w:val="20"/>
          <w:szCs w:val="20"/>
        </w:rPr>
        <w:t>S</w:t>
      </w:r>
      <w:r w:rsidRPr="0076651B">
        <w:rPr>
          <w:rFonts w:ascii="Verdana" w:hAnsi="Verdana"/>
          <w:sz w:val="20"/>
          <w:szCs w:val="20"/>
        </w:rPr>
        <w:t xml:space="preserve">ecretaría de 17 de febrero de 2017, el </w:t>
      </w:r>
      <w:r w:rsidR="000D5308">
        <w:rPr>
          <w:rFonts w:ascii="Verdana" w:hAnsi="Verdana"/>
          <w:sz w:val="20"/>
          <w:szCs w:val="20"/>
        </w:rPr>
        <w:t>P</w:t>
      </w:r>
      <w:r w:rsidRPr="0076651B">
        <w:rPr>
          <w:rFonts w:ascii="Verdana" w:hAnsi="Verdana"/>
          <w:sz w:val="20"/>
          <w:szCs w:val="20"/>
        </w:rPr>
        <w:t>leno de la Corte determinó que</w:t>
      </w:r>
      <w:r>
        <w:rPr>
          <w:rFonts w:ascii="Verdana" w:hAnsi="Verdana"/>
          <w:sz w:val="20"/>
          <w:szCs w:val="20"/>
        </w:rPr>
        <w:t>,</w:t>
      </w:r>
      <w:r w:rsidRPr="0076651B">
        <w:rPr>
          <w:rFonts w:ascii="Verdana" w:hAnsi="Verdana"/>
          <w:sz w:val="20"/>
          <w:szCs w:val="20"/>
        </w:rPr>
        <w:t xml:space="preserve"> de conformidad con el artículo 46.1 del Reglamento, </w:t>
      </w:r>
      <w:r w:rsidRPr="0076651B">
        <w:rPr>
          <w:rFonts w:ascii="Verdana" w:hAnsi="Verdana"/>
          <w:sz w:val="20"/>
          <w:szCs w:val="20"/>
          <w:lang w:val="es-CR"/>
        </w:rPr>
        <w:t>el momento procesal oportuno para que la Comisión y las partes confirmen o desistan del ofrecimiento de las declaraciones realizadas en sus respectivos escritos es en la lista definitiva solicitada por el Tribunal, por lo que una vez convocado un peritaje mediante Resolución de Presidente y, más aún, cuando este haya sido practicado, resulta de mayor relevancia que sea integrado al</w:t>
      </w:r>
      <w:r w:rsidRPr="0076651B">
        <w:rPr>
          <w:rFonts w:ascii="Verdana" w:hAnsi="Verdana"/>
          <w:sz w:val="20"/>
          <w:szCs w:val="20"/>
        </w:rPr>
        <w:t xml:space="preserve"> </w:t>
      </w:r>
      <w:r w:rsidRPr="0076651B">
        <w:rPr>
          <w:rFonts w:ascii="Verdana" w:hAnsi="Verdana"/>
          <w:sz w:val="20"/>
          <w:szCs w:val="20"/>
          <w:lang w:val="es-CR"/>
        </w:rPr>
        <w:t xml:space="preserve">proceso. Por lo anterior, de conformidad con los artículos 31, 46.1, 54 y 58 del Reglamento, así como los Puntos Resolutivos 4, 5, 8 y 11 de la Resolución del Presidente de 21 de noviembre de 2016 se requirió al Estado remitir a la Corte el peritaje del señor Omar </w:t>
      </w:r>
      <w:proofErr w:type="spellStart"/>
      <w:r w:rsidRPr="0076651B">
        <w:rPr>
          <w:rFonts w:ascii="Verdana" w:hAnsi="Verdana"/>
          <w:sz w:val="20"/>
          <w:szCs w:val="20"/>
          <w:lang w:val="es-CR"/>
        </w:rPr>
        <w:t>Sar</w:t>
      </w:r>
      <w:proofErr w:type="spellEnd"/>
      <w:r w:rsidRPr="0076651B">
        <w:rPr>
          <w:rFonts w:ascii="Verdana" w:hAnsi="Verdana"/>
          <w:sz w:val="20"/>
          <w:szCs w:val="20"/>
          <w:lang w:val="es-CR"/>
        </w:rPr>
        <w:t xml:space="preserve"> Suárez, a más tardar el 24 de febrero de 2017.</w:t>
      </w:r>
    </w:p>
    <w:p w14:paraId="18ECD9E6" w14:textId="77777777" w:rsidR="008C33CE" w:rsidRPr="0076651B" w:rsidRDefault="008C33CE" w:rsidP="008C33CE">
      <w:pPr>
        <w:pStyle w:val="ListParagraph"/>
        <w:ind w:left="0"/>
        <w:jc w:val="both"/>
        <w:rPr>
          <w:rFonts w:ascii="Verdana" w:hAnsi="Verdana"/>
          <w:sz w:val="20"/>
          <w:szCs w:val="20"/>
        </w:rPr>
      </w:pPr>
    </w:p>
    <w:p w14:paraId="516FFA56" w14:textId="62AF1B7C" w:rsidR="008C33CE" w:rsidRPr="0076651B" w:rsidRDefault="008C33CE" w:rsidP="00E66DD7">
      <w:pPr>
        <w:pStyle w:val="ListParagraph"/>
        <w:numPr>
          <w:ilvl w:val="0"/>
          <w:numId w:val="1"/>
        </w:numPr>
        <w:ind w:left="0" w:firstLine="0"/>
        <w:jc w:val="both"/>
        <w:rPr>
          <w:rFonts w:ascii="Verdana" w:hAnsi="Verdana"/>
          <w:sz w:val="20"/>
          <w:szCs w:val="20"/>
          <w:lang w:val="es-CR"/>
        </w:rPr>
      </w:pPr>
      <w:r w:rsidRPr="0076651B">
        <w:rPr>
          <w:rFonts w:ascii="Verdana" w:hAnsi="Verdana"/>
          <w:sz w:val="20"/>
          <w:szCs w:val="20"/>
        </w:rPr>
        <w:t xml:space="preserve">El 24 de febrero de 2017 el Estado presentó el peritaje de Omar </w:t>
      </w:r>
      <w:proofErr w:type="spellStart"/>
      <w:r w:rsidRPr="0076651B">
        <w:rPr>
          <w:rFonts w:ascii="Verdana" w:hAnsi="Verdana"/>
          <w:sz w:val="20"/>
          <w:szCs w:val="20"/>
        </w:rPr>
        <w:t>Sar</w:t>
      </w:r>
      <w:proofErr w:type="spellEnd"/>
      <w:r w:rsidRPr="0076651B">
        <w:rPr>
          <w:rFonts w:ascii="Verdana" w:hAnsi="Verdana"/>
          <w:sz w:val="20"/>
          <w:szCs w:val="20"/>
        </w:rPr>
        <w:t xml:space="preserve"> y </w:t>
      </w:r>
      <w:r w:rsidRPr="0076651B">
        <w:rPr>
          <w:rFonts w:ascii="Verdana" w:hAnsi="Verdana"/>
          <w:sz w:val="20"/>
          <w:szCs w:val="20"/>
          <w:lang w:val="es-CR"/>
        </w:rPr>
        <w:t>su informe No. 032-2017-JUS/CDJE-PPES con las observaciones del requerimiento de la Corte para la presentación de</w:t>
      </w:r>
      <w:r>
        <w:rPr>
          <w:rFonts w:ascii="Verdana" w:hAnsi="Verdana"/>
          <w:sz w:val="20"/>
          <w:szCs w:val="20"/>
          <w:lang w:val="es-CR"/>
        </w:rPr>
        <w:t xml:space="preserve"> dicho</w:t>
      </w:r>
      <w:r w:rsidRPr="0076651B">
        <w:rPr>
          <w:rFonts w:ascii="Verdana" w:hAnsi="Verdana"/>
          <w:sz w:val="20"/>
          <w:szCs w:val="20"/>
          <w:lang w:val="es-CR"/>
        </w:rPr>
        <w:t xml:space="preserve"> peritaje</w:t>
      </w:r>
      <w:r>
        <w:rPr>
          <w:rFonts w:ascii="Verdana" w:hAnsi="Verdana"/>
          <w:sz w:val="20"/>
          <w:szCs w:val="20"/>
          <w:lang w:val="es-CR"/>
        </w:rPr>
        <w:t>.</w:t>
      </w:r>
      <w:r w:rsidR="001C0F23">
        <w:rPr>
          <w:rFonts w:ascii="Verdana" w:hAnsi="Verdana"/>
          <w:sz w:val="20"/>
          <w:szCs w:val="20"/>
          <w:lang w:val="es-CR"/>
        </w:rPr>
        <w:t xml:space="preserve"> </w:t>
      </w:r>
      <w:r w:rsidRPr="0076651B">
        <w:rPr>
          <w:rFonts w:ascii="Verdana" w:hAnsi="Verdana"/>
          <w:sz w:val="20"/>
          <w:szCs w:val="20"/>
          <w:lang w:val="es-CR"/>
        </w:rPr>
        <w:t>En sus observaciones el Estado manifestó su inconformidad con el hecho de que la Corte no le ha</w:t>
      </w:r>
      <w:r>
        <w:rPr>
          <w:rFonts w:ascii="Verdana" w:hAnsi="Verdana"/>
          <w:sz w:val="20"/>
          <w:szCs w:val="20"/>
          <w:lang w:val="es-CR"/>
        </w:rPr>
        <w:t>bría</w:t>
      </w:r>
      <w:r w:rsidRPr="0076651B">
        <w:rPr>
          <w:rFonts w:ascii="Verdana" w:hAnsi="Verdana"/>
          <w:sz w:val="20"/>
          <w:szCs w:val="20"/>
          <w:lang w:val="es-CR"/>
        </w:rPr>
        <w:t xml:space="preserve"> brindado la oportunidad procesal para realizar sus </w:t>
      </w:r>
      <w:r w:rsidRPr="0076651B">
        <w:rPr>
          <w:rFonts w:ascii="Verdana" w:hAnsi="Verdana"/>
          <w:sz w:val="20"/>
          <w:szCs w:val="20"/>
          <w:lang w:val="es-CR"/>
        </w:rPr>
        <w:lastRenderedPageBreak/>
        <w:t>observaciones respecto del desistimiento del peritaje. Asimismo, solicitó que no se tuviera</w:t>
      </w:r>
      <w:r w:rsidR="00F24C42">
        <w:rPr>
          <w:rFonts w:ascii="Verdana" w:hAnsi="Verdana"/>
          <w:sz w:val="20"/>
          <w:szCs w:val="20"/>
          <w:lang w:val="es-CR"/>
        </w:rPr>
        <w:t>n</w:t>
      </w:r>
      <w:r w:rsidRPr="0076651B">
        <w:rPr>
          <w:rFonts w:ascii="Verdana" w:hAnsi="Verdana"/>
          <w:sz w:val="20"/>
          <w:szCs w:val="20"/>
          <w:lang w:val="es-CR"/>
        </w:rPr>
        <w:t xml:space="preserve"> en cuenta los párrafos 64 a 67, 82, 83 y 96, y la respuesta a la pregunta 7 formulada por los representantes, pues el Estado consideró que </w:t>
      </w:r>
      <w:r w:rsidR="00F24C42">
        <w:rPr>
          <w:rFonts w:ascii="Verdana" w:hAnsi="Verdana"/>
          <w:sz w:val="20"/>
          <w:szCs w:val="20"/>
          <w:lang w:val="es-CR"/>
        </w:rPr>
        <w:t>hacían alusión</w:t>
      </w:r>
      <w:r w:rsidRPr="0076651B">
        <w:rPr>
          <w:rFonts w:ascii="Verdana" w:hAnsi="Verdana"/>
          <w:sz w:val="20"/>
          <w:szCs w:val="20"/>
          <w:lang w:val="es-CR"/>
        </w:rPr>
        <w:t xml:space="preserve"> de forma directa al caso concreto. </w:t>
      </w:r>
      <w:r>
        <w:rPr>
          <w:rFonts w:ascii="Verdana" w:hAnsi="Verdana"/>
          <w:sz w:val="20"/>
          <w:szCs w:val="20"/>
          <w:lang w:val="es-CR"/>
        </w:rPr>
        <w:t>No obstante lo anterior, e</w:t>
      </w:r>
      <w:r w:rsidRPr="0076651B">
        <w:rPr>
          <w:rFonts w:ascii="Verdana" w:hAnsi="Verdana"/>
          <w:sz w:val="20"/>
          <w:szCs w:val="20"/>
          <w:lang w:val="es-CR"/>
        </w:rPr>
        <w:t xml:space="preserve">n sus alegatos finales escritos el Estado </w:t>
      </w:r>
      <w:r w:rsidR="000D5308">
        <w:rPr>
          <w:rFonts w:ascii="Verdana" w:hAnsi="Verdana"/>
          <w:sz w:val="20"/>
          <w:szCs w:val="20"/>
          <w:lang w:val="es-CR"/>
        </w:rPr>
        <w:t>utilizó</w:t>
      </w:r>
      <w:r w:rsidRPr="0076651B">
        <w:rPr>
          <w:rFonts w:ascii="Verdana" w:hAnsi="Verdana"/>
          <w:sz w:val="20"/>
          <w:szCs w:val="20"/>
          <w:lang w:val="es-CR"/>
        </w:rPr>
        <w:t xml:space="preserve"> </w:t>
      </w:r>
      <w:r w:rsidR="000D5308">
        <w:rPr>
          <w:rFonts w:ascii="Verdana" w:hAnsi="Verdana"/>
          <w:sz w:val="20"/>
          <w:szCs w:val="20"/>
          <w:lang w:val="es-CR"/>
        </w:rPr>
        <w:t>e</w:t>
      </w:r>
      <w:r w:rsidRPr="0076651B">
        <w:rPr>
          <w:rFonts w:ascii="Verdana" w:hAnsi="Verdana"/>
          <w:sz w:val="20"/>
          <w:szCs w:val="20"/>
          <w:lang w:val="es-CR"/>
        </w:rPr>
        <w:t xml:space="preserve">l peritaje del señor Omar </w:t>
      </w:r>
      <w:proofErr w:type="spellStart"/>
      <w:r w:rsidRPr="0076651B">
        <w:rPr>
          <w:rFonts w:ascii="Verdana" w:hAnsi="Verdana"/>
          <w:sz w:val="20"/>
          <w:szCs w:val="20"/>
          <w:lang w:val="es-CR"/>
        </w:rPr>
        <w:t>Sar</w:t>
      </w:r>
      <w:proofErr w:type="spellEnd"/>
      <w:r w:rsidRPr="0076651B">
        <w:rPr>
          <w:rFonts w:ascii="Verdana" w:hAnsi="Verdana"/>
          <w:sz w:val="20"/>
          <w:szCs w:val="20"/>
          <w:lang w:val="es-CR"/>
        </w:rPr>
        <w:t xml:space="preserve"> Suárez en diferentes aspectos como los límites a la libertad de expresión y el </w:t>
      </w:r>
      <w:r w:rsidR="00F24C42">
        <w:rPr>
          <w:rFonts w:ascii="Verdana" w:hAnsi="Verdana"/>
          <w:sz w:val="20"/>
          <w:szCs w:val="20"/>
          <w:lang w:val="es-CR"/>
        </w:rPr>
        <w:t>“</w:t>
      </w:r>
      <w:proofErr w:type="spellStart"/>
      <w:r w:rsidRPr="0076651B">
        <w:rPr>
          <w:rFonts w:ascii="Verdana" w:hAnsi="Verdana"/>
          <w:sz w:val="20"/>
          <w:szCs w:val="20"/>
          <w:lang w:val="es-CR"/>
        </w:rPr>
        <w:t>faltamiento</w:t>
      </w:r>
      <w:proofErr w:type="spellEnd"/>
      <w:r w:rsidRPr="0076651B">
        <w:rPr>
          <w:rFonts w:ascii="Verdana" w:hAnsi="Verdana"/>
          <w:sz w:val="20"/>
          <w:szCs w:val="20"/>
          <w:lang w:val="es-CR"/>
        </w:rPr>
        <w:t xml:space="preserve"> grave de palabra</w:t>
      </w:r>
      <w:r w:rsidR="00F24C42">
        <w:rPr>
          <w:rFonts w:ascii="Verdana" w:hAnsi="Verdana"/>
          <w:sz w:val="20"/>
          <w:szCs w:val="20"/>
          <w:lang w:val="es-CR"/>
        </w:rPr>
        <w:t>”</w:t>
      </w:r>
      <w:r>
        <w:rPr>
          <w:rFonts w:ascii="Verdana" w:hAnsi="Verdana"/>
          <w:sz w:val="20"/>
          <w:szCs w:val="20"/>
          <w:lang w:val="es-CR"/>
        </w:rPr>
        <w:t>.</w:t>
      </w:r>
    </w:p>
    <w:p w14:paraId="4FE38E68" w14:textId="77777777" w:rsidR="008C33CE" w:rsidRPr="0076651B" w:rsidRDefault="008C33CE" w:rsidP="008C33CE">
      <w:pPr>
        <w:pStyle w:val="ListParagraph"/>
        <w:ind w:left="0"/>
        <w:jc w:val="both"/>
        <w:rPr>
          <w:rFonts w:ascii="Verdana" w:hAnsi="Verdana"/>
          <w:sz w:val="20"/>
          <w:szCs w:val="20"/>
          <w:lang w:val="es-CR"/>
        </w:rPr>
      </w:pPr>
    </w:p>
    <w:p w14:paraId="7A079D2F" w14:textId="1E8A679A" w:rsidR="008C33CE" w:rsidRPr="0076651B" w:rsidRDefault="008C33CE" w:rsidP="00E66DD7">
      <w:pPr>
        <w:pStyle w:val="ListParagraph"/>
        <w:numPr>
          <w:ilvl w:val="0"/>
          <w:numId w:val="1"/>
        </w:numPr>
        <w:ind w:left="0" w:firstLine="0"/>
        <w:jc w:val="both"/>
        <w:rPr>
          <w:rFonts w:ascii="Verdana" w:hAnsi="Verdana"/>
          <w:sz w:val="20"/>
          <w:szCs w:val="20"/>
          <w:lang w:val="es-CR"/>
        </w:rPr>
      </w:pPr>
      <w:r w:rsidRPr="00A243D9">
        <w:rPr>
          <w:rFonts w:ascii="Verdana" w:hAnsi="Verdana"/>
          <w:sz w:val="20"/>
          <w:szCs w:val="20"/>
        </w:rPr>
        <w:t xml:space="preserve">En atención a las observaciones del Estado realizadas mediante escrito de 24 de febrero de 2017 la Corte estima que la </w:t>
      </w:r>
      <w:r w:rsidR="000D5308">
        <w:rPr>
          <w:rFonts w:ascii="Verdana" w:hAnsi="Verdana"/>
          <w:sz w:val="20"/>
          <w:szCs w:val="20"/>
        </w:rPr>
        <w:t xml:space="preserve">admisión y </w:t>
      </w:r>
      <w:r w:rsidRPr="00A243D9">
        <w:rPr>
          <w:rFonts w:ascii="Verdana" w:hAnsi="Verdana"/>
          <w:sz w:val="20"/>
          <w:szCs w:val="20"/>
        </w:rPr>
        <w:t xml:space="preserve">recepción del peritaje del señor Omar </w:t>
      </w:r>
      <w:proofErr w:type="spellStart"/>
      <w:r w:rsidRPr="00A243D9">
        <w:rPr>
          <w:rFonts w:ascii="Verdana" w:hAnsi="Verdana"/>
          <w:sz w:val="20"/>
          <w:szCs w:val="20"/>
        </w:rPr>
        <w:t>Sar</w:t>
      </w:r>
      <w:proofErr w:type="spellEnd"/>
      <w:r w:rsidRPr="00A243D9">
        <w:rPr>
          <w:rFonts w:ascii="Verdana" w:hAnsi="Verdana"/>
          <w:sz w:val="20"/>
          <w:szCs w:val="20"/>
        </w:rPr>
        <w:t xml:space="preserve"> Suárez fue decidida tanto en la Resolución de Convocatoria de 21 de noviembre de 2016 como en la decisión del </w:t>
      </w:r>
      <w:r w:rsidR="00F24C42">
        <w:rPr>
          <w:rFonts w:ascii="Verdana" w:hAnsi="Verdana"/>
          <w:sz w:val="20"/>
          <w:szCs w:val="20"/>
        </w:rPr>
        <w:t>P</w:t>
      </w:r>
      <w:r w:rsidRPr="00A243D9">
        <w:rPr>
          <w:rFonts w:ascii="Verdana" w:hAnsi="Verdana"/>
          <w:sz w:val="20"/>
          <w:szCs w:val="20"/>
        </w:rPr>
        <w:t>leno de la Corte</w:t>
      </w:r>
      <w:r w:rsidRPr="0061536D">
        <w:rPr>
          <w:rFonts w:ascii="Verdana" w:hAnsi="Verdana"/>
          <w:sz w:val="20"/>
          <w:szCs w:val="20"/>
        </w:rPr>
        <w:t>, mediante nota de Secretaría de 17 de febrero de 2017</w:t>
      </w:r>
      <w:r>
        <w:rPr>
          <w:rFonts w:ascii="Verdana" w:hAnsi="Verdana"/>
          <w:sz w:val="20"/>
          <w:szCs w:val="20"/>
        </w:rPr>
        <w:t xml:space="preserve"> (</w:t>
      </w:r>
      <w:r w:rsidR="00224537" w:rsidRPr="00224537">
        <w:rPr>
          <w:rFonts w:ascii="Verdana" w:hAnsi="Verdana"/>
          <w:i/>
          <w:sz w:val="20"/>
          <w:szCs w:val="20"/>
        </w:rPr>
        <w:t>supra</w:t>
      </w:r>
      <w:r>
        <w:rPr>
          <w:rFonts w:ascii="Verdana" w:hAnsi="Verdana"/>
          <w:sz w:val="20"/>
          <w:szCs w:val="20"/>
        </w:rPr>
        <w:t xml:space="preserve">, párr. </w:t>
      </w:r>
      <w:r w:rsidR="00FF0C2D">
        <w:rPr>
          <w:rFonts w:ascii="Verdana" w:hAnsi="Verdana"/>
          <w:sz w:val="20"/>
          <w:szCs w:val="20"/>
        </w:rPr>
        <w:t>31</w:t>
      </w:r>
      <w:r>
        <w:rPr>
          <w:rFonts w:ascii="Verdana" w:hAnsi="Verdana"/>
          <w:sz w:val="20"/>
          <w:szCs w:val="20"/>
        </w:rPr>
        <w:t>).</w:t>
      </w:r>
      <w:r w:rsidR="000D5308">
        <w:rPr>
          <w:rFonts w:ascii="Verdana" w:hAnsi="Verdana"/>
          <w:sz w:val="20"/>
          <w:szCs w:val="20"/>
        </w:rPr>
        <w:t xml:space="preserve"> </w:t>
      </w:r>
      <w:r w:rsidRPr="007D7DA8">
        <w:rPr>
          <w:rFonts w:ascii="Verdana" w:hAnsi="Verdana"/>
          <w:sz w:val="20"/>
          <w:szCs w:val="20"/>
        </w:rPr>
        <w:t>En cuanto al contenido del peritaje</w:t>
      </w:r>
      <w:r w:rsidRPr="007D7DA8">
        <w:rPr>
          <w:rFonts w:ascii="Verdana" w:hAnsi="Verdana"/>
          <w:sz w:val="20"/>
          <w:szCs w:val="20"/>
          <w:lang w:val="es-CR"/>
        </w:rPr>
        <w:t>, la Corte ha señalado que</w:t>
      </w:r>
      <w:r w:rsidRPr="00CB5A95">
        <w:rPr>
          <w:rFonts w:ascii="Verdana" w:hAnsi="Verdana"/>
          <w:sz w:val="20"/>
          <w:szCs w:val="20"/>
          <w:lang w:val="es-CR"/>
        </w:rPr>
        <w:t xml:space="preserve"> </w:t>
      </w:r>
      <w:r w:rsidRPr="0076651B">
        <w:rPr>
          <w:rFonts w:ascii="Verdana" w:hAnsi="Verdana"/>
          <w:sz w:val="20"/>
          <w:szCs w:val="20"/>
          <w:lang w:val="es-CR"/>
        </w:rPr>
        <w:t xml:space="preserve">los peritos se pueden referir tanto a puntos específicos de la </w:t>
      </w:r>
      <w:proofErr w:type="spellStart"/>
      <w:r w:rsidRPr="00CB5A95">
        <w:rPr>
          <w:rFonts w:ascii="Verdana" w:hAnsi="Verdana"/>
          <w:i/>
          <w:sz w:val="20"/>
          <w:szCs w:val="20"/>
          <w:lang w:val="es-CR"/>
        </w:rPr>
        <w:t>litis</w:t>
      </w:r>
      <w:proofErr w:type="spellEnd"/>
      <w:r w:rsidRPr="0076651B">
        <w:rPr>
          <w:rFonts w:ascii="Verdana" w:hAnsi="Verdana"/>
          <w:sz w:val="20"/>
          <w:szCs w:val="20"/>
          <w:lang w:val="es-CR"/>
        </w:rPr>
        <w:t xml:space="preserve"> como a cualquier otro punto relevante del litigio, siempre y cuando se circunscriban al objeto para el que fueron convocados</w:t>
      </w:r>
      <w:r w:rsidRPr="0076651B">
        <w:rPr>
          <w:rStyle w:val="FootnoteReference"/>
          <w:szCs w:val="20"/>
          <w:lang w:val="es-CR"/>
        </w:rPr>
        <w:footnoteReference w:id="25"/>
      </w:r>
      <w:r w:rsidRPr="0076651B">
        <w:rPr>
          <w:rFonts w:ascii="Verdana" w:hAnsi="Verdana"/>
          <w:sz w:val="20"/>
          <w:szCs w:val="20"/>
          <w:lang w:val="es-CR"/>
        </w:rPr>
        <w:t xml:space="preserve">. </w:t>
      </w:r>
      <w:r>
        <w:rPr>
          <w:rFonts w:ascii="Verdana" w:hAnsi="Verdana"/>
          <w:sz w:val="20"/>
          <w:szCs w:val="20"/>
          <w:lang w:val="es-CR"/>
        </w:rPr>
        <w:t>La</w:t>
      </w:r>
      <w:r w:rsidRPr="0076651B">
        <w:rPr>
          <w:rFonts w:ascii="Verdana" w:hAnsi="Verdana"/>
          <w:sz w:val="20"/>
          <w:szCs w:val="20"/>
          <w:lang w:val="es-CR"/>
        </w:rPr>
        <w:t xml:space="preserve"> Corte determina que las declaraciones esbozadas en los párrafos anteriormente mencionados hacen referencia al alcance, contenido y restricciones legítimas del derecho a la libertad de expresión en el contexto laboral y enfocado en los representantes de una organización sindical y del Comité Electoral de la Comunidad Industrial. Con base en </w:t>
      </w:r>
      <w:r w:rsidR="00F24C42">
        <w:rPr>
          <w:rFonts w:ascii="Verdana" w:hAnsi="Verdana"/>
          <w:sz w:val="20"/>
          <w:szCs w:val="20"/>
          <w:lang w:val="es-CR"/>
        </w:rPr>
        <w:t>la Resolución de Convocatoria</w:t>
      </w:r>
      <w:r w:rsidRPr="0076651B">
        <w:rPr>
          <w:rFonts w:ascii="Verdana" w:hAnsi="Verdana"/>
          <w:sz w:val="20"/>
          <w:szCs w:val="20"/>
          <w:lang w:val="es-CR"/>
        </w:rPr>
        <w:t>, la Corte admite el peritaje señalado en cuanto se ajusta al objeto ordenado y lo valorará conjuntamente con el resto del acervo probatorio y de conformidad con las reglas de la sana crítica.</w:t>
      </w:r>
    </w:p>
    <w:p w14:paraId="1B7B4FE9" w14:textId="77777777" w:rsidR="008C33CE" w:rsidRPr="0076651B" w:rsidRDefault="008C33CE" w:rsidP="008C33CE">
      <w:pPr>
        <w:tabs>
          <w:tab w:val="left" w:pos="426"/>
        </w:tabs>
        <w:jc w:val="both"/>
        <w:rPr>
          <w:rFonts w:ascii="Verdana" w:hAnsi="Verdana"/>
          <w:sz w:val="20"/>
          <w:szCs w:val="20"/>
          <w:lang w:val="es-CR"/>
        </w:rPr>
      </w:pPr>
    </w:p>
    <w:p w14:paraId="64B550D2" w14:textId="77777777" w:rsidR="008C33CE" w:rsidRPr="006F79F4" w:rsidRDefault="008C33CE" w:rsidP="00E66DD7">
      <w:pPr>
        <w:pStyle w:val="Heading2"/>
        <w:numPr>
          <w:ilvl w:val="0"/>
          <w:numId w:val="19"/>
        </w:numPr>
        <w:rPr>
          <w:rFonts w:eastAsia="MS Gothic"/>
          <w:i/>
          <w:lang w:val="es-CR"/>
        </w:rPr>
      </w:pPr>
      <w:bookmarkStart w:id="16" w:name="_Toc498333481"/>
      <w:r w:rsidRPr="006F79F4">
        <w:rPr>
          <w:rFonts w:eastAsia="MS Gothic"/>
          <w:i/>
          <w:lang w:val="es-CR"/>
        </w:rPr>
        <w:t>Valoración de la prueba</w:t>
      </w:r>
      <w:bookmarkEnd w:id="16"/>
    </w:p>
    <w:p w14:paraId="1AEA6474" w14:textId="77777777" w:rsidR="008C33CE" w:rsidRPr="00375165" w:rsidRDefault="008C33CE" w:rsidP="008C33CE">
      <w:pPr>
        <w:pStyle w:val="ListParagraph"/>
        <w:rPr>
          <w:rFonts w:ascii="Verdana" w:hAnsi="Verdana"/>
          <w:sz w:val="20"/>
          <w:szCs w:val="20"/>
        </w:rPr>
      </w:pPr>
    </w:p>
    <w:p w14:paraId="2D1C79A7" w14:textId="77777777" w:rsidR="008C33CE" w:rsidRPr="00375165" w:rsidRDefault="008C33CE" w:rsidP="00E66DD7">
      <w:pPr>
        <w:pStyle w:val="ListParagraph"/>
        <w:numPr>
          <w:ilvl w:val="0"/>
          <w:numId w:val="1"/>
        </w:numPr>
        <w:ind w:left="0" w:firstLine="0"/>
        <w:jc w:val="both"/>
        <w:rPr>
          <w:rFonts w:ascii="Verdana" w:eastAsia="Times New Roman" w:hAnsi="Verdana"/>
          <w:sz w:val="20"/>
          <w:szCs w:val="20"/>
        </w:rPr>
      </w:pPr>
      <w:r w:rsidRPr="00375165">
        <w:rPr>
          <w:rFonts w:ascii="Verdana" w:eastAsia="Times New Roman" w:hAnsi="Verdana"/>
          <w:sz w:val="20"/>
          <w:szCs w:val="20"/>
        </w:rPr>
        <w:t>Con base en su jurisprudencia constante respecto de la prueba y su apreciación, la Corte examinará y valorará los elementos probatorios documentales remitidos por las partes y la Comisión, las declaraciones, testimonios y dictámenes periciales, así como la prueba para mejor resolver solicitada e incorporada por este Tribunal, al establecer los hechos del caso y pronunciarse sobre el fondo. Para ello se sujeta a los principios de la sana crítica, dentro del marco normativo correspondiente, teniendo en cuenta el conjunto del acervo probatorio y lo alegado en la causa</w:t>
      </w:r>
      <w:r w:rsidRPr="00375165">
        <w:rPr>
          <w:rFonts w:ascii="Verdana" w:eastAsia="Times New Roman" w:hAnsi="Verdana"/>
          <w:sz w:val="20"/>
          <w:szCs w:val="20"/>
          <w:vertAlign w:val="superscript"/>
        </w:rPr>
        <w:footnoteReference w:id="26"/>
      </w:r>
      <w:r w:rsidRPr="00375165">
        <w:rPr>
          <w:rFonts w:ascii="Verdana" w:eastAsia="Times New Roman" w:hAnsi="Verdana"/>
          <w:sz w:val="20"/>
          <w:szCs w:val="20"/>
        </w:rPr>
        <w:t>.</w:t>
      </w:r>
    </w:p>
    <w:p w14:paraId="3873C865" w14:textId="77777777" w:rsidR="008C33CE" w:rsidRPr="00375165" w:rsidRDefault="008C33CE" w:rsidP="008C33CE">
      <w:pPr>
        <w:pStyle w:val="ListParagraph"/>
        <w:ind w:left="0"/>
        <w:jc w:val="both"/>
        <w:rPr>
          <w:rFonts w:ascii="Verdana" w:eastAsia="Times New Roman" w:hAnsi="Verdana"/>
          <w:sz w:val="20"/>
          <w:szCs w:val="20"/>
        </w:rPr>
      </w:pPr>
    </w:p>
    <w:p w14:paraId="4CDBA488" w14:textId="77777777" w:rsidR="008C33CE" w:rsidRDefault="008C33CE" w:rsidP="00E66DD7">
      <w:pPr>
        <w:pStyle w:val="ListParagraph"/>
        <w:numPr>
          <w:ilvl w:val="0"/>
          <w:numId w:val="1"/>
        </w:numPr>
        <w:ind w:left="0" w:firstLine="0"/>
        <w:jc w:val="both"/>
        <w:rPr>
          <w:rFonts w:ascii="Verdana" w:eastAsia="Times New Roman" w:hAnsi="Verdana"/>
          <w:sz w:val="20"/>
          <w:szCs w:val="20"/>
        </w:rPr>
      </w:pPr>
      <w:r w:rsidRPr="00375165">
        <w:rPr>
          <w:rFonts w:ascii="Verdana" w:eastAsia="Times New Roman" w:hAnsi="Verdana"/>
          <w:sz w:val="20"/>
          <w:szCs w:val="20"/>
        </w:rPr>
        <w:t>Asimismo, conforme a la jurisprudencia de este Tribunal, la declaración rendida por la presunta víctima no puede ser valorada aisladamente sino dentro del conjunto de las pruebas del proceso, en la medida en que puede proporcionar mayor información sobre las presuntas violaciones y sus consecuencias</w:t>
      </w:r>
      <w:r w:rsidRPr="00375165">
        <w:rPr>
          <w:rFonts w:ascii="Verdana" w:eastAsia="Times New Roman" w:hAnsi="Verdana"/>
          <w:sz w:val="20"/>
          <w:szCs w:val="20"/>
          <w:vertAlign w:val="superscript"/>
        </w:rPr>
        <w:footnoteReference w:id="27"/>
      </w:r>
      <w:r w:rsidRPr="00375165">
        <w:rPr>
          <w:rFonts w:ascii="Verdana" w:eastAsia="Times New Roman" w:hAnsi="Verdana"/>
          <w:sz w:val="20"/>
          <w:szCs w:val="20"/>
        </w:rPr>
        <w:t>.</w:t>
      </w:r>
    </w:p>
    <w:p w14:paraId="6796056D" w14:textId="77777777" w:rsidR="009E58AE" w:rsidRPr="0076651B" w:rsidRDefault="009E58AE" w:rsidP="009E58AE">
      <w:pPr>
        <w:rPr>
          <w:rFonts w:ascii="Verdana" w:eastAsia="Times New Roman" w:hAnsi="Verdana"/>
          <w:sz w:val="20"/>
          <w:szCs w:val="20"/>
        </w:rPr>
      </w:pPr>
    </w:p>
    <w:p w14:paraId="57884309" w14:textId="77777777" w:rsidR="008C33CE" w:rsidRDefault="008C33CE" w:rsidP="009E58AE">
      <w:pPr>
        <w:pStyle w:val="Heading1"/>
        <w:tabs>
          <w:tab w:val="left" w:pos="851"/>
        </w:tabs>
        <w:spacing w:before="0"/>
        <w:jc w:val="center"/>
        <w:rPr>
          <w:rFonts w:cs="Verdana"/>
          <w:caps/>
          <w:snapToGrid w:val="0"/>
          <w:szCs w:val="20"/>
        </w:rPr>
      </w:pPr>
    </w:p>
    <w:p w14:paraId="6796056E" w14:textId="7DB99F89" w:rsidR="009E58AE" w:rsidRPr="006948D3" w:rsidRDefault="00374FC9" w:rsidP="009E58AE">
      <w:pPr>
        <w:pStyle w:val="Heading1"/>
        <w:tabs>
          <w:tab w:val="left" w:pos="851"/>
        </w:tabs>
        <w:spacing w:before="0"/>
        <w:jc w:val="center"/>
        <w:rPr>
          <w:rFonts w:cs="Verdana"/>
          <w:caps/>
          <w:snapToGrid w:val="0"/>
          <w:szCs w:val="20"/>
        </w:rPr>
      </w:pPr>
      <w:bookmarkStart w:id="17" w:name="_Toc498333482"/>
      <w:r w:rsidRPr="006948D3">
        <w:rPr>
          <w:rFonts w:cs="Verdana"/>
          <w:caps/>
          <w:snapToGrid w:val="0"/>
          <w:szCs w:val="20"/>
        </w:rPr>
        <w:t>Vi</w:t>
      </w:r>
      <w:r w:rsidR="009E58AE" w:rsidRPr="006948D3">
        <w:rPr>
          <w:rFonts w:cs="Verdana"/>
          <w:caps/>
          <w:snapToGrid w:val="0"/>
          <w:szCs w:val="20"/>
        </w:rPr>
        <w:br/>
        <w:t>hechos</w:t>
      </w:r>
      <w:bookmarkEnd w:id="17"/>
    </w:p>
    <w:p w14:paraId="6796056F" w14:textId="77777777" w:rsidR="009E58AE" w:rsidRPr="006948D3" w:rsidRDefault="009E58AE" w:rsidP="009E58AE">
      <w:pPr>
        <w:jc w:val="both"/>
        <w:rPr>
          <w:rFonts w:ascii="Verdana" w:hAnsi="Verdana"/>
          <w:spacing w:val="-2"/>
          <w:sz w:val="20"/>
          <w:szCs w:val="20"/>
        </w:rPr>
      </w:pPr>
    </w:p>
    <w:p w14:paraId="2983E08D" w14:textId="5F1712D9" w:rsidR="00D73A3B" w:rsidRPr="00333304" w:rsidRDefault="007912F7" w:rsidP="00E66DD7">
      <w:pPr>
        <w:pStyle w:val="ListParagraph"/>
        <w:numPr>
          <w:ilvl w:val="0"/>
          <w:numId w:val="1"/>
        </w:numPr>
        <w:ind w:left="0" w:firstLine="0"/>
        <w:jc w:val="both"/>
        <w:rPr>
          <w:rFonts w:ascii="Verdana" w:hAnsi="Verdana"/>
          <w:strike/>
          <w:spacing w:val="-2"/>
          <w:sz w:val="20"/>
          <w:szCs w:val="20"/>
          <w:lang w:val="es-CR"/>
        </w:rPr>
      </w:pPr>
      <w:r w:rsidRPr="006948D3">
        <w:rPr>
          <w:rFonts w:ascii="Verdana" w:hAnsi="Verdana"/>
          <w:spacing w:val="-2"/>
          <w:sz w:val="20"/>
          <w:szCs w:val="20"/>
          <w:lang w:val="es-CR"/>
        </w:rPr>
        <w:t xml:space="preserve">En </w:t>
      </w:r>
      <w:r w:rsidRPr="006948D3">
        <w:rPr>
          <w:rFonts w:ascii="Verdana" w:eastAsia="Times New Roman" w:hAnsi="Verdana"/>
          <w:sz w:val="20"/>
          <w:szCs w:val="20"/>
        </w:rPr>
        <w:t>este</w:t>
      </w:r>
      <w:r w:rsidRPr="006948D3">
        <w:rPr>
          <w:rFonts w:ascii="Verdana" w:hAnsi="Verdana"/>
          <w:spacing w:val="-2"/>
          <w:sz w:val="20"/>
          <w:szCs w:val="20"/>
          <w:lang w:val="es-CR"/>
        </w:rPr>
        <w:t xml:space="preserve"> capítulo se establecerán los hechos del presente caso, con base en el marco fáctico sometido al conocimiento de la Corte por la Comisión, tomando en consideración el acervo probatorio del caso, así como lo alegado por los representantes y el Estado. De esta forma, los mismos serán expuestos en los siguientes apartados: a) las Comunidades Industriales en el Perú; b) antecedentes, funciones y competencias del señor Lagos del Campo como dirigente laboral; c) </w:t>
      </w:r>
      <w:r w:rsidRPr="006948D3">
        <w:rPr>
          <w:rFonts w:ascii="Verdana" w:hAnsi="Verdana"/>
          <w:spacing w:val="-2"/>
          <w:sz w:val="20"/>
          <w:szCs w:val="20"/>
          <w:lang w:val="es-CR"/>
        </w:rPr>
        <w:lastRenderedPageBreak/>
        <w:t>el despido del señor Lagos del Campo y el marco legal aplicable a ello; d) las acciones judiciales intentadas por el señor Lagos del Campo, y e) su situación después del despido.</w:t>
      </w:r>
    </w:p>
    <w:p w14:paraId="5851E457" w14:textId="77777777" w:rsidR="00D73A3B" w:rsidRPr="00D73A3B" w:rsidRDefault="00D73A3B" w:rsidP="00D73A3B">
      <w:pPr>
        <w:jc w:val="both"/>
        <w:rPr>
          <w:rFonts w:ascii="Verdana" w:hAnsi="Verdana"/>
          <w:b/>
          <w:sz w:val="20"/>
          <w:szCs w:val="20"/>
          <w:lang w:val="es-CR"/>
        </w:rPr>
      </w:pPr>
    </w:p>
    <w:p w14:paraId="2CCC10F2" w14:textId="746DB33D" w:rsidR="00275EDE" w:rsidRDefault="00275EDE" w:rsidP="00E66DD7">
      <w:pPr>
        <w:pStyle w:val="Heading2"/>
        <w:numPr>
          <w:ilvl w:val="0"/>
          <w:numId w:val="12"/>
        </w:numPr>
        <w:rPr>
          <w:rFonts w:eastAsia="MS Gothic"/>
          <w:i/>
          <w:lang w:val="es-CR"/>
        </w:rPr>
      </w:pPr>
      <w:bookmarkStart w:id="18" w:name="_Toc498333483"/>
      <w:r w:rsidRPr="00D73A3B">
        <w:rPr>
          <w:rFonts w:eastAsia="MS Gothic"/>
          <w:i/>
          <w:lang w:val="es-CR"/>
        </w:rPr>
        <w:t>Las Comunidades Industriales en el Perú</w:t>
      </w:r>
      <w:bookmarkEnd w:id="18"/>
      <w:r w:rsidR="00D73A3B" w:rsidRPr="00D73A3B">
        <w:rPr>
          <w:rFonts w:eastAsia="MS Gothic"/>
          <w:i/>
          <w:lang w:val="es-CR"/>
        </w:rPr>
        <w:t xml:space="preserve"> </w:t>
      </w:r>
    </w:p>
    <w:p w14:paraId="1C3858AE" w14:textId="77777777" w:rsidR="00D73A3B" w:rsidRPr="00D73A3B" w:rsidRDefault="00D73A3B" w:rsidP="00D73A3B">
      <w:pPr>
        <w:rPr>
          <w:lang w:val="es-CR"/>
        </w:rPr>
      </w:pPr>
    </w:p>
    <w:p w14:paraId="2330291F" w14:textId="3EB531E6" w:rsidR="007912F7" w:rsidRDefault="00275EDE" w:rsidP="00E66DD7">
      <w:pPr>
        <w:pStyle w:val="ListParagraph"/>
        <w:numPr>
          <w:ilvl w:val="0"/>
          <w:numId w:val="1"/>
        </w:numPr>
        <w:ind w:left="0" w:hanging="11"/>
        <w:jc w:val="both"/>
        <w:rPr>
          <w:rFonts w:ascii="Verdana" w:hAnsi="Verdana"/>
          <w:b/>
          <w:sz w:val="20"/>
          <w:szCs w:val="20"/>
        </w:rPr>
      </w:pPr>
      <w:r w:rsidRPr="00275EDE">
        <w:rPr>
          <w:rFonts w:ascii="Verdana" w:hAnsi="Verdana"/>
          <w:sz w:val="20"/>
          <w:szCs w:val="20"/>
        </w:rPr>
        <w:t>La figura de la Comunidad Industrial fue incorporada en la normativa peruana el 27 de julio de 1970 fecha en la que se aprobó la Ley General de Industrias ("Decreto-Ley 18350”)</w:t>
      </w:r>
      <w:r w:rsidRPr="005D0ACD">
        <w:rPr>
          <w:rFonts w:ascii="Verdana" w:hAnsi="Verdana"/>
          <w:sz w:val="20"/>
          <w:szCs w:val="20"/>
          <w:vertAlign w:val="superscript"/>
        </w:rPr>
        <w:footnoteReference w:id="28"/>
      </w:r>
      <w:r w:rsidRPr="00275EDE">
        <w:rPr>
          <w:rFonts w:ascii="Verdana" w:hAnsi="Verdana"/>
          <w:sz w:val="20"/>
          <w:szCs w:val="20"/>
        </w:rPr>
        <w:t>. En dicha norma, en su artículo 23 se estableció que la Comunidad Industrial era</w:t>
      </w:r>
      <w:r w:rsidR="00446E9C">
        <w:rPr>
          <w:rFonts w:ascii="Verdana" w:hAnsi="Verdana"/>
          <w:sz w:val="20"/>
          <w:szCs w:val="20"/>
        </w:rPr>
        <w:t xml:space="preserve"> una</w:t>
      </w:r>
      <w:r w:rsidRPr="00275EDE">
        <w:rPr>
          <w:rFonts w:ascii="Verdana" w:hAnsi="Verdana"/>
          <w:sz w:val="20"/>
          <w:szCs w:val="20"/>
        </w:rPr>
        <w:t xml:space="preserve"> persona jurídica que nacía en una empresa industrial, como representación del conjunto de los trabajadores que a tiempo completo laboraban en ella, y cuyos objetivos se establecieron a partir del Decreto Ley 18384</w:t>
      </w:r>
      <w:r w:rsidRPr="005D0ACD">
        <w:rPr>
          <w:rFonts w:ascii="Verdana" w:hAnsi="Verdana"/>
          <w:sz w:val="20"/>
          <w:szCs w:val="20"/>
          <w:vertAlign w:val="superscript"/>
        </w:rPr>
        <w:footnoteReference w:id="29"/>
      </w:r>
      <w:r w:rsidRPr="00275EDE">
        <w:rPr>
          <w:rFonts w:ascii="Verdana" w:hAnsi="Verdana"/>
          <w:sz w:val="20"/>
          <w:szCs w:val="20"/>
        </w:rPr>
        <w:t>.</w:t>
      </w:r>
      <w:r w:rsidRPr="00275EDE">
        <w:rPr>
          <w:rFonts w:ascii="Verdana" w:hAnsi="Verdana"/>
          <w:b/>
          <w:sz w:val="20"/>
          <w:szCs w:val="20"/>
        </w:rPr>
        <w:t xml:space="preserve"> </w:t>
      </w:r>
    </w:p>
    <w:p w14:paraId="3A11ADD8" w14:textId="77777777" w:rsidR="007912F7" w:rsidRDefault="007912F7" w:rsidP="00557859">
      <w:pPr>
        <w:pStyle w:val="ListParagraph"/>
        <w:ind w:left="0"/>
        <w:jc w:val="both"/>
        <w:rPr>
          <w:rFonts w:ascii="Verdana" w:hAnsi="Verdana"/>
          <w:b/>
          <w:sz w:val="20"/>
          <w:szCs w:val="20"/>
        </w:rPr>
      </w:pPr>
    </w:p>
    <w:p w14:paraId="3A205016" w14:textId="4BB74A28" w:rsidR="00275EDE" w:rsidRPr="00275EDE" w:rsidRDefault="00446E9C" w:rsidP="00E66DD7">
      <w:pPr>
        <w:pStyle w:val="ListParagraph"/>
        <w:numPr>
          <w:ilvl w:val="0"/>
          <w:numId w:val="1"/>
        </w:numPr>
        <w:ind w:left="0" w:hanging="11"/>
        <w:jc w:val="both"/>
        <w:rPr>
          <w:rFonts w:ascii="Verdana" w:hAnsi="Verdana"/>
          <w:b/>
          <w:sz w:val="20"/>
          <w:szCs w:val="20"/>
        </w:rPr>
      </w:pPr>
      <w:r>
        <w:rPr>
          <w:rFonts w:ascii="Verdana" w:hAnsi="Verdana"/>
          <w:sz w:val="20"/>
          <w:szCs w:val="20"/>
        </w:rPr>
        <w:t>E</w:t>
      </w:r>
      <w:r w:rsidR="00275EDE" w:rsidRPr="00275EDE">
        <w:rPr>
          <w:rFonts w:ascii="Verdana" w:hAnsi="Verdana"/>
          <w:sz w:val="20"/>
          <w:szCs w:val="20"/>
        </w:rPr>
        <w:t>n febrero 1977 se promulgó la Ley de la Comunidad Industrial ("Decreto-Ley 21789”), mediante la cual se reform</w:t>
      </w:r>
      <w:r w:rsidR="00A451D6">
        <w:rPr>
          <w:rFonts w:ascii="Verdana" w:hAnsi="Verdana"/>
          <w:sz w:val="20"/>
          <w:szCs w:val="20"/>
        </w:rPr>
        <w:t>ó la normatividad previamente existente</w:t>
      </w:r>
      <w:r w:rsidR="00275EDE" w:rsidRPr="005D0ACD">
        <w:rPr>
          <w:rFonts w:ascii="Verdana" w:hAnsi="Verdana"/>
          <w:sz w:val="20"/>
          <w:szCs w:val="20"/>
          <w:vertAlign w:val="superscript"/>
        </w:rPr>
        <w:footnoteReference w:id="30"/>
      </w:r>
      <w:r w:rsidR="00275EDE" w:rsidRPr="00275EDE">
        <w:rPr>
          <w:rFonts w:ascii="Verdana" w:hAnsi="Verdana"/>
          <w:sz w:val="20"/>
          <w:szCs w:val="20"/>
        </w:rPr>
        <w:t xml:space="preserve">. Según </w:t>
      </w:r>
      <w:r w:rsidR="007912F7">
        <w:rPr>
          <w:rFonts w:ascii="Verdana" w:hAnsi="Verdana"/>
          <w:sz w:val="20"/>
          <w:szCs w:val="20"/>
        </w:rPr>
        <w:t>dicha ley</w:t>
      </w:r>
      <w:r w:rsidR="00275EDE" w:rsidRPr="00275EDE">
        <w:rPr>
          <w:rFonts w:ascii="Verdana" w:hAnsi="Verdana"/>
          <w:sz w:val="20"/>
          <w:szCs w:val="20"/>
        </w:rPr>
        <w:t>, "</w:t>
      </w:r>
      <w:r w:rsidR="00F969B2">
        <w:rPr>
          <w:rFonts w:ascii="Verdana" w:hAnsi="Verdana"/>
          <w:sz w:val="20"/>
          <w:szCs w:val="20"/>
        </w:rPr>
        <w:t>[</w:t>
      </w:r>
      <w:r w:rsidR="00275EDE" w:rsidRPr="00275EDE">
        <w:rPr>
          <w:rFonts w:ascii="Verdana" w:hAnsi="Verdana"/>
          <w:sz w:val="20"/>
          <w:szCs w:val="20"/>
        </w:rPr>
        <w:t>l</w:t>
      </w:r>
      <w:r w:rsidR="00F969B2">
        <w:rPr>
          <w:rFonts w:ascii="Verdana" w:hAnsi="Verdana"/>
          <w:sz w:val="20"/>
          <w:szCs w:val="20"/>
        </w:rPr>
        <w:t>]</w:t>
      </w:r>
      <w:r w:rsidR="00275EDE" w:rsidRPr="00275EDE">
        <w:rPr>
          <w:rFonts w:ascii="Verdana" w:hAnsi="Verdana"/>
          <w:sz w:val="20"/>
          <w:szCs w:val="20"/>
        </w:rPr>
        <w:t xml:space="preserve">a Comunidad Industrial de una empresa industrial del Sector Privado Reformado, </w:t>
      </w:r>
      <w:proofErr w:type="gramStart"/>
      <w:r w:rsidR="00275EDE" w:rsidRPr="00275EDE">
        <w:rPr>
          <w:rFonts w:ascii="Verdana" w:hAnsi="Verdana"/>
          <w:sz w:val="20"/>
          <w:szCs w:val="20"/>
        </w:rPr>
        <w:t>esta</w:t>
      </w:r>
      <w:r w:rsidR="00F969B2">
        <w:rPr>
          <w:rFonts w:ascii="Verdana" w:hAnsi="Verdana"/>
          <w:sz w:val="20"/>
          <w:szCs w:val="20"/>
        </w:rPr>
        <w:t>[</w:t>
      </w:r>
      <w:proofErr w:type="spellStart"/>
      <w:proofErr w:type="gramEnd"/>
      <w:r w:rsidR="00275EDE" w:rsidRPr="00275EDE">
        <w:rPr>
          <w:rFonts w:ascii="Verdana" w:hAnsi="Verdana"/>
          <w:sz w:val="20"/>
          <w:szCs w:val="20"/>
        </w:rPr>
        <w:t>ba</w:t>
      </w:r>
      <w:proofErr w:type="spellEnd"/>
      <w:r w:rsidR="00F969B2">
        <w:rPr>
          <w:rFonts w:ascii="Verdana" w:hAnsi="Verdana"/>
          <w:sz w:val="20"/>
          <w:szCs w:val="20"/>
        </w:rPr>
        <w:t>]</w:t>
      </w:r>
      <w:r w:rsidR="00275EDE" w:rsidRPr="00275EDE">
        <w:rPr>
          <w:rFonts w:ascii="Verdana" w:hAnsi="Verdana"/>
          <w:sz w:val="20"/>
          <w:szCs w:val="20"/>
        </w:rPr>
        <w:t xml:space="preserve"> conformada por todos los trabajadores estables que laboraban en ella, los que participan en su propiedad, gestión y utilidades”</w:t>
      </w:r>
      <w:r w:rsidR="00275EDE" w:rsidRPr="005D0ACD">
        <w:rPr>
          <w:rFonts w:ascii="Verdana" w:hAnsi="Verdana"/>
          <w:sz w:val="20"/>
          <w:szCs w:val="20"/>
          <w:vertAlign w:val="superscript"/>
        </w:rPr>
        <w:footnoteReference w:id="31"/>
      </w:r>
      <w:r w:rsidR="00275EDE" w:rsidRPr="00275EDE">
        <w:rPr>
          <w:rFonts w:ascii="Verdana" w:hAnsi="Verdana"/>
          <w:sz w:val="20"/>
          <w:szCs w:val="20"/>
        </w:rPr>
        <w:t xml:space="preserve">. Se constituyó como una persona jurídica de derecho privado cuyos fines eran: </w:t>
      </w:r>
      <w:r w:rsidR="00275EDE" w:rsidRPr="00275EDE">
        <w:rPr>
          <w:rFonts w:ascii="Verdana" w:hAnsi="Verdana"/>
          <w:sz w:val="20"/>
          <w:szCs w:val="20"/>
          <w:lang w:val="es-MX" w:eastAsia="es-MX"/>
        </w:rPr>
        <w:t>a) contribuir al establecimiento de formas constructivas de interrelación en la empresa industrial; b) fortalecer la empresa industrial, mediante la acción unitaria de sus miembros en la gestión y proceso productivo, y su participación en la propiedad del patrimonio empresarial</w:t>
      </w:r>
      <w:r w:rsidR="00275EDE" w:rsidRPr="005D0ACD">
        <w:rPr>
          <w:rFonts w:ascii="Verdana" w:hAnsi="Verdana"/>
          <w:sz w:val="20"/>
          <w:szCs w:val="20"/>
          <w:vertAlign w:val="superscript"/>
          <w:lang w:val="es-MX" w:eastAsia="es-MX"/>
        </w:rPr>
        <w:footnoteReference w:id="32"/>
      </w:r>
      <w:r w:rsidR="00275EDE" w:rsidRPr="00275EDE">
        <w:rPr>
          <w:rFonts w:ascii="Verdana" w:hAnsi="Verdana"/>
          <w:sz w:val="20"/>
          <w:szCs w:val="20"/>
          <w:lang w:val="es-MX" w:eastAsia="es-MX"/>
        </w:rPr>
        <w:t xml:space="preserve">; c) establecer una adecuada y racional distribución de los beneficios entre los </w:t>
      </w:r>
      <w:r w:rsidR="00275EDE" w:rsidRPr="00275EDE">
        <w:rPr>
          <w:rFonts w:ascii="Verdana" w:hAnsi="Verdana"/>
          <w:sz w:val="20"/>
          <w:szCs w:val="20"/>
          <w:lang w:val="es-MX" w:eastAsia="es-MX"/>
        </w:rPr>
        <w:lastRenderedPageBreak/>
        <w:t>inversionistas y trabajadores estables de una empresa industrial; y d) promover la capacitación permanente y el estímulo a la creatividad de los trabajadores de la empresa</w:t>
      </w:r>
      <w:r w:rsidR="00275EDE" w:rsidRPr="005D0ACD">
        <w:rPr>
          <w:rFonts w:ascii="Verdana" w:hAnsi="Verdana"/>
          <w:sz w:val="20"/>
          <w:szCs w:val="20"/>
          <w:vertAlign w:val="superscript"/>
          <w:lang w:val="es-MX" w:eastAsia="es-MX"/>
        </w:rPr>
        <w:footnoteReference w:id="33"/>
      </w:r>
      <w:r w:rsidR="00275EDE" w:rsidRPr="00275EDE">
        <w:rPr>
          <w:rFonts w:ascii="Verdana" w:hAnsi="Verdana"/>
          <w:sz w:val="20"/>
          <w:szCs w:val="20"/>
          <w:lang w:val="es-MX" w:eastAsia="es-MX"/>
        </w:rPr>
        <w:t>.</w:t>
      </w:r>
    </w:p>
    <w:p w14:paraId="04AD29EC" w14:textId="77777777" w:rsidR="00275EDE" w:rsidRPr="00275EDE" w:rsidRDefault="00275EDE" w:rsidP="005D0ACD">
      <w:pPr>
        <w:jc w:val="both"/>
        <w:rPr>
          <w:rFonts w:ascii="Verdana" w:hAnsi="Verdana"/>
          <w:sz w:val="20"/>
          <w:szCs w:val="20"/>
          <w:lang w:val="es-MX" w:eastAsia="es-MX"/>
        </w:rPr>
      </w:pPr>
    </w:p>
    <w:p w14:paraId="022DF29E" w14:textId="6CB9E988" w:rsidR="00275EDE" w:rsidRPr="00275EDE" w:rsidRDefault="007912F7" w:rsidP="00E66DD7">
      <w:pPr>
        <w:pStyle w:val="ListParagraph"/>
        <w:numPr>
          <w:ilvl w:val="0"/>
          <w:numId w:val="1"/>
        </w:numPr>
        <w:ind w:left="0" w:hanging="11"/>
        <w:jc w:val="both"/>
        <w:rPr>
          <w:rFonts w:ascii="Verdana" w:hAnsi="Verdana"/>
          <w:b/>
          <w:sz w:val="20"/>
          <w:szCs w:val="20"/>
        </w:rPr>
      </w:pPr>
      <w:r>
        <w:rPr>
          <w:rFonts w:ascii="Verdana" w:hAnsi="Verdana"/>
          <w:sz w:val="20"/>
          <w:szCs w:val="20"/>
          <w:lang w:val="es-MX" w:eastAsia="es-MX"/>
        </w:rPr>
        <w:t>Asimismo, l</w:t>
      </w:r>
      <w:r w:rsidR="00275EDE" w:rsidRPr="00275EDE">
        <w:rPr>
          <w:rFonts w:ascii="Verdana" w:hAnsi="Verdana"/>
          <w:sz w:val="20"/>
          <w:szCs w:val="20"/>
          <w:lang w:val="es-MX" w:eastAsia="es-MX"/>
        </w:rPr>
        <w:t xml:space="preserve">a Comunidad Industrial constituía un régimen de promoción industrial y laboral </w:t>
      </w:r>
      <w:r w:rsidR="00275EDE" w:rsidRPr="00275EDE">
        <w:rPr>
          <w:rFonts w:ascii="Verdana" w:hAnsi="Verdana"/>
          <w:i/>
          <w:sz w:val="20"/>
          <w:szCs w:val="20"/>
          <w:lang w:val="es-MX" w:eastAsia="es-MX"/>
        </w:rPr>
        <w:t>sui generis</w:t>
      </w:r>
      <w:r w:rsidR="00275EDE" w:rsidRPr="00275EDE">
        <w:rPr>
          <w:rFonts w:ascii="Verdana" w:hAnsi="Verdana"/>
          <w:sz w:val="20"/>
          <w:szCs w:val="20"/>
          <w:lang w:val="es-MX" w:eastAsia="es-MX"/>
        </w:rPr>
        <w:t xml:space="preserve">, aplicable a </w:t>
      </w:r>
      <w:r>
        <w:rPr>
          <w:rFonts w:ascii="Verdana" w:hAnsi="Verdana"/>
          <w:sz w:val="20"/>
          <w:szCs w:val="20"/>
        </w:rPr>
        <w:t>“</w:t>
      </w:r>
      <w:r w:rsidR="00275EDE" w:rsidRPr="00275EDE">
        <w:rPr>
          <w:rFonts w:ascii="Verdana" w:hAnsi="Verdana"/>
          <w:sz w:val="20"/>
          <w:szCs w:val="20"/>
          <w:lang w:val="es-MX" w:eastAsia="es-MX"/>
        </w:rPr>
        <w:t>todas las empresas industriales manufactureras del Sector Privado Reformado, que se regían por la Ley General de Industrias, Decreto-Ley 18350, cualquiera fuera el ámbito administrativo bajo el cual se encontraran comprendidas</w:t>
      </w:r>
      <w:r w:rsidR="00275EDE" w:rsidRPr="00275EDE">
        <w:rPr>
          <w:rFonts w:ascii="Verdana" w:hAnsi="Verdana"/>
          <w:sz w:val="20"/>
          <w:szCs w:val="20"/>
        </w:rPr>
        <w:t>”</w:t>
      </w:r>
      <w:r w:rsidR="00275EDE" w:rsidRPr="005D0ACD">
        <w:rPr>
          <w:rFonts w:ascii="Verdana" w:hAnsi="Verdana"/>
          <w:sz w:val="20"/>
          <w:szCs w:val="20"/>
          <w:vertAlign w:val="superscript"/>
        </w:rPr>
        <w:footnoteReference w:id="34"/>
      </w:r>
      <w:r w:rsidR="00275EDE" w:rsidRPr="00275EDE">
        <w:rPr>
          <w:rFonts w:ascii="Verdana" w:hAnsi="Verdana"/>
          <w:sz w:val="20"/>
          <w:szCs w:val="20"/>
        </w:rPr>
        <w:t xml:space="preserve">. Así, las empresas parte de dicho Sector Privado Reformado tenían la obligación de constituir una Comunidad Industrial. </w:t>
      </w:r>
    </w:p>
    <w:p w14:paraId="37C14D7F" w14:textId="77777777" w:rsidR="00275EDE" w:rsidRPr="00275EDE" w:rsidRDefault="00275EDE" w:rsidP="005D0ACD">
      <w:pPr>
        <w:jc w:val="both"/>
        <w:rPr>
          <w:rFonts w:ascii="Verdana" w:hAnsi="Verdana"/>
          <w:sz w:val="20"/>
          <w:szCs w:val="20"/>
          <w:lang w:val="es-MX" w:eastAsia="es-MX"/>
        </w:rPr>
      </w:pPr>
    </w:p>
    <w:p w14:paraId="0DC6E087" w14:textId="1757272E" w:rsidR="00275EDE" w:rsidRDefault="00A451D6" w:rsidP="00E66DD7">
      <w:pPr>
        <w:pStyle w:val="ListParagraph"/>
        <w:numPr>
          <w:ilvl w:val="0"/>
          <w:numId w:val="1"/>
        </w:numPr>
        <w:ind w:left="0" w:hanging="11"/>
        <w:jc w:val="both"/>
        <w:rPr>
          <w:rFonts w:ascii="Verdana" w:hAnsi="Verdana"/>
          <w:sz w:val="20"/>
          <w:szCs w:val="20"/>
        </w:rPr>
      </w:pPr>
      <w:r>
        <w:rPr>
          <w:rFonts w:ascii="Verdana" w:hAnsi="Verdana"/>
          <w:sz w:val="20"/>
          <w:szCs w:val="20"/>
          <w:lang w:val="es-MX" w:eastAsia="es-MX"/>
        </w:rPr>
        <w:t>Mediante esta figura l</w:t>
      </w:r>
      <w:r w:rsidR="00275EDE" w:rsidRPr="00275EDE">
        <w:rPr>
          <w:rFonts w:ascii="Verdana" w:hAnsi="Verdana"/>
          <w:sz w:val="20"/>
          <w:szCs w:val="20"/>
          <w:lang w:val="es-MX" w:eastAsia="es-MX"/>
        </w:rPr>
        <w:t xml:space="preserve">os trabajadores participaban en la propiedad, gestión y utilidades de la empresa. La dirección y administración de la Comunidad Industrial se encontraba a cargo de la Asamblea General y el Consejo de la Comunidad. </w:t>
      </w:r>
      <w:r w:rsidR="00275EDE" w:rsidRPr="00275EDE">
        <w:rPr>
          <w:rFonts w:ascii="Verdana" w:hAnsi="Verdana"/>
          <w:sz w:val="20"/>
          <w:szCs w:val="20"/>
        </w:rPr>
        <w:t>La Asamblea General se constituía como la autoridad suprema de la Comunidad y estaba conformada por todos los trabajadores</w:t>
      </w:r>
      <w:r w:rsidR="00275EDE" w:rsidRPr="005D0ACD">
        <w:rPr>
          <w:rFonts w:ascii="Verdana" w:hAnsi="Verdana"/>
          <w:sz w:val="20"/>
          <w:szCs w:val="20"/>
          <w:vertAlign w:val="superscript"/>
        </w:rPr>
        <w:footnoteReference w:id="35"/>
      </w:r>
      <w:r w:rsidR="00275EDE" w:rsidRPr="00275EDE">
        <w:rPr>
          <w:rFonts w:ascii="Verdana" w:hAnsi="Verdana"/>
          <w:sz w:val="20"/>
          <w:szCs w:val="20"/>
        </w:rPr>
        <w:t xml:space="preserve">. </w:t>
      </w:r>
    </w:p>
    <w:p w14:paraId="316DD286" w14:textId="77777777" w:rsidR="005D0ACD" w:rsidRPr="00275EDE" w:rsidRDefault="005D0ACD" w:rsidP="005D0ACD">
      <w:pPr>
        <w:pStyle w:val="ListParagraph"/>
        <w:ind w:left="0"/>
        <w:jc w:val="both"/>
        <w:rPr>
          <w:rFonts w:ascii="Verdana" w:hAnsi="Verdana"/>
          <w:sz w:val="20"/>
          <w:szCs w:val="20"/>
        </w:rPr>
      </w:pPr>
    </w:p>
    <w:p w14:paraId="21A047ED" w14:textId="133B023A" w:rsidR="00275EDE" w:rsidRDefault="00275EDE" w:rsidP="00E66DD7">
      <w:pPr>
        <w:pStyle w:val="ListParagraph"/>
        <w:numPr>
          <w:ilvl w:val="0"/>
          <w:numId w:val="1"/>
        </w:numPr>
        <w:ind w:left="0" w:hanging="11"/>
        <w:jc w:val="both"/>
        <w:rPr>
          <w:rFonts w:ascii="Verdana" w:hAnsi="Verdana"/>
          <w:sz w:val="20"/>
          <w:szCs w:val="20"/>
        </w:rPr>
      </w:pPr>
      <w:r w:rsidRPr="00275EDE">
        <w:rPr>
          <w:rFonts w:ascii="Verdana" w:hAnsi="Verdana"/>
          <w:sz w:val="20"/>
          <w:szCs w:val="20"/>
        </w:rPr>
        <w:t>Por su parte, el Consejo de la Comunidad, era el órgano ejecutivo de la Comunidad Industrial</w:t>
      </w:r>
      <w:r w:rsidRPr="005D0ACD">
        <w:rPr>
          <w:rFonts w:ascii="Verdana" w:hAnsi="Verdana"/>
          <w:sz w:val="20"/>
          <w:szCs w:val="20"/>
          <w:vertAlign w:val="superscript"/>
        </w:rPr>
        <w:footnoteReference w:id="36"/>
      </w:r>
      <w:r w:rsidRPr="00275EDE">
        <w:rPr>
          <w:rFonts w:ascii="Verdana" w:hAnsi="Verdana"/>
          <w:sz w:val="20"/>
          <w:szCs w:val="20"/>
        </w:rPr>
        <w:t>. Tenía, entre otras funcion</w:t>
      </w:r>
      <w:r w:rsidR="00E02AC4">
        <w:rPr>
          <w:rFonts w:ascii="Verdana" w:hAnsi="Verdana"/>
          <w:sz w:val="20"/>
          <w:szCs w:val="20"/>
        </w:rPr>
        <w:t>e</w:t>
      </w:r>
      <w:r w:rsidRPr="00275EDE">
        <w:rPr>
          <w:rFonts w:ascii="Verdana" w:hAnsi="Verdana"/>
          <w:sz w:val="20"/>
          <w:szCs w:val="20"/>
        </w:rPr>
        <w:t>s, la de administrar su patrimonio; ejecutar las decisiones de la Asamblea General y velar por el cumplimiento del Estatuto de la Comunidad; asesorar a los representantes de los trabajadores en el Directorio de la empresa y pronunciarse sobre los asuntos que éstos les sometían, debiendo consultarlos a la Asamblea General de ser necesario, y convocar a la Asamblea General. Los miembros del Consejo de la Comunidad no podían desempeñar ni postular a cargo sindical de cualquier naturaleza, mientras durará su mandato</w:t>
      </w:r>
      <w:r w:rsidRPr="005D0ACD">
        <w:rPr>
          <w:rFonts w:ascii="Verdana" w:hAnsi="Verdana"/>
          <w:sz w:val="20"/>
          <w:szCs w:val="20"/>
          <w:vertAlign w:val="superscript"/>
        </w:rPr>
        <w:footnoteReference w:id="37"/>
      </w:r>
      <w:r w:rsidRPr="00275EDE">
        <w:rPr>
          <w:rFonts w:ascii="Verdana" w:hAnsi="Verdana"/>
          <w:sz w:val="20"/>
          <w:szCs w:val="20"/>
        </w:rPr>
        <w:t xml:space="preserve">. </w:t>
      </w:r>
    </w:p>
    <w:p w14:paraId="5C2C33C6" w14:textId="77777777" w:rsidR="005D0ACD" w:rsidRPr="00275EDE" w:rsidRDefault="005D0ACD" w:rsidP="005D0ACD">
      <w:pPr>
        <w:pStyle w:val="ListParagraph"/>
        <w:ind w:left="0"/>
        <w:jc w:val="both"/>
        <w:rPr>
          <w:rFonts w:ascii="Verdana" w:hAnsi="Verdana"/>
          <w:sz w:val="20"/>
          <w:szCs w:val="20"/>
        </w:rPr>
      </w:pPr>
    </w:p>
    <w:p w14:paraId="1CF4215F" w14:textId="6F727FB5" w:rsidR="00275EDE" w:rsidRPr="00275EDE" w:rsidRDefault="00275EDE" w:rsidP="00E66DD7">
      <w:pPr>
        <w:pStyle w:val="ListParagraph"/>
        <w:numPr>
          <w:ilvl w:val="0"/>
          <w:numId w:val="1"/>
        </w:numPr>
        <w:ind w:left="0" w:hanging="11"/>
        <w:jc w:val="both"/>
        <w:rPr>
          <w:rFonts w:ascii="Verdana" w:hAnsi="Verdana"/>
          <w:b/>
          <w:color w:val="000000"/>
          <w:sz w:val="20"/>
          <w:szCs w:val="20"/>
        </w:rPr>
      </w:pPr>
      <w:r w:rsidRPr="00275EDE">
        <w:rPr>
          <w:rFonts w:ascii="Verdana" w:hAnsi="Verdana"/>
          <w:color w:val="000000"/>
          <w:sz w:val="20"/>
          <w:szCs w:val="20"/>
        </w:rPr>
        <w:t xml:space="preserve">Los trabajadores participaban en la gestión empresarial al designar sus representantes para constituir el Directorio de la empresa, compuesto por </w:t>
      </w:r>
      <w:r w:rsidR="000B0E4B">
        <w:rPr>
          <w:rFonts w:ascii="Verdana" w:hAnsi="Verdana"/>
          <w:color w:val="000000"/>
          <w:sz w:val="20"/>
          <w:szCs w:val="20"/>
        </w:rPr>
        <w:t>é</w:t>
      </w:r>
      <w:r w:rsidRPr="00275EDE">
        <w:rPr>
          <w:rFonts w:ascii="Verdana" w:hAnsi="Verdana"/>
          <w:color w:val="000000"/>
          <w:sz w:val="20"/>
          <w:szCs w:val="20"/>
        </w:rPr>
        <w:t>stos y por Directores designados por los titulares de las acciones integrantes del Capital Social. Los Directores que representaban a los trabajadores eran elegidos por el periodo de un año, y podían ser reelegidos por un periodo adicional.</w:t>
      </w:r>
      <w:r w:rsidRPr="00275EDE">
        <w:rPr>
          <w:rFonts w:ascii="Verdana" w:eastAsia="Times New Roman" w:hAnsi="Verdana" w:cs="Arial"/>
          <w:iCs/>
          <w:color w:val="000000"/>
          <w:sz w:val="16"/>
          <w:szCs w:val="16"/>
          <w:lang w:val="es-MX" w:eastAsia="es-CR"/>
        </w:rPr>
        <w:t xml:space="preserve"> </w:t>
      </w:r>
      <w:r w:rsidRPr="00275EDE">
        <w:rPr>
          <w:rFonts w:ascii="Verdana" w:eastAsia="Times New Roman" w:hAnsi="Verdana" w:cs="Arial"/>
          <w:iCs/>
          <w:color w:val="000000"/>
          <w:sz w:val="20"/>
          <w:szCs w:val="20"/>
          <w:lang w:val="es-MX" w:eastAsia="es-CR"/>
        </w:rPr>
        <w:t>Correspondía a los Directores que representaban a los trabajadores igual responsabilidad e iguales derechos que a los demás Directores de la empresa</w:t>
      </w:r>
      <w:r w:rsidRPr="005D0ACD">
        <w:rPr>
          <w:rFonts w:ascii="Verdana" w:hAnsi="Verdana"/>
          <w:color w:val="000000"/>
          <w:sz w:val="20"/>
          <w:szCs w:val="20"/>
          <w:vertAlign w:val="superscript"/>
        </w:rPr>
        <w:footnoteReference w:id="38"/>
      </w:r>
      <w:r w:rsidRPr="00275EDE">
        <w:rPr>
          <w:rFonts w:ascii="Verdana" w:hAnsi="Verdana"/>
          <w:color w:val="000000"/>
          <w:sz w:val="20"/>
          <w:szCs w:val="20"/>
        </w:rPr>
        <w:t xml:space="preserve">.  </w:t>
      </w:r>
    </w:p>
    <w:p w14:paraId="5CB0FDEB" w14:textId="77777777" w:rsidR="00275EDE" w:rsidRPr="00275EDE" w:rsidRDefault="00275EDE" w:rsidP="005D0ACD">
      <w:pPr>
        <w:jc w:val="both"/>
        <w:rPr>
          <w:rFonts w:ascii="Verdana" w:hAnsi="Verdana"/>
          <w:sz w:val="20"/>
          <w:szCs w:val="20"/>
        </w:rPr>
      </w:pPr>
    </w:p>
    <w:p w14:paraId="0D0A1A5C" w14:textId="5E9A455F" w:rsidR="00275EDE" w:rsidRPr="00275EDE" w:rsidRDefault="00275EDE" w:rsidP="00E66DD7">
      <w:pPr>
        <w:pStyle w:val="ListParagraph"/>
        <w:numPr>
          <w:ilvl w:val="0"/>
          <w:numId w:val="1"/>
        </w:numPr>
        <w:ind w:left="0" w:hanging="11"/>
        <w:jc w:val="both"/>
        <w:rPr>
          <w:rFonts w:ascii="Verdana" w:hAnsi="Verdana"/>
          <w:b/>
          <w:sz w:val="20"/>
          <w:szCs w:val="20"/>
        </w:rPr>
      </w:pPr>
      <w:r w:rsidRPr="00275EDE">
        <w:rPr>
          <w:rFonts w:ascii="Verdana" w:hAnsi="Verdana"/>
          <w:sz w:val="20"/>
          <w:szCs w:val="20"/>
        </w:rPr>
        <w:t>Según lo dispuesto, los miembros de la Comunidad Industrial tenían derecho a elegir a los representantes de los trabajadores en dicho Directorio</w:t>
      </w:r>
      <w:r w:rsidRPr="005D0ACD">
        <w:rPr>
          <w:rFonts w:ascii="Verdana" w:hAnsi="Verdana"/>
          <w:sz w:val="20"/>
          <w:szCs w:val="20"/>
          <w:vertAlign w:val="superscript"/>
        </w:rPr>
        <w:footnoteReference w:id="39"/>
      </w:r>
      <w:r w:rsidRPr="00275EDE">
        <w:rPr>
          <w:rFonts w:ascii="Verdana" w:hAnsi="Verdana"/>
          <w:sz w:val="20"/>
          <w:szCs w:val="20"/>
        </w:rPr>
        <w:t>, así como a los miembros del Consejo de la Comunidad</w:t>
      </w:r>
      <w:r w:rsidRPr="005D0ACD">
        <w:rPr>
          <w:rFonts w:ascii="Verdana" w:hAnsi="Verdana"/>
          <w:sz w:val="20"/>
          <w:szCs w:val="20"/>
          <w:vertAlign w:val="superscript"/>
        </w:rPr>
        <w:footnoteReference w:id="40"/>
      </w:r>
      <w:r w:rsidRPr="00275EDE">
        <w:rPr>
          <w:rFonts w:ascii="Verdana" w:hAnsi="Verdana"/>
          <w:sz w:val="20"/>
          <w:szCs w:val="20"/>
        </w:rPr>
        <w:t>. Para estos fines, la Asamblea General designaba anualmente un Comité Electoral</w:t>
      </w:r>
      <w:r w:rsidRPr="005D0ACD">
        <w:rPr>
          <w:rFonts w:ascii="Verdana" w:hAnsi="Verdana"/>
          <w:sz w:val="20"/>
          <w:szCs w:val="20"/>
          <w:vertAlign w:val="superscript"/>
        </w:rPr>
        <w:footnoteReference w:id="41"/>
      </w:r>
      <w:r w:rsidRPr="00275EDE">
        <w:rPr>
          <w:rFonts w:ascii="Verdana" w:hAnsi="Verdana"/>
          <w:sz w:val="20"/>
          <w:szCs w:val="20"/>
        </w:rPr>
        <w:t>, el cual se encargaba de llevar a cabo las elecciones de los miembros del Consejo de la Comunidad y de los representantes ante el Directorio de la empresa, para cada periodo</w:t>
      </w:r>
      <w:r w:rsidRPr="005D0ACD">
        <w:rPr>
          <w:rFonts w:ascii="Verdana" w:hAnsi="Verdana"/>
          <w:sz w:val="20"/>
          <w:szCs w:val="20"/>
          <w:vertAlign w:val="superscript"/>
        </w:rPr>
        <w:footnoteReference w:id="42"/>
      </w:r>
      <w:r w:rsidR="00F41D30">
        <w:rPr>
          <w:rFonts w:ascii="Verdana" w:hAnsi="Verdana" w:cs="Arial"/>
          <w:sz w:val="20"/>
          <w:szCs w:val="20"/>
        </w:rPr>
        <w:t>.</w:t>
      </w:r>
      <w:r w:rsidRPr="00275EDE">
        <w:rPr>
          <w:rFonts w:ascii="Verdana" w:hAnsi="Verdana" w:cs="Arial"/>
          <w:b/>
          <w:sz w:val="20"/>
          <w:szCs w:val="20"/>
        </w:rPr>
        <w:t xml:space="preserve"> </w:t>
      </w:r>
      <w:r w:rsidRPr="00275EDE">
        <w:rPr>
          <w:rFonts w:ascii="Verdana" w:hAnsi="Verdana" w:cs="Arial"/>
          <w:sz w:val="20"/>
          <w:szCs w:val="20"/>
        </w:rPr>
        <w:t xml:space="preserve">El Comité también tenía a su cargo llevar a cabo todas aquellas elecciones que fueran </w:t>
      </w:r>
      <w:r w:rsidRPr="00275EDE">
        <w:rPr>
          <w:rFonts w:ascii="Verdana" w:hAnsi="Verdana" w:cs="Arial"/>
          <w:sz w:val="20"/>
          <w:szCs w:val="20"/>
        </w:rPr>
        <w:lastRenderedPageBreak/>
        <w:t>necesarias para elegir a reemplazantes, en casos de renuncia, vacancia o remoción. El Comité estaba compuesto por trabajadores empleados y obreros en proporción a su número total en la empresa</w:t>
      </w:r>
      <w:r w:rsidRPr="005D0ACD">
        <w:rPr>
          <w:rFonts w:ascii="Verdana" w:hAnsi="Verdana"/>
          <w:sz w:val="20"/>
          <w:szCs w:val="20"/>
          <w:vertAlign w:val="superscript"/>
        </w:rPr>
        <w:footnoteReference w:id="43"/>
      </w:r>
      <w:r w:rsidRPr="00275EDE">
        <w:rPr>
          <w:rFonts w:ascii="Verdana" w:hAnsi="Verdana" w:cs="Arial"/>
          <w:sz w:val="20"/>
          <w:szCs w:val="20"/>
        </w:rPr>
        <w:t>.</w:t>
      </w:r>
    </w:p>
    <w:p w14:paraId="57A1E3CF" w14:textId="77777777" w:rsidR="00275EDE" w:rsidRPr="00275EDE" w:rsidRDefault="00275EDE" w:rsidP="005D0ACD">
      <w:pPr>
        <w:jc w:val="both"/>
        <w:rPr>
          <w:rFonts w:ascii="Verdana" w:hAnsi="Verdana" w:cs="Arial"/>
          <w:sz w:val="20"/>
          <w:szCs w:val="20"/>
        </w:rPr>
      </w:pPr>
    </w:p>
    <w:p w14:paraId="78AD525D" w14:textId="227E6390" w:rsidR="00275EDE" w:rsidRPr="00275EDE" w:rsidRDefault="00275EDE" w:rsidP="00E66DD7">
      <w:pPr>
        <w:pStyle w:val="ListParagraph"/>
        <w:numPr>
          <w:ilvl w:val="0"/>
          <w:numId w:val="1"/>
        </w:numPr>
        <w:ind w:left="0" w:hanging="11"/>
        <w:jc w:val="both"/>
        <w:rPr>
          <w:rFonts w:ascii="Verdana" w:hAnsi="Verdana"/>
          <w:b/>
          <w:sz w:val="20"/>
          <w:szCs w:val="20"/>
        </w:rPr>
      </w:pPr>
      <w:r w:rsidRPr="00275EDE">
        <w:rPr>
          <w:rFonts w:ascii="Verdana" w:hAnsi="Verdana" w:cs="Arial"/>
          <w:sz w:val="20"/>
          <w:szCs w:val="20"/>
        </w:rPr>
        <w:t xml:space="preserve">En el caso particular de </w:t>
      </w:r>
      <w:proofErr w:type="spellStart"/>
      <w:r w:rsidRPr="00275EDE">
        <w:rPr>
          <w:rFonts w:ascii="Verdana" w:hAnsi="Verdana" w:cs="Arial"/>
          <w:sz w:val="20"/>
          <w:szCs w:val="20"/>
        </w:rPr>
        <w:t>Ceper-Pirelli</w:t>
      </w:r>
      <w:proofErr w:type="spellEnd"/>
      <w:r w:rsidRPr="00275EDE">
        <w:rPr>
          <w:rFonts w:ascii="Verdana" w:hAnsi="Verdana" w:cs="Arial"/>
          <w:sz w:val="20"/>
          <w:szCs w:val="20"/>
        </w:rPr>
        <w:t xml:space="preserve"> S.A., el Comité Electoral para el periodo de 1988-1989 se encontraba integrado por cinco personas, dos de ellas eran </w:t>
      </w:r>
      <w:r w:rsidRPr="00787FF6">
        <w:rPr>
          <w:rFonts w:ascii="Verdana" w:hAnsi="Verdana" w:cs="Arial"/>
          <w:sz w:val="20"/>
          <w:szCs w:val="20"/>
        </w:rPr>
        <w:t>empleadas y ocupaban los cargos de Secretaria y 1</w:t>
      </w:r>
      <w:r w:rsidR="002C7E4F">
        <w:rPr>
          <w:rFonts w:ascii="Verdana" w:hAnsi="Verdana" w:cs="Arial"/>
          <w:sz w:val="20"/>
          <w:szCs w:val="20"/>
        </w:rPr>
        <w:t>er</w:t>
      </w:r>
      <w:r w:rsidRPr="00787FF6">
        <w:rPr>
          <w:rFonts w:ascii="Verdana" w:hAnsi="Verdana" w:cs="Arial"/>
          <w:sz w:val="20"/>
          <w:szCs w:val="20"/>
        </w:rPr>
        <w:t xml:space="preserve"> Vocal</w:t>
      </w:r>
      <w:r w:rsidRPr="00787FF6">
        <w:rPr>
          <w:rFonts w:ascii="Verdana" w:hAnsi="Verdana"/>
          <w:sz w:val="20"/>
          <w:szCs w:val="20"/>
          <w:vertAlign w:val="superscript"/>
        </w:rPr>
        <w:footnoteReference w:id="44"/>
      </w:r>
      <w:r w:rsidRPr="00787FF6">
        <w:rPr>
          <w:rFonts w:ascii="Verdana" w:hAnsi="Verdana" w:cs="Arial"/>
          <w:sz w:val="20"/>
          <w:szCs w:val="20"/>
        </w:rPr>
        <w:t>, y tres obreros</w:t>
      </w:r>
      <w:r w:rsidRPr="00787FF6">
        <w:rPr>
          <w:rFonts w:ascii="Verdana" w:hAnsi="Verdana"/>
          <w:sz w:val="20"/>
          <w:szCs w:val="20"/>
          <w:vertAlign w:val="superscript"/>
        </w:rPr>
        <w:footnoteReference w:id="45"/>
      </w:r>
      <w:r w:rsidR="002C7E4F">
        <w:rPr>
          <w:rFonts w:ascii="Verdana" w:hAnsi="Verdana" w:cs="Arial"/>
          <w:sz w:val="20"/>
          <w:szCs w:val="20"/>
        </w:rPr>
        <w:t>. Como representante obrero</w:t>
      </w:r>
      <w:r w:rsidR="002C7E4F" w:rsidRPr="002C7E4F">
        <w:rPr>
          <w:rFonts w:ascii="Verdana" w:hAnsi="Verdana" w:cs="Arial"/>
          <w:sz w:val="20"/>
          <w:szCs w:val="20"/>
        </w:rPr>
        <w:t>,</w:t>
      </w:r>
      <w:r w:rsidRPr="00CB5A95">
        <w:rPr>
          <w:rFonts w:ascii="Verdana" w:hAnsi="Verdana"/>
          <w:sz w:val="20"/>
        </w:rPr>
        <w:t xml:space="preserve"> </w:t>
      </w:r>
      <w:r w:rsidR="002C7E4F" w:rsidRPr="00CB5A95">
        <w:rPr>
          <w:rFonts w:ascii="Verdana" w:hAnsi="Verdana" w:cs="Arial"/>
          <w:sz w:val="20"/>
          <w:szCs w:val="20"/>
        </w:rPr>
        <w:t xml:space="preserve">se encontraba </w:t>
      </w:r>
      <w:r w:rsidRPr="00CB5A95">
        <w:rPr>
          <w:rFonts w:ascii="Verdana" w:hAnsi="Verdana"/>
          <w:sz w:val="20"/>
        </w:rPr>
        <w:t>el señor Lagos del Campo</w:t>
      </w:r>
      <w:r w:rsidR="002C7E4F" w:rsidRPr="00CB5A95">
        <w:rPr>
          <w:rFonts w:ascii="Verdana" w:hAnsi="Verdana"/>
          <w:sz w:val="20"/>
          <w:szCs w:val="20"/>
        </w:rPr>
        <w:t>, quien además</w:t>
      </w:r>
      <w:r w:rsidRPr="00CB5A95">
        <w:rPr>
          <w:rFonts w:ascii="Verdana" w:hAnsi="Verdana"/>
          <w:sz w:val="20"/>
        </w:rPr>
        <w:t xml:space="preserve"> ocupaba el cargo de Presidente del Comité Electoral.</w:t>
      </w:r>
      <w:r w:rsidRPr="00275EDE">
        <w:rPr>
          <w:rFonts w:ascii="Verdana" w:hAnsi="Verdana"/>
          <w:sz w:val="20"/>
          <w:szCs w:val="20"/>
        </w:rPr>
        <w:t xml:space="preserve"> Las elecciones para designar a los miembros del Comité Electoral se realizaban en un solo día, sin afectar las horas de trabajo, siguiendo el procedimiento señalado en el reglamento, es decir, mediante voto personal, secreto, universal y obligatorio</w:t>
      </w:r>
      <w:r w:rsidRPr="005D0ACD">
        <w:rPr>
          <w:rFonts w:ascii="Verdana" w:hAnsi="Verdana"/>
          <w:sz w:val="20"/>
          <w:szCs w:val="20"/>
          <w:vertAlign w:val="superscript"/>
        </w:rPr>
        <w:footnoteReference w:id="46"/>
      </w:r>
      <w:r w:rsidRPr="00275EDE">
        <w:rPr>
          <w:rFonts w:ascii="Verdana" w:hAnsi="Verdana"/>
          <w:sz w:val="20"/>
          <w:szCs w:val="20"/>
        </w:rPr>
        <w:t xml:space="preserve">. </w:t>
      </w:r>
    </w:p>
    <w:p w14:paraId="2C3DB5A5" w14:textId="77777777" w:rsidR="00275EDE" w:rsidRPr="00275EDE" w:rsidRDefault="00275EDE" w:rsidP="005D0ACD">
      <w:pPr>
        <w:jc w:val="both"/>
        <w:rPr>
          <w:rFonts w:ascii="Verdana" w:hAnsi="Verdana"/>
          <w:b/>
          <w:sz w:val="20"/>
          <w:szCs w:val="20"/>
        </w:rPr>
      </w:pPr>
    </w:p>
    <w:p w14:paraId="7FFBA36B" w14:textId="16DEDB44" w:rsidR="0073406A" w:rsidRPr="0073406A" w:rsidRDefault="0073406A" w:rsidP="00E66DD7">
      <w:pPr>
        <w:pStyle w:val="ListParagraph"/>
        <w:numPr>
          <w:ilvl w:val="0"/>
          <w:numId w:val="1"/>
        </w:numPr>
        <w:ind w:left="0" w:hanging="11"/>
        <w:jc w:val="both"/>
        <w:rPr>
          <w:rFonts w:ascii="Verdana" w:hAnsi="Verdana"/>
          <w:b/>
          <w:sz w:val="20"/>
          <w:szCs w:val="20"/>
        </w:rPr>
      </w:pPr>
      <w:r w:rsidRPr="0073406A">
        <w:rPr>
          <w:rFonts w:ascii="Verdana" w:hAnsi="Verdana"/>
          <w:sz w:val="20"/>
          <w:szCs w:val="20"/>
          <w:lang w:val="es-MX"/>
        </w:rPr>
        <w:t>En la época de los hechos, las Comunidades Industriales y los sindicatos se regían por regímenes distintos. En particular, por mandato expreso de la ley, en la Comunidad Industrial la permanencia del trabajador dependía de la existencia de la empresa industrial y su estabilidad laboral, mientras que en el caso de los sindicatos, su constitución era más bien voluntaria y sujeta a la decisión de los trabajadores que quisieran defender sus intereses ante el empleador. Además, la composición, el financiamiento, y las formalidades de creación de esos dos regímenes eran diferentes. En particular, tenían objetivos diferentes. Por una parte, la Comunidad Industrial tenía por objetivo permitir la participación de los trabajadores en la propiedad, gestión y utilidades de la empresa industrial</w:t>
      </w:r>
      <w:r w:rsidRPr="0073406A">
        <w:rPr>
          <w:rFonts w:ascii="Verdana" w:hAnsi="Verdana"/>
          <w:sz w:val="20"/>
          <w:szCs w:val="20"/>
          <w:vertAlign w:val="superscript"/>
          <w:lang w:val="es-MX"/>
        </w:rPr>
        <w:footnoteReference w:id="47"/>
      </w:r>
      <w:r w:rsidRPr="0073406A">
        <w:rPr>
          <w:rFonts w:ascii="Verdana" w:hAnsi="Verdana"/>
          <w:sz w:val="20"/>
          <w:szCs w:val="20"/>
          <w:lang w:val="es-MX"/>
        </w:rPr>
        <w:t>. Por su parte, el sindicato tenía por objetivo la defensa de los derechos e interés socioeconómicos y profesionales de los trabajadores</w:t>
      </w:r>
      <w:r w:rsidRPr="0073406A">
        <w:rPr>
          <w:rFonts w:ascii="Verdana" w:hAnsi="Verdana"/>
          <w:sz w:val="20"/>
          <w:szCs w:val="20"/>
          <w:vertAlign w:val="superscript"/>
          <w:lang w:val="es-MX"/>
        </w:rPr>
        <w:footnoteReference w:id="48"/>
      </w:r>
      <w:r w:rsidRPr="0073406A">
        <w:rPr>
          <w:rFonts w:ascii="Verdana" w:hAnsi="Verdana"/>
          <w:sz w:val="20"/>
          <w:szCs w:val="20"/>
          <w:lang w:val="es-MX"/>
        </w:rPr>
        <w:t xml:space="preserve">. No obstante, acorde con los peritajes del caso, en ambos supuestos los </w:t>
      </w:r>
      <w:r w:rsidRPr="0073406A">
        <w:rPr>
          <w:rFonts w:ascii="Verdana" w:hAnsi="Verdana"/>
          <w:sz w:val="20"/>
          <w:szCs w:val="20"/>
          <w:lang w:val="es-MX"/>
        </w:rPr>
        <w:lastRenderedPageBreak/>
        <w:t>representantes de los trabajadores figuraban el interés sectorial de éste grupo frente al empleador</w:t>
      </w:r>
      <w:r w:rsidRPr="0073406A">
        <w:rPr>
          <w:rFonts w:ascii="Verdana" w:hAnsi="Verdana"/>
          <w:sz w:val="20"/>
          <w:szCs w:val="20"/>
          <w:vertAlign w:val="superscript"/>
          <w:lang w:val="es-MX"/>
        </w:rPr>
        <w:footnoteReference w:id="49"/>
      </w:r>
      <w:r w:rsidRPr="0073406A">
        <w:rPr>
          <w:rFonts w:ascii="Verdana" w:hAnsi="Verdana"/>
          <w:sz w:val="20"/>
          <w:szCs w:val="20"/>
          <w:lang w:val="es-MX"/>
        </w:rPr>
        <w:t xml:space="preserve">. </w:t>
      </w:r>
    </w:p>
    <w:p w14:paraId="0D89760E" w14:textId="31D24687" w:rsidR="00275EDE" w:rsidRPr="00275EDE" w:rsidRDefault="00275EDE">
      <w:pPr>
        <w:jc w:val="both"/>
        <w:rPr>
          <w:rFonts w:ascii="Verdana" w:hAnsi="Verdana"/>
          <w:b/>
          <w:sz w:val="20"/>
          <w:szCs w:val="20"/>
        </w:rPr>
      </w:pPr>
    </w:p>
    <w:p w14:paraId="6D829F05" w14:textId="7D1EE449" w:rsidR="00275EDE" w:rsidRPr="00275EDE" w:rsidRDefault="00275EDE" w:rsidP="00E66DD7">
      <w:pPr>
        <w:pStyle w:val="Heading2"/>
        <w:numPr>
          <w:ilvl w:val="0"/>
          <w:numId w:val="12"/>
        </w:numPr>
        <w:jc w:val="both"/>
        <w:rPr>
          <w:rFonts w:eastAsia="MS Gothic"/>
          <w:i/>
          <w:iCs/>
          <w:szCs w:val="20"/>
        </w:rPr>
      </w:pPr>
      <w:bookmarkStart w:id="19" w:name="_Toc498333484"/>
      <w:r w:rsidRPr="00275EDE">
        <w:rPr>
          <w:rFonts w:eastAsia="MS Gothic"/>
          <w:i/>
          <w:iCs/>
          <w:szCs w:val="20"/>
        </w:rPr>
        <w:t>Antecedentes, funciones y competencias del señor Lagos del Campo como</w:t>
      </w:r>
      <w:r w:rsidR="00717715">
        <w:rPr>
          <w:rFonts w:eastAsia="MS Gothic"/>
          <w:i/>
          <w:iCs/>
          <w:szCs w:val="20"/>
        </w:rPr>
        <w:t xml:space="preserve"> </w:t>
      </w:r>
      <w:r w:rsidR="00D9489E">
        <w:rPr>
          <w:rFonts w:eastAsia="MS Gothic"/>
          <w:i/>
          <w:iCs/>
          <w:szCs w:val="20"/>
        </w:rPr>
        <w:t>Presidente del Comité Electoral de la Comunidad Industrial</w:t>
      </w:r>
      <w:bookmarkEnd w:id="19"/>
      <w:r w:rsidR="00D9489E">
        <w:rPr>
          <w:rFonts w:eastAsia="MS Gothic"/>
          <w:i/>
          <w:iCs/>
          <w:szCs w:val="20"/>
        </w:rPr>
        <w:t xml:space="preserve"> </w:t>
      </w:r>
    </w:p>
    <w:p w14:paraId="471B7BE7" w14:textId="77777777" w:rsidR="00275EDE" w:rsidRPr="00275EDE" w:rsidRDefault="00275EDE" w:rsidP="00275EDE">
      <w:pPr>
        <w:jc w:val="both"/>
        <w:rPr>
          <w:rFonts w:ascii="Verdana" w:hAnsi="Verdana"/>
          <w:b/>
          <w:sz w:val="20"/>
          <w:szCs w:val="20"/>
        </w:rPr>
      </w:pPr>
    </w:p>
    <w:p w14:paraId="3D870195" w14:textId="4250AAE4" w:rsidR="005D0F69" w:rsidRPr="0073406A" w:rsidRDefault="005D0F69" w:rsidP="00E66DD7">
      <w:pPr>
        <w:pStyle w:val="ListParagraph"/>
        <w:numPr>
          <w:ilvl w:val="0"/>
          <w:numId w:val="1"/>
        </w:numPr>
        <w:ind w:left="0" w:hanging="11"/>
        <w:jc w:val="both"/>
        <w:rPr>
          <w:rFonts w:ascii="Verdana" w:hAnsi="Verdana"/>
          <w:b/>
          <w:sz w:val="20"/>
          <w:szCs w:val="20"/>
        </w:rPr>
      </w:pPr>
      <w:r w:rsidRPr="0073406A">
        <w:rPr>
          <w:rFonts w:ascii="Verdana" w:hAnsi="Verdana"/>
          <w:sz w:val="20"/>
          <w:szCs w:val="20"/>
        </w:rPr>
        <w:t>El señor Lagos del Campo nació el 21 de febrero de 1939. Es padre de 14 hijos junto con su esposa Teresa Gonzáles Cornejo</w:t>
      </w:r>
      <w:r w:rsidRPr="0073406A">
        <w:rPr>
          <w:rStyle w:val="FootnoteReference"/>
          <w:szCs w:val="20"/>
        </w:rPr>
        <w:footnoteReference w:id="50"/>
      </w:r>
      <w:r w:rsidRPr="0073406A">
        <w:rPr>
          <w:rFonts w:ascii="Verdana" w:hAnsi="Verdana"/>
          <w:sz w:val="20"/>
          <w:szCs w:val="20"/>
        </w:rPr>
        <w:t>. El 12 de julio de 1976 el señor Lagos del Campo empezó a trabajar en calidad de obrero,</w:t>
      </w:r>
      <w:r w:rsidR="00F41D30">
        <w:rPr>
          <w:rFonts w:ascii="Verdana" w:hAnsi="Verdana"/>
          <w:sz w:val="20"/>
          <w:szCs w:val="20"/>
        </w:rPr>
        <w:t xml:space="preserve"> </w:t>
      </w:r>
      <w:r w:rsidRPr="0073406A">
        <w:rPr>
          <w:rFonts w:ascii="Verdana" w:hAnsi="Verdana"/>
          <w:sz w:val="20"/>
          <w:szCs w:val="20"/>
        </w:rPr>
        <w:t xml:space="preserve">como operario electricista en el departamento de mantenimiento de la empresa Conductores Eléctricos Peruanos </w:t>
      </w:r>
      <w:proofErr w:type="spellStart"/>
      <w:r w:rsidRPr="0073406A">
        <w:rPr>
          <w:rFonts w:ascii="Verdana" w:hAnsi="Verdana"/>
          <w:sz w:val="20"/>
          <w:szCs w:val="20"/>
        </w:rPr>
        <w:t>Ceper-Pirelli</w:t>
      </w:r>
      <w:proofErr w:type="spellEnd"/>
      <w:r w:rsidRPr="0073406A">
        <w:rPr>
          <w:rFonts w:ascii="Verdana" w:hAnsi="Verdana"/>
          <w:sz w:val="20"/>
          <w:szCs w:val="20"/>
        </w:rPr>
        <w:t xml:space="preserve"> S.A.</w:t>
      </w:r>
      <w:r w:rsidRPr="0073406A">
        <w:rPr>
          <w:rFonts w:ascii="Verdana" w:hAnsi="Verdana"/>
          <w:sz w:val="20"/>
          <w:szCs w:val="20"/>
          <w:vertAlign w:val="superscript"/>
        </w:rPr>
        <w:footnoteReference w:id="51"/>
      </w:r>
      <w:r w:rsidRPr="0073406A">
        <w:rPr>
          <w:rFonts w:ascii="Verdana" w:hAnsi="Verdana"/>
          <w:sz w:val="20"/>
          <w:szCs w:val="20"/>
        </w:rPr>
        <w:t xml:space="preserve">.  </w:t>
      </w:r>
    </w:p>
    <w:p w14:paraId="67C2D12F" w14:textId="77777777" w:rsidR="00275EDE" w:rsidRPr="00275EDE" w:rsidRDefault="00275EDE" w:rsidP="009C6F8E">
      <w:pPr>
        <w:jc w:val="both"/>
        <w:rPr>
          <w:rFonts w:ascii="Verdana" w:hAnsi="Verdana"/>
          <w:b/>
          <w:sz w:val="20"/>
          <w:szCs w:val="20"/>
        </w:rPr>
      </w:pPr>
    </w:p>
    <w:p w14:paraId="37DFEF70" w14:textId="60269557" w:rsidR="00275EDE" w:rsidRPr="00CB5A95" w:rsidRDefault="00275EDE" w:rsidP="00E66DD7">
      <w:pPr>
        <w:pStyle w:val="ListParagraph"/>
        <w:numPr>
          <w:ilvl w:val="0"/>
          <w:numId w:val="1"/>
        </w:numPr>
        <w:ind w:left="0" w:hanging="11"/>
        <w:jc w:val="both"/>
        <w:rPr>
          <w:rFonts w:ascii="Verdana" w:hAnsi="Verdana"/>
          <w:b/>
          <w:sz w:val="20"/>
          <w:szCs w:val="20"/>
        </w:rPr>
      </w:pPr>
      <w:r w:rsidRPr="00275EDE">
        <w:rPr>
          <w:rFonts w:ascii="Verdana" w:hAnsi="Verdana"/>
          <w:sz w:val="20"/>
          <w:szCs w:val="20"/>
        </w:rPr>
        <w:t>El señor Lagos del Campo se desempeñó como dirigente sindical y como dirigente laboral de la empresa</w:t>
      </w:r>
      <w:r w:rsidR="004F3EAC">
        <w:rPr>
          <w:rFonts w:ascii="Verdana" w:hAnsi="Verdana"/>
          <w:sz w:val="20"/>
          <w:szCs w:val="20"/>
        </w:rPr>
        <w:t xml:space="preserve"> </w:t>
      </w:r>
      <w:proofErr w:type="spellStart"/>
      <w:r w:rsidR="004F3EAC">
        <w:rPr>
          <w:rFonts w:ascii="Verdana" w:hAnsi="Verdana"/>
          <w:sz w:val="20"/>
          <w:szCs w:val="20"/>
        </w:rPr>
        <w:t>Ceper-Pirelli</w:t>
      </w:r>
      <w:proofErr w:type="spellEnd"/>
      <w:r w:rsidR="004F3EAC">
        <w:rPr>
          <w:rFonts w:ascii="Verdana" w:hAnsi="Verdana"/>
          <w:sz w:val="20"/>
          <w:szCs w:val="20"/>
        </w:rPr>
        <w:t xml:space="preserve"> S.A.</w:t>
      </w:r>
      <w:r w:rsidRPr="00275EDE">
        <w:rPr>
          <w:rFonts w:ascii="Verdana" w:hAnsi="Verdana"/>
          <w:sz w:val="20"/>
          <w:szCs w:val="20"/>
        </w:rPr>
        <w:t xml:space="preserve"> Ocupó diversos cargos de dirección dentro del Sindicato de Trabajadores </w:t>
      </w:r>
      <w:proofErr w:type="spellStart"/>
      <w:r w:rsidRPr="00275EDE">
        <w:rPr>
          <w:rFonts w:ascii="Verdana" w:hAnsi="Verdana"/>
          <w:sz w:val="20"/>
          <w:szCs w:val="20"/>
        </w:rPr>
        <w:t>Ceper-Pirelli</w:t>
      </w:r>
      <w:proofErr w:type="spellEnd"/>
      <w:r w:rsidRPr="00275EDE">
        <w:rPr>
          <w:rFonts w:ascii="Verdana" w:hAnsi="Verdana"/>
          <w:sz w:val="20"/>
          <w:szCs w:val="20"/>
        </w:rPr>
        <w:t>, fungió como Secretario de Defensa en dos períodos (1982-1983 y 1985-1986), y como Secretario General en uno (1983-1984)</w:t>
      </w:r>
      <w:r w:rsidRPr="00275EDE">
        <w:rPr>
          <w:rFonts w:ascii="Verdana" w:hAnsi="Verdana"/>
          <w:sz w:val="20"/>
          <w:szCs w:val="20"/>
          <w:vertAlign w:val="superscript"/>
        </w:rPr>
        <w:footnoteReference w:id="52"/>
      </w:r>
      <w:r w:rsidRPr="00275EDE">
        <w:rPr>
          <w:rFonts w:ascii="Verdana" w:hAnsi="Verdana" w:cs="Arial"/>
          <w:sz w:val="20"/>
          <w:szCs w:val="20"/>
        </w:rPr>
        <w:t>.</w:t>
      </w:r>
      <w:r w:rsidR="00F41D30">
        <w:rPr>
          <w:rFonts w:ascii="Verdana" w:hAnsi="Verdana" w:cs="Arial"/>
          <w:sz w:val="20"/>
          <w:szCs w:val="20"/>
        </w:rPr>
        <w:t xml:space="preserve"> </w:t>
      </w:r>
      <w:r w:rsidRPr="00275EDE">
        <w:rPr>
          <w:rFonts w:ascii="Verdana" w:hAnsi="Verdana"/>
          <w:sz w:val="20"/>
          <w:szCs w:val="20"/>
        </w:rPr>
        <w:t xml:space="preserve">Como trabajador estable de la empresa y de conformidad con el </w:t>
      </w:r>
      <w:r w:rsidRPr="00275EDE">
        <w:rPr>
          <w:rFonts w:ascii="Verdana" w:hAnsi="Verdana"/>
          <w:color w:val="000000"/>
          <w:sz w:val="20"/>
          <w:szCs w:val="20"/>
        </w:rPr>
        <w:t xml:space="preserve">Decreto-Ley 21789, el señor Lagos del Campo también formaba parte de la Comunidad Industrial de la empresa, donde </w:t>
      </w:r>
      <w:r w:rsidR="00C86725">
        <w:rPr>
          <w:rFonts w:ascii="Verdana" w:hAnsi="Verdana"/>
          <w:color w:val="000000"/>
          <w:sz w:val="20"/>
          <w:szCs w:val="20"/>
        </w:rPr>
        <w:t>fue elegido por la Asamblea General como miembro del Comité Electoral</w:t>
      </w:r>
      <w:r w:rsidRPr="00275EDE">
        <w:rPr>
          <w:rFonts w:ascii="Verdana" w:hAnsi="Verdana"/>
          <w:color w:val="000000"/>
          <w:sz w:val="20"/>
          <w:szCs w:val="20"/>
        </w:rPr>
        <w:t>. En el per</w:t>
      </w:r>
      <w:r w:rsidR="00E72D85">
        <w:rPr>
          <w:rFonts w:ascii="Verdana" w:hAnsi="Verdana"/>
          <w:color w:val="000000"/>
          <w:sz w:val="20"/>
          <w:szCs w:val="20"/>
        </w:rPr>
        <w:t>í</w:t>
      </w:r>
      <w:r w:rsidRPr="00275EDE">
        <w:rPr>
          <w:rFonts w:ascii="Verdana" w:hAnsi="Verdana"/>
          <w:color w:val="000000"/>
          <w:sz w:val="20"/>
          <w:szCs w:val="20"/>
        </w:rPr>
        <w:t>odo 1988-1989 ocupó el cargo de Presidente del Comité Electoral de la Comunidad Industrial</w:t>
      </w:r>
      <w:r w:rsidRPr="00275EDE">
        <w:rPr>
          <w:rFonts w:ascii="Verdana" w:hAnsi="Verdana"/>
          <w:color w:val="000000"/>
          <w:sz w:val="20"/>
          <w:szCs w:val="20"/>
          <w:vertAlign w:val="superscript"/>
        </w:rPr>
        <w:footnoteReference w:id="53"/>
      </w:r>
      <w:r w:rsidRPr="00275EDE">
        <w:rPr>
          <w:rFonts w:ascii="Verdana" w:hAnsi="Verdana"/>
          <w:color w:val="000000"/>
          <w:sz w:val="20"/>
          <w:szCs w:val="20"/>
        </w:rPr>
        <w:t>, entidad encargada de llevar a cabo las elecciones de los miembros del</w:t>
      </w:r>
      <w:r w:rsidRPr="00275EDE">
        <w:rPr>
          <w:rFonts w:ascii="Verdana" w:hAnsi="Verdana"/>
          <w:sz w:val="20"/>
          <w:szCs w:val="20"/>
        </w:rPr>
        <w:t xml:space="preserve"> Consejo </w:t>
      </w:r>
      <w:r w:rsidRPr="00EB7A3B">
        <w:rPr>
          <w:rFonts w:ascii="Verdana" w:hAnsi="Verdana"/>
          <w:sz w:val="20"/>
          <w:szCs w:val="20"/>
        </w:rPr>
        <w:t>de la Comunidad y de los Representantes ante el Directorio de la empresa (</w:t>
      </w:r>
      <w:r w:rsidR="00224537" w:rsidRPr="00224537">
        <w:rPr>
          <w:rFonts w:ascii="Verdana" w:hAnsi="Verdana"/>
          <w:i/>
          <w:sz w:val="20"/>
          <w:szCs w:val="20"/>
        </w:rPr>
        <w:t>supra</w:t>
      </w:r>
      <w:r w:rsidR="00CC7C1E">
        <w:rPr>
          <w:rFonts w:ascii="Verdana" w:hAnsi="Verdana"/>
          <w:i/>
          <w:sz w:val="20"/>
          <w:szCs w:val="20"/>
        </w:rPr>
        <w:t xml:space="preserve"> </w:t>
      </w:r>
      <w:r w:rsidR="00CC7C1E" w:rsidRPr="00333304">
        <w:rPr>
          <w:rFonts w:ascii="Verdana" w:hAnsi="Verdana"/>
          <w:sz w:val="20"/>
          <w:szCs w:val="20"/>
        </w:rPr>
        <w:t>párr.</w:t>
      </w:r>
      <w:r w:rsidRPr="00333304">
        <w:rPr>
          <w:rFonts w:ascii="Verdana" w:hAnsi="Verdana"/>
          <w:sz w:val="20"/>
          <w:szCs w:val="20"/>
        </w:rPr>
        <w:t xml:space="preserve"> </w:t>
      </w:r>
      <w:r w:rsidR="00D02C92" w:rsidRPr="00333304">
        <w:rPr>
          <w:rFonts w:ascii="Verdana" w:hAnsi="Verdana"/>
          <w:sz w:val="20"/>
          <w:szCs w:val="20"/>
        </w:rPr>
        <w:t>43</w:t>
      </w:r>
      <w:r w:rsidRPr="00CB5A95">
        <w:rPr>
          <w:rFonts w:ascii="Verdana" w:hAnsi="Verdana"/>
          <w:sz w:val="20"/>
          <w:szCs w:val="20"/>
        </w:rPr>
        <w:t>).</w:t>
      </w:r>
    </w:p>
    <w:p w14:paraId="24F15CBA" w14:textId="77777777" w:rsidR="00275EDE" w:rsidRPr="00CB5A95" w:rsidRDefault="00275EDE" w:rsidP="009C6F8E">
      <w:pPr>
        <w:jc w:val="both"/>
        <w:rPr>
          <w:rFonts w:ascii="Verdana" w:hAnsi="Verdana"/>
          <w:b/>
          <w:sz w:val="20"/>
          <w:szCs w:val="20"/>
        </w:rPr>
      </w:pPr>
    </w:p>
    <w:p w14:paraId="5A7F1885" w14:textId="4B5A8A81" w:rsidR="00275EDE" w:rsidRPr="00CB5A95" w:rsidRDefault="00275EDE" w:rsidP="00E66DD7">
      <w:pPr>
        <w:pStyle w:val="ListParagraph"/>
        <w:numPr>
          <w:ilvl w:val="0"/>
          <w:numId w:val="1"/>
        </w:numPr>
        <w:ind w:left="0" w:hanging="11"/>
        <w:jc w:val="both"/>
        <w:rPr>
          <w:rFonts w:eastAsiaTheme="minorHAnsi"/>
          <w:b/>
          <w:sz w:val="20"/>
          <w:szCs w:val="20"/>
          <w:lang w:val="es-EC"/>
        </w:rPr>
      </w:pPr>
      <w:r w:rsidRPr="00CB5A95">
        <w:rPr>
          <w:rFonts w:ascii="Verdana" w:hAnsi="Verdana"/>
          <w:color w:val="000000"/>
          <w:sz w:val="20"/>
          <w:szCs w:val="20"/>
        </w:rPr>
        <w:t xml:space="preserve">El 26 de abril de 1989 Alfredo Lagos del Campo, en su condición de Presidente del Comité Electoral de la Comunidad Industrial y delegado pleno ante la </w:t>
      </w:r>
      <w:r w:rsidR="00C86725" w:rsidRPr="00CB5A95">
        <w:rPr>
          <w:rFonts w:ascii="Verdana" w:hAnsi="Verdana"/>
          <w:sz w:val="20"/>
          <w:szCs w:val="20"/>
          <w:lang w:val="es-CR"/>
        </w:rPr>
        <w:t>Confederación Nacional de Comunidades Industriales</w:t>
      </w:r>
      <w:r w:rsidR="00C86725" w:rsidRPr="00CB5A95" w:rsidDel="00C86725">
        <w:rPr>
          <w:rFonts w:ascii="Verdana" w:hAnsi="Verdana"/>
          <w:color w:val="000000"/>
          <w:sz w:val="20"/>
          <w:szCs w:val="20"/>
        </w:rPr>
        <w:t xml:space="preserve"> </w:t>
      </w:r>
      <w:r w:rsidRPr="00CB5A95">
        <w:rPr>
          <w:rFonts w:ascii="Verdana" w:hAnsi="Verdana"/>
          <w:color w:val="000000"/>
          <w:sz w:val="20"/>
          <w:szCs w:val="20"/>
        </w:rPr>
        <w:t>(</w:t>
      </w:r>
      <w:r w:rsidR="00C86725" w:rsidRPr="00CB5A95">
        <w:rPr>
          <w:rFonts w:ascii="Verdana" w:hAnsi="Verdana"/>
          <w:color w:val="000000"/>
          <w:sz w:val="20"/>
          <w:szCs w:val="20"/>
        </w:rPr>
        <w:t xml:space="preserve">en adelante </w:t>
      </w:r>
      <w:r w:rsidRPr="00CB5A95">
        <w:rPr>
          <w:rFonts w:ascii="Verdana" w:hAnsi="Verdana"/>
          <w:color w:val="000000"/>
          <w:sz w:val="20"/>
          <w:szCs w:val="20"/>
        </w:rPr>
        <w:t>CONACI) denunció ante la Dirección General de Participación del Ministerio de Industria irregularidades en la convocatoria a elecciones de los miembros del Consejo de la Comunidad Industrial y de los represen</w:t>
      </w:r>
      <w:r w:rsidRPr="00CB5A95">
        <w:rPr>
          <w:rFonts w:ascii="Verdana" w:hAnsi="Verdana"/>
          <w:sz w:val="20"/>
          <w:szCs w:val="20"/>
        </w:rPr>
        <w:t>tantes de los trabajadores en el Directorio de la empresa</w:t>
      </w:r>
      <w:r w:rsidR="000D6F59">
        <w:rPr>
          <w:rFonts w:ascii="Verdana" w:hAnsi="Verdana"/>
          <w:sz w:val="20"/>
          <w:szCs w:val="20"/>
        </w:rPr>
        <w:t>,</w:t>
      </w:r>
      <w:r w:rsidRPr="00CB5A95">
        <w:rPr>
          <w:rFonts w:ascii="Verdana" w:hAnsi="Verdana"/>
          <w:color w:val="000000"/>
          <w:sz w:val="20"/>
          <w:szCs w:val="20"/>
        </w:rPr>
        <w:t xml:space="preserve"> a celebrarse el 28 de abril</w:t>
      </w:r>
      <w:r w:rsidR="00C86725" w:rsidRPr="00CB5A95">
        <w:rPr>
          <w:rFonts w:ascii="Verdana" w:hAnsi="Verdana"/>
          <w:color w:val="000000"/>
          <w:sz w:val="20"/>
          <w:szCs w:val="20"/>
        </w:rPr>
        <w:t xml:space="preserve"> de ese año</w:t>
      </w:r>
      <w:r w:rsidRPr="00CB5A95">
        <w:rPr>
          <w:rFonts w:ascii="Verdana" w:hAnsi="Verdana"/>
          <w:color w:val="000000"/>
          <w:sz w:val="20"/>
          <w:szCs w:val="20"/>
        </w:rPr>
        <w:t xml:space="preserve">. </w:t>
      </w:r>
      <w:r w:rsidR="00C86725" w:rsidRPr="00CB5A95">
        <w:rPr>
          <w:rFonts w:ascii="Verdana" w:hAnsi="Verdana"/>
          <w:color w:val="000000"/>
          <w:sz w:val="20"/>
          <w:szCs w:val="20"/>
        </w:rPr>
        <w:t>Según lo alegado, tales</w:t>
      </w:r>
      <w:r w:rsidRPr="00CB5A95">
        <w:rPr>
          <w:rFonts w:ascii="Verdana" w:hAnsi="Verdana"/>
          <w:color w:val="000000"/>
          <w:sz w:val="20"/>
          <w:szCs w:val="20"/>
        </w:rPr>
        <w:t xml:space="preserve"> irregularidades se debían a que </w:t>
      </w:r>
      <w:r w:rsidR="00C86725" w:rsidRPr="00CB5A95">
        <w:rPr>
          <w:rFonts w:ascii="Verdana" w:hAnsi="Verdana"/>
          <w:color w:val="000000"/>
          <w:sz w:val="20"/>
          <w:szCs w:val="20"/>
        </w:rPr>
        <w:t xml:space="preserve">presuntamente </w:t>
      </w:r>
      <w:r w:rsidRPr="00CB5A95">
        <w:rPr>
          <w:rFonts w:ascii="Verdana" w:hAnsi="Verdana"/>
          <w:color w:val="000000"/>
          <w:sz w:val="20"/>
          <w:szCs w:val="20"/>
        </w:rPr>
        <w:t>tres miembros</w:t>
      </w:r>
      <w:r w:rsidRPr="00CB5A95">
        <w:rPr>
          <w:color w:val="000000"/>
          <w:sz w:val="20"/>
          <w:szCs w:val="20"/>
          <w:vertAlign w:val="superscript"/>
        </w:rPr>
        <w:footnoteReference w:id="54"/>
      </w:r>
      <w:r w:rsidRPr="00CB5A95">
        <w:rPr>
          <w:rFonts w:ascii="Verdana" w:hAnsi="Verdana"/>
          <w:color w:val="000000"/>
          <w:sz w:val="20"/>
          <w:szCs w:val="20"/>
        </w:rPr>
        <w:t xml:space="preserve"> del Comité Electoral, que representaban a los </w:t>
      </w:r>
      <w:r w:rsidR="00C86725" w:rsidRPr="00CB5A95">
        <w:rPr>
          <w:rFonts w:ascii="Verdana" w:hAnsi="Verdana"/>
          <w:color w:val="000000"/>
          <w:sz w:val="20"/>
          <w:szCs w:val="20"/>
        </w:rPr>
        <w:t xml:space="preserve">intereses de los </w:t>
      </w:r>
      <w:r w:rsidRPr="00CB5A95">
        <w:rPr>
          <w:rFonts w:ascii="Verdana" w:hAnsi="Verdana"/>
          <w:color w:val="000000"/>
          <w:sz w:val="20"/>
          <w:szCs w:val="20"/>
        </w:rPr>
        <w:t>patron</w:t>
      </w:r>
      <w:r w:rsidR="0019166C" w:rsidRPr="00CB5A95">
        <w:rPr>
          <w:rFonts w:ascii="Verdana" w:hAnsi="Verdana"/>
          <w:color w:val="000000"/>
          <w:sz w:val="20"/>
          <w:szCs w:val="20"/>
        </w:rPr>
        <w:t>o</w:t>
      </w:r>
      <w:r w:rsidRPr="00CB5A95">
        <w:rPr>
          <w:rFonts w:ascii="Verdana" w:hAnsi="Verdana"/>
          <w:color w:val="000000"/>
          <w:sz w:val="20"/>
          <w:szCs w:val="20"/>
        </w:rPr>
        <w:t>s</w:t>
      </w:r>
      <w:r w:rsidR="00C86725" w:rsidRPr="00CB5A95">
        <w:rPr>
          <w:rFonts w:ascii="Verdana" w:hAnsi="Verdana"/>
          <w:color w:val="000000"/>
          <w:sz w:val="20"/>
          <w:szCs w:val="20"/>
        </w:rPr>
        <w:t>,</w:t>
      </w:r>
      <w:r w:rsidRPr="00CB5A95">
        <w:rPr>
          <w:rFonts w:ascii="Verdana" w:hAnsi="Verdana"/>
          <w:color w:val="000000"/>
          <w:sz w:val="20"/>
          <w:szCs w:val="20"/>
        </w:rPr>
        <w:t xml:space="preserve"> convocaron</w:t>
      </w:r>
      <w:r w:rsidRPr="00CB5A95">
        <w:rPr>
          <w:rFonts w:ascii="Verdana" w:hAnsi="Verdana"/>
          <w:sz w:val="20"/>
          <w:szCs w:val="20"/>
        </w:rPr>
        <w:t xml:space="preserve"> a elecciones sin contar con la participación de los miembros de la representación de los trabajadores (Lagos del Campo</w:t>
      </w:r>
      <w:r w:rsidR="00C86725" w:rsidRPr="00CB5A95">
        <w:rPr>
          <w:rFonts w:ascii="Verdana" w:hAnsi="Verdana"/>
          <w:sz w:val="20"/>
          <w:szCs w:val="20"/>
        </w:rPr>
        <w:t xml:space="preserve"> y </w:t>
      </w:r>
      <w:proofErr w:type="spellStart"/>
      <w:r w:rsidR="00787FF6" w:rsidRPr="00EB7A3B">
        <w:rPr>
          <w:rFonts w:ascii="Verdana" w:hAnsi="Verdana"/>
          <w:sz w:val="20"/>
          <w:szCs w:val="20"/>
        </w:rPr>
        <w:t>Aristedes</w:t>
      </w:r>
      <w:proofErr w:type="spellEnd"/>
      <w:r w:rsidR="00787FF6" w:rsidRPr="00EB7A3B">
        <w:rPr>
          <w:rFonts w:ascii="Verdana" w:hAnsi="Verdana"/>
          <w:sz w:val="20"/>
          <w:szCs w:val="20"/>
        </w:rPr>
        <w:t xml:space="preserve"> Quispe Altamirano</w:t>
      </w:r>
      <w:r w:rsidRPr="00CB5A95">
        <w:rPr>
          <w:rFonts w:ascii="Verdana" w:hAnsi="Verdana"/>
          <w:sz w:val="20"/>
          <w:szCs w:val="20"/>
        </w:rPr>
        <w:t>), con la finalidad de favorecer la elección de una lista promovid</w:t>
      </w:r>
      <w:r w:rsidR="00E72D85">
        <w:rPr>
          <w:rFonts w:ascii="Verdana" w:hAnsi="Verdana"/>
          <w:sz w:val="20"/>
          <w:szCs w:val="20"/>
        </w:rPr>
        <w:t>a</w:t>
      </w:r>
      <w:r w:rsidRPr="00CB5A95">
        <w:rPr>
          <w:rFonts w:ascii="Verdana" w:hAnsi="Verdana"/>
          <w:sz w:val="20"/>
          <w:szCs w:val="20"/>
        </w:rPr>
        <w:t xml:space="preserve"> por los patron</w:t>
      </w:r>
      <w:r w:rsidR="0019166C" w:rsidRPr="00CB5A95">
        <w:rPr>
          <w:rFonts w:ascii="Verdana" w:hAnsi="Verdana"/>
          <w:sz w:val="20"/>
          <w:szCs w:val="20"/>
        </w:rPr>
        <w:t>o</w:t>
      </w:r>
      <w:r w:rsidRPr="00CB5A95">
        <w:rPr>
          <w:rFonts w:ascii="Verdana" w:hAnsi="Verdana"/>
          <w:sz w:val="20"/>
          <w:szCs w:val="20"/>
        </w:rPr>
        <w:t>s de la empresa</w:t>
      </w:r>
      <w:r w:rsidRPr="00333304">
        <w:rPr>
          <w:sz w:val="20"/>
          <w:szCs w:val="20"/>
          <w:vertAlign w:val="superscript"/>
        </w:rPr>
        <w:footnoteReference w:id="55"/>
      </w:r>
      <w:r w:rsidRPr="00CC7C1E">
        <w:rPr>
          <w:rFonts w:ascii="Verdana" w:hAnsi="Verdana"/>
          <w:sz w:val="20"/>
          <w:szCs w:val="20"/>
        </w:rPr>
        <w:t>.</w:t>
      </w:r>
      <w:r w:rsidRPr="00CB5A95">
        <w:rPr>
          <w:rFonts w:ascii="Verdana" w:hAnsi="Verdana"/>
          <w:sz w:val="20"/>
          <w:szCs w:val="20"/>
        </w:rPr>
        <w:t xml:space="preserve"> </w:t>
      </w:r>
    </w:p>
    <w:p w14:paraId="58DC950F" w14:textId="15656FDD" w:rsidR="00275EDE" w:rsidRPr="00EB7A3B" w:rsidRDefault="00275EDE" w:rsidP="009C6F8E">
      <w:pPr>
        <w:jc w:val="both"/>
        <w:rPr>
          <w:rFonts w:ascii="Verdana" w:hAnsi="Verdana"/>
          <w:b/>
          <w:sz w:val="20"/>
          <w:szCs w:val="20"/>
          <w:lang w:val="es-EC"/>
        </w:rPr>
      </w:pPr>
    </w:p>
    <w:p w14:paraId="214F4C20" w14:textId="659EEFFD" w:rsidR="00275EDE" w:rsidRPr="00275EDE" w:rsidRDefault="00275EDE" w:rsidP="00E66DD7">
      <w:pPr>
        <w:pStyle w:val="ListParagraph"/>
        <w:numPr>
          <w:ilvl w:val="0"/>
          <w:numId w:val="1"/>
        </w:numPr>
        <w:ind w:left="0" w:hanging="11"/>
        <w:jc w:val="both"/>
        <w:rPr>
          <w:rFonts w:ascii="Verdana" w:hAnsi="Verdana"/>
          <w:b/>
          <w:sz w:val="20"/>
          <w:szCs w:val="20"/>
        </w:rPr>
      </w:pPr>
      <w:r w:rsidRPr="00CB5A95">
        <w:rPr>
          <w:rFonts w:ascii="Verdana" w:hAnsi="Verdana"/>
          <w:sz w:val="20"/>
          <w:szCs w:val="20"/>
        </w:rPr>
        <w:t>Realizadas</w:t>
      </w:r>
      <w:r w:rsidRPr="00275EDE">
        <w:rPr>
          <w:rFonts w:ascii="Verdana" w:hAnsi="Verdana"/>
          <w:sz w:val="20"/>
          <w:szCs w:val="20"/>
        </w:rPr>
        <w:t xml:space="preserve"> las elecciones, el 28 de abril de 1989 un grupo de trabajadores presentaron ante la Dirección General de Participación del Ministerio de Industria un escrito </w:t>
      </w:r>
      <w:r w:rsidRPr="00CB5A95">
        <w:rPr>
          <w:rFonts w:ascii="Verdana" w:hAnsi="Verdana"/>
          <w:sz w:val="20"/>
        </w:rPr>
        <w:t>impugnando dichas elecciones</w:t>
      </w:r>
      <w:r w:rsidR="00E362E6" w:rsidRPr="00275EDE">
        <w:rPr>
          <w:rFonts w:ascii="Verdana" w:hAnsi="Verdana"/>
          <w:sz w:val="20"/>
          <w:szCs w:val="20"/>
          <w:vertAlign w:val="superscript"/>
        </w:rPr>
        <w:footnoteReference w:id="56"/>
      </w:r>
      <w:r w:rsidRPr="00EB5530">
        <w:rPr>
          <w:rFonts w:ascii="Verdana" w:hAnsi="Verdana"/>
          <w:sz w:val="20"/>
        </w:rPr>
        <w:t>.</w:t>
      </w:r>
      <w:r w:rsidR="00E02AC4">
        <w:rPr>
          <w:rFonts w:ascii="Verdana" w:hAnsi="Verdana"/>
          <w:b/>
          <w:sz w:val="20"/>
        </w:rPr>
        <w:t xml:space="preserve"> </w:t>
      </w:r>
      <w:r w:rsidR="0008093F">
        <w:rPr>
          <w:rFonts w:ascii="Verdana" w:hAnsi="Verdana"/>
          <w:sz w:val="20"/>
          <w:szCs w:val="20"/>
        </w:rPr>
        <w:t>Al respecto</w:t>
      </w:r>
      <w:r w:rsidR="00787FF6">
        <w:rPr>
          <w:rFonts w:ascii="Verdana" w:hAnsi="Verdana"/>
          <w:sz w:val="20"/>
          <w:szCs w:val="20"/>
        </w:rPr>
        <w:t>, e</w:t>
      </w:r>
      <w:r w:rsidRPr="00275EDE">
        <w:rPr>
          <w:rFonts w:ascii="Verdana" w:hAnsi="Verdana"/>
          <w:sz w:val="20"/>
          <w:szCs w:val="20"/>
        </w:rPr>
        <w:t xml:space="preserve">l 9 de junio de 1989 la Dirección General de Participación del Ministerio de Industria </w:t>
      </w:r>
      <w:r w:rsidR="0008093F" w:rsidRPr="00CB5A95">
        <w:rPr>
          <w:rFonts w:ascii="Verdana" w:hAnsi="Verdana"/>
          <w:sz w:val="20"/>
          <w:szCs w:val="20"/>
        </w:rPr>
        <w:t>constató que el número de votos fue inferior al 75% del número de miembros de la Comunidad Industrial, por lo que se declaró fundado el recurso y se instruyó convocar a un nuevo proceso electoral</w:t>
      </w:r>
      <w:r w:rsidRPr="00275EDE">
        <w:rPr>
          <w:rFonts w:ascii="Verdana" w:hAnsi="Verdana"/>
          <w:sz w:val="20"/>
          <w:szCs w:val="20"/>
          <w:vertAlign w:val="superscript"/>
        </w:rPr>
        <w:footnoteReference w:id="57"/>
      </w:r>
      <w:r w:rsidRPr="00275EDE">
        <w:rPr>
          <w:rFonts w:ascii="Verdana" w:hAnsi="Verdana" w:cs="Arial"/>
          <w:sz w:val="20"/>
          <w:szCs w:val="20"/>
        </w:rPr>
        <w:t xml:space="preserve">. </w:t>
      </w:r>
      <w:r w:rsidR="00E362E6">
        <w:rPr>
          <w:rFonts w:ascii="Verdana" w:hAnsi="Verdana" w:cs="Arial"/>
          <w:sz w:val="20"/>
          <w:szCs w:val="20"/>
        </w:rPr>
        <w:t>E</w:t>
      </w:r>
      <w:r w:rsidRPr="00275EDE">
        <w:rPr>
          <w:rFonts w:ascii="Verdana" w:hAnsi="Verdana" w:cs="Arial"/>
          <w:sz w:val="20"/>
          <w:szCs w:val="20"/>
        </w:rPr>
        <w:t>l 22 de junio de 1989 el Comité Electoral</w:t>
      </w:r>
      <w:r w:rsidR="000D6F59">
        <w:rPr>
          <w:rFonts w:ascii="Verdana" w:hAnsi="Verdana" w:cs="Arial"/>
          <w:sz w:val="20"/>
          <w:szCs w:val="20"/>
        </w:rPr>
        <w:t>,</w:t>
      </w:r>
      <w:r w:rsidRPr="00275EDE">
        <w:rPr>
          <w:rFonts w:ascii="Verdana" w:hAnsi="Verdana" w:cs="Arial"/>
          <w:sz w:val="20"/>
          <w:szCs w:val="20"/>
        </w:rPr>
        <w:t xml:space="preserve"> presidido por el señor Lagos del Campo</w:t>
      </w:r>
      <w:r w:rsidR="000D6F59">
        <w:rPr>
          <w:rFonts w:ascii="Verdana" w:hAnsi="Verdana" w:cs="Arial"/>
          <w:sz w:val="20"/>
          <w:szCs w:val="20"/>
        </w:rPr>
        <w:t>,</w:t>
      </w:r>
      <w:r w:rsidRPr="00275EDE">
        <w:rPr>
          <w:rFonts w:ascii="Verdana" w:hAnsi="Verdana" w:cs="Arial"/>
          <w:sz w:val="20"/>
          <w:szCs w:val="20"/>
        </w:rPr>
        <w:t xml:space="preserve"> llevó a cabo una citación para el 27 de junio de 1989, con la finalidad de coordinar la realización de la nueva elección, de acuerdo a lo dispuesto por la </w:t>
      </w:r>
      <w:r w:rsidRPr="00275EDE">
        <w:rPr>
          <w:rFonts w:ascii="Verdana" w:hAnsi="Verdana"/>
          <w:sz w:val="20"/>
          <w:szCs w:val="20"/>
        </w:rPr>
        <w:t>Dirección General de Participación del Ministerio de Industria</w:t>
      </w:r>
      <w:r w:rsidRPr="00275EDE">
        <w:rPr>
          <w:sz w:val="20"/>
          <w:szCs w:val="20"/>
          <w:vertAlign w:val="superscript"/>
        </w:rPr>
        <w:footnoteReference w:id="58"/>
      </w:r>
      <w:r w:rsidRPr="00275EDE">
        <w:rPr>
          <w:rFonts w:ascii="Verdana" w:hAnsi="Verdana"/>
          <w:sz w:val="20"/>
          <w:szCs w:val="20"/>
        </w:rPr>
        <w:t>.</w:t>
      </w:r>
    </w:p>
    <w:p w14:paraId="7A281BC6" w14:textId="77777777" w:rsidR="00275EDE" w:rsidRPr="00275EDE" w:rsidRDefault="00275EDE" w:rsidP="005D0ACD">
      <w:pPr>
        <w:jc w:val="both"/>
        <w:rPr>
          <w:rFonts w:ascii="Verdana" w:hAnsi="Verdana"/>
          <w:b/>
          <w:sz w:val="20"/>
          <w:szCs w:val="20"/>
        </w:rPr>
      </w:pPr>
    </w:p>
    <w:p w14:paraId="6FBE64F3" w14:textId="77777777" w:rsidR="00275EDE" w:rsidRPr="00275EDE" w:rsidRDefault="00275EDE" w:rsidP="00E66DD7">
      <w:pPr>
        <w:pStyle w:val="Heading2"/>
        <w:numPr>
          <w:ilvl w:val="0"/>
          <w:numId w:val="12"/>
        </w:numPr>
        <w:rPr>
          <w:rFonts w:eastAsia="MS Gothic"/>
          <w:i/>
          <w:iCs/>
          <w:szCs w:val="20"/>
        </w:rPr>
      </w:pPr>
      <w:bookmarkStart w:id="20" w:name="_Toc498333485"/>
      <w:r w:rsidRPr="00275EDE">
        <w:rPr>
          <w:rFonts w:eastAsia="MS Gothic"/>
          <w:i/>
          <w:iCs/>
          <w:szCs w:val="20"/>
        </w:rPr>
        <w:t>El despido del señor Lagos del Campo y el marco legal aplicable</w:t>
      </w:r>
      <w:bookmarkEnd w:id="20"/>
    </w:p>
    <w:p w14:paraId="7633BF60" w14:textId="77777777" w:rsidR="00275EDE" w:rsidRPr="00275EDE" w:rsidRDefault="00275EDE" w:rsidP="00275EDE">
      <w:pPr>
        <w:autoSpaceDE w:val="0"/>
        <w:autoSpaceDN w:val="0"/>
        <w:adjustRightInd w:val="0"/>
        <w:ind w:left="720"/>
        <w:jc w:val="both"/>
        <w:rPr>
          <w:rFonts w:ascii="Verdana" w:hAnsi="Verdana"/>
          <w:b/>
          <w:sz w:val="20"/>
          <w:szCs w:val="20"/>
        </w:rPr>
      </w:pPr>
      <w:r w:rsidRPr="00275EDE">
        <w:rPr>
          <w:rFonts w:ascii="Verdana" w:hAnsi="Verdana"/>
          <w:b/>
          <w:sz w:val="20"/>
          <w:szCs w:val="20"/>
        </w:rPr>
        <w:t xml:space="preserve"> </w:t>
      </w:r>
    </w:p>
    <w:p w14:paraId="3A41C4E1" w14:textId="2709664B" w:rsidR="00275EDE" w:rsidRPr="00275EDE" w:rsidRDefault="00275EDE" w:rsidP="00E66DD7">
      <w:pPr>
        <w:pStyle w:val="ListParagraph"/>
        <w:numPr>
          <w:ilvl w:val="0"/>
          <w:numId w:val="1"/>
        </w:numPr>
        <w:ind w:left="0" w:hanging="11"/>
        <w:jc w:val="both"/>
        <w:rPr>
          <w:rFonts w:ascii="Verdana" w:hAnsi="Verdana"/>
          <w:b/>
          <w:sz w:val="20"/>
          <w:szCs w:val="20"/>
        </w:rPr>
      </w:pPr>
      <w:r w:rsidRPr="00275EDE">
        <w:rPr>
          <w:rFonts w:ascii="Verdana" w:hAnsi="Verdana"/>
          <w:sz w:val="20"/>
          <w:szCs w:val="20"/>
        </w:rPr>
        <w:t>En dicho contexto, durante su gestión como Presidente del Comité Electoral, el señor Lagos del Campo dio una entrevista</w:t>
      </w:r>
      <w:r w:rsidRPr="00275EDE">
        <w:rPr>
          <w:rFonts w:ascii="Verdana" w:hAnsi="Verdana"/>
          <w:b/>
          <w:sz w:val="20"/>
          <w:szCs w:val="20"/>
        </w:rPr>
        <w:t xml:space="preserve"> </w:t>
      </w:r>
      <w:r w:rsidRPr="00275EDE">
        <w:rPr>
          <w:rFonts w:ascii="Verdana" w:hAnsi="Verdana"/>
          <w:sz w:val="20"/>
          <w:szCs w:val="20"/>
        </w:rPr>
        <w:t>a un periodista de la revista "La Razón"</w:t>
      </w:r>
      <w:r w:rsidRPr="009C6F8E">
        <w:rPr>
          <w:rFonts w:ascii="Verdana" w:hAnsi="Verdana"/>
          <w:sz w:val="20"/>
          <w:szCs w:val="20"/>
          <w:vertAlign w:val="superscript"/>
        </w:rPr>
        <w:footnoteReference w:id="59"/>
      </w:r>
      <w:r w:rsidRPr="00275EDE">
        <w:rPr>
          <w:rFonts w:ascii="Verdana" w:hAnsi="Verdana"/>
          <w:sz w:val="20"/>
          <w:szCs w:val="20"/>
        </w:rPr>
        <w:t xml:space="preserve"> en junio de 1989. En el artículo publicado dos semanas después, se indicó que "el Presidente del Comité Electoral de la Comunidad Industrial de la empresa, Lagos del Campo, delegado pleno ante la CONACI</w:t>
      </w:r>
      <w:r w:rsidR="00E72D85">
        <w:rPr>
          <w:rFonts w:ascii="Verdana" w:hAnsi="Verdana"/>
          <w:sz w:val="20"/>
          <w:szCs w:val="20"/>
        </w:rPr>
        <w:t>,</w:t>
      </w:r>
      <w:r w:rsidRPr="00275EDE">
        <w:rPr>
          <w:rFonts w:ascii="Verdana" w:hAnsi="Verdana"/>
          <w:sz w:val="20"/>
          <w:szCs w:val="20"/>
        </w:rPr>
        <w:t xml:space="preserve"> denunció ante la opinión pública y autoridades competentes las maniobras liquidadoras de la patronal, quienes utilizando la vacilación de algunos trabajadores llevaron a cabo fraudulentas elecciones al margen del Comité Electoral y sin la participación mayoritaria de los comuneros"</w:t>
      </w:r>
      <w:r w:rsidRPr="00A532BE">
        <w:rPr>
          <w:rFonts w:ascii="Verdana" w:hAnsi="Verdana"/>
          <w:sz w:val="20"/>
          <w:szCs w:val="20"/>
          <w:vertAlign w:val="superscript"/>
        </w:rPr>
        <w:footnoteReference w:id="60"/>
      </w:r>
      <w:r w:rsidRPr="00275EDE">
        <w:rPr>
          <w:rFonts w:ascii="Verdana" w:hAnsi="Verdana" w:cs="Arial"/>
          <w:sz w:val="20"/>
          <w:szCs w:val="20"/>
        </w:rPr>
        <w:t xml:space="preserve">. </w:t>
      </w:r>
    </w:p>
    <w:p w14:paraId="082AC116" w14:textId="77777777" w:rsidR="00275EDE" w:rsidRPr="00275EDE" w:rsidRDefault="00275EDE" w:rsidP="00275EDE">
      <w:pPr>
        <w:jc w:val="both"/>
        <w:rPr>
          <w:rFonts w:ascii="Verdana" w:hAnsi="Verdana"/>
          <w:b/>
          <w:sz w:val="20"/>
          <w:szCs w:val="20"/>
        </w:rPr>
      </w:pPr>
    </w:p>
    <w:p w14:paraId="6B3E1832" w14:textId="3448DF34" w:rsidR="00275EDE" w:rsidRPr="00275EDE" w:rsidRDefault="00275EDE" w:rsidP="00E66DD7">
      <w:pPr>
        <w:pStyle w:val="ListParagraph"/>
        <w:numPr>
          <w:ilvl w:val="0"/>
          <w:numId w:val="1"/>
        </w:numPr>
        <w:ind w:left="0" w:hanging="11"/>
        <w:jc w:val="both"/>
        <w:rPr>
          <w:rFonts w:ascii="Verdana" w:hAnsi="Verdana"/>
          <w:b/>
          <w:sz w:val="20"/>
          <w:szCs w:val="20"/>
        </w:rPr>
      </w:pPr>
      <w:r w:rsidRPr="00275EDE">
        <w:rPr>
          <w:rFonts w:ascii="Verdana" w:hAnsi="Verdana" w:cs="Arial"/>
          <w:sz w:val="20"/>
          <w:szCs w:val="20"/>
        </w:rPr>
        <w:t>En particular, la entrevista señal</w:t>
      </w:r>
      <w:r w:rsidR="00E02AC4">
        <w:rPr>
          <w:rFonts w:ascii="Verdana" w:hAnsi="Verdana" w:cs="Arial"/>
          <w:sz w:val="20"/>
          <w:szCs w:val="20"/>
        </w:rPr>
        <w:t>ó</w:t>
      </w:r>
      <w:r w:rsidRPr="00275EDE">
        <w:rPr>
          <w:rFonts w:ascii="Verdana" w:hAnsi="Verdana" w:cs="Arial"/>
          <w:sz w:val="20"/>
          <w:szCs w:val="20"/>
        </w:rPr>
        <w:t xml:space="preserve"> lo siguiente</w:t>
      </w:r>
      <w:r w:rsidRPr="009C6F8E">
        <w:rPr>
          <w:rFonts w:ascii="Verdana" w:hAnsi="Verdana"/>
          <w:sz w:val="20"/>
          <w:szCs w:val="20"/>
          <w:vertAlign w:val="superscript"/>
        </w:rPr>
        <w:footnoteReference w:id="61"/>
      </w:r>
      <w:r w:rsidRPr="00275EDE">
        <w:rPr>
          <w:rFonts w:ascii="Verdana" w:hAnsi="Verdana" w:cs="Arial"/>
          <w:sz w:val="20"/>
          <w:szCs w:val="20"/>
        </w:rPr>
        <w:t xml:space="preserve"> </w:t>
      </w:r>
    </w:p>
    <w:p w14:paraId="483320A3" w14:textId="77777777" w:rsidR="00275EDE" w:rsidRPr="00275EDE" w:rsidRDefault="00275EDE" w:rsidP="009C6F8E">
      <w:pPr>
        <w:jc w:val="both"/>
        <w:rPr>
          <w:rFonts w:ascii="Verdana" w:hAnsi="Verdana" w:cs="Arial"/>
          <w:sz w:val="20"/>
          <w:szCs w:val="20"/>
        </w:rPr>
      </w:pPr>
    </w:p>
    <w:p w14:paraId="6C77EB66" w14:textId="77777777" w:rsidR="00275EDE" w:rsidRPr="00275EDE" w:rsidRDefault="00275EDE" w:rsidP="009C6F8E">
      <w:pPr>
        <w:ind w:left="862" w:right="713" w:firstLine="578"/>
        <w:contextualSpacing/>
        <w:jc w:val="both"/>
        <w:rPr>
          <w:rFonts w:ascii="Verdana" w:eastAsia="Times New Roman" w:hAnsi="Verdana"/>
          <w:bCs/>
          <w:i/>
          <w:iCs/>
          <w:sz w:val="18"/>
          <w:szCs w:val="18"/>
          <w:lang w:val="es-CR"/>
        </w:rPr>
      </w:pPr>
      <w:r w:rsidRPr="00275EDE">
        <w:rPr>
          <w:rFonts w:ascii="Verdana" w:eastAsia="Times New Roman" w:hAnsi="Verdana"/>
          <w:sz w:val="18"/>
          <w:szCs w:val="18"/>
          <w:lang w:val="es-CR"/>
        </w:rPr>
        <w:t>“</w:t>
      </w:r>
      <w:r w:rsidRPr="00275EDE">
        <w:rPr>
          <w:rFonts w:ascii="Verdana" w:eastAsia="Times New Roman" w:hAnsi="Verdana"/>
          <w:bCs/>
          <w:i/>
          <w:iCs/>
          <w:sz w:val="18"/>
          <w:szCs w:val="18"/>
          <w:lang w:val="es-CR"/>
        </w:rPr>
        <w:t xml:space="preserve">¿Señor Lagos, estuvo de acuerdo con la convocatoria a elecciones? </w:t>
      </w:r>
    </w:p>
    <w:p w14:paraId="4F8E8E42" w14:textId="63F21F10" w:rsidR="00275EDE" w:rsidRPr="00510F96" w:rsidRDefault="00275EDE" w:rsidP="009C6F8E">
      <w:pPr>
        <w:ind w:left="1440" w:right="713"/>
        <w:contextualSpacing/>
        <w:jc w:val="both"/>
        <w:rPr>
          <w:rFonts w:ascii="Verdana" w:eastAsia="Times New Roman" w:hAnsi="Verdana"/>
          <w:i/>
          <w:iCs/>
          <w:sz w:val="18"/>
          <w:szCs w:val="18"/>
          <w:lang w:val="es-CR"/>
        </w:rPr>
      </w:pPr>
      <w:r w:rsidRPr="00275EDE">
        <w:rPr>
          <w:rFonts w:ascii="Verdana" w:eastAsia="Times New Roman" w:hAnsi="Verdana"/>
          <w:i/>
          <w:iCs/>
          <w:sz w:val="18"/>
          <w:szCs w:val="18"/>
          <w:lang w:val="es-CR"/>
        </w:rPr>
        <w:t xml:space="preserve">No estuve de acuerdo porque el Directorio de </w:t>
      </w:r>
      <w:r w:rsidRPr="00333304">
        <w:rPr>
          <w:rFonts w:ascii="Verdana" w:eastAsia="Times New Roman" w:hAnsi="Verdana"/>
          <w:i/>
          <w:iCs/>
          <w:sz w:val="18"/>
          <w:szCs w:val="18"/>
          <w:lang w:val="es-CR"/>
        </w:rPr>
        <w:t xml:space="preserve">la empresa ha utilizado y utiliza el chantaje y la </w:t>
      </w:r>
      <w:r w:rsidR="00E362E6" w:rsidRPr="00333304">
        <w:rPr>
          <w:rFonts w:ascii="Verdana" w:eastAsia="Times New Roman" w:hAnsi="Verdana"/>
          <w:i/>
          <w:iCs/>
          <w:sz w:val="18"/>
          <w:szCs w:val="18"/>
          <w:lang w:val="es-CR"/>
        </w:rPr>
        <w:t>coerción</w:t>
      </w:r>
      <w:r w:rsidRPr="00333304">
        <w:rPr>
          <w:rFonts w:ascii="Verdana" w:eastAsia="Times New Roman" w:hAnsi="Verdana"/>
          <w:i/>
          <w:iCs/>
          <w:sz w:val="18"/>
          <w:szCs w:val="18"/>
          <w:lang w:val="es-CR"/>
        </w:rPr>
        <w:t xml:space="preserve"> (sic) sobre los comuneros, llegando a presionar a un grupo determinado de trabajadores para que participen en las elecciones, bajo la amenaza de despido</w:t>
      </w:r>
      <w:r w:rsidRPr="00510F96">
        <w:rPr>
          <w:rFonts w:ascii="Verdana" w:eastAsia="Times New Roman" w:hAnsi="Verdana"/>
          <w:i/>
          <w:iCs/>
          <w:sz w:val="18"/>
          <w:szCs w:val="18"/>
          <w:lang w:val="es-CR"/>
        </w:rPr>
        <w:t>.</w:t>
      </w:r>
    </w:p>
    <w:p w14:paraId="2AF44A87" w14:textId="77777777" w:rsidR="00275EDE" w:rsidRPr="00275EDE" w:rsidRDefault="00275EDE" w:rsidP="009C6F8E">
      <w:pPr>
        <w:ind w:left="142" w:right="713"/>
        <w:contextualSpacing/>
        <w:jc w:val="both"/>
        <w:rPr>
          <w:rFonts w:ascii="Verdana" w:eastAsia="Times New Roman" w:hAnsi="Verdana"/>
          <w:bCs/>
          <w:i/>
          <w:iCs/>
          <w:sz w:val="18"/>
          <w:szCs w:val="18"/>
          <w:lang w:val="es-CR"/>
        </w:rPr>
      </w:pPr>
    </w:p>
    <w:p w14:paraId="78DBDAA2" w14:textId="77777777" w:rsidR="00275EDE" w:rsidRPr="00275EDE" w:rsidRDefault="00275EDE" w:rsidP="009C6F8E">
      <w:pPr>
        <w:ind w:left="862" w:right="713" w:firstLine="578"/>
        <w:contextualSpacing/>
        <w:jc w:val="both"/>
        <w:rPr>
          <w:rFonts w:ascii="Verdana" w:eastAsia="Times New Roman" w:hAnsi="Verdana"/>
          <w:bCs/>
          <w:i/>
          <w:iCs/>
          <w:sz w:val="18"/>
          <w:szCs w:val="18"/>
          <w:lang w:val="es-CR"/>
        </w:rPr>
      </w:pPr>
      <w:r w:rsidRPr="00275EDE">
        <w:rPr>
          <w:rFonts w:ascii="Verdana" w:eastAsia="Times New Roman" w:hAnsi="Verdana"/>
          <w:bCs/>
          <w:i/>
          <w:iCs/>
          <w:sz w:val="18"/>
          <w:szCs w:val="18"/>
          <w:lang w:val="es-CR"/>
        </w:rPr>
        <w:t xml:space="preserve">¿Usted considera que las elecciones son legales? </w:t>
      </w:r>
    </w:p>
    <w:p w14:paraId="255F5E88" w14:textId="77777777" w:rsidR="00275EDE" w:rsidRPr="00275EDE" w:rsidRDefault="00275EDE" w:rsidP="009C6F8E">
      <w:pPr>
        <w:ind w:left="1440" w:right="713"/>
        <w:contextualSpacing/>
        <w:jc w:val="both"/>
        <w:rPr>
          <w:rFonts w:ascii="Verdana" w:eastAsia="Times New Roman" w:hAnsi="Verdana"/>
          <w:i/>
          <w:iCs/>
          <w:sz w:val="18"/>
          <w:szCs w:val="18"/>
          <w:lang w:val="es-CR"/>
        </w:rPr>
      </w:pPr>
      <w:r w:rsidRPr="00275EDE">
        <w:rPr>
          <w:rFonts w:ascii="Verdana" w:eastAsia="Times New Roman" w:hAnsi="Verdana"/>
          <w:i/>
          <w:iCs/>
          <w:sz w:val="18"/>
          <w:szCs w:val="18"/>
          <w:lang w:val="es-CR"/>
        </w:rPr>
        <w:t>No, no son legales</w:t>
      </w:r>
      <w:r w:rsidRPr="00275EDE">
        <w:rPr>
          <w:rFonts w:ascii="Verdana" w:eastAsia="Times New Roman" w:hAnsi="Verdana"/>
          <w:sz w:val="20"/>
          <w:szCs w:val="20"/>
          <w:lang w:val="es-EC"/>
        </w:rPr>
        <w:t xml:space="preserve"> </w:t>
      </w:r>
      <w:r w:rsidRPr="00275EDE">
        <w:rPr>
          <w:rFonts w:ascii="Verdana" w:eastAsia="Times New Roman" w:hAnsi="Verdana"/>
          <w:i/>
          <w:iCs/>
          <w:sz w:val="18"/>
          <w:szCs w:val="18"/>
          <w:lang w:val="es-CR"/>
        </w:rPr>
        <w:t xml:space="preserve">De acuerdo al Artículo 61 numeral 15 del D.S. Nº 002-77-IT/DS sostienen que las elecciones sean válidas deben sufragar el 75% de los miembros de la comunidad. En estas fraudulentas elecciones sufragaron 148 comuneros de un total de 210, es decir que no votaron 62 comuneros, lo que resulta siendo menor del 75% estipulado por la Ley. En mi calidad de presidente del Comité Electoral me correspondía convocarlos, sin embargo la gerencia de la empresa convocó a 3 miembros, y en el despacho de relaciones industriales, fíjese en el despacho de la patronal convocaron a las elecciones para la comunidad, </w:t>
      </w:r>
      <w:r w:rsidRPr="00275EDE">
        <w:rPr>
          <w:rFonts w:ascii="Verdana" w:eastAsia="Times New Roman" w:hAnsi="Verdana"/>
          <w:i/>
          <w:iCs/>
          <w:sz w:val="18"/>
          <w:szCs w:val="18"/>
          <w:u w:val="single"/>
          <w:lang w:val="es-CR"/>
        </w:rPr>
        <w:t xml:space="preserve">burlando </w:t>
      </w:r>
      <w:r w:rsidRPr="00333304">
        <w:rPr>
          <w:rFonts w:ascii="Verdana" w:eastAsia="Times New Roman" w:hAnsi="Verdana"/>
          <w:i/>
          <w:iCs/>
          <w:sz w:val="18"/>
          <w:szCs w:val="18"/>
          <w:lang w:val="es-CR"/>
        </w:rPr>
        <w:t>el dispositivo lega</w:t>
      </w:r>
      <w:r w:rsidRPr="00510F96">
        <w:rPr>
          <w:rFonts w:ascii="Verdana" w:eastAsia="Times New Roman" w:hAnsi="Verdana"/>
          <w:i/>
          <w:iCs/>
          <w:sz w:val="18"/>
          <w:szCs w:val="18"/>
          <w:lang w:val="es-CR"/>
        </w:rPr>
        <w:t xml:space="preserve">l. Utilizando para tal efecto </w:t>
      </w:r>
      <w:r w:rsidRPr="00333304">
        <w:rPr>
          <w:rFonts w:ascii="Verdana" w:eastAsia="Times New Roman" w:hAnsi="Verdana"/>
          <w:i/>
          <w:iCs/>
          <w:sz w:val="18"/>
          <w:szCs w:val="18"/>
          <w:lang w:val="es-CR"/>
        </w:rPr>
        <w:t xml:space="preserve">un grupo de comuneros serviles a sus </w:t>
      </w:r>
      <w:r w:rsidRPr="00333304">
        <w:rPr>
          <w:rFonts w:ascii="Verdana" w:eastAsia="Times New Roman" w:hAnsi="Verdana"/>
          <w:i/>
          <w:iCs/>
          <w:sz w:val="18"/>
          <w:szCs w:val="18"/>
          <w:lang w:val="es-CR"/>
        </w:rPr>
        <w:lastRenderedPageBreak/>
        <w:t>intereses</w:t>
      </w:r>
      <w:r w:rsidRPr="00510F96">
        <w:rPr>
          <w:rFonts w:ascii="Verdana" w:eastAsia="Times New Roman" w:hAnsi="Verdana"/>
          <w:i/>
          <w:iCs/>
          <w:sz w:val="18"/>
          <w:szCs w:val="18"/>
          <w:lang w:val="es-CR"/>
        </w:rPr>
        <w:t>, con</w:t>
      </w:r>
      <w:r w:rsidRPr="00275EDE">
        <w:rPr>
          <w:rFonts w:ascii="Verdana" w:eastAsia="Times New Roman" w:hAnsi="Verdana"/>
          <w:i/>
          <w:iCs/>
          <w:sz w:val="18"/>
          <w:szCs w:val="18"/>
          <w:lang w:val="es-CR"/>
        </w:rPr>
        <w:t xml:space="preserve"> esta gente ha armado una lista que ha sido la única que se ha presentado a elecciones.</w:t>
      </w:r>
    </w:p>
    <w:p w14:paraId="56BA4D9D" w14:textId="77777777" w:rsidR="00275EDE" w:rsidRPr="00275EDE" w:rsidRDefault="00275EDE" w:rsidP="009C6F8E">
      <w:pPr>
        <w:ind w:left="1440" w:right="713"/>
        <w:contextualSpacing/>
        <w:jc w:val="both"/>
        <w:rPr>
          <w:rFonts w:ascii="Verdana" w:eastAsia="Times New Roman" w:hAnsi="Verdana"/>
          <w:i/>
          <w:iCs/>
          <w:sz w:val="18"/>
          <w:szCs w:val="18"/>
          <w:lang w:val="es-CR"/>
        </w:rPr>
      </w:pPr>
    </w:p>
    <w:p w14:paraId="44406171" w14:textId="77777777" w:rsidR="00275EDE" w:rsidRPr="00275EDE" w:rsidRDefault="00275EDE" w:rsidP="009C6F8E">
      <w:pPr>
        <w:ind w:left="1440" w:right="713"/>
        <w:contextualSpacing/>
        <w:jc w:val="both"/>
        <w:rPr>
          <w:rFonts w:ascii="Verdana" w:eastAsia="Times New Roman" w:hAnsi="Verdana"/>
          <w:i/>
          <w:iCs/>
          <w:sz w:val="18"/>
          <w:szCs w:val="18"/>
          <w:lang w:val="es-CR"/>
        </w:rPr>
      </w:pPr>
      <w:r w:rsidRPr="00275EDE">
        <w:rPr>
          <w:rFonts w:ascii="Verdana" w:eastAsia="Times New Roman" w:hAnsi="Verdana"/>
          <w:i/>
          <w:iCs/>
          <w:sz w:val="18"/>
          <w:szCs w:val="18"/>
          <w:lang w:val="es-CR"/>
        </w:rPr>
        <w:t>¿Por qué los comuneros no presentaron otra lista?</w:t>
      </w:r>
    </w:p>
    <w:p w14:paraId="74E70AFB" w14:textId="77777777" w:rsidR="00275EDE" w:rsidRPr="00706ED3" w:rsidRDefault="00275EDE" w:rsidP="009C6F8E">
      <w:pPr>
        <w:ind w:left="1440" w:right="713"/>
        <w:contextualSpacing/>
        <w:jc w:val="both"/>
        <w:rPr>
          <w:rFonts w:ascii="Verdana" w:eastAsia="Times New Roman" w:hAnsi="Verdana"/>
          <w:i/>
          <w:iCs/>
          <w:sz w:val="18"/>
          <w:szCs w:val="18"/>
          <w:lang w:val="es-CR"/>
        </w:rPr>
      </w:pPr>
      <w:r w:rsidRPr="00275EDE">
        <w:rPr>
          <w:rFonts w:ascii="Verdana" w:eastAsia="Times New Roman" w:hAnsi="Verdana"/>
          <w:i/>
          <w:iCs/>
          <w:sz w:val="18"/>
          <w:szCs w:val="18"/>
          <w:lang w:val="es-CR"/>
        </w:rPr>
        <w:t xml:space="preserve">Por una sencilla razón, la Ley sobre elecciones de comunidad industrial establece que toda lista debe estar conformada por comuneros obreros y empleados. Quisiera aclarar esclarecer algo importante; los obreros tienen sindicato, esto es un factor de defensa y relativa independencia. Los empleados no tienen sindicato (tuvieron antes y fue disuelto por la patronal, los propios empleados no supieron defender sus derechos). Estos empleados están a merced de la patronal, y viven amenazados por el chantaje de la gerencia, por eso tienen miedo formar parte de una lista que este conformada por obreros que no gozan de la simpatía de los </w:t>
      </w:r>
      <w:r w:rsidRPr="00706ED3">
        <w:rPr>
          <w:rFonts w:ascii="Verdana" w:eastAsia="Times New Roman" w:hAnsi="Verdana"/>
          <w:i/>
          <w:iCs/>
          <w:sz w:val="18"/>
          <w:szCs w:val="18"/>
          <w:lang w:val="es-CR"/>
        </w:rPr>
        <w:t>empresarios, pienso que este fue el factor fundamental por el que no se presentó otra lista</w:t>
      </w:r>
    </w:p>
    <w:p w14:paraId="5E9D44B4" w14:textId="77777777" w:rsidR="00275EDE" w:rsidRPr="00E75160" w:rsidRDefault="00275EDE" w:rsidP="009C6F8E">
      <w:pPr>
        <w:ind w:left="1440" w:right="713"/>
        <w:contextualSpacing/>
        <w:jc w:val="both"/>
        <w:rPr>
          <w:rFonts w:ascii="Verdana" w:eastAsia="Times New Roman" w:hAnsi="Verdana"/>
          <w:i/>
          <w:iCs/>
          <w:sz w:val="18"/>
          <w:szCs w:val="18"/>
          <w:lang w:val="es-CR"/>
        </w:rPr>
      </w:pPr>
    </w:p>
    <w:p w14:paraId="5261A174" w14:textId="77777777" w:rsidR="00275EDE" w:rsidRPr="00333304" w:rsidRDefault="00275EDE" w:rsidP="009C6F8E">
      <w:pPr>
        <w:ind w:left="1440" w:right="713"/>
        <w:contextualSpacing/>
        <w:jc w:val="both"/>
        <w:rPr>
          <w:rFonts w:ascii="Verdana" w:eastAsia="Times New Roman" w:hAnsi="Verdana"/>
          <w:bCs/>
          <w:iCs/>
          <w:sz w:val="18"/>
          <w:szCs w:val="18"/>
          <w:lang w:val="es-CR"/>
        </w:rPr>
      </w:pPr>
      <w:r w:rsidRPr="00333304">
        <w:rPr>
          <w:rFonts w:ascii="Verdana" w:eastAsia="Times New Roman" w:hAnsi="Verdana"/>
          <w:iCs/>
          <w:sz w:val="18"/>
          <w:szCs w:val="18"/>
          <w:lang w:val="es-CR"/>
        </w:rPr>
        <w:t xml:space="preserve">Ante estos atropellos de la patronal, </w:t>
      </w:r>
      <w:r w:rsidRPr="00333304">
        <w:rPr>
          <w:rFonts w:ascii="Verdana" w:eastAsia="Times New Roman" w:hAnsi="Verdana"/>
          <w:bCs/>
          <w:iCs/>
          <w:sz w:val="18"/>
          <w:szCs w:val="18"/>
          <w:lang w:val="es-CR"/>
        </w:rPr>
        <w:t xml:space="preserve">¿Cuáles son las medidas que ha tomado usted en su calidad de Presidente del Comité Electoral? </w:t>
      </w:r>
    </w:p>
    <w:p w14:paraId="067BC6D8" w14:textId="77777777" w:rsidR="00275EDE" w:rsidRPr="00275EDE" w:rsidRDefault="00275EDE" w:rsidP="009C6F8E">
      <w:pPr>
        <w:ind w:left="1440" w:right="713"/>
        <w:contextualSpacing/>
        <w:jc w:val="both"/>
        <w:rPr>
          <w:rFonts w:ascii="Verdana" w:eastAsia="Times New Roman" w:hAnsi="Verdana"/>
          <w:i/>
          <w:iCs/>
          <w:sz w:val="18"/>
          <w:szCs w:val="18"/>
          <w:lang w:val="es-CR"/>
        </w:rPr>
      </w:pPr>
      <w:r w:rsidRPr="00333304">
        <w:rPr>
          <w:rFonts w:ascii="Verdana" w:eastAsia="Times New Roman" w:hAnsi="Verdana"/>
          <w:iCs/>
          <w:sz w:val="18"/>
          <w:szCs w:val="18"/>
          <w:lang w:val="es-CR"/>
        </w:rPr>
        <w:t>En primer lugar he denunciado las irregularidades que</w:t>
      </w:r>
      <w:r w:rsidRPr="00275EDE">
        <w:rPr>
          <w:rFonts w:ascii="Verdana" w:eastAsia="Times New Roman" w:hAnsi="Verdana"/>
          <w:i/>
          <w:iCs/>
          <w:sz w:val="18"/>
          <w:szCs w:val="18"/>
          <w:lang w:val="es-CR"/>
        </w:rPr>
        <w:t xml:space="preserve"> se han venido cometiendo impulsadas y manejadas por la patronal. Esta denuncia la he formalizado a través de un oficio No. 05824 a la oficina de participación del Ministerio de Industria y Comercio.</w:t>
      </w:r>
    </w:p>
    <w:p w14:paraId="55880EEE" w14:textId="77777777" w:rsidR="00275EDE" w:rsidRPr="00275EDE" w:rsidRDefault="00275EDE" w:rsidP="009C6F8E">
      <w:pPr>
        <w:ind w:left="142" w:right="713"/>
        <w:contextualSpacing/>
        <w:jc w:val="both"/>
        <w:rPr>
          <w:rFonts w:ascii="Verdana" w:eastAsia="Times New Roman" w:hAnsi="Verdana"/>
          <w:bCs/>
          <w:i/>
          <w:iCs/>
          <w:sz w:val="18"/>
          <w:szCs w:val="18"/>
          <w:lang w:val="es-CR"/>
        </w:rPr>
      </w:pPr>
    </w:p>
    <w:p w14:paraId="5FB19EB8" w14:textId="77777777" w:rsidR="00275EDE" w:rsidRPr="00275EDE" w:rsidRDefault="00275EDE" w:rsidP="009C6F8E">
      <w:pPr>
        <w:ind w:left="862" w:right="713" w:firstLine="578"/>
        <w:contextualSpacing/>
        <w:jc w:val="both"/>
        <w:rPr>
          <w:rFonts w:ascii="Verdana" w:eastAsia="Times New Roman" w:hAnsi="Verdana"/>
          <w:bCs/>
          <w:i/>
          <w:iCs/>
          <w:sz w:val="18"/>
          <w:szCs w:val="18"/>
          <w:lang w:val="es-CR"/>
        </w:rPr>
      </w:pPr>
      <w:r w:rsidRPr="00275EDE">
        <w:rPr>
          <w:rFonts w:ascii="Verdana" w:eastAsia="Times New Roman" w:hAnsi="Verdana"/>
          <w:bCs/>
          <w:i/>
          <w:iCs/>
          <w:sz w:val="18"/>
          <w:szCs w:val="18"/>
          <w:lang w:val="es-CR"/>
        </w:rPr>
        <w:t xml:space="preserve">¿Qué ha respondido el Ministerio? </w:t>
      </w:r>
    </w:p>
    <w:p w14:paraId="3C22E604" w14:textId="77777777" w:rsidR="00275EDE" w:rsidRPr="00510F96" w:rsidRDefault="00275EDE" w:rsidP="009C6F8E">
      <w:pPr>
        <w:ind w:left="1440" w:right="713"/>
        <w:contextualSpacing/>
        <w:jc w:val="both"/>
        <w:rPr>
          <w:rFonts w:ascii="Verdana" w:eastAsia="Times New Roman" w:hAnsi="Verdana"/>
          <w:bCs/>
          <w:i/>
          <w:iCs/>
          <w:sz w:val="18"/>
          <w:szCs w:val="18"/>
          <w:lang w:val="es-CR"/>
        </w:rPr>
      </w:pPr>
      <w:r w:rsidRPr="00275EDE">
        <w:rPr>
          <w:rFonts w:ascii="Verdana" w:eastAsia="Times New Roman" w:hAnsi="Verdana"/>
          <w:i/>
          <w:iCs/>
          <w:sz w:val="18"/>
          <w:szCs w:val="18"/>
          <w:lang w:val="es-CR"/>
        </w:rPr>
        <w:t xml:space="preserve">Acá debo denunciar que la burocracia del Ministerio respondió de una manera vaga, sin determinar nada, concluyendo que el oficio era extemporáneo. Habiendo presentado dicho escrito antes de las elecciones, </w:t>
      </w:r>
      <w:r w:rsidRPr="00333304">
        <w:rPr>
          <w:rFonts w:ascii="Verdana" w:eastAsia="Times New Roman" w:hAnsi="Verdana"/>
          <w:i/>
          <w:iCs/>
          <w:sz w:val="18"/>
          <w:szCs w:val="18"/>
          <w:lang w:val="es-CR"/>
        </w:rPr>
        <w:t>lo que demuestra que existe un entendimiento entre la Dirección de la Oficina General de participación que lo (sic) conduce la doctora Alicia Liñán Núñez y la patronal</w:t>
      </w:r>
      <w:r w:rsidRPr="00510F96">
        <w:rPr>
          <w:rFonts w:ascii="Verdana" w:eastAsia="Times New Roman" w:hAnsi="Verdana"/>
          <w:i/>
          <w:iCs/>
          <w:sz w:val="18"/>
          <w:szCs w:val="18"/>
          <w:lang w:val="es-CR"/>
        </w:rPr>
        <w:t>.</w:t>
      </w:r>
    </w:p>
    <w:p w14:paraId="21DEF3E2" w14:textId="77777777" w:rsidR="00275EDE" w:rsidRPr="00275EDE" w:rsidRDefault="00275EDE" w:rsidP="009C6F8E">
      <w:pPr>
        <w:ind w:right="720"/>
        <w:contextualSpacing/>
        <w:jc w:val="both"/>
        <w:rPr>
          <w:rFonts w:ascii="Verdana" w:eastAsia="Times New Roman" w:hAnsi="Verdana"/>
          <w:bCs/>
          <w:i/>
          <w:iCs/>
          <w:color w:val="000000"/>
          <w:sz w:val="18"/>
          <w:szCs w:val="18"/>
          <w:lang w:val="es-MX"/>
        </w:rPr>
      </w:pPr>
    </w:p>
    <w:p w14:paraId="013EE312" w14:textId="77777777" w:rsidR="00275EDE" w:rsidRPr="00275EDE" w:rsidRDefault="00275EDE" w:rsidP="009C6F8E">
      <w:pPr>
        <w:ind w:left="720" w:firstLine="720"/>
        <w:jc w:val="both"/>
        <w:rPr>
          <w:rFonts w:ascii="Verdana" w:hAnsi="Verdana"/>
          <w:bCs/>
          <w:i/>
          <w:iCs/>
          <w:color w:val="000000"/>
          <w:sz w:val="18"/>
          <w:szCs w:val="18"/>
          <w:lang w:val="es-MX"/>
        </w:rPr>
      </w:pPr>
      <w:r w:rsidRPr="00275EDE">
        <w:rPr>
          <w:rFonts w:ascii="Verdana" w:hAnsi="Verdana"/>
          <w:bCs/>
          <w:i/>
          <w:iCs/>
          <w:color w:val="000000"/>
          <w:sz w:val="18"/>
          <w:szCs w:val="18"/>
          <w:lang w:val="es-MX"/>
        </w:rPr>
        <w:t xml:space="preserve">¿Qué medidas piensa tomar? </w:t>
      </w:r>
    </w:p>
    <w:p w14:paraId="6499E554" w14:textId="1A014C73" w:rsidR="00275EDE" w:rsidRPr="00275EDE" w:rsidRDefault="00275EDE" w:rsidP="009C6F8E">
      <w:pPr>
        <w:ind w:left="1440" w:right="630"/>
        <w:jc w:val="both"/>
        <w:rPr>
          <w:rFonts w:ascii="Verdana" w:hAnsi="Verdana"/>
          <w:b/>
          <w:i/>
          <w:sz w:val="18"/>
          <w:szCs w:val="18"/>
        </w:rPr>
      </w:pPr>
      <w:r w:rsidRPr="00275EDE">
        <w:rPr>
          <w:rFonts w:ascii="Verdana" w:hAnsi="Verdana"/>
          <w:i/>
          <w:iCs/>
          <w:color w:val="000000"/>
          <w:sz w:val="18"/>
          <w:szCs w:val="18"/>
          <w:lang w:val="es-MX"/>
        </w:rPr>
        <w:t xml:space="preserve">Continuaré luchando contra el fraude denunciando a la opinión pública, a las esferas del gobierno y demás autoridades competentes el intento que tiene la Empresa </w:t>
      </w:r>
      <w:proofErr w:type="spellStart"/>
      <w:r w:rsidRPr="00275EDE">
        <w:rPr>
          <w:rFonts w:ascii="Verdana" w:hAnsi="Verdana"/>
          <w:i/>
          <w:iCs/>
          <w:color w:val="000000"/>
          <w:sz w:val="18"/>
          <w:szCs w:val="18"/>
          <w:lang w:val="es-MX"/>
        </w:rPr>
        <w:t>Ceper-Pirelli</w:t>
      </w:r>
      <w:proofErr w:type="spellEnd"/>
      <w:r w:rsidRPr="00275EDE">
        <w:rPr>
          <w:rFonts w:ascii="Verdana" w:hAnsi="Verdana"/>
          <w:i/>
          <w:iCs/>
          <w:color w:val="000000"/>
          <w:sz w:val="18"/>
          <w:szCs w:val="18"/>
          <w:lang w:val="es-MX"/>
        </w:rPr>
        <w:t xml:space="preserve"> de liquidar la comunidad industrial sobre todo ahora que la empresa viene obteniendo gra</w:t>
      </w:r>
      <w:r w:rsidR="00740C5A">
        <w:rPr>
          <w:rFonts w:ascii="Verdana" w:hAnsi="Verdana"/>
          <w:i/>
          <w:iCs/>
          <w:color w:val="000000"/>
          <w:sz w:val="18"/>
          <w:szCs w:val="18"/>
          <w:lang w:val="es-MX"/>
        </w:rPr>
        <w:t>n</w:t>
      </w:r>
      <w:r w:rsidRPr="00275EDE">
        <w:rPr>
          <w:rFonts w:ascii="Verdana" w:hAnsi="Verdana"/>
          <w:i/>
          <w:iCs/>
          <w:color w:val="000000"/>
          <w:sz w:val="18"/>
          <w:szCs w:val="18"/>
          <w:lang w:val="es-MX"/>
        </w:rPr>
        <w:t>des utilidades y que parte de ellas corresponde a los trabajadores por la comunidad industrial.</w:t>
      </w:r>
      <w:r w:rsidRPr="00275EDE">
        <w:rPr>
          <w:rFonts w:ascii="Verdana" w:hAnsi="Verdana"/>
          <w:bCs/>
          <w:i/>
          <w:iCs/>
          <w:color w:val="000000"/>
          <w:sz w:val="18"/>
          <w:szCs w:val="18"/>
          <w:lang w:val="es-MX"/>
        </w:rPr>
        <w:t xml:space="preserve"> </w:t>
      </w:r>
      <w:r w:rsidRPr="00275EDE">
        <w:rPr>
          <w:rFonts w:ascii="Verdana" w:hAnsi="Verdana"/>
          <w:i/>
          <w:iCs/>
          <w:color w:val="000000"/>
          <w:sz w:val="18"/>
          <w:szCs w:val="18"/>
          <w:lang w:val="es-MX"/>
        </w:rPr>
        <w:t xml:space="preserve">Hago un llamado a todos los trabajadores de </w:t>
      </w:r>
      <w:proofErr w:type="spellStart"/>
      <w:r w:rsidRPr="00275EDE">
        <w:rPr>
          <w:rFonts w:ascii="Verdana" w:hAnsi="Verdana"/>
          <w:i/>
          <w:iCs/>
          <w:color w:val="000000"/>
          <w:sz w:val="18"/>
          <w:szCs w:val="18"/>
          <w:lang w:val="es-MX"/>
        </w:rPr>
        <w:t>Ceper-Pirelli</w:t>
      </w:r>
      <w:proofErr w:type="spellEnd"/>
      <w:r w:rsidRPr="00275EDE">
        <w:rPr>
          <w:rFonts w:ascii="Verdana" w:hAnsi="Verdana"/>
          <w:i/>
          <w:iCs/>
          <w:color w:val="000000"/>
          <w:sz w:val="18"/>
          <w:szCs w:val="18"/>
          <w:lang w:val="es-MX"/>
        </w:rPr>
        <w:t xml:space="preserve"> a cerrar filas </w:t>
      </w:r>
      <w:r w:rsidRPr="00333304">
        <w:rPr>
          <w:rFonts w:ascii="Verdana" w:hAnsi="Verdana"/>
          <w:i/>
          <w:iCs/>
          <w:color w:val="000000"/>
          <w:sz w:val="18"/>
          <w:szCs w:val="18"/>
          <w:lang w:val="es-MX"/>
        </w:rPr>
        <w:t>contra el fraude</w:t>
      </w:r>
      <w:r w:rsidRPr="00275EDE">
        <w:rPr>
          <w:rFonts w:ascii="Verdana" w:hAnsi="Verdana"/>
          <w:i/>
          <w:iCs/>
          <w:color w:val="000000"/>
          <w:sz w:val="18"/>
          <w:szCs w:val="18"/>
          <w:lang w:val="es-MX"/>
        </w:rPr>
        <w:t xml:space="preserve">, haciendo respetar nuestros derechos y obligaciones que nos confiere la Ley. Pido la solidaridad de todas las organizaciones comuneras y laborales del país a expresar su rechazo al intento </w:t>
      </w:r>
      <w:proofErr w:type="spellStart"/>
      <w:r w:rsidRPr="00275EDE">
        <w:rPr>
          <w:rFonts w:ascii="Verdana" w:hAnsi="Verdana"/>
          <w:i/>
          <w:iCs/>
          <w:color w:val="000000"/>
          <w:sz w:val="18"/>
          <w:szCs w:val="18"/>
          <w:lang w:val="es-MX"/>
        </w:rPr>
        <w:t>liquidacionista</w:t>
      </w:r>
      <w:proofErr w:type="spellEnd"/>
      <w:r w:rsidRPr="00275EDE">
        <w:rPr>
          <w:rFonts w:ascii="Verdana" w:hAnsi="Verdana"/>
          <w:i/>
          <w:iCs/>
          <w:color w:val="000000"/>
          <w:sz w:val="18"/>
          <w:szCs w:val="18"/>
          <w:lang w:val="es-MX"/>
        </w:rPr>
        <w:t xml:space="preserve"> de las comunidades industriales”.</w:t>
      </w:r>
    </w:p>
    <w:p w14:paraId="7EFFC5C4" w14:textId="77777777" w:rsidR="00275EDE" w:rsidRPr="00275EDE" w:rsidRDefault="00275EDE" w:rsidP="00275EDE">
      <w:pPr>
        <w:jc w:val="both"/>
        <w:rPr>
          <w:rFonts w:ascii="Verdana" w:hAnsi="Verdana"/>
          <w:b/>
          <w:sz w:val="20"/>
          <w:szCs w:val="20"/>
        </w:rPr>
      </w:pPr>
    </w:p>
    <w:p w14:paraId="3552FE58" w14:textId="690773B6" w:rsidR="00275EDE" w:rsidRPr="00275EDE" w:rsidRDefault="00275EDE" w:rsidP="00E66DD7">
      <w:pPr>
        <w:pStyle w:val="ListParagraph"/>
        <w:numPr>
          <w:ilvl w:val="0"/>
          <w:numId w:val="1"/>
        </w:numPr>
        <w:ind w:left="0" w:hanging="11"/>
        <w:jc w:val="both"/>
        <w:rPr>
          <w:rFonts w:ascii="Verdana" w:hAnsi="Verdana"/>
          <w:color w:val="000000"/>
          <w:sz w:val="20"/>
          <w:szCs w:val="20"/>
        </w:rPr>
      </w:pPr>
      <w:r w:rsidRPr="00275EDE">
        <w:rPr>
          <w:rFonts w:ascii="Verdana" w:hAnsi="Verdana"/>
          <w:color w:val="000000"/>
          <w:sz w:val="20"/>
          <w:szCs w:val="20"/>
        </w:rPr>
        <w:t xml:space="preserve">En razón de la entrevista otorgada por el señor Lagos del Campo, el Gerente General de la empresa </w:t>
      </w:r>
      <w:proofErr w:type="spellStart"/>
      <w:r w:rsidRPr="00275EDE">
        <w:rPr>
          <w:rFonts w:ascii="Verdana" w:hAnsi="Verdana"/>
          <w:color w:val="000000"/>
          <w:sz w:val="20"/>
          <w:szCs w:val="20"/>
        </w:rPr>
        <w:t>Ceper-Pirelli</w:t>
      </w:r>
      <w:proofErr w:type="spellEnd"/>
      <w:r w:rsidR="000D6F59">
        <w:rPr>
          <w:rFonts w:ascii="Verdana" w:hAnsi="Verdana"/>
          <w:color w:val="000000"/>
          <w:sz w:val="20"/>
          <w:szCs w:val="20"/>
        </w:rPr>
        <w:t>,</w:t>
      </w:r>
      <w:r w:rsidRPr="00275EDE">
        <w:rPr>
          <w:rFonts w:ascii="Verdana" w:hAnsi="Verdana"/>
          <w:color w:val="000000"/>
          <w:sz w:val="20"/>
          <w:szCs w:val="20"/>
        </w:rPr>
        <w:t xml:space="preserve"> por medio de carta notarial de 26 de junio de 1989</w:t>
      </w:r>
      <w:r w:rsidRPr="009C6F8E">
        <w:rPr>
          <w:rFonts w:ascii="Verdana" w:hAnsi="Verdana"/>
          <w:color w:val="000000"/>
          <w:sz w:val="20"/>
          <w:szCs w:val="20"/>
          <w:vertAlign w:val="superscript"/>
        </w:rPr>
        <w:footnoteReference w:id="62"/>
      </w:r>
      <w:r w:rsidRPr="00275EDE">
        <w:rPr>
          <w:rFonts w:ascii="Verdana" w:hAnsi="Verdana"/>
          <w:color w:val="000000"/>
          <w:sz w:val="20"/>
          <w:szCs w:val="20"/>
        </w:rPr>
        <w:t xml:space="preserve"> </w:t>
      </w:r>
      <w:r w:rsidRPr="00275EDE">
        <w:rPr>
          <w:rFonts w:ascii="Verdana" w:hAnsi="Verdana"/>
          <w:sz w:val="20"/>
          <w:szCs w:val="20"/>
        </w:rPr>
        <w:t>“</w:t>
      </w:r>
      <w:r w:rsidRPr="00275EDE">
        <w:rPr>
          <w:rFonts w:ascii="Verdana" w:hAnsi="Verdana"/>
          <w:color w:val="000000"/>
          <w:sz w:val="20"/>
          <w:szCs w:val="20"/>
        </w:rPr>
        <w:t>formuló cargos</w:t>
      </w:r>
      <w:r w:rsidRPr="00275EDE">
        <w:rPr>
          <w:rFonts w:ascii="Verdana" w:hAnsi="Verdana"/>
          <w:sz w:val="20"/>
          <w:szCs w:val="20"/>
        </w:rPr>
        <w:t>”</w:t>
      </w:r>
      <w:r w:rsidRPr="00275EDE">
        <w:rPr>
          <w:rFonts w:ascii="Verdana" w:hAnsi="Verdana"/>
          <w:color w:val="000000"/>
          <w:sz w:val="20"/>
          <w:szCs w:val="20"/>
        </w:rPr>
        <w:t xml:space="preserve"> en contra del mismo por falta laboral. En particular, el Gerente General consideró que</w:t>
      </w:r>
      <w:r w:rsidR="000D6F59">
        <w:rPr>
          <w:rFonts w:ascii="Verdana" w:hAnsi="Verdana"/>
          <w:color w:val="000000"/>
          <w:sz w:val="20"/>
          <w:szCs w:val="20"/>
        </w:rPr>
        <w:t xml:space="preserve"> no podía continuar el vínculo laboral con</w:t>
      </w:r>
      <w:r w:rsidRPr="00275EDE">
        <w:rPr>
          <w:rFonts w:ascii="Verdana" w:hAnsi="Verdana"/>
          <w:color w:val="000000"/>
          <w:sz w:val="20"/>
          <w:szCs w:val="20"/>
        </w:rPr>
        <w:t xml:space="preserve"> el señor Lagos del Campo</w:t>
      </w:r>
      <w:r w:rsidR="000D6F59">
        <w:rPr>
          <w:rFonts w:ascii="Verdana" w:hAnsi="Verdana"/>
          <w:color w:val="000000"/>
          <w:sz w:val="20"/>
          <w:szCs w:val="20"/>
        </w:rPr>
        <w:t xml:space="preserve"> en aplicación de</w:t>
      </w:r>
      <w:r w:rsidRPr="00275EDE">
        <w:rPr>
          <w:rFonts w:ascii="Verdana" w:hAnsi="Verdana"/>
          <w:color w:val="000000"/>
          <w:sz w:val="20"/>
          <w:szCs w:val="20"/>
        </w:rPr>
        <w:t xml:space="preserve"> los incisos a) y h) del artículo 5 de la Ley N°24514, que consideran como </w:t>
      </w:r>
      <w:r w:rsidR="000D6F59">
        <w:rPr>
          <w:rFonts w:ascii="Verdana" w:hAnsi="Verdana"/>
          <w:color w:val="000000"/>
          <w:sz w:val="20"/>
          <w:szCs w:val="20"/>
        </w:rPr>
        <w:t>causa justificada de despido</w:t>
      </w:r>
      <w:r w:rsidRPr="00275EDE">
        <w:rPr>
          <w:rFonts w:ascii="Verdana" w:hAnsi="Verdana"/>
          <w:color w:val="000000"/>
          <w:sz w:val="20"/>
          <w:szCs w:val="20"/>
        </w:rPr>
        <w:t xml:space="preserve"> el incumplimiento injustificado de las obligaciones de trabajo, la grave indisciplina y el </w:t>
      </w:r>
      <w:r w:rsidR="005D72FB" w:rsidRPr="00275EDE">
        <w:rPr>
          <w:rFonts w:ascii="Verdana" w:hAnsi="Verdana"/>
          <w:sz w:val="20"/>
          <w:szCs w:val="20"/>
        </w:rPr>
        <w:t>“</w:t>
      </w:r>
      <w:proofErr w:type="spellStart"/>
      <w:r w:rsidRPr="00275EDE">
        <w:rPr>
          <w:rFonts w:ascii="Verdana" w:hAnsi="Verdana"/>
          <w:color w:val="000000"/>
          <w:sz w:val="20"/>
          <w:szCs w:val="20"/>
        </w:rPr>
        <w:t>faltamiento</w:t>
      </w:r>
      <w:proofErr w:type="spellEnd"/>
      <w:r w:rsidRPr="00275EDE">
        <w:rPr>
          <w:rFonts w:ascii="Verdana" w:hAnsi="Verdana"/>
          <w:color w:val="000000"/>
          <w:sz w:val="20"/>
          <w:szCs w:val="20"/>
        </w:rPr>
        <w:t xml:space="preserve"> grave de palabra</w:t>
      </w:r>
      <w:r w:rsidR="005D72FB" w:rsidRPr="00275EDE">
        <w:rPr>
          <w:rFonts w:ascii="Verdana" w:hAnsi="Verdana"/>
          <w:sz w:val="20"/>
          <w:szCs w:val="20"/>
        </w:rPr>
        <w:t>”</w:t>
      </w:r>
      <w:r w:rsidRPr="00275EDE">
        <w:rPr>
          <w:rFonts w:ascii="Verdana" w:hAnsi="Verdana"/>
          <w:color w:val="000000"/>
          <w:sz w:val="20"/>
          <w:szCs w:val="20"/>
        </w:rPr>
        <w:t xml:space="preserve"> en agravio del empleador. Conforme a lo expresado en la misiva, Alfredo Lagos del Campo habrían incurrido en dichas causales. El Gerente General de la empresa consideró </w:t>
      </w:r>
      <w:r w:rsidR="007E0ADF">
        <w:rPr>
          <w:rFonts w:ascii="Verdana" w:hAnsi="Verdana"/>
          <w:sz w:val="20"/>
          <w:szCs w:val="20"/>
        </w:rPr>
        <w:t>“</w:t>
      </w:r>
      <w:r w:rsidRPr="00275EDE">
        <w:rPr>
          <w:rFonts w:ascii="Verdana" w:hAnsi="Verdana"/>
          <w:sz w:val="20"/>
          <w:szCs w:val="20"/>
        </w:rPr>
        <w:t>especialmente graves</w:t>
      </w:r>
      <w:r w:rsidR="007E0ADF">
        <w:rPr>
          <w:rFonts w:ascii="Verdana" w:hAnsi="Verdana"/>
          <w:sz w:val="20"/>
          <w:szCs w:val="20"/>
        </w:rPr>
        <w:t>”</w:t>
      </w:r>
      <w:r w:rsidRPr="00275EDE">
        <w:rPr>
          <w:rFonts w:ascii="Verdana" w:hAnsi="Verdana"/>
          <w:sz w:val="20"/>
          <w:szCs w:val="20"/>
        </w:rPr>
        <w:t xml:space="preserve"> las afirmaciones del señor Lagos del Campo sobre el "entendimiento ilícito y deshonesto" y "complicidad" entre la Gerencia y la Directora de la Oficina General de Participación</w:t>
      </w:r>
      <w:r w:rsidRPr="00333304">
        <w:rPr>
          <w:rFonts w:ascii="Verdana" w:hAnsi="Verdana"/>
          <w:sz w:val="20"/>
          <w:szCs w:val="20"/>
          <w:vertAlign w:val="superscript"/>
        </w:rPr>
        <w:footnoteReference w:id="63"/>
      </w:r>
      <w:r w:rsidRPr="00333304">
        <w:rPr>
          <w:rFonts w:ascii="Verdana" w:hAnsi="Verdana"/>
          <w:sz w:val="20"/>
          <w:szCs w:val="20"/>
        </w:rPr>
        <w:t>.</w:t>
      </w:r>
      <w:r w:rsidRPr="00275EDE">
        <w:rPr>
          <w:rFonts w:ascii="Verdana" w:hAnsi="Verdana"/>
          <w:b/>
          <w:color w:val="000000"/>
          <w:sz w:val="20"/>
          <w:szCs w:val="20"/>
        </w:rPr>
        <w:t xml:space="preserve"> </w:t>
      </w:r>
    </w:p>
    <w:p w14:paraId="4BF43F79" w14:textId="77777777" w:rsidR="00275EDE" w:rsidRPr="00275EDE" w:rsidRDefault="00275EDE" w:rsidP="009C6F8E">
      <w:pPr>
        <w:jc w:val="both"/>
        <w:rPr>
          <w:rFonts w:ascii="Verdana" w:hAnsi="Verdana"/>
          <w:color w:val="000000"/>
          <w:sz w:val="20"/>
          <w:szCs w:val="20"/>
        </w:rPr>
      </w:pPr>
    </w:p>
    <w:p w14:paraId="788EFFEB" w14:textId="5DEEE9CD" w:rsidR="007C5857" w:rsidRPr="007C5857" w:rsidRDefault="007C5857" w:rsidP="00E66DD7">
      <w:pPr>
        <w:pStyle w:val="ListParagraph"/>
        <w:numPr>
          <w:ilvl w:val="0"/>
          <w:numId w:val="1"/>
        </w:numPr>
        <w:ind w:left="0" w:hanging="11"/>
        <w:jc w:val="both"/>
        <w:rPr>
          <w:rFonts w:ascii="Verdana" w:hAnsi="Verdana"/>
          <w:color w:val="000000"/>
          <w:sz w:val="20"/>
          <w:szCs w:val="20"/>
          <w:lang w:val="es-CR"/>
        </w:rPr>
      </w:pPr>
      <w:r>
        <w:rPr>
          <w:rFonts w:ascii="Verdana" w:hAnsi="Verdana"/>
          <w:color w:val="000000"/>
          <w:sz w:val="20"/>
          <w:szCs w:val="20"/>
          <w:lang w:val="es-CR"/>
        </w:rPr>
        <w:lastRenderedPageBreak/>
        <w:t>La empresa señaló que l</w:t>
      </w:r>
      <w:r w:rsidRPr="00944AD0">
        <w:rPr>
          <w:rFonts w:ascii="Verdana" w:hAnsi="Verdana"/>
          <w:color w:val="000000"/>
          <w:sz w:val="20"/>
          <w:szCs w:val="20"/>
          <w:lang w:val="es-CR"/>
        </w:rPr>
        <w:t xml:space="preserve">o expresado </w:t>
      </w:r>
      <w:r>
        <w:rPr>
          <w:rFonts w:ascii="Verdana" w:hAnsi="Verdana"/>
          <w:color w:val="000000"/>
          <w:sz w:val="20"/>
          <w:szCs w:val="20"/>
          <w:lang w:val="es-CR"/>
        </w:rPr>
        <w:t>a la revista</w:t>
      </w:r>
      <w:r w:rsidR="00E72D85">
        <w:rPr>
          <w:rFonts w:ascii="Verdana" w:hAnsi="Verdana"/>
          <w:color w:val="000000"/>
          <w:sz w:val="20"/>
          <w:szCs w:val="20"/>
          <w:lang w:val="es-CR"/>
        </w:rPr>
        <w:t>,</w:t>
      </w:r>
      <w:r>
        <w:rPr>
          <w:rFonts w:ascii="Verdana" w:hAnsi="Verdana"/>
          <w:color w:val="000000"/>
          <w:sz w:val="20"/>
          <w:szCs w:val="20"/>
          <w:lang w:val="es-CR"/>
        </w:rPr>
        <w:t xml:space="preserve"> </w:t>
      </w:r>
      <w:r w:rsidRPr="00944AD0">
        <w:rPr>
          <w:rFonts w:ascii="Verdana" w:hAnsi="Verdana"/>
          <w:color w:val="000000"/>
          <w:sz w:val="20"/>
          <w:szCs w:val="20"/>
          <w:lang w:val="es-CR"/>
        </w:rPr>
        <w:t>“además de constituir grave falta laboral, configur</w:t>
      </w:r>
      <w:r w:rsidR="008168A7">
        <w:rPr>
          <w:rFonts w:ascii="Verdana" w:hAnsi="Verdana"/>
          <w:color w:val="000000"/>
          <w:sz w:val="20"/>
          <w:szCs w:val="20"/>
          <w:lang w:val="es-CR"/>
        </w:rPr>
        <w:t>ó</w:t>
      </w:r>
      <w:r w:rsidR="0035747E">
        <w:rPr>
          <w:rFonts w:ascii="Verdana" w:hAnsi="Verdana"/>
          <w:color w:val="000000"/>
          <w:sz w:val="20"/>
          <w:szCs w:val="20"/>
          <w:lang w:val="es-CR"/>
        </w:rPr>
        <w:t xml:space="preserve"> </w:t>
      </w:r>
      <w:r w:rsidRPr="00944AD0">
        <w:rPr>
          <w:rFonts w:ascii="Verdana" w:hAnsi="Verdana"/>
          <w:color w:val="000000"/>
          <w:sz w:val="20"/>
          <w:szCs w:val="20"/>
          <w:lang w:val="es-CR"/>
        </w:rPr>
        <w:t>delito</w:t>
      </w:r>
      <w:r>
        <w:rPr>
          <w:rFonts w:ascii="Verdana" w:hAnsi="Verdana"/>
          <w:color w:val="000000"/>
          <w:sz w:val="20"/>
          <w:szCs w:val="20"/>
          <w:lang w:val="es-CR"/>
        </w:rPr>
        <w:t xml:space="preserve"> de injuria”. </w:t>
      </w:r>
      <w:r w:rsidR="000E46C0">
        <w:rPr>
          <w:rFonts w:ascii="Verdana" w:hAnsi="Verdana"/>
          <w:color w:val="000000"/>
          <w:sz w:val="20"/>
          <w:szCs w:val="20"/>
          <w:lang w:val="es-CR"/>
        </w:rPr>
        <w:t>De igual forma</w:t>
      </w:r>
      <w:r>
        <w:rPr>
          <w:rFonts w:ascii="Verdana" w:hAnsi="Verdana"/>
          <w:color w:val="000000"/>
          <w:sz w:val="20"/>
          <w:szCs w:val="20"/>
          <w:lang w:val="es-CR"/>
        </w:rPr>
        <w:t xml:space="preserve">, </w:t>
      </w:r>
      <w:r w:rsidR="000E46C0">
        <w:rPr>
          <w:rFonts w:ascii="Verdana" w:hAnsi="Verdana"/>
          <w:color w:val="000000"/>
          <w:sz w:val="20"/>
          <w:szCs w:val="20"/>
          <w:lang w:val="es-CR"/>
        </w:rPr>
        <w:t>la empresa le informó al señor Lagos del Campo que debía responder los cargos que se le formularon</w:t>
      </w:r>
      <w:r>
        <w:rPr>
          <w:rFonts w:ascii="Verdana" w:hAnsi="Verdana"/>
          <w:color w:val="000000"/>
          <w:sz w:val="20"/>
          <w:szCs w:val="20"/>
          <w:lang w:val="es-CR"/>
        </w:rPr>
        <w:t xml:space="preserve">. </w:t>
      </w:r>
      <w:r w:rsidR="000E46C0">
        <w:rPr>
          <w:rFonts w:ascii="Verdana" w:hAnsi="Verdana"/>
          <w:sz w:val="20"/>
          <w:szCs w:val="20"/>
          <w:lang w:val="es-CR"/>
        </w:rPr>
        <w:t>Durante ese proceso, la empresa “exoneró” al señor Lagos del Campo de asistir al centro de trabajo, “con pago de remuneraciones y demás derechos que pudieran corresponderle”</w:t>
      </w:r>
      <w:r w:rsidR="00275EDE" w:rsidRPr="007C5857">
        <w:rPr>
          <w:rFonts w:ascii="Verdana" w:hAnsi="Verdana"/>
          <w:color w:val="000000"/>
          <w:sz w:val="20"/>
          <w:szCs w:val="20"/>
          <w:vertAlign w:val="superscript"/>
        </w:rPr>
        <w:footnoteReference w:id="64"/>
      </w:r>
      <w:r w:rsidR="00275EDE" w:rsidRPr="007C5857">
        <w:rPr>
          <w:rFonts w:ascii="Verdana" w:hAnsi="Verdana"/>
          <w:color w:val="000000"/>
          <w:sz w:val="20"/>
          <w:szCs w:val="20"/>
        </w:rPr>
        <w:t>.</w:t>
      </w:r>
      <w:r w:rsidR="00275EDE" w:rsidRPr="00275EDE">
        <w:rPr>
          <w:rFonts w:ascii="Verdana" w:hAnsi="Verdana"/>
          <w:color w:val="000000"/>
          <w:sz w:val="20"/>
          <w:szCs w:val="20"/>
        </w:rPr>
        <w:t xml:space="preserve"> Esto tuvo como consecuencia que al señor Lagos del Campo le fuera prohibido el ingreso a la empresa el 27 de junio de 1989 </w:t>
      </w:r>
      <w:r w:rsidR="00787FF6">
        <w:rPr>
          <w:rFonts w:ascii="Verdana" w:hAnsi="Verdana"/>
          <w:color w:val="000000"/>
          <w:sz w:val="20"/>
          <w:szCs w:val="20"/>
        </w:rPr>
        <w:t xml:space="preserve">lo cual le impidió </w:t>
      </w:r>
      <w:r w:rsidR="00275EDE" w:rsidRPr="00275EDE">
        <w:rPr>
          <w:rFonts w:ascii="Verdana" w:hAnsi="Verdana"/>
          <w:color w:val="000000"/>
          <w:sz w:val="20"/>
          <w:szCs w:val="20"/>
        </w:rPr>
        <w:t xml:space="preserve">asistir a la reunión que él mismo había citado, en su calidad de Presidente del Comité Electoral, con el resto del Comité para tratar el tema de una nueva elección. </w:t>
      </w:r>
    </w:p>
    <w:p w14:paraId="0CE086E0" w14:textId="77777777" w:rsidR="007C5857" w:rsidRPr="00275EDE" w:rsidRDefault="007C5857" w:rsidP="009C6F8E">
      <w:pPr>
        <w:jc w:val="both"/>
        <w:rPr>
          <w:rFonts w:ascii="Verdana" w:hAnsi="Verdana"/>
          <w:b/>
          <w:color w:val="000000"/>
          <w:sz w:val="20"/>
          <w:szCs w:val="20"/>
        </w:rPr>
      </w:pPr>
    </w:p>
    <w:p w14:paraId="5CED3683" w14:textId="318C51C3" w:rsidR="00275EDE" w:rsidRPr="00275EDE" w:rsidRDefault="00275EDE" w:rsidP="00E66DD7">
      <w:pPr>
        <w:pStyle w:val="ListParagraph"/>
        <w:numPr>
          <w:ilvl w:val="0"/>
          <w:numId w:val="1"/>
        </w:numPr>
        <w:ind w:left="0" w:hanging="11"/>
        <w:jc w:val="both"/>
        <w:rPr>
          <w:rFonts w:ascii="Verdana" w:hAnsi="Verdana"/>
          <w:sz w:val="20"/>
          <w:szCs w:val="20"/>
        </w:rPr>
      </w:pPr>
      <w:r w:rsidRPr="00275EDE">
        <w:rPr>
          <w:rFonts w:ascii="Verdana" w:hAnsi="Verdana"/>
          <w:sz w:val="20"/>
          <w:szCs w:val="20"/>
          <w:lang w:val="es-MX"/>
        </w:rPr>
        <w:t>Por medio de carta de 30 de junio de 1989</w:t>
      </w:r>
      <w:r w:rsidR="00AA1F88">
        <w:rPr>
          <w:rFonts w:ascii="Verdana" w:hAnsi="Verdana"/>
          <w:sz w:val="20"/>
          <w:szCs w:val="20"/>
          <w:lang w:val="es-MX"/>
        </w:rPr>
        <w:t xml:space="preserve"> dirigida al Gerente General</w:t>
      </w:r>
      <w:r w:rsidRPr="00275EDE">
        <w:rPr>
          <w:rFonts w:ascii="Verdana" w:hAnsi="Verdana"/>
          <w:sz w:val="20"/>
          <w:szCs w:val="20"/>
          <w:lang w:val="es-MX"/>
        </w:rPr>
        <w:t xml:space="preserve">, el señor Lagos del Campo buscó desvirtuar los cargos que se le habían formulado a través de la carta notarial. En particular, el señor Lagos del Campo manifestó </w:t>
      </w:r>
      <w:r w:rsidR="00D73A3B">
        <w:rPr>
          <w:rFonts w:ascii="Verdana" w:hAnsi="Verdana"/>
          <w:sz w:val="20"/>
          <w:szCs w:val="20"/>
          <w:lang w:val="es-MX"/>
        </w:rPr>
        <w:t>que</w:t>
      </w:r>
      <w:r w:rsidRPr="00275EDE">
        <w:rPr>
          <w:rFonts w:ascii="Verdana" w:hAnsi="Verdana"/>
          <w:sz w:val="20"/>
          <w:szCs w:val="20"/>
          <w:lang w:val="es-MX"/>
        </w:rPr>
        <w:t xml:space="preserve">: a) no era cierto que él había incurrido incumplimiento de sus obligaciones de trabajo o que haya incurrido en grave indisciplina, puesto que siempre había ejecutado escrupulosamente las labores que le habían asignado; b) no era cierto que había incurrido en </w:t>
      </w:r>
      <w:r w:rsidR="005D72FB">
        <w:rPr>
          <w:rFonts w:ascii="Verdana" w:hAnsi="Verdana"/>
          <w:sz w:val="20"/>
          <w:szCs w:val="20"/>
        </w:rPr>
        <w:t>“</w:t>
      </w:r>
      <w:proofErr w:type="spellStart"/>
      <w:r w:rsidRPr="00275EDE">
        <w:rPr>
          <w:rFonts w:ascii="Verdana" w:hAnsi="Verdana"/>
          <w:sz w:val="20"/>
          <w:szCs w:val="20"/>
          <w:lang w:val="es-MX"/>
        </w:rPr>
        <w:t>faltamiento</w:t>
      </w:r>
      <w:proofErr w:type="spellEnd"/>
      <w:r w:rsidRPr="00275EDE">
        <w:rPr>
          <w:rFonts w:ascii="Verdana" w:hAnsi="Verdana"/>
          <w:sz w:val="20"/>
          <w:szCs w:val="20"/>
          <w:lang w:val="es-MX"/>
        </w:rPr>
        <w:t xml:space="preserve"> grave de palabra</w:t>
      </w:r>
      <w:r w:rsidR="005D72FB" w:rsidRPr="00275EDE">
        <w:rPr>
          <w:rFonts w:ascii="Verdana" w:hAnsi="Verdana"/>
          <w:sz w:val="20"/>
          <w:szCs w:val="20"/>
        </w:rPr>
        <w:t>”</w:t>
      </w:r>
      <w:r w:rsidRPr="00275EDE">
        <w:rPr>
          <w:rFonts w:ascii="Verdana" w:hAnsi="Verdana"/>
          <w:sz w:val="20"/>
          <w:szCs w:val="20"/>
          <w:lang w:val="es-MX"/>
        </w:rPr>
        <w:t xml:space="preserve"> en agravio del empleador o sus representantes, puesto que no se hizo de manera directa hacia el afectado ni con intención ofensiva por parte de él; c) dado que no existía reiteración ni sanción disciplinaria anterior por faltas similares, la empresa debió haber procedido de acuerdo a lo establecido en el Reglamento Interno de Trabajo, aplicando primero las sanciones leves que proveía dicho Reglamento; d) no era cierto que había afirmado que existía un </w:t>
      </w:r>
      <w:r w:rsidRPr="00275EDE">
        <w:rPr>
          <w:rFonts w:ascii="Verdana" w:hAnsi="Verdana"/>
          <w:sz w:val="20"/>
          <w:szCs w:val="20"/>
        </w:rPr>
        <w:t>entendimiento "ilícito y deshonesto" con la directora de la Oficina General de Participación</w:t>
      </w:r>
      <w:r w:rsidR="00452C95">
        <w:rPr>
          <w:rFonts w:ascii="Verdana" w:hAnsi="Verdana"/>
          <w:sz w:val="20"/>
          <w:szCs w:val="20"/>
        </w:rPr>
        <w:t xml:space="preserve">; </w:t>
      </w:r>
      <w:r w:rsidRPr="00275EDE">
        <w:rPr>
          <w:rFonts w:ascii="Verdana" w:hAnsi="Verdana"/>
          <w:sz w:val="20"/>
          <w:szCs w:val="20"/>
        </w:rPr>
        <w:t>e) era evidente que existía una deformación de sus afirmaciones</w:t>
      </w:r>
      <w:r w:rsidR="00452C95">
        <w:rPr>
          <w:rFonts w:ascii="Verdana" w:hAnsi="Verdana"/>
          <w:sz w:val="20"/>
          <w:szCs w:val="20"/>
        </w:rPr>
        <w:t>;</w:t>
      </w:r>
      <w:r w:rsidRPr="00275EDE">
        <w:rPr>
          <w:rFonts w:ascii="Verdana" w:hAnsi="Verdana"/>
          <w:sz w:val="20"/>
          <w:szCs w:val="20"/>
        </w:rPr>
        <w:t xml:space="preserve"> f) por otra parte en la carta notarial se pretendía atribuir sanciones disciplinarias en el </w:t>
      </w:r>
      <w:r w:rsidR="00452C95" w:rsidRPr="00275EDE">
        <w:rPr>
          <w:rFonts w:ascii="Verdana" w:hAnsi="Verdana"/>
          <w:sz w:val="20"/>
          <w:szCs w:val="20"/>
        </w:rPr>
        <w:t>ej</w:t>
      </w:r>
      <w:r w:rsidR="00452C95">
        <w:rPr>
          <w:rFonts w:ascii="Verdana" w:hAnsi="Verdana"/>
          <w:sz w:val="20"/>
          <w:szCs w:val="20"/>
        </w:rPr>
        <w:t>e</w:t>
      </w:r>
      <w:r w:rsidR="00452C95" w:rsidRPr="00275EDE">
        <w:rPr>
          <w:rFonts w:ascii="Verdana" w:hAnsi="Verdana"/>
          <w:sz w:val="20"/>
          <w:szCs w:val="20"/>
        </w:rPr>
        <w:t>rcicio</w:t>
      </w:r>
      <w:r w:rsidRPr="00275EDE">
        <w:rPr>
          <w:rFonts w:ascii="Verdana" w:hAnsi="Verdana"/>
          <w:sz w:val="20"/>
          <w:szCs w:val="20"/>
        </w:rPr>
        <w:t xml:space="preserve"> de sus funciones, siendo notorio un acto de interferencia en las actividades internas de la Comunidad Industrial</w:t>
      </w:r>
      <w:r w:rsidR="00452C95">
        <w:rPr>
          <w:rFonts w:ascii="Verdana" w:hAnsi="Verdana"/>
          <w:sz w:val="20"/>
          <w:szCs w:val="20"/>
        </w:rPr>
        <w:t>,</w:t>
      </w:r>
      <w:r w:rsidRPr="00275EDE">
        <w:rPr>
          <w:rFonts w:ascii="Verdana" w:hAnsi="Verdana"/>
          <w:sz w:val="20"/>
          <w:szCs w:val="20"/>
        </w:rPr>
        <w:t xml:space="preserve"> y g)</w:t>
      </w:r>
      <w:r w:rsidR="007E0ADF">
        <w:rPr>
          <w:rFonts w:ascii="Verdana" w:hAnsi="Verdana"/>
          <w:sz w:val="20"/>
          <w:szCs w:val="20"/>
        </w:rPr>
        <w:t xml:space="preserve"> </w:t>
      </w:r>
      <w:r w:rsidRPr="00275EDE">
        <w:rPr>
          <w:rFonts w:ascii="Verdana" w:hAnsi="Verdana"/>
          <w:sz w:val="20"/>
          <w:szCs w:val="20"/>
        </w:rPr>
        <w:t>las acusaciones que se le formularon atentaban contra su derecho a la libertad de expresión y difusión del pensamiento</w:t>
      </w:r>
      <w:r w:rsidRPr="00557859">
        <w:rPr>
          <w:rFonts w:ascii="Verdana" w:hAnsi="Verdana"/>
          <w:color w:val="000000"/>
          <w:sz w:val="20"/>
          <w:szCs w:val="20"/>
          <w:vertAlign w:val="superscript"/>
        </w:rPr>
        <w:footnoteReference w:id="65"/>
      </w:r>
      <w:r w:rsidRPr="00275EDE">
        <w:rPr>
          <w:rFonts w:ascii="Verdana" w:hAnsi="Verdana"/>
          <w:sz w:val="20"/>
          <w:szCs w:val="20"/>
        </w:rPr>
        <w:t xml:space="preserve">. </w:t>
      </w:r>
    </w:p>
    <w:p w14:paraId="13513920" w14:textId="77777777" w:rsidR="00275EDE" w:rsidRPr="00275EDE" w:rsidRDefault="00275EDE" w:rsidP="009C6F8E">
      <w:pPr>
        <w:jc w:val="both"/>
        <w:rPr>
          <w:rFonts w:ascii="Verdana" w:hAnsi="Verdana"/>
          <w:b/>
          <w:sz w:val="20"/>
          <w:szCs w:val="20"/>
        </w:rPr>
      </w:pPr>
    </w:p>
    <w:p w14:paraId="35B2B1FE" w14:textId="011E4C14" w:rsidR="00275EDE" w:rsidRPr="00787FF6" w:rsidRDefault="00275EDE" w:rsidP="00E66DD7">
      <w:pPr>
        <w:pStyle w:val="ListParagraph"/>
        <w:numPr>
          <w:ilvl w:val="0"/>
          <w:numId w:val="1"/>
        </w:numPr>
        <w:ind w:left="0" w:hanging="11"/>
        <w:jc w:val="both"/>
        <w:rPr>
          <w:rFonts w:ascii="Verdana" w:hAnsi="Verdana"/>
          <w:b/>
          <w:sz w:val="20"/>
          <w:szCs w:val="20"/>
        </w:rPr>
      </w:pPr>
      <w:r w:rsidRPr="00452C95">
        <w:rPr>
          <w:rFonts w:ascii="Verdana" w:hAnsi="Verdana"/>
          <w:sz w:val="20"/>
          <w:szCs w:val="20"/>
        </w:rPr>
        <w:t>Mediante nota de 1 de julio de 1989</w:t>
      </w:r>
      <w:r w:rsidRPr="009C6F8E">
        <w:rPr>
          <w:rFonts w:ascii="Verdana" w:hAnsi="Verdana"/>
          <w:sz w:val="20"/>
          <w:szCs w:val="20"/>
          <w:vertAlign w:val="superscript"/>
        </w:rPr>
        <w:footnoteReference w:id="66"/>
      </w:r>
      <w:r w:rsidRPr="00452C95">
        <w:rPr>
          <w:rFonts w:ascii="Verdana" w:hAnsi="Verdana"/>
          <w:sz w:val="20"/>
          <w:szCs w:val="20"/>
        </w:rPr>
        <w:t xml:space="preserve"> la empresa comunicó al señor Lagos del Campo la decisión de despedirlo de su empleo</w:t>
      </w:r>
      <w:r w:rsidR="000D6F59">
        <w:rPr>
          <w:rFonts w:ascii="Verdana" w:hAnsi="Verdana"/>
          <w:sz w:val="20"/>
          <w:szCs w:val="20"/>
        </w:rPr>
        <w:t>,</w:t>
      </w:r>
      <w:r w:rsidRPr="008168A7">
        <w:rPr>
          <w:rFonts w:ascii="Verdana" w:hAnsi="Verdana"/>
          <w:sz w:val="20"/>
          <w:szCs w:val="20"/>
        </w:rPr>
        <w:t xml:space="preserve"> </w:t>
      </w:r>
      <w:r w:rsidR="001B481A" w:rsidRPr="00333304">
        <w:rPr>
          <w:rFonts w:ascii="Verdana" w:hAnsi="Verdana"/>
          <w:sz w:val="20"/>
          <w:szCs w:val="20"/>
        </w:rPr>
        <w:t>puesto</w:t>
      </w:r>
      <w:r w:rsidR="001B481A" w:rsidRPr="00452C95">
        <w:rPr>
          <w:rFonts w:ascii="Verdana" w:hAnsi="Verdana"/>
          <w:sz w:val="20"/>
          <w:szCs w:val="20"/>
        </w:rPr>
        <w:t xml:space="preserve"> </w:t>
      </w:r>
      <w:r w:rsidRPr="00452C95">
        <w:rPr>
          <w:rFonts w:ascii="Verdana" w:hAnsi="Verdana"/>
          <w:sz w:val="20"/>
          <w:szCs w:val="20"/>
        </w:rPr>
        <w:t xml:space="preserve">que </w:t>
      </w:r>
      <w:r w:rsidR="00452C95" w:rsidRPr="00452C95">
        <w:rPr>
          <w:rFonts w:ascii="Verdana" w:hAnsi="Verdana"/>
          <w:sz w:val="20"/>
          <w:szCs w:val="20"/>
        </w:rPr>
        <w:t>“</w:t>
      </w:r>
      <w:r w:rsidRPr="00452C95">
        <w:rPr>
          <w:rFonts w:ascii="Verdana" w:hAnsi="Verdana"/>
          <w:sz w:val="20"/>
          <w:szCs w:val="20"/>
        </w:rPr>
        <w:t xml:space="preserve">[…] no </w:t>
      </w:r>
      <w:r w:rsidRPr="00452C95">
        <w:rPr>
          <w:rFonts w:ascii="Verdana" w:hAnsi="Verdana"/>
          <w:sz w:val="20"/>
          <w:szCs w:val="20"/>
          <w:lang w:val="es-MX"/>
        </w:rPr>
        <w:t>había logrado desvirtuar los cargos que le habían formulado a través de la carta notarial de 26 de junio</w:t>
      </w:r>
      <w:r w:rsidR="00452C95" w:rsidRPr="00452C95">
        <w:rPr>
          <w:rFonts w:ascii="Verdana" w:hAnsi="Verdana"/>
          <w:sz w:val="20"/>
          <w:szCs w:val="20"/>
          <w:lang w:val="es-MX"/>
        </w:rPr>
        <w:t xml:space="preserve"> [</w:t>
      </w:r>
      <w:r w:rsidRPr="00452C95">
        <w:rPr>
          <w:rFonts w:ascii="Verdana" w:hAnsi="Verdana"/>
          <w:sz w:val="20"/>
          <w:szCs w:val="20"/>
          <w:lang w:val="es-MX"/>
        </w:rPr>
        <w:t>…</w:t>
      </w:r>
      <w:r w:rsidR="00452C95" w:rsidRPr="00452C95">
        <w:rPr>
          <w:rFonts w:ascii="Verdana" w:hAnsi="Verdana"/>
          <w:sz w:val="20"/>
          <w:szCs w:val="20"/>
          <w:lang w:val="es-MX"/>
        </w:rPr>
        <w:t>]”</w:t>
      </w:r>
      <w:r w:rsidRPr="00A21E28">
        <w:rPr>
          <w:rFonts w:ascii="Verdana" w:hAnsi="Verdana"/>
          <w:sz w:val="20"/>
          <w:szCs w:val="20"/>
          <w:lang w:val="es-MX"/>
        </w:rPr>
        <w:t>.</w:t>
      </w:r>
      <w:r w:rsidRPr="002F59B2">
        <w:rPr>
          <w:rFonts w:ascii="Verdana" w:hAnsi="Verdana"/>
          <w:b/>
          <w:sz w:val="20"/>
          <w:szCs w:val="20"/>
        </w:rPr>
        <w:t xml:space="preserve"> </w:t>
      </w:r>
      <w:r w:rsidRPr="002F59B2">
        <w:rPr>
          <w:rFonts w:ascii="Verdana" w:hAnsi="Verdana"/>
          <w:sz w:val="20"/>
          <w:szCs w:val="20"/>
        </w:rPr>
        <w:t xml:space="preserve">Consideró el despido justificado en particular por haber incurrido en las causales de falta grave calificadas en los incisos a) y h) del artículo 5 de la </w:t>
      </w:r>
      <w:r w:rsidRPr="00333304">
        <w:rPr>
          <w:rFonts w:ascii="Verdana" w:hAnsi="Verdana"/>
          <w:sz w:val="20"/>
          <w:szCs w:val="20"/>
        </w:rPr>
        <w:t>Ley 24514</w:t>
      </w:r>
      <w:r w:rsidRPr="00A21E28">
        <w:rPr>
          <w:rFonts w:ascii="Verdana" w:hAnsi="Verdana"/>
          <w:sz w:val="20"/>
          <w:szCs w:val="20"/>
        </w:rPr>
        <w:t xml:space="preserve"> de 1986, </w:t>
      </w:r>
      <w:r w:rsidR="007E0ADF" w:rsidRPr="002F59B2">
        <w:rPr>
          <w:rFonts w:ascii="Verdana" w:hAnsi="Verdana"/>
          <w:sz w:val="20"/>
          <w:szCs w:val="20"/>
        </w:rPr>
        <w:t>misma que</w:t>
      </w:r>
      <w:r w:rsidRPr="002F59B2">
        <w:rPr>
          <w:rFonts w:ascii="Verdana" w:hAnsi="Verdana"/>
          <w:sz w:val="20"/>
          <w:szCs w:val="20"/>
        </w:rPr>
        <w:t xml:space="preserve"> regula</w:t>
      </w:r>
      <w:r w:rsidR="007E0ADF" w:rsidRPr="002F59B2">
        <w:rPr>
          <w:rFonts w:ascii="Verdana" w:hAnsi="Verdana"/>
          <w:sz w:val="20"/>
          <w:szCs w:val="20"/>
        </w:rPr>
        <w:t>ba</w:t>
      </w:r>
      <w:r w:rsidRPr="00205207">
        <w:rPr>
          <w:rFonts w:ascii="Verdana" w:hAnsi="Verdana"/>
          <w:sz w:val="20"/>
          <w:szCs w:val="20"/>
        </w:rPr>
        <w:t xml:space="preserve"> el derecho de estabilidad en el trabajo, que considera como tales, </w:t>
      </w:r>
      <w:r w:rsidR="0019166C" w:rsidRPr="008168A7">
        <w:rPr>
          <w:rFonts w:ascii="Verdana" w:hAnsi="Verdana"/>
          <w:sz w:val="20"/>
          <w:szCs w:val="20"/>
        </w:rPr>
        <w:t>“</w:t>
      </w:r>
      <w:r w:rsidRPr="00333304">
        <w:rPr>
          <w:rFonts w:ascii="Verdana" w:hAnsi="Verdana"/>
          <w:sz w:val="20"/>
          <w:szCs w:val="20"/>
        </w:rPr>
        <w:t xml:space="preserve">el </w:t>
      </w:r>
      <w:proofErr w:type="spellStart"/>
      <w:r w:rsidRPr="00333304">
        <w:rPr>
          <w:rFonts w:ascii="Verdana" w:hAnsi="Verdana"/>
          <w:sz w:val="20"/>
          <w:szCs w:val="20"/>
        </w:rPr>
        <w:t>faltamiento</w:t>
      </w:r>
      <w:proofErr w:type="spellEnd"/>
      <w:r w:rsidRPr="00333304">
        <w:rPr>
          <w:rFonts w:ascii="Verdana" w:hAnsi="Verdana"/>
          <w:sz w:val="20"/>
          <w:szCs w:val="20"/>
        </w:rPr>
        <w:t xml:space="preserve"> grave de palabra</w:t>
      </w:r>
      <w:r w:rsidRPr="00205207">
        <w:rPr>
          <w:rFonts w:ascii="Verdana" w:hAnsi="Verdana"/>
          <w:sz w:val="20"/>
          <w:szCs w:val="20"/>
        </w:rPr>
        <w:t xml:space="preserve"> en agravio del empleador, de sus representantes y de sus compañeros de trabajo”, con motivo de las declaraciones que realizó al conceder la entrevista</w:t>
      </w:r>
      <w:r w:rsidRPr="009C6F8E">
        <w:rPr>
          <w:rFonts w:ascii="Verdana" w:hAnsi="Verdana"/>
          <w:sz w:val="20"/>
          <w:szCs w:val="20"/>
          <w:vertAlign w:val="superscript"/>
        </w:rPr>
        <w:footnoteReference w:id="67"/>
      </w:r>
      <w:r w:rsidRPr="00452C95">
        <w:rPr>
          <w:rFonts w:ascii="Verdana" w:hAnsi="Verdana"/>
          <w:sz w:val="20"/>
          <w:szCs w:val="20"/>
        </w:rPr>
        <w:t>. En particular, l</w:t>
      </w:r>
      <w:r w:rsidRPr="00452C95">
        <w:rPr>
          <w:rFonts w:ascii="Verdana" w:hAnsi="Verdana"/>
          <w:sz w:val="20"/>
          <w:szCs w:val="20"/>
          <w:lang w:val="es-CR"/>
        </w:rPr>
        <w:t xml:space="preserve">a empresa sostuvo que el señor Lagos incurrió en una grave infracción, al acusar a los directivos de utilizar el </w:t>
      </w:r>
      <w:r w:rsidRPr="00452C95">
        <w:rPr>
          <w:rFonts w:ascii="Verdana" w:hAnsi="Verdana"/>
          <w:sz w:val="20"/>
          <w:szCs w:val="20"/>
        </w:rPr>
        <w:t>“</w:t>
      </w:r>
      <w:r w:rsidRPr="00452C95">
        <w:rPr>
          <w:rFonts w:ascii="Verdana" w:hAnsi="Verdana"/>
          <w:iCs/>
          <w:sz w:val="20"/>
          <w:szCs w:val="20"/>
          <w:lang w:val="es-CR"/>
        </w:rPr>
        <w:t>chantaje</w:t>
      </w:r>
      <w:r w:rsidRPr="00452C95">
        <w:rPr>
          <w:rFonts w:ascii="Verdana" w:hAnsi="Verdana"/>
          <w:sz w:val="20"/>
          <w:szCs w:val="20"/>
        </w:rPr>
        <w:t>”</w:t>
      </w:r>
      <w:r w:rsidRPr="00452C95">
        <w:rPr>
          <w:rFonts w:ascii="Verdana" w:hAnsi="Verdana"/>
          <w:iCs/>
          <w:sz w:val="20"/>
          <w:szCs w:val="20"/>
          <w:lang w:val="es-CR"/>
        </w:rPr>
        <w:t xml:space="preserve"> </w:t>
      </w:r>
      <w:r w:rsidRPr="00452C95">
        <w:rPr>
          <w:rFonts w:ascii="Verdana" w:hAnsi="Verdana"/>
          <w:sz w:val="20"/>
          <w:szCs w:val="20"/>
          <w:lang w:val="es-CR"/>
        </w:rPr>
        <w:t xml:space="preserve">y la </w:t>
      </w:r>
      <w:r w:rsidRPr="00452C95">
        <w:rPr>
          <w:rFonts w:ascii="Verdana" w:hAnsi="Verdana"/>
          <w:sz w:val="20"/>
          <w:szCs w:val="20"/>
        </w:rPr>
        <w:t>“</w:t>
      </w:r>
      <w:r w:rsidRPr="00452C95">
        <w:rPr>
          <w:rFonts w:ascii="Verdana" w:hAnsi="Verdana"/>
          <w:iCs/>
          <w:sz w:val="20"/>
          <w:szCs w:val="20"/>
          <w:lang w:val="es-CR"/>
        </w:rPr>
        <w:t>coerción</w:t>
      </w:r>
      <w:r w:rsidRPr="00A21E28">
        <w:rPr>
          <w:rFonts w:ascii="Verdana" w:hAnsi="Verdana"/>
          <w:sz w:val="20"/>
          <w:szCs w:val="20"/>
        </w:rPr>
        <w:t>”</w:t>
      </w:r>
      <w:r w:rsidRPr="00A21E28">
        <w:rPr>
          <w:rFonts w:ascii="Verdana" w:hAnsi="Verdana"/>
          <w:iCs/>
          <w:sz w:val="20"/>
          <w:szCs w:val="20"/>
          <w:lang w:val="es-CR"/>
        </w:rPr>
        <w:t xml:space="preserve">, </w:t>
      </w:r>
      <w:r w:rsidRPr="002F59B2">
        <w:rPr>
          <w:rFonts w:ascii="Verdana" w:hAnsi="Verdana"/>
          <w:sz w:val="20"/>
          <w:szCs w:val="20"/>
          <w:lang w:val="es-CR"/>
        </w:rPr>
        <w:t xml:space="preserve">tener un </w:t>
      </w:r>
      <w:r w:rsidRPr="002F59B2">
        <w:rPr>
          <w:rFonts w:ascii="Verdana" w:hAnsi="Verdana"/>
          <w:sz w:val="20"/>
          <w:szCs w:val="20"/>
        </w:rPr>
        <w:t>“</w:t>
      </w:r>
      <w:r w:rsidRPr="002F59B2">
        <w:rPr>
          <w:rFonts w:ascii="Verdana" w:hAnsi="Verdana"/>
          <w:iCs/>
          <w:sz w:val="20"/>
          <w:szCs w:val="20"/>
          <w:lang w:val="es-CR"/>
        </w:rPr>
        <w:t>entendimiento</w:t>
      </w:r>
      <w:r w:rsidRPr="002F59B2">
        <w:rPr>
          <w:rFonts w:ascii="Verdana" w:hAnsi="Verdana"/>
          <w:sz w:val="20"/>
          <w:szCs w:val="20"/>
        </w:rPr>
        <w:t>”</w:t>
      </w:r>
      <w:r w:rsidRPr="00205207">
        <w:rPr>
          <w:rFonts w:ascii="Verdana" w:hAnsi="Verdana"/>
          <w:iCs/>
          <w:sz w:val="20"/>
          <w:szCs w:val="20"/>
          <w:lang w:val="es-CR"/>
        </w:rPr>
        <w:t xml:space="preserve"> </w:t>
      </w:r>
      <w:r w:rsidRPr="00205207">
        <w:rPr>
          <w:rFonts w:ascii="Verdana" w:hAnsi="Verdana"/>
          <w:sz w:val="20"/>
          <w:szCs w:val="20"/>
          <w:lang w:val="es-CR"/>
        </w:rPr>
        <w:t xml:space="preserve">con la Dirección de la Oficina General de Participación del Ministerio de Industria, Turismo y Comercio, tener la intención de </w:t>
      </w:r>
      <w:r w:rsidRPr="00205207">
        <w:rPr>
          <w:rFonts w:ascii="Verdana" w:hAnsi="Verdana"/>
          <w:sz w:val="20"/>
          <w:szCs w:val="20"/>
        </w:rPr>
        <w:t>“</w:t>
      </w:r>
      <w:r w:rsidRPr="00205207">
        <w:rPr>
          <w:rFonts w:ascii="Verdana" w:hAnsi="Verdana"/>
          <w:iCs/>
          <w:sz w:val="20"/>
          <w:szCs w:val="20"/>
          <w:lang w:val="es-CR"/>
        </w:rPr>
        <w:t>liquidar</w:t>
      </w:r>
      <w:r w:rsidRPr="00205207">
        <w:rPr>
          <w:rFonts w:ascii="Verdana" w:hAnsi="Verdana"/>
          <w:sz w:val="20"/>
          <w:szCs w:val="20"/>
        </w:rPr>
        <w:t>”</w:t>
      </w:r>
      <w:r w:rsidRPr="00205207">
        <w:rPr>
          <w:rFonts w:ascii="Verdana" w:hAnsi="Verdana"/>
          <w:iCs/>
          <w:sz w:val="20"/>
          <w:szCs w:val="20"/>
          <w:lang w:val="es-CR"/>
        </w:rPr>
        <w:t xml:space="preserve"> </w:t>
      </w:r>
      <w:r w:rsidRPr="00D24B13">
        <w:rPr>
          <w:rFonts w:ascii="Verdana" w:hAnsi="Verdana"/>
          <w:sz w:val="20"/>
          <w:szCs w:val="20"/>
          <w:lang w:val="es-CR"/>
        </w:rPr>
        <w:t xml:space="preserve">a la Comunidad Industrial, y pretender </w:t>
      </w:r>
      <w:r w:rsidRPr="00D24B13">
        <w:rPr>
          <w:rFonts w:ascii="Verdana" w:hAnsi="Verdana"/>
          <w:sz w:val="20"/>
          <w:szCs w:val="20"/>
        </w:rPr>
        <w:t>“</w:t>
      </w:r>
      <w:r w:rsidRPr="00D24B13">
        <w:rPr>
          <w:rFonts w:ascii="Verdana" w:hAnsi="Verdana"/>
          <w:iCs/>
          <w:sz w:val="20"/>
          <w:szCs w:val="20"/>
          <w:lang w:val="es-CR"/>
        </w:rPr>
        <w:t>influenciar</w:t>
      </w:r>
      <w:r w:rsidRPr="00D24B13">
        <w:rPr>
          <w:rFonts w:ascii="Verdana" w:hAnsi="Verdana"/>
          <w:sz w:val="20"/>
          <w:szCs w:val="20"/>
        </w:rPr>
        <w:t>”</w:t>
      </w:r>
      <w:r w:rsidRPr="00D24B13">
        <w:rPr>
          <w:rFonts w:ascii="Verdana" w:hAnsi="Verdana"/>
          <w:iCs/>
          <w:sz w:val="20"/>
          <w:szCs w:val="20"/>
          <w:lang w:val="es-CR"/>
        </w:rPr>
        <w:t xml:space="preserve"> </w:t>
      </w:r>
      <w:r w:rsidRPr="00D24B13">
        <w:rPr>
          <w:rFonts w:ascii="Verdana" w:hAnsi="Verdana"/>
          <w:sz w:val="20"/>
          <w:szCs w:val="20"/>
          <w:lang w:val="es-CR"/>
        </w:rPr>
        <w:t>las elecciones de la Comunidad Industrial mediante la presión a un grupo determinado de trabajadores</w:t>
      </w:r>
      <w:r w:rsidRPr="00D24B13">
        <w:rPr>
          <w:rFonts w:ascii="Verdana" w:hAnsi="Verdana"/>
          <w:sz w:val="20"/>
          <w:szCs w:val="20"/>
          <w:lang w:val="es-MX"/>
        </w:rPr>
        <w:t xml:space="preserve">. </w:t>
      </w:r>
    </w:p>
    <w:p w14:paraId="2F493097" w14:textId="77777777" w:rsidR="00275EDE" w:rsidRPr="00275EDE" w:rsidRDefault="00275EDE" w:rsidP="009C6F8E">
      <w:pPr>
        <w:jc w:val="both"/>
        <w:rPr>
          <w:rFonts w:ascii="Verdana" w:hAnsi="Verdana"/>
          <w:b/>
          <w:sz w:val="20"/>
          <w:szCs w:val="20"/>
        </w:rPr>
      </w:pPr>
    </w:p>
    <w:p w14:paraId="25D9D544" w14:textId="6F77A583" w:rsidR="00275EDE" w:rsidRPr="00275EDE" w:rsidRDefault="00275EDE" w:rsidP="00E66DD7">
      <w:pPr>
        <w:pStyle w:val="ListParagraph"/>
        <w:numPr>
          <w:ilvl w:val="0"/>
          <w:numId w:val="1"/>
        </w:numPr>
        <w:ind w:left="0" w:hanging="11"/>
        <w:jc w:val="both"/>
        <w:rPr>
          <w:rFonts w:ascii="Verdana" w:hAnsi="Verdana"/>
          <w:b/>
          <w:sz w:val="20"/>
          <w:szCs w:val="20"/>
        </w:rPr>
      </w:pPr>
      <w:r w:rsidRPr="00275EDE">
        <w:rPr>
          <w:rFonts w:ascii="Verdana" w:hAnsi="Verdana"/>
          <w:sz w:val="20"/>
          <w:szCs w:val="20"/>
        </w:rPr>
        <w:t>En ese momento, la Ley 24514 de 1986 regulaba el derecho de estabilidad laboral y el procedimiento de despido de los trabajadores</w:t>
      </w:r>
      <w:r w:rsidRPr="009C6F8E">
        <w:rPr>
          <w:rFonts w:ascii="Verdana" w:hAnsi="Verdana"/>
          <w:sz w:val="20"/>
          <w:szCs w:val="20"/>
          <w:vertAlign w:val="superscript"/>
        </w:rPr>
        <w:footnoteReference w:id="68"/>
      </w:r>
      <w:r w:rsidRPr="00275EDE">
        <w:rPr>
          <w:rFonts w:ascii="Verdana" w:hAnsi="Verdana" w:cs="Arial"/>
          <w:sz w:val="20"/>
          <w:szCs w:val="20"/>
        </w:rPr>
        <w:t xml:space="preserve">. </w:t>
      </w:r>
      <w:r w:rsidRPr="00275EDE">
        <w:rPr>
          <w:rFonts w:ascii="Verdana" w:hAnsi="Verdana"/>
          <w:sz w:val="20"/>
          <w:szCs w:val="20"/>
        </w:rPr>
        <w:t xml:space="preserve">La normativa preveía que </w:t>
      </w:r>
      <w:r w:rsidRPr="00333304">
        <w:rPr>
          <w:rFonts w:ascii="Verdana" w:hAnsi="Verdana"/>
          <w:sz w:val="20"/>
          <w:szCs w:val="20"/>
        </w:rPr>
        <w:t>las faltas graves</w:t>
      </w:r>
      <w:r w:rsidRPr="008168A7">
        <w:rPr>
          <w:rFonts w:ascii="Verdana" w:hAnsi="Verdana"/>
          <w:sz w:val="20"/>
          <w:szCs w:val="20"/>
        </w:rPr>
        <w:t xml:space="preserve"> </w:t>
      </w:r>
      <w:r w:rsidRPr="00275EDE">
        <w:rPr>
          <w:rFonts w:ascii="Verdana" w:hAnsi="Verdana"/>
          <w:sz w:val="20"/>
          <w:szCs w:val="20"/>
        </w:rPr>
        <w:lastRenderedPageBreak/>
        <w:t>cometidas por los trabajadores eran una causa justa de despido</w:t>
      </w:r>
      <w:r w:rsidRPr="009C6F8E">
        <w:rPr>
          <w:rFonts w:ascii="Verdana" w:hAnsi="Verdana"/>
          <w:sz w:val="20"/>
          <w:szCs w:val="20"/>
          <w:vertAlign w:val="superscript"/>
        </w:rPr>
        <w:footnoteReference w:id="69"/>
      </w:r>
      <w:r w:rsidRPr="00275EDE">
        <w:rPr>
          <w:rFonts w:ascii="Verdana" w:hAnsi="Verdana"/>
          <w:sz w:val="20"/>
          <w:szCs w:val="20"/>
        </w:rPr>
        <w:t xml:space="preserve"> y consagra</w:t>
      </w:r>
      <w:r w:rsidR="007E0ADF">
        <w:rPr>
          <w:rFonts w:ascii="Verdana" w:hAnsi="Verdana"/>
          <w:sz w:val="20"/>
          <w:szCs w:val="20"/>
        </w:rPr>
        <w:t>ba</w:t>
      </w:r>
      <w:r w:rsidRPr="00275EDE">
        <w:rPr>
          <w:rFonts w:ascii="Verdana" w:hAnsi="Verdana"/>
          <w:sz w:val="20"/>
          <w:szCs w:val="20"/>
        </w:rPr>
        <w:t xml:space="preserve"> como faltas graves entre otras, la</w:t>
      </w:r>
      <w:r w:rsidR="00D20A28">
        <w:rPr>
          <w:rFonts w:ascii="Verdana" w:hAnsi="Verdana"/>
          <w:sz w:val="20"/>
          <w:szCs w:val="20"/>
        </w:rPr>
        <w:t>s</w:t>
      </w:r>
      <w:r w:rsidRPr="00275EDE">
        <w:rPr>
          <w:rFonts w:ascii="Verdana" w:hAnsi="Verdana"/>
          <w:sz w:val="20"/>
          <w:szCs w:val="20"/>
        </w:rPr>
        <w:t xml:space="preserve"> siguiente</w:t>
      </w:r>
      <w:r w:rsidR="00D20A28">
        <w:rPr>
          <w:rFonts w:ascii="Verdana" w:hAnsi="Verdana"/>
          <w:sz w:val="20"/>
          <w:szCs w:val="20"/>
        </w:rPr>
        <w:t>s</w:t>
      </w:r>
      <w:r w:rsidRPr="009C6F8E">
        <w:rPr>
          <w:rFonts w:ascii="Verdana" w:hAnsi="Verdana"/>
          <w:sz w:val="20"/>
          <w:szCs w:val="20"/>
          <w:vertAlign w:val="superscript"/>
        </w:rPr>
        <w:footnoteReference w:id="70"/>
      </w:r>
      <w:r w:rsidR="00D20A28">
        <w:rPr>
          <w:rFonts w:ascii="Verdana" w:hAnsi="Verdana"/>
          <w:sz w:val="20"/>
          <w:szCs w:val="20"/>
        </w:rPr>
        <w:t>:</w:t>
      </w:r>
      <w:r w:rsidRPr="00275EDE">
        <w:rPr>
          <w:rFonts w:ascii="Verdana" w:hAnsi="Verdana"/>
          <w:sz w:val="20"/>
          <w:szCs w:val="20"/>
        </w:rPr>
        <w:t xml:space="preserve"> </w:t>
      </w:r>
    </w:p>
    <w:p w14:paraId="30D76553" w14:textId="77777777" w:rsidR="00275EDE" w:rsidRPr="00275EDE" w:rsidRDefault="00275EDE" w:rsidP="00275EDE">
      <w:pPr>
        <w:jc w:val="both"/>
        <w:rPr>
          <w:rFonts w:ascii="Verdana" w:hAnsi="Verdana"/>
          <w:b/>
          <w:sz w:val="20"/>
          <w:szCs w:val="20"/>
        </w:rPr>
      </w:pPr>
    </w:p>
    <w:p w14:paraId="5256EFE7" w14:textId="62B96C89" w:rsidR="00275EDE" w:rsidRPr="00275EDE" w:rsidRDefault="00275EDE" w:rsidP="009C6F8E">
      <w:pPr>
        <w:autoSpaceDE w:val="0"/>
        <w:autoSpaceDN w:val="0"/>
        <w:adjustRightInd w:val="0"/>
        <w:ind w:left="1440" w:right="714"/>
        <w:jc w:val="both"/>
        <w:rPr>
          <w:rFonts w:ascii="Verdana" w:hAnsi="Verdana"/>
          <w:sz w:val="18"/>
          <w:szCs w:val="18"/>
          <w:lang w:val="es-MX" w:eastAsia="es-MX"/>
        </w:rPr>
      </w:pPr>
      <w:r w:rsidRPr="00275EDE">
        <w:rPr>
          <w:rFonts w:ascii="Verdana" w:hAnsi="Verdana"/>
          <w:sz w:val="18"/>
          <w:szCs w:val="18"/>
          <w:lang w:val="es-MX" w:eastAsia="es-MX"/>
        </w:rPr>
        <w:t xml:space="preserve">a) </w:t>
      </w:r>
      <w:r w:rsidR="008168A7">
        <w:rPr>
          <w:rFonts w:ascii="Verdana" w:hAnsi="Verdana"/>
          <w:sz w:val="18"/>
          <w:szCs w:val="18"/>
          <w:lang w:val="es-MX" w:eastAsia="es-MX"/>
        </w:rPr>
        <w:t>E</w:t>
      </w:r>
      <w:r w:rsidRPr="00275EDE">
        <w:rPr>
          <w:rFonts w:ascii="Verdana" w:hAnsi="Verdana"/>
          <w:sz w:val="18"/>
          <w:szCs w:val="18"/>
          <w:lang w:val="es-MX" w:eastAsia="es-MX"/>
        </w:rPr>
        <w:t xml:space="preserve">l incumplimiento injustificado de las obligaciones del trabajo, la reiterada resistencia a las órdenes de sus superiores relacionadas con sus labores y la inobservancia del Reglamento Interno de Trabajo y de Seguridad Industrial, debidamente aprobado por la autoridad administrativa de trabajo, que en todos los casos revistan gravedad; </w:t>
      </w:r>
      <w:r w:rsidRPr="00275EDE">
        <w:rPr>
          <w:rFonts w:ascii="Verdana" w:hAnsi="Verdana" w:cs="Arial"/>
          <w:sz w:val="18"/>
          <w:szCs w:val="18"/>
          <w:lang w:val="es-MX" w:eastAsia="es-MX"/>
        </w:rPr>
        <w:t>[...]</w:t>
      </w:r>
    </w:p>
    <w:p w14:paraId="6C3E4715" w14:textId="77777777" w:rsidR="00275EDE" w:rsidRPr="00275EDE" w:rsidRDefault="00275EDE" w:rsidP="009C6F8E">
      <w:pPr>
        <w:autoSpaceDE w:val="0"/>
        <w:autoSpaceDN w:val="0"/>
        <w:adjustRightInd w:val="0"/>
        <w:ind w:right="714"/>
        <w:jc w:val="both"/>
        <w:rPr>
          <w:rFonts w:ascii="Verdana" w:hAnsi="Verdana" w:cs="Arial"/>
          <w:sz w:val="18"/>
          <w:szCs w:val="18"/>
          <w:lang w:val="es-MX" w:eastAsia="es-MX"/>
        </w:rPr>
      </w:pPr>
    </w:p>
    <w:p w14:paraId="2C39EC7D" w14:textId="7E85BA74" w:rsidR="00275EDE" w:rsidRPr="00275EDE" w:rsidRDefault="00275EDE" w:rsidP="009C6F8E">
      <w:pPr>
        <w:autoSpaceDE w:val="0"/>
        <w:autoSpaceDN w:val="0"/>
        <w:adjustRightInd w:val="0"/>
        <w:ind w:left="1440" w:right="714"/>
        <w:jc w:val="both"/>
        <w:rPr>
          <w:rFonts w:ascii="Verdana" w:hAnsi="Verdana" w:cs="Arial"/>
          <w:sz w:val="18"/>
          <w:szCs w:val="18"/>
        </w:rPr>
      </w:pPr>
      <w:r w:rsidRPr="00275EDE">
        <w:rPr>
          <w:rFonts w:ascii="Verdana" w:hAnsi="Verdana"/>
          <w:sz w:val="18"/>
          <w:szCs w:val="18"/>
          <w:lang w:val="es-MX" w:eastAsia="es-MX"/>
        </w:rPr>
        <w:t xml:space="preserve">h) Incurrir en acto de violencia, grave indisciplina o </w:t>
      </w:r>
      <w:proofErr w:type="spellStart"/>
      <w:r w:rsidRPr="00333304">
        <w:rPr>
          <w:rFonts w:ascii="Verdana" w:hAnsi="Verdana"/>
          <w:sz w:val="18"/>
          <w:szCs w:val="18"/>
          <w:lang w:val="es-MX" w:eastAsia="es-MX"/>
        </w:rPr>
        <w:t>faltamiento</w:t>
      </w:r>
      <w:proofErr w:type="spellEnd"/>
      <w:r w:rsidRPr="00333304">
        <w:rPr>
          <w:rFonts w:ascii="Verdana" w:hAnsi="Verdana"/>
          <w:sz w:val="18"/>
          <w:szCs w:val="18"/>
          <w:lang w:val="es-MX" w:eastAsia="es-MX"/>
        </w:rPr>
        <w:t xml:space="preserve"> grave de palabra en agravio del empleador, de sus representantes, del personal jerárquico o de sus compañeros</w:t>
      </w:r>
      <w:r w:rsidRPr="008168A7">
        <w:rPr>
          <w:rFonts w:ascii="Verdana" w:hAnsi="Verdana"/>
          <w:sz w:val="18"/>
          <w:szCs w:val="18"/>
          <w:lang w:val="es-MX" w:eastAsia="es-MX"/>
        </w:rPr>
        <w:t>,</w:t>
      </w:r>
      <w:r w:rsidRPr="00275EDE">
        <w:rPr>
          <w:rFonts w:ascii="Verdana" w:hAnsi="Verdana"/>
          <w:sz w:val="18"/>
          <w:szCs w:val="18"/>
          <w:lang w:val="es-MX" w:eastAsia="es-MX"/>
        </w:rPr>
        <w:t xml:space="preserve"> dentro del centro de trabajo; o fuera de él cuando los hechos se deriven directamente de la relación laboral</w:t>
      </w:r>
      <w:r w:rsidRPr="00275EDE">
        <w:rPr>
          <w:rFonts w:ascii="Verdana" w:hAnsi="Verdana" w:cs="Arial"/>
          <w:sz w:val="18"/>
          <w:szCs w:val="18"/>
        </w:rPr>
        <w:t xml:space="preserve">. </w:t>
      </w:r>
    </w:p>
    <w:p w14:paraId="453234A0" w14:textId="77777777" w:rsidR="00275EDE" w:rsidRPr="00275EDE" w:rsidRDefault="00275EDE" w:rsidP="00275EDE">
      <w:pPr>
        <w:jc w:val="both"/>
        <w:rPr>
          <w:rFonts w:ascii="Verdana" w:hAnsi="Verdana"/>
          <w:sz w:val="20"/>
          <w:szCs w:val="20"/>
        </w:rPr>
      </w:pPr>
    </w:p>
    <w:p w14:paraId="0396123B" w14:textId="138C7C30" w:rsidR="001B2ECD" w:rsidRPr="00275EDE" w:rsidRDefault="001B2ECD" w:rsidP="00E66DD7">
      <w:pPr>
        <w:pStyle w:val="ListParagraph"/>
        <w:numPr>
          <w:ilvl w:val="0"/>
          <w:numId w:val="1"/>
        </w:numPr>
        <w:ind w:left="0" w:hanging="11"/>
        <w:jc w:val="both"/>
        <w:rPr>
          <w:rFonts w:ascii="Verdana" w:hAnsi="Verdana"/>
          <w:b/>
          <w:sz w:val="20"/>
          <w:szCs w:val="20"/>
        </w:rPr>
      </w:pPr>
      <w:r>
        <w:rPr>
          <w:rFonts w:ascii="Verdana" w:hAnsi="Verdana"/>
          <w:sz w:val="20"/>
          <w:szCs w:val="20"/>
        </w:rPr>
        <w:t xml:space="preserve">Respecto </w:t>
      </w:r>
      <w:r w:rsidRPr="00275EDE">
        <w:rPr>
          <w:rFonts w:ascii="Verdana" w:hAnsi="Verdana"/>
          <w:sz w:val="20"/>
          <w:szCs w:val="20"/>
        </w:rPr>
        <w:t>del procedimiento de despido, cuando el trabajador cometía una falta grave, el empleador debía comunicarle tales hechos</w:t>
      </w:r>
      <w:r>
        <w:rPr>
          <w:rFonts w:ascii="Verdana" w:hAnsi="Verdana"/>
          <w:sz w:val="20"/>
          <w:szCs w:val="20"/>
        </w:rPr>
        <w:t xml:space="preserve"> </w:t>
      </w:r>
      <w:r w:rsidRPr="00275EDE">
        <w:rPr>
          <w:rFonts w:ascii="Verdana" w:hAnsi="Verdana"/>
          <w:sz w:val="20"/>
          <w:szCs w:val="20"/>
        </w:rPr>
        <w:t>y el inicio de la investigación por escrito</w:t>
      </w:r>
      <w:r w:rsidRPr="00275EDE">
        <w:rPr>
          <w:rFonts w:ascii="Verdana" w:hAnsi="Verdana"/>
          <w:color w:val="000000"/>
          <w:sz w:val="20"/>
          <w:szCs w:val="20"/>
          <w:vertAlign w:val="superscript"/>
        </w:rPr>
        <w:footnoteReference w:id="71"/>
      </w:r>
      <w:r w:rsidRPr="00275EDE">
        <w:rPr>
          <w:rFonts w:ascii="Verdana" w:hAnsi="Verdana"/>
          <w:color w:val="000000"/>
          <w:sz w:val="20"/>
          <w:szCs w:val="20"/>
        </w:rPr>
        <w:t>. El trabajador, en el ejercicio de su derecho de defensa, tenía un plazo de seis días para desvirtuar o no lo hechos de los cuales se le acusaba, puesto que, de no hacerlo, el empleador le notificaría mediante carta notarial su despido y la fecha de cese de sus actividades</w:t>
      </w:r>
      <w:r w:rsidRPr="00275EDE">
        <w:rPr>
          <w:rFonts w:ascii="Verdana" w:hAnsi="Verdana"/>
          <w:sz w:val="20"/>
          <w:szCs w:val="20"/>
        </w:rPr>
        <w:t>, así como comunicaría la decisión a la autoridad administrativa del trabajo</w:t>
      </w:r>
      <w:r w:rsidRPr="00275EDE">
        <w:rPr>
          <w:rFonts w:ascii="Verdana" w:hAnsi="Verdana"/>
          <w:sz w:val="20"/>
          <w:szCs w:val="20"/>
          <w:vertAlign w:val="superscript"/>
        </w:rPr>
        <w:footnoteReference w:id="72"/>
      </w:r>
      <w:r w:rsidRPr="00275EDE">
        <w:rPr>
          <w:rFonts w:ascii="Verdana" w:hAnsi="Verdana" w:cs="Arial"/>
          <w:sz w:val="20"/>
          <w:szCs w:val="20"/>
        </w:rPr>
        <w:t xml:space="preserve">. </w:t>
      </w:r>
      <w:r w:rsidRPr="00275EDE">
        <w:rPr>
          <w:rFonts w:ascii="Verdana" w:hAnsi="Verdana"/>
          <w:sz w:val="20"/>
          <w:szCs w:val="20"/>
        </w:rPr>
        <w:t>La norma prescrib</w:t>
      </w:r>
      <w:r w:rsidR="00D20A28">
        <w:rPr>
          <w:rFonts w:ascii="Verdana" w:hAnsi="Verdana"/>
          <w:sz w:val="20"/>
          <w:szCs w:val="20"/>
        </w:rPr>
        <w:t>í</w:t>
      </w:r>
      <w:r>
        <w:rPr>
          <w:rFonts w:ascii="Verdana" w:hAnsi="Verdana"/>
          <w:sz w:val="20"/>
          <w:szCs w:val="20"/>
        </w:rPr>
        <w:t>a</w:t>
      </w:r>
      <w:r w:rsidRPr="00275EDE">
        <w:rPr>
          <w:rFonts w:ascii="Verdana" w:hAnsi="Verdana"/>
          <w:sz w:val="20"/>
          <w:szCs w:val="20"/>
        </w:rPr>
        <w:t xml:space="preserve"> que el trabajador p</w:t>
      </w:r>
      <w:r>
        <w:rPr>
          <w:rFonts w:ascii="Verdana" w:hAnsi="Verdana"/>
          <w:sz w:val="20"/>
          <w:szCs w:val="20"/>
        </w:rPr>
        <w:t>odía</w:t>
      </w:r>
      <w:r w:rsidRPr="00275EDE">
        <w:rPr>
          <w:rFonts w:ascii="Verdana" w:hAnsi="Verdana"/>
          <w:sz w:val="20"/>
          <w:szCs w:val="20"/>
        </w:rPr>
        <w:t xml:space="preserve"> acudir al fuero del trabajo si considera</w:t>
      </w:r>
      <w:r w:rsidR="005D72FB">
        <w:rPr>
          <w:rFonts w:ascii="Verdana" w:hAnsi="Verdana"/>
          <w:sz w:val="20"/>
          <w:szCs w:val="20"/>
        </w:rPr>
        <w:t>ba</w:t>
      </w:r>
      <w:r w:rsidRPr="00275EDE">
        <w:rPr>
          <w:rFonts w:ascii="Verdana" w:hAnsi="Verdana"/>
          <w:sz w:val="20"/>
          <w:szCs w:val="20"/>
        </w:rPr>
        <w:t xml:space="preserve"> que su despido </w:t>
      </w:r>
      <w:r>
        <w:rPr>
          <w:rFonts w:ascii="Verdana" w:hAnsi="Verdana"/>
          <w:sz w:val="20"/>
          <w:szCs w:val="20"/>
        </w:rPr>
        <w:t>fue</w:t>
      </w:r>
      <w:r w:rsidRPr="00275EDE">
        <w:rPr>
          <w:rFonts w:ascii="Verdana" w:hAnsi="Verdana"/>
          <w:sz w:val="20"/>
          <w:szCs w:val="20"/>
        </w:rPr>
        <w:t xml:space="preserve"> injustificado</w:t>
      </w:r>
      <w:r w:rsidRPr="00275EDE">
        <w:rPr>
          <w:rFonts w:ascii="Verdana" w:hAnsi="Verdana"/>
          <w:sz w:val="20"/>
          <w:szCs w:val="20"/>
          <w:vertAlign w:val="superscript"/>
        </w:rPr>
        <w:footnoteReference w:id="73"/>
      </w:r>
      <w:r w:rsidRPr="00275EDE">
        <w:rPr>
          <w:rFonts w:ascii="Verdana" w:hAnsi="Verdana"/>
          <w:sz w:val="20"/>
          <w:szCs w:val="20"/>
        </w:rPr>
        <w:t>. La legislación dispone expresamente que la carga de la prueba con motivo del despido correspond</w:t>
      </w:r>
      <w:r>
        <w:rPr>
          <w:rFonts w:ascii="Verdana" w:hAnsi="Verdana"/>
          <w:sz w:val="20"/>
          <w:szCs w:val="20"/>
        </w:rPr>
        <w:t>ía</w:t>
      </w:r>
      <w:r w:rsidRPr="00275EDE">
        <w:rPr>
          <w:rFonts w:ascii="Verdana" w:hAnsi="Verdana"/>
          <w:sz w:val="20"/>
          <w:szCs w:val="20"/>
        </w:rPr>
        <w:t xml:space="preserve"> al empleador</w:t>
      </w:r>
      <w:r w:rsidRPr="00275EDE">
        <w:rPr>
          <w:rFonts w:ascii="Verdana" w:hAnsi="Verdana"/>
          <w:sz w:val="20"/>
          <w:szCs w:val="20"/>
          <w:vertAlign w:val="superscript"/>
        </w:rPr>
        <w:footnoteReference w:id="74"/>
      </w:r>
      <w:r w:rsidRPr="00275EDE">
        <w:rPr>
          <w:rFonts w:ascii="Verdana" w:hAnsi="Verdana"/>
          <w:sz w:val="20"/>
          <w:szCs w:val="20"/>
        </w:rPr>
        <w:t xml:space="preserve">. En caso de que el proceso </w:t>
      </w:r>
      <w:r>
        <w:rPr>
          <w:rFonts w:ascii="Verdana" w:hAnsi="Verdana"/>
          <w:sz w:val="20"/>
          <w:szCs w:val="20"/>
        </w:rPr>
        <w:t>fuer</w:t>
      </w:r>
      <w:r w:rsidRPr="00275EDE">
        <w:rPr>
          <w:rFonts w:ascii="Verdana" w:hAnsi="Verdana"/>
          <w:sz w:val="20"/>
          <w:szCs w:val="20"/>
        </w:rPr>
        <w:t>a favorable para el trabajador, él p</w:t>
      </w:r>
      <w:r>
        <w:rPr>
          <w:rFonts w:ascii="Verdana" w:hAnsi="Verdana"/>
          <w:sz w:val="20"/>
          <w:szCs w:val="20"/>
        </w:rPr>
        <w:t>odía</w:t>
      </w:r>
      <w:r w:rsidRPr="00275EDE">
        <w:rPr>
          <w:rFonts w:ascii="Verdana" w:hAnsi="Verdana"/>
          <w:sz w:val="20"/>
          <w:szCs w:val="20"/>
        </w:rPr>
        <w:t xml:space="preserve"> optar por el reintegro o la terminación del contrato, lo cual conduciría al pago de obligaciones debidas y una indemnización especial</w:t>
      </w:r>
      <w:r w:rsidRPr="00275EDE">
        <w:rPr>
          <w:rFonts w:ascii="Verdana" w:hAnsi="Verdana"/>
          <w:sz w:val="20"/>
          <w:szCs w:val="20"/>
          <w:vertAlign w:val="superscript"/>
        </w:rPr>
        <w:footnoteReference w:id="75"/>
      </w:r>
      <w:r w:rsidRPr="00275EDE">
        <w:rPr>
          <w:rFonts w:ascii="Verdana" w:hAnsi="Verdana" w:cs="Arial"/>
          <w:sz w:val="20"/>
          <w:szCs w:val="20"/>
        </w:rPr>
        <w:t xml:space="preserve">. </w:t>
      </w:r>
    </w:p>
    <w:p w14:paraId="220095E5" w14:textId="77777777" w:rsidR="00275EDE" w:rsidRPr="00275EDE" w:rsidRDefault="00275EDE" w:rsidP="009C6F8E">
      <w:pPr>
        <w:jc w:val="both"/>
        <w:rPr>
          <w:rFonts w:ascii="Verdana" w:hAnsi="Verdana"/>
          <w:b/>
          <w:sz w:val="20"/>
          <w:szCs w:val="20"/>
        </w:rPr>
      </w:pPr>
    </w:p>
    <w:p w14:paraId="0B832466" w14:textId="1C30E56F" w:rsidR="00275EDE" w:rsidRPr="00275EDE" w:rsidRDefault="00275EDE" w:rsidP="00E66DD7">
      <w:pPr>
        <w:pStyle w:val="Heading2"/>
        <w:numPr>
          <w:ilvl w:val="0"/>
          <w:numId w:val="12"/>
        </w:numPr>
        <w:rPr>
          <w:rFonts w:eastAsia="MS Gothic"/>
          <w:i/>
          <w:iCs/>
          <w:szCs w:val="20"/>
        </w:rPr>
      </w:pPr>
      <w:bookmarkStart w:id="21" w:name="_Toc472528594"/>
      <w:bookmarkStart w:id="22" w:name="_Toc498333486"/>
      <w:r w:rsidRPr="00275EDE">
        <w:rPr>
          <w:rFonts w:eastAsia="MS Gothic"/>
          <w:i/>
          <w:iCs/>
          <w:szCs w:val="20"/>
        </w:rPr>
        <w:t xml:space="preserve">Acciones judiciales </w:t>
      </w:r>
      <w:bookmarkEnd w:id="21"/>
      <w:r w:rsidR="000E40FD" w:rsidRPr="00275EDE">
        <w:rPr>
          <w:rFonts w:eastAsia="MS Gothic"/>
          <w:i/>
          <w:iCs/>
          <w:szCs w:val="20"/>
        </w:rPr>
        <w:t>inte</w:t>
      </w:r>
      <w:r w:rsidR="000E40FD">
        <w:rPr>
          <w:rFonts w:eastAsia="MS Gothic"/>
          <w:i/>
          <w:iCs/>
          <w:szCs w:val="20"/>
        </w:rPr>
        <w:t>rpuestas</w:t>
      </w:r>
      <w:r w:rsidRPr="00275EDE">
        <w:rPr>
          <w:rFonts w:eastAsia="MS Gothic"/>
          <w:i/>
          <w:iCs/>
          <w:szCs w:val="20"/>
        </w:rPr>
        <w:t xml:space="preserve"> por el señor Lagos del Campo</w:t>
      </w:r>
      <w:bookmarkEnd w:id="22"/>
    </w:p>
    <w:p w14:paraId="411804FE" w14:textId="77777777" w:rsidR="00275EDE" w:rsidRPr="00275EDE" w:rsidRDefault="00275EDE" w:rsidP="00275EDE">
      <w:pPr>
        <w:autoSpaceDE w:val="0"/>
        <w:autoSpaceDN w:val="0"/>
        <w:adjustRightInd w:val="0"/>
        <w:jc w:val="both"/>
        <w:rPr>
          <w:rFonts w:ascii="Verdana" w:hAnsi="Verdana"/>
          <w:b/>
          <w:bCs/>
          <w:sz w:val="20"/>
          <w:szCs w:val="20"/>
        </w:rPr>
      </w:pPr>
    </w:p>
    <w:p w14:paraId="518456FE" w14:textId="77777777" w:rsidR="00275EDE" w:rsidRPr="009C5D55" w:rsidRDefault="00275EDE" w:rsidP="00E66DD7">
      <w:pPr>
        <w:pStyle w:val="Heading3"/>
        <w:numPr>
          <w:ilvl w:val="0"/>
          <w:numId w:val="9"/>
        </w:numPr>
        <w:rPr>
          <w:i/>
        </w:rPr>
      </w:pPr>
      <w:bookmarkStart w:id="23" w:name="_Toc498333487"/>
      <w:r w:rsidRPr="009C5D55">
        <w:rPr>
          <w:i/>
        </w:rPr>
        <w:t>Demanda de calificación de despido</w:t>
      </w:r>
      <w:bookmarkEnd w:id="23"/>
    </w:p>
    <w:p w14:paraId="5D0A3C7E" w14:textId="77777777" w:rsidR="00275EDE" w:rsidRPr="00275EDE" w:rsidRDefault="00275EDE" w:rsidP="00275EDE">
      <w:pPr>
        <w:jc w:val="both"/>
        <w:rPr>
          <w:rFonts w:ascii="Verdana" w:hAnsi="Verdana"/>
          <w:sz w:val="20"/>
          <w:szCs w:val="20"/>
        </w:rPr>
      </w:pPr>
    </w:p>
    <w:p w14:paraId="6CBF8F07" w14:textId="749ABBAA" w:rsidR="00275EDE" w:rsidRPr="001B2ECD" w:rsidRDefault="001B2ECD" w:rsidP="00E66DD7">
      <w:pPr>
        <w:pStyle w:val="ListParagraph"/>
        <w:numPr>
          <w:ilvl w:val="0"/>
          <w:numId w:val="1"/>
        </w:numPr>
        <w:ind w:left="0" w:hanging="11"/>
        <w:jc w:val="both"/>
        <w:rPr>
          <w:rFonts w:ascii="Verdana" w:hAnsi="Verdana"/>
          <w:b/>
          <w:sz w:val="20"/>
          <w:szCs w:val="20"/>
        </w:rPr>
      </w:pPr>
      <w:r w:rsidRPr="00275EDE">
        <w:rPr>
          <w:rFonts w:ascii="Verdana" w:hAnsi="Verdana"/>
          <w:sz w:val="20"/>
          <w:szCs w:val="20"/>
        </w:rPr>
        <w:t xml:space="preserve">El 26 de julio de 1989 el señor Lagos del Campo </w:t>
      </w:r>
      <w:r w:rsidR="00522399">
        <w:rPr>
          <w:rFonts w:ascii="Verdana" w:hAnsi="Verdana"/>
          <w:sz w:val="20"/>
          <w:szCs w:val="20"/>
        </w:rPr>
        <w:t>Interpuso</w:t>
      </w:r>
      <w:r w:rsidR="003F5593">
        <w:rPr>
          <w:rFonts w:ascii="Verdana" w:hAnsi="Verdana"/>
          <w:sz w:val="20"/>
          <w:szCs w:val="20"/>
        </w:rPr>
        <w:t xml:space="preserve"> </w:t>
      </w:r>
      <w:r w:rsidRPr="00275EDE">
        <w:rPr>
          <w:rFonts w:ascii="Verdana" w:hAnsi="Verdana"/>
          <w:sz w:val="20"/>
          <w:szCs w:val="20"/>
        </w:rPr>
        <w:t xml:space="preserve">una demanda en contra de </w:t>
      </w:r>
      <w:proofErr w:type="spellStart"/>
      <w:r w:rsidRPr="00275EDE">
        <w:rPr>
          <w:rFonts w:ascii="Verdana" w:hAnsi="Verdana"/>
          <w:sz w:val="20"/>
          <w:szCs w:val="20"/>
        </w:rPr>
        <w:t>Ceper-Pirelli</w:t>
      </w:r>
      <w:proofErr w:type="spellEnd"/>
      <w:r w:rsidRPr="00275EDE">
        <w:rPr>
          <w:rFonts w:ascii="Verdana" w:hAnsi="Verdana"/>
          <w:sz w:val="20"/>
          <w:szCs w:val="20"/>
        </w:rPr>
        <w:t xml:space="preserve"> S.A. ante el Juzgado de Trabajo de Lima, en la cual solicitó que se califi</w:t>
      </w:r>
      <w:r>
        <w:rPr>
          <w:rFonts w:ascii="Verdana" w:hAnsi="Verdana"/>
          <w:sz w:val="20"/>
          <w:szCs w:val="20"/>
        </w:rPr>
        <w:t>cara</w:t>
      </w:r>
      <w:r w:rsidRPr="00275EDE">
        <w:rPr>
          <w:rFonts w:ascii="Verdana" w:hAnsi="Verdana"/>
          <w:sz w:val="20"/>
          <w:szCs w:val="20"/>
        </w:rPr>
        <w:t xml:space="preserve"> de </w:t>
      </w:r>
      <w:r>
        <w:rPr>
          <w:rFonts w:ascii="Verdana" w:hAnsi="Verdana"/>
          <w:sz w:val="20"/>
          <w:szCs w:val="20"/>
        </w:rPr>
        <w:t>“</w:t>
      </w:r>
      <w:r w:rsidRPr="00275EDE">
        <w:rPr>
          <w:rFonts w:ascii="Verdana" w:hAnsi="Verdana"/>
          <w:sz w:val="20"/>
          <w:szCs w:val="20"/>
        </w:rPr>
        <w:t>improcedente e injustificado</w:t>
      </w:r>
      <w:r>
        <w:rPr>
          <w:rFonts w:ascii="Verdana" w:hAnsi="Verdana"/>
          <w:sz w:val="20"/>
          <w:szCs w:val="20"/>
        </w:rPr>
        <w:t>”</w:t>
      </w:r>
      <w:r w:rsidRPr="00275EDE">
        <w:rPr>
          <w:rFonts w:ascii="Verdana" w:hAnsi="Verdana"/>
          <w:sz w:val="20"/>
          <w:szCs w:val="20"/>
        </w:rPr>
        <w:t xml:space="preserve"> el despido</w:t>
      </w:r>
      <w:r w:rsidRPr="00275EDE">
        <w:rPr>
          <w:rFonts w:ascii="Verdana" w:hAnsi="Verdana"/>
          <w:sz w:val="20"/>
          <w:szCs w:val="20"/>
          <w:vertAlign w:val="superscript"/>
        </w:rPr>
        <w:footnoteReference w:id="76"/>
      </w:r>
      <w:r w:rsidRPr="00275EDE">
        <w:rPr>
          <w:rFonts w:ascii="Verdana" w:hAnsi="Verdana"/>
          <w:sz w:val="20"/>
          <w:szCs w:val="20"/>
        </w:rPr>
        <w:t xml:space="preserve">. Él negó haber insultado a la empresa o haber utilizado las expresiones </w:t>
      </w:r>
      <w:r>
        <w:rPr>
          <w:rFonts w:ascii="Verdana" w:hAnsi="Verdana"/>
          <w:sz w:val="20"/>
          <w:szCs w:val="20"/>
        </w:rPr>
        <w:t>“</w:t>
      </w:r>
      <w:r w:rsidRPr="00275EDE">
        <w:rPr>
          <w:rFonts w:ascii="Verdana" w:hAnsi="Verdana"/>
          <w:sz w:val="20"/>
          <w:szCs w:val="20"/>
        </w:rPr>
        <w:t>chantaje</w:t>
      </w:r>
      <w:r>
        <w:rPr>
          <w:rFonts w:ascii="Verdana" w:hAnsi="Verdana"/>
          <w:sz w:val="20"/>
          <w:szCs w:val="20"/>
        </w:rPr>
        <w:t>”</w:t>
      </w:r>
      <w:r w:rsidRPr="00275EDE">
        <w:rPr>
          <w:rFonts w:ascii="Verdana" w:hAnsi="Verdana"/>
          <w:sz w:val="20"/>
          <w:szCs w:val="20"/>
        </w:rPr>
        <w:t xml:space="preserve"> y </w:t>
      </w:r>
      <w:r>
        <w:rPr>
          <w:rFonts w:ascii="Verdana" w:hAnsi="Verdana"/>
          <w:sz w:val="20"/>
          <w:szCs w:val="20"/>
        </w:rPr>
        <w:t>“</w:t>
      </w:r>
      <w:r w:rsidRPr="00275EDE">
        <w:rPr>
          <w:rFonts w:ascii="Verdana" w:hAnsi="Verdana"/>
          <w:sz w:val="20"/>
          <w:szCs w:val="20"/>
        </w:rPr>
        <w:t>coerción</w:t>
      </w:r>
      <w:r>
        <w:rPr>
          <w:rFonts w:ascii="Verdana" w:hAnsi="Verdana"/>
          <w:sz w:val="20"/>
          <w:szCs w:val="20"/>
        </w:rPr>
        <w:t>”</w:t>
      </w:r>
      <w:r w:rsidRPr="00275EDE">
        <w:rPr>
          <w:rFonts w:ascii="Verdana" w:hAnsi="Verdana"/>
          <w:sz w:val="20"/>
          <w:szCs w:val="20"/>
        </w:rPr>
        <w:t xml:space="preserve">. Destacó que, en todo caso, las manifestaciones que motivaron su despido fueron realizadas en su calidad de Presidente del Comité Electoral de la Comunidad Industrial de la empresa y se refirieron a problemas internos de dicha comunidad, específicamente a las irregularidades producidas en la elección de los integrantes del Consejo Directivo. En tal sentido, alegó que la sanción que le fue aplicada, además de improcedente, fue "una grave violación a su derecho a la libertad de opinión, expresión y difusión del pensamiento, que garantiza la Constitución, configurando asimismo una grave interferencia a las actividades de orden comunero y sindical". Sobre esto último, el señor Lagos del Campo manifestó que </w:t>
      </w:r>
      <w:r>
        <w:rPr>
          <w:rFonts w:ascii="Verdana" w:hAnsi="Verdana"/>
          <w:sz w:val="20"/>
          <w:szCs w:val="20"/>
        </w:rPr>
        <w:t>“</w:t>
      </w:r>
      <w:r w:rsidRPr="00275EDE">
        <w:rPr>
          <w:rFonts w:ascii="Verdana" w:hAnsi="Verdana"/>
          <w:sz w:val="20"/>
          <w:szCs w:val="20"/>
        </w:rPr>
        <w:t>cualquier trabajador, y en particular quienes ejercen cargos sindicales o comuneros, como en su caso, tienen no solo el derecho sino la necesidad de informarse y de pronunciarse sobre las actividades y la situación de sus centros de trabajo</w:t>
      </w:r>
      <w:r>
        <w:rPr>
          <w:rFonts w:ascii="Verdana" w:hAnsi="Verdana"/>
          <w:sz w:val="20"/>
          <w:szCs w:val="20"/>
        </w:rPr>
        <w:t>”</w:t>
      </w:r>
      <w:r w:rsidRPr="00275EDE">
        <w:rPr>
          <w:rFonts w:ascii="Verdana" w:hAnsi="Verdana"/>
          <w:sz w:val="20"/>
          <w:szCs w:val="20"/>
        </w:rPr>
        <w:t>.</w:t>
      </w:r>
      <w:r w:rsidRPr="00275EDE">
        <w:rPr>
          <w:rFonts w:ascii="Verdana" w:hAnsi="Verdana" w:cs="Arial"/>
          <w:b/>
          <w:sz w:val="16"/>
          <w:szCs w:val="16"/>
        </w:rPr>
        <w:t xml:space="preserve"> </w:t>
      </w:r>
    </w:p>
    <w:p w14:paraId="0BDEF6E8" w14:textId="77777777" w:rsidR="00275EDE" w:rsidRPr="00275EDE" w:rsidRDefault="00275EDE" w:rsidP="009C6F8E">
      <w:pPr>
        <w:jc w:val="both"/>
        <w:rPr>
          <w:rFonts w:ascii="Verdana" w:hAnsi="Verdana"/>
          <w:b/>
          <w:sz w:val="20"/>
          <w:szCs w:val="20"/>
        </w:rPr>
      </w:pPr>
    </w:p>
    <w:p w14:paraId="6FAF0DCF" w14:textId="6F297C14" w:rsidR="003F5593" w:rsidRPr="00333304" w:rsidRDefault="001B2ECD" w:rsidP="00333304">
      <w:pPr>
        <w:pStyle w:val="ListParagraph"/>
        <w:numPr>
          <w:ilvl w:val="0"/>
          <w:numId w:val="1"/>
        </w:numPr>
        <w:ind w:left="0" w:hanging="11"/>
        <w:jc w:val="both"/>
        <w:rPr>
          <w:rFonts w:ascii="Verdana" w:hAnsi="Verdana"/>
          <w:b/>
          <w:sz w:val="20"/>
          <w:szCs w:val="20"/>
        </w:rPr>
      </w:pPr>
      <w:r w:rsidRPr="00C70D0F">
        <w:rPr>
          <w:rFonts w:ascii="Verdana" w:hAnsi="Verdana"/>
          <w:sz w:val="20"/>
          <w:szCs w:val="20"/>
        </w:rPr>
        <w:t>El asunto se radicó en el expediente 4737-89 ante el Décimo Quinto Juzgado de Trabajo de Lima. Mediante sentencia 25-91 de 5 de ma</w:t>
      </w:r>
      <w:r w:rsidRPr="00A54494">
        <w:rPr>
          <w:rFonts w:ascii="Verdana" w:hAnsi="Verdana"/>
          <w:sz w:val="20"/>
          <w:szCs w:val="20"/>
        </w:rPr>
        <w:t>rzo de 199</w:t>
      </w:r>
      <w:r w:rsidR="005D72FB">
        <w:rPr>
          <w:rFonts w:ascii="Verdana" w:hAnsi="Verdana"/>
          <w:sz w:val="20"/>
          <w:szCs w:val="20"/>
        </w:rPr>
        <w:t>1</w:t>
      </w:r>
      <w:r w:rsidRPr="00A54494">
        <w:rPr>
          <w:rFonts w:ascii="Verdana" w:hAnsi="Verdana"/>
          <w:sz w:val="20"/>
          <w:szCs w:val="20"/>
        </w:rPr>
        <w:t xml:space="preserve"> el Juez determinó que el despido fue “ilegal e injustificado”</w:t>
      </w:r>
      <w:r w:rsidRPr="00275EDE">
        <w:rPr>
          <w:rFonts w:ascii="Verdana" w:hAnsi="Verdana"/>
          <w:sz w:val="20"/>
          <w:szCs w:val="20"/>
          <w:vertAlign w:val="superscript"/>
        </w:rPr>
        <w:footnoteReference w:id="77"/>
      </w:r>
      <w:r w:rsidRPr="00C70D0F">
        <w:rPr>
          <w:rFonts w:ascii="Verdana" w:hAnsi="Verdana"/>
          <w:sz w:val="20"/>
          <w:szCs w:val="20"/>
        </w:rPr>
        <w:t>, al considerar que para proceder con un despido, la ley exige que la falta grave que se imputa a un empleado debe estar debidamente comprobada. Al respecto, consideró que el despid</w:t>
      </w:r>
      <w:r w:rsidRPr="00A54494">
        <w:rPr>
          <w:rFonts w:ascii="Verdana" w:hAnsi="Verdana"/>
          <w:sz w:val="20"/>
          <w:szCs w:val="20"/>
        </w:rPr>
        <w:t>o se basó en un artículo publicado en una revista, sin que constara fehacientemente a los representantes de la empresa demandada si las “palabras injuriosas” realmente podían ser imputadas al trabajador. Asimismo, entendió que las manifestacione</w:t>
      </w:r>
      <w:r w:rsidRPr="00776947">
        <w:rPr>
          <w:rFonts w:ascii="Verdana" w:hAnsi="Verdana"/>
          <w:sz w:val="20"/>
          <w:szCs w:val="20"/>
        </w:rPr>
        <w:t>s contenidas en la nota periodística no se refirieron a personas en lo individual, de modo que no puede considerarse que existan miembros de la empresa directamente agraviados</w:t>
      </w:r>
      <w:r w:rsidRPr="0079676D">
        <w:rPr>
          <w:rFonts w:ascii="Verdana" w:hAnsi="Verdana" w:cs="Arial"/>
          <w:sz w:val="20"/>
          <w:szCs w:val="20"/>
        </w:rPr>
        <w:t>.</w:t>
      </w:r>
      <w:r w:rsidRPr="00C70D0F">
        <w:rPr>
          <w:rFonts w:ascii="Verdana" w:hAnsi="Verdana" w:cs="Arial"/>
          <w:b/>
          <w:sz w:val="16"/>
          <w:szCs w:val="16"/>
        </w:rPr>
        <w:t xml:space="preserve"> </w:t>
      </w:r>
    </w:p>
    <w:p w14:paraId="03B9D241" w14:textId="77777777" w:rsidR="00275EDE" w:rsidRPr="00C70D0F" w:rsidRDefault="00275EDE" w:rsidP="00333304">
      <w:pPr>
        <w:pStyle w:val="ListParagraph"/>
        <w:ind w:left="0"/>
        <w:jc w:val="both"/>
        <w:rPr>
          <w:rFonts w:ascii="Verdana" w:hAnsi="Verdana"/>
          <w:sz w:val="20"/>
          <w:szCs w:val="20"/>
        </w:rPr>
      </w:pPr>
    </w:p>
    <w:p w14:paraId="70DBE44B" w14:textId="3C4B67BD" w:rsidR="00275EDE" w:rsidRPr="001B2ECD" w:rsidRDefault="001B2ECD" w:rsidP="00E66DD7">
      <w:pPr>
        <w:pStyle w:val="ListParagraph"/>
        <w:numPr>
          <w:ilvl w:val="0"/>
          <w:numId w:val="1"/>
        </w:numPr>
        <w:ind w:left="0" w:hanging="11"/>
        <w:jc w:val="both"/>
        <w:rPr>
          <w:rFonts w:ascii="Verdana" w:hAnsi="Verdana"/>
          <w:b/>
          <w:sz w:val="20"/>
          <w:szCs w:val="20"/>
        </w:rPr>
      </w:pPr>
      <w:r w:rsidRPr="00275EDE">
        <w:rPr>
          <w:rFonts w:ascii="Verdana" w:hAnsi="Verdana"/>
          <w:sz w:val="20"/>
          <w:szCs w:val="20"/>
        </w:rPr>
        <w:t>El 25 de junio de 1991 la empresa interpuso un recurso de apelación contra la resolución del Décimo Quinto Juzgado de Trabajo</w:t>
      </w:r>
      <w:r w:rsidR="00D20A28">
        <w:rPr>
          <w:rFonts w:ascii="Verdana" w:hAnsi="Verdana"/>
          <w:sz w:val="20"/>
          <w:szCs w:val="20"/>
        </w:rPr>
        <w:t>.</w:t>
      </w:r>
      <w:r w:rsidRPr="00275EDE">
        <w:rPr>
          <w:rFonts w:ascii="Verdana" w:hAnsi="Verdana"/>
          <w:sz w:val="20"/>
          <w:szCs w:val="20"/>
        </w:rPr>
        <w:t xml:space="preserve"> </w:t>
      </w:r>
      <w:r w:rsidR="00D20A28">
        <w:rPr>
          <w:rFonts w:ascii="Verdana" w:hAnsi="Verdana"/>
          <w:sz w:val="20"/>
          <w:szCs w:val="20"/>
        </w:rPr>
        <w:t>A</w:t>
      </w:r>
      <w:r>
        <w:rPr>
          <w:rFonts w:ascii="Verdana" w:hAnsi="Verdana"/>
          <w:sz w:val="20"/>
          <w:szCs w:val="20"/>
        </w:rPr>
        <w:t xml:space="preserve">nte ello Lagos del Campo presentó un </w:t>
      </w:r>
      <w:r w:rsidRPr="00275EDE">
        <w:rPr>
          <w:rFonts w:ascii="Verdana" w:hAnsi="Verdana"/>
          <w:color w:val="000000"/>
          <w:sz w:val="20"/>
          <w:szCs w:val="20"/>
        </w:rPr>
        <w:t xml:space="preserve">escrito </w:t>
      </w:r>
      <w:r>
        <w:rPr>
          <w:rFonts w:ascii="Verdana" w:hAnsi="Verdana"/>
          <w:color w:val="000000"/>
          <w:sz w:val="20"/>
          <w:szCs w:val="20"/>
        </w:rPr>
        <w:t xml:space="preserve">el </w:t>
      </w:r>
      <w:r w:rsidRPr="00275EDE">
        <w:rPr>
          <w:rFonts w:ascii="Verdana" w:hAnsi="Verdana"/>
          <w:color w:val="000000"/>
          <w:sz w:val="20"/>
          <w:szCs w:val="20"/>
        </w:rPr>
        <w:t>1 de agosto de 1991 mediante el cual</w:t>
      </w:r>
      <w:r w:rsidRPr="00275EDE">
        <w:rPr>
          <w:rFonts w:ascii="Verdana" w:hAnsi="Verdana"/>
          <w:b/>
          <w:sz w:val="20"/>
          <w:szCs w:val="20"/>
        </w:rPr>
        <w:t xml:space="preserve"> </w:t>
      </w:r>
      <w:r w:rsidRPr="00275EDE">
        <w:rPr>
          <w:rFonts w:ascii="Verdana" w:hAnsi="Verdana"/>
          <w:color w:val="000000"/>
          <w:sz w:val="20"/>
          <w:szCs w:val="20"/>
        </w:rPr>
        <w:t xml:space="preserve">se desmentía los argumentos expuestos por la empresa CEPER PIRELLI, sin embargo, dicho escrito fue proveído por el Tribunal de </w:t>
      </w:r>
      <w:r w:rsidRPr="00275EDE">
        <w:rPr>
          <w:rFonts w:ascii="Verdana" w:eastAsiaTheme="minorHAnsi" w:hAnsi="Verdana" w:cs="Arial Narrow"/>
          <w:sz w:val="20"/>
          <w:szCs w:val="20"/>
          <w:lang w:val="es-EC"/>
        </w:rPr>
        <w:t>Trabajo con posterioridad a la emisión de la sentencia</w:t>
      </w:r>
      <w:r w:rsidRPr="00275EDE">
        <w:rPr>
          <w:rFonts w:ascii="Verdana" w:hAnsi="Verdana"/>
          <w:color w:val="000000"/>
          <w:sz w:val="20"/>
          <w:szCs w:val="20"/>
          <w:vertAlign w:val="superscript"/>
        </w:rPr>
        <w:footnoteReference w:id="78"/>
      </w:r>
      <w:r w:rsidRPr="00275EDE">
        <w:rPr>
          <w:rFonts w:ascii="Verdana" w:hAnsi="Verdana"/>
          <w:color w:val="000000"/>
          <w:sz w:val="20"/>
          <w:szCs w:val="20"/>
        </w:rPr>
        <w:t>. Mediante sentencia de 8 de agosto de 1991 el Segundo Tribunal revocó la sentencia de primera instancia y, en consecuencia, calificó el despido como "legal y justificado"</w:t>
      </w:r>
      <w:r w:rsidRPr="00275EDE">
        <w:rPr>
          <w:rFonts w:ascii="Verdana" w:hAnsi="Verdana"/>
          <w:color w:val="000000"/>
          <w:sz w:val="20"/>
          <w:szCs w:val="20"/>
          <w:vertAlign w:val="superscript"/>
        </w:rPr>
        <w:footnoteReference w:id="79"/>
      </w:r>
      <w:r w:rsidRPr="00275EDE">
        <w:rPr>
          <w:rFonts w:ascii="Verdana" w:hAnsi="Verdana"/>
          <w:color w:val="000000"/>
          <w:sz w:val="20"/>
          <w:szCs w:val="20"/>
        </w:rPr>
        <w:t>. El Tribunal consideró que las expresiones emitidas por el señor Lagos del Campo constituyeron "grave indisciplina o falta grave de palabra en agravio</w:t>
      </w:r>
      <w:r w:rsidRPr="00275EDE">
        <w:rPr>
          <w:rFonts w:ascii="Verdana" w:hAnsi="Verdana"/>
          <w:sz w:val="20"/>
          <w:szCs w:val="20"/>
        </w:rPr>
        <w:t xml:space="preserve"> del empleador" y que "la Constitución Política del Estado garantiza la libertad de expresión, pero no para agraviar el honor y la dignidad del personal jerárquico de la empresa empleadora"</w:t>
      </w:r>
      <w:r w:rsidRPr="00275EDE">
        <w:rPr>
          <w:rFonts w:ascii="Verdana" w:hAnsi="Verdana"/>
          <w:sz w:val="20"/>
          <w:szCs w:val="20"/>
          <w:vertAlign w:val="superscript"/>
        </w:rPr>
        <w:footnoteReference w:id="80"/>
      </w:r>
      <w:r w:rsidRPr="00275EDE">
        <w:rPr>
          <w:rFonts w:ascii="Verdana" w:hAnsi="Verdana" w:cs="Arial"/>
          <w:sz w:val="20"/>
          <w:szCs w:val="20"/>
        </w:rPr>
        <w:t>.</w:t>
      </w:r>
      <w:r w:rsidR="00275EDE" w:rsidRPr="001B2ECD">
        <w:rPr>
          <w:rFonts w:ascii="Verdana" w:hAnsi="Verdana"/>
          <w:color w:val="000000"/>
          <w:sz w:val="20"/>
          <w:szCs w:val="20"/>
        </w:rPr>
        <w:t xml:space="preserve"> </w:t>
      </w:r>
    </w:p>
    <w:p w14:paraId="3ED1FD4B" w14:textId="77777777" w:rsidR="00275EDE" w:rsidRPr="00275EDE" w:rsidRDefault="00275EDE" w:rsidP="009C6F8E">
      <w:pPr>
        <w:jc w:val="both"/>
        <w:rPr>
          <w:rFonts w:ascii="Verdana" w:hAnsi="Verdana"/>
          <w:b/>
          <w:sz w:val="20"/>
          <w:szCs w:val="20"/>
        </w:rPr>
      </w:pPr>
    </w:p>
    <w:p w14:paraId="11005C3B" w14:textId="2D9443CE" w:rsidR="007A6FDA" w:rsidRPr="005D5A9D" w:rsidRDefault="007A6FDA" w:rsidP="00E66DD7">
      <w:pPr>
        <w:pStyle w:val="ListParagraph"/>
        <w:numPr>
          <w:ilvl w:val="0"/>
          <w:numId w:val="1"/>
        </w:numPr>
        <w:ind w:left="0" w:hanging="11"/>
        <w:jc w:val="both"/>
        <w:rPr>
          <w:rFonts w:ascii="Verdana" w:hAnsi="Verdana"/>
          <w:b/>
          <w:sz w:val="20"/>
          <w:szCs w:val="20"/>
        </w:rPr>
      </w:pPr>
      <w:r w:rsidRPr="00275EDE">
        <w:rPr>
          <w:rFonts w:ascii="Verdana" w:hAnsi="Verdana"/>
          <w:sz w:val="20"/>
          <w:szCs w:val="20"/>
        </w:rPr>
        <w:lastRenderedPageBreak/>
        <w:t>El 26 de agosto de 1991 el señor Lagos del Campo interpuso un recurso de "revisión y reconsideración" ante el Segundo Tribunal de Trabajo de Lima, el cual fue declarado improcedente el 27 de agosto de 1991</w:t>
      </w:r>
      <w:r w:rsidRPr="00275EDE">
        <w:rPr>
          <w:rFonts w:ascii="Verdana" w:hAnsi="Verdana"/>
          <w:sz w:val="20"/>
          <w:szCs w:val="20"/>
          <w:vertAlign w:val="superscript"/>
        </w:rPr>
        <w:footnoteReference w:id="81"/>
      </w:r>
      <w:r w:rsidRPr="00275EDE">
        <w:rPr>
          <w:rFonts w:ascii="Verdana" w:hAnsi="Verdana"/>
          <w:sz w:val="20"/>
          <w:szCs w:val="20"/>
        </w:rPr>
        <w:t xml:space="preserve">. </w:t>
      </w:r>
    </w:p>
    <w:p w14:paraId="3C53B86C" w14:textId="77777777" w:rsidR="009C6F8E" w:rsidRDefault="009C6F8E" w:rsidP="009C6F8E">
      <w:pPr>
        <w:pStyle w:val="ListParagraph"/>
        <w:ind w:left="0"/>
        <w:jc w:val="both"/>
        <w:rPr>
          <w:rFonts w:ascii="Verdana" w:hAnsi="Verdana"/>
          <w:b/>
          <w:sz w:val="20"/>
          <w:szCs w:val="20"/>
        </w:rPr>
      </w:pPr>
    </w:p>
    <w:p w14:paraId="58A0DE68" w14:textId="397D2D4D" w:rsidR="00CE7987" w:rsidRPr="00CB5A95" w:rsidRDefault="00CE7987" w:rsidP="00E66DD7">
      <w:pPr>
        <w:pStyle w:val="ListParagraph"/>
        <w:numPr>
          <w:ilvl w:val="0"/>
          <w:numId w:val="1"/>
        </w:numPr>
        <w:ind w:left="0" w:hanging="11"/>
        <w:jc w:val="both"/>
        <w:rPr>
          <w:rFonts w:ascii="Verdana" w:hAnsi="Verdana"/>
          <w:sz w:val="20"/>
          <w:szCs w:val="20"/>
        </w:rPr>
      </w:pPr>
      <w:r w:rsidRPr="00CB5A95">
        <w:rPr>
          <w:rFonts w:ascii="Verdana" w:hAnsi="Verdana"/>
          <w:sz w:val="20"/>
          <w:szCs w:val="20"/>
        </w:rPr>
        <w:t>El 2 de septiembre de 1991, tras no ser aceptado su recurso de revisión y reconsideración, Lagos del Campo solicitó la nulidad</w:t>
      </w:r>
      <w:r w:rsidRPr="00A532BE">
        <w:rPr>
          <w:rFonts w:ascii="Verdana" w:hAnsi="Verdana"/>
          <w:sz w:val="20"/>
          <w:vertAlign w:val="superscript"/>
        </w:rPr>
        <w:footnoteReference w:id="82"/>
      </w:r>
      <w:r w:rsidRPr="00CB5A95">
        <w:rPr>
          <w:rFonts w:ascii="Verdana" w:hAnsi="Verdana"/>
          <w:sz w:val="20"/>
          <w:szCs w:val="20"/>
        </w:rPr>
        <w:t xml:space="preserve"> de la resolución emitida el 8 de agosto de 1991 por el mismo Tribunal de Trabajo. Al respecto, el Segundo Tribunal de Trabajo concluyó que no se incurrió en causal alguna </w:t>
      </w:r>
      <w:r>
        <w:rPr>
          <w:rFonts w:ascii="Verdana" w:hAnsi="Verdana"/>
          <w:sz w:val="20"/>
          <w:szCs w:val="20"/>
        </w:rPr>
        <w:t xml:space="preserve">de nulidad </w:t>
      </w:r>
      <w:r w:rsidRPr="00CB5A95">
        <w:rPr>
          <w:rFonts w:ascii="Verdana" w:hAnsi="Verdana"/>
          <w:sz w:val="20"/>
          <w:szCs w:val="20"/>
        </w:rPr>
        <w:t xml:space="preserve">prevista en el </w:t>
      </w:r>
      <w:r w:rsidR="00F409D7" w:rsidRPr="00333304">
        <w:rPr>
          <w:rFonts w:ascii="Verdana" w:hAnsi="Verdana"/>
          <w:sz w:val="20"/>
          <w:szCs w:val="20"/>
        </w:rPr>
        <w:t>artículo 1085 del</w:t>
      </w:r>
      <w:r w:rsidR="00F409D7">
        <w:rPr>
          <w:rFonts w:ascii="Verdana" w:hAnsi="Verdana"/>
          <w:sz w:val="20"/>
          <w:szCs w:val="20"/>
        </w:rPr>
        <w:t xml:space="preserve"> </w:t>
      </w:r>
      <w:r w:rsidRPr="00CB5A95">
        <w:rPr>
          <w:rFonts w:ascii="Verdana" w:hAnsi="Verdana"/>
          <w:sz w:val="20"/>
          <w:szCs w:val="20"/>
        </w:rPr>
        <w:t>Código de Procedimiento Civil</w:t>
      </w:r>
      <w:r w:rsidR="00F409D7" w:rsidRPr="004B6343">
        <w:rPr>
          <w:rStyle w:val="FootnoteReference"/>
          <w:color w:val="000000"/>
          <w:szCs w:val="20"/>
        </w:rPr>
        <w:footnoteReference w:id="83"/>
      </w:r>
      <w:r w:rsidRPr="00CB5A95">
        <w:rPr>
          <w:rFonts w:ascii="Verdana" w:hAnsi="Verdana"/>
          <w:sz w:val="20"/>
          <w:szCs w:val="20"/>
        </w:rPr>
        <w:t xml:space="preserve">.  </w:t>
      </w:r>
    </w:p>
    <w:p w14:paraId="7AA01D00" w14:textId="77777777" w:rsidR="00CE7987" w:rsidRPr="00275EDE" w:rsidRDefault="00CE7987" w:rsidP="009C6F8E">
      <w:pPr>
        <w:pStyle w:val="ListParagraph"/>
        <w:ind w:left="0"/>
        <w:jc w:val="both"/>
        <w:rPr>
          <w:rFonts w:ascii="Verdana" w:hAnsi="Verdana"/>
          <w:b/>
          <w:sz w:val="20"/>
          <w:szCs w:val="20"/>
        </w:rPr>
      </w:pPr>
    </w:p>
    <w:p w14:paraId="549D9725" w14:textId="612EB29A" w:rsidR="005D0ACD" w:rsidRDefault="00275EDE" w:rsidP="00E66DD7">
      <w:pPr>
        <w:pStyle w:val="Heading3"/>
        <w:numPr>
          <w:ilvl w:val="0"/>
          <w:numId w:val="9"/>
        </w:numPr>
        <w:rPr>
          <w:i/>
          <w:iCs/>
          <w:color w:val="000000"/>
          <w:szCs w:val="20"/>
        </w:rPr>
      </w:pPr>
      <w:bookmarkStart w:id="24" w:name="_Toc498333488"/>
      <w:r w:rsidRPr="00275EDE">
        <w:rPr>
          <w:i/>
          <w:iCs/>
          <w:color w:val="000000"/>
          <w:szCs w:val="20"/>
        </w:rPr>
        <w:t>Procedimiento de amparo</w:t>
      </w:r>
      <w:r w:rsidR="00E02AC4">
        <w:rPr>
          <w:i/>
          <w:iCs/>
          <w:color w:val="000000"/>
          <w:szCs w:val="20"/>
        </w:rPr>
        <w:t xml:space="preserve"> y nulidad</w:t>
      </w:r>
      <w:bookmarkEnd w:id="24"/>
    </w:p>
    <w:p w14:paraId="6AD3C2A0" w14:textId="4418F7AE" w:rsidR="00CB2CF7" w:rsidRPr="00CB2CF7" w:rsidRDefault="00CB2CF7" w:rsidP="00CB2CF7"/>
    <w:p w14:paraId="5E4D1A24" w14:textId="46492DDE" w:rsidR="007A6FDA" w:rsidRPr="005D5A9D" w:rsidRDefault="007A6FDA" w:rsidP="00E66DD7">
      <w:pPr>
        <w:pStyle w:val="ListParagraph"/>
        <w:numPr>
          <w:ilvl w:val="0"/>
          <w:numId w:val="1"/>
        </w:numPr>
        <w:ind w:left="0" w:hanging="11"/>
        <w:jc w:val="both"/>
        <w:rPr>
          <w:rFonts w:ascii="Verdana" w:hAnsi="Verdana"/>
          <w:b/>
          <w:sz w:val="20"/>
          <w:szCs w:val="20"/>
        </w:rPr>
      </w:pPr>
      <w:r w:rsidRPr="00275EDE">
        <w:rPr>
          <w:rFonts w:ascii="Verdana" w:hAnsi="Verdana"/>
          <w:sz w:val="20"/>
          <w:szCs w:val="20"/>
        </w:rPr>
        <w:t>El 21 de octubre de 1991 el señor Lagos del Campo presentó una acción de amparo ante la Sala Civil de la Corte Superior</w:t>
      </w:r>
      <w:r w:rsidRPr="00275EDE">
        <w:rPr>
          <w:rFonts w:ascii="Verdana" w:hAnsi="Verdana"/>
          <w:sz w:val="20"/>
          <w:szCs w:val="20"/>
          <w:vertAlign w:val="superscript"/>
        </w:rPr>
        <w:footnoteReference w:id="84"/>
      </w:r>
      <w:r w:rsidR="00D20A28">
        <w:rPr>
          <w:rFonts w:ascii="Verdana" w:hAnsi="Verdana"/>
          <w:sz w:val="20"/>
          <w:szCs w:val="20"/>
        </w:rPr>
        <w:t>,</w:t>
      </w:r>
      <w:r w:rsidRPr="00275EDE">
        <w:rPr>
          <w:rFonts w:ascii="Verdana" w:hAnsi="Verdana"/>
          <w:sz w:val="20"/>
          <w:szCs w:val="20"/>
        </w:rPr>
        <w:t xml:space="preserve"> en contra de la sentencia de 8 de agosto de 1991 que resolvió el recurso de apelación en el procedimiento de calificación de despido</w:t>
      </w:r>
      <w:r>
        <w:rPr>
          <w:rFonts w:ascii="Verdana" w:hAnsi="Verdana"/>
          <w:sz w:val="20"/>
          <w:szCs w:val="20"/>
        </w:rPr>
        <w:t xml:space="preserve">. Lagos del Campo </w:t>
      </w:r>
      <w:r w:rsidRPr="00275EDE">
        <w:rPr>
          <w:rFonts w:ascii="Verdana" w:hAnsi="Verdana" w:cs="Arial"/>
          <w:sz w:val="20"/>
          <w:szCs w:val="20"/>
        </w:rPr>
        <w:t>sostuvo que:</w:t>
      </w:r>
    </w:p>
    <w:p w14:paraId="3AAC544B" w14:textId="77777777" w:rsidR="00275EDE" w:rsidRPr="00275EDE" w:rsidRDefault="00275EDE" w:rsidP="0089179B">
      <w:pPr>
        <w:ind w:left="1440"/>
        <w:jc w:val="both"/>
        <w:rPr>
          <w:rFonts w:ascii="Verdana" w:hAnsi="Verdana" w:cs="Arial"/>
          <w:sz w:val="18"/>
          <w:szCs w:val="18"/>
        </w:rPr>
      </w:pPr>
      <w:r w:rsidRPr="00275EDE">
        <w:rPr>
          <w:rFonts w:ascii="Verdana" w:hAnsi="Verdana" w:cs="Arial"/>
          <w:sz w:val="18"/>
          <w:szCs w:val="18"/>
        </w:rPr>
        <w:t>CUARTO:</w:t>
      </w:r>
    </w:p>
    <w:p w14:paraId="002A82D0" w14:textId="77777777" w:rsidR="00275EDE" w:rsidRPr="00275EDE" w:rsidRDefault="00275EDE" w:rsidP="009C6F8E">
      <w:pPr>
        <w:ind w:left="3600" w:right="720"/>
        <w:jc w:val="both"/>
        <w:rPr>
          <w:rFonts w:ascii="Verdana" w:hAnsi="Verdana" w:cs="Arial"/>
          <w:sz w:val="18"/>
          <w:szCs w:val="18"/>
        </w:rPr>
      </w:pPr>
      <w:r w:rsidRPr="00275EDE">
        <w:rPr>
          <w:rFonts w:ascii="Verdana" w:hAnsi="Verdana" w:cs="Arial"/>
          <w:sz w:val="18"/>
          <w:szCs w:val="18"/>
        </w:rPr>
        <w:t xml:space="preserve"> </w:t>
      </w:r>
    </w:p>
    <w:p w14:paraId="09B16F70" w14:textId="396A85C7" w:rsidR="00E3327C" w:rsidRDefault="00C70D0F" w:rsidP="00E3327C">
      <w:pPr>
        <w:ind w:left="1440" w:right="720"/>
        <w:jc w:val="both"/>
        <w:rPr>
          <w:rFonts w:ascii="Verdana" w:hAnsi="Verdana"/>
          <w:sz w:val="18"/>
          <w:szCs w:val="18"/>
        </w:rPr>
      </w:pPr>
      <w:r>
        <w:rPr>
          <w:rFonts w:ascii="Verdana" w:hAnsi="Verdana"/>
          <w:iCs/>
          <w:color w:val="000000"/>
          <w:sz w:val="18"/>
          <w:szCs w:val="18"/>
          <w:lang w:val="es-MX"/>
        </w:rPr>
        <w:t>E</w:t>
      </w:r>
      <w:r w:rsidR="00275EDE" w:rsidRPr="00275EDE">
        <w:rPr>
          <w:rFonts w:ascii="Verdana" w:hAnsi="Verdana"/>
          <w:sz w:val="18"/>
          <w:szCs w:val="18"/>
        </w:rPr>
        <w:t xml:space="preserve">s así que, al no haberse tomado en cuenta mi recurso (de fecha 02 de Agosto de 1991) al dictar la sentencia del 08 de Agosto </w:t>
      </w:r>
      <w:r w:rsidR="00275EDE" w:rsidRPr="00333304">
        <w:rPr>
          <w:rFonts w:ascii="Verdana" w:hAnsi="Verdana"/>
          <w:sz w:val="18"/>
          <w:szCs w:val="18"/>
        </w:rPr>
        <w:t>y si en cambio el escrito de la demanda</w:t>
      </w:r>
      <w:r w:rsidR="00275EDE" w:rsidRPr="003F5593">
        <w:rPr>
          <w:rFonts w:ascii="Verdana" w:hAnsi="Verdana"/>
          <w:sz w:val="18"/>
          <w:szCs w:val="18"/>
        </w:rPr>
        <w:t>, no sólo se ha atentado contra la igualdad de oportunidad que debe</w:t>
      </w:r>
      <w:r w:rsidR="00275EDE" w:rsidRPr="00275EDE">
        <w:rPr>
          <w:rFonts w:ascii="Verdana" w:hAnsi="Verdana"/>
          <w:sz w:val="18"/>
          <w:szCs w:val="18"/>
        </w:rPr>
        <w:t xml:space="preserve"> brindar el magistrado a las partes en litigio para ser oídas con sus respectivas argumentaciones, sino además, al mínimo derecho de defensa contra los argumentos esgrimidos por la contrapar</w:t>
      </w:r>
      <w:r w:rsidR="00E3327C">
        <w:rPr>
          <w:rFonts w:ascii="Verdana" w:hAnsi="Verdana"/>
          <w:sz w:val="18"/>
          <w:szCs w:val="18"/>
        </w:rPr>
        <w:t>te en los mencionados escritos.</w:t>
      </w:r>
    </w:p>
    <w:p w14:paraId="75BD658D" w14:textId="199B5F0D" w:rsidR="00E3327C" w:rsidRDefault="00E3327C" w:rsidP="00E3327C">
      <w:pPr>
        <w:ind w:left="1440" w:right="720"/>
        <w:jc w:val="both"/>
        <w:rPr>
          <w:rFonts w:ascii="Verdana" w:hAnsi="Verdana"/>
          <w:sz w:val="18"/>
          <w:szCs w:val="18"/>
        </w:rPr>
      </w:pPr>
      <w:r>
        <w:rPr>
          <w:rFonts w:ascii="Verdana" w:hAnsi="Verdana"/>
          <w:sz w:val="18"/>
          <w:szCs w:val="18"/>
        </w:rPr>
        <w:t>[…]</w:t>
      </w:r>
    </w:p>
    <w:p w14:paraId="45B3A922" w14:textId="0D2A7250" w:rsidR="00275EDE" w:rsidRPr="00275EDE" w:rsidRDefault="00E3327C" w:rsidP="00EB5530">
      <w:pPr>
        <w:ind w:left="1440" w:right="720"/>
        <w:jc w:val="both"/>
        <w:rPr>
          <w:rFonts w:ascii="Verdana" w:hAnsi="Verdana"/>
          <w:b/>
          <w:sz w:val="20"/>
          <w:szCs w:val="20"/>
        </w:rPr>
      </w:pPr>
      <w:r w:rsidRPr="00E3327C">
        <w:rPr>
          <w:rFonts w:ascii="Verdana" w:hAnsi="Verdana"/>
          <w:sz w:val="18"/>
          <w:szCs w:val="18"/>
        </w:rPr>
        <w:t>Al haber violado mi derecho al debido proceso se ha vulnerado el derecho a la estabilidad laboral.</w:t>
      </w:r>
      <w:r>
        <w:rPr>
          <w:rFonts w:ascii="Verdana" w:hAnsi="Verdana"/>
          <w:sz w:val="18"/>
          <w:szCs w:val="18"/>
        </w:rPr>
        <w:t xml:space="preserve"> […] </w:t>
      </w:r>
      <w:r w:rsidR="00275EDE" w:rsidRPr="00275EDE">
        <w:rPr>
          <w:rFonts w:ascii="Verdana" w:hAnsi="Verdana"/>
          <w:sz w:val="18"/>
          <w:szCs w:val="18"/>
        </w:rPr>
        <w:t xml:space="preserve">En efecto, la estabilidad laboral tiene una especial protección por nuestro ordenamiento constitucional y legal, y que en el presente caso, ha sido vulnerado por las irregularidades antes señaladas, y sin permitir </w:t>
      </w:r>
      <w:r w:rsidR="00275EDE" w:rsidRPr="00275EDE">
        <w:rPr>
          <w:rFonts w:ascii="Verdana" w:hAnsi="Verdana"/>
          <w:sz w:val="18"/>
          <w:szCs w:val="18"/>
        </w:rPr>
        <w:lastRenderedPageBreak/>
        <w:t>desvirtuar, ademases, dichos argumentos, constituyéndose así, en la violación de dos derechos constitucionales: EL DEBIDO PROCESO Y LA ESTABLIDAD LABORAL.</w:t>
      </w:r>
      <w:r w:rsidR="00275EDE" w:rsidRPr="00275EDE">
        <w:rPr>
          <w:rFonts w:ascii="Verdana" w:hAnsi="Verdana"/>
          <w:b/>
          <w:sz w:val="18"/>
          <w:szCs w:val="18"/>
        </w:rPr>
        <w:tab/>
      </w:r>
    </w:p>
    <w:p w14:paraId="70AF0BA1" w14:textId="469AF4AA" w:rsidR="007A6FDA" w:rsidRPr="00633DC9" w:rsidRDefault="007A6FDA" w:rsidP="00E66DD7">
      <w:pPr>
        <w:pStyle w:val="ListParagraph"/>
        <w:numPr>
          <w:ilvl w:val="0"/>
          <w:numId w:val="1"/>
        </w:numPr>
        <w:ind w:left="0" w:hanging="11"/>
        <w:jc w:val="both"/>
        <w:rPr>
          <w:rFonts w:ascii="Verdana" w:hAnsi="Verdana"/>
          <w:b/>
          <w:sz w:val="20"/>
          <w:szCs w:val="20"/>
        </w:rPr>
      </w:pPr>
      <w:r w:rsidRPr="00275EDE">
        <w:rPr>
          <w:rFonts w:ascii="Verdana" w:hAnsi="Verdana"/>
          <w:sz w:val="20"/>
          <w:szCs w:val="20"/>
        </w:rPr>
        <w:t>Durante el trámite del recurso ante la Sala Civil de la Corte Superior, en abril de 1992 el gobierno del Perú procedió a declarar una "reorganización" al Poder Judicial</w:t>
      </w:r>
      <w:r w:rsidRPr="00275EDE">
        <w:rPr>
          <w:rFonts w:ascii="Verdana" w:hAnsi="Verdana"/>
          <w:sz w:val="20"/>
          <w:szCs w:val="20"/>
          <w:vertAlign w:val="superscript"/>
        </w:rPr>
        <w:footnoteReference w:id="85"/>
      </w:r>
      <w:r w:rsidRPr="00275EDE">
        <w:rPr>
          <w:rFonts w:ascii="Verdana" w:hAnsi="Verdana"/>
          <w:sz w:val="20"/>
          <w:szCs w:val="20"/>
        </w:rPr>
        <w:t xml:space="preserve">. En el marco de estas reformas, el 3 de agosto de 1992 la Quinta Sala Civil de la Corte Superior de Lima </w:t>
      </w:r>
      <w:r w:rsidRPr="00633DC9">
        <w:rPr>
          <w:rFonts w:ascii="Verdana" w:hAnsi="Verdana"/>
          <w:sz w:val="20"/>
          <w:szCs w:val="20"/>
        </w:rPr>
        <w:t xml:space="preserve">resolvió declarando improcedente </w:t>
      </w:r>
      <w:r w:rsidR="00C70D0F">
        <w:rPr>
          <w:rFonts w:ascii="Verdana" w:hAnsi="Verdana"/>
          <w:sz w:val="20"/>
          <w:szCs w:val="20"/>
        </w:rPr>
        <w:t>la acción de</w:t>
      </w:r>
      <w:r w:rsidRPr="00633DC9">
        <w:rPr>
          <w:rFonts w:ascii="Verdana" w:hAnsi="Verdana"/>
          <w:sz w:val="20"/>
          <w:szCs w:val="20"/>
        </w:rPr>
        <w:t xml:space="preserve"> amparo</w:t>
      </w:r>
      <w:r w:rsidRPr="00633DC9">
        <w:rPr>
          <w:rFonts w:ascii="Verdana" w:hAnsi="Verdana"/>
          <w:sz w:val="20"/>
          <w:szCs w:val="20"/>
          <w:vertAlign w:val="superscript"/>
        </w:rPr>
        <w:footnoteReference w:id="86"/>
      </w:r>
      <w:r w:rsidRPr="00633DC9">
        <w:rPr>
          <w:rFonts w:ascii="Verdana" w:hAnsi="Verdana"/>
          <w:sz w:val="20"/>
          <w:szCs w:val="20"/>
        </w:rPr>
        <w:t xml:space="preserve">. </w:t>
      </w:r>
    </w:p>
    <w:p w14:paraId="065E016C" w14:textId="77777777" w:rsidR="007A6FDA" w:rsidRPr="00EB5530" w:rsidRDefault="007A6FDA" w:rsidP="007A6FDA">
      <w:pPr>
        <w:pStyle w:val="ListParagraph"/>
        <w:rPr>
          <w:rFonts w:ascii="Verdana" w:hAnsi="Verdana"/>
          <w:b/>
          <w:sz w:val="20"/>
          <w:szCs w:val="20"/>
        </w:rPr>
      </w:pPr>
    </w:p>
    <w:p w14:paraId="5F694F4B" w14:textId="3070210F" w:rsidR="007A6FDA" w:rsidRPr="00EB5530" w:rsidRDefault="007A6FDA" w:rsidP="00E66DD7">
      <w:pPr>
        <w:pStyle w:val="ListParagraph"/>
        <w:numPr>
          <w:ilvl w:val="0"/>
          <w:numId w:val="1"/>
        </w:numPr>
        <w:ind w:left="0" w:hanging="11"/>
        <w:jc w:val="both"/>
        <w:rPr>
          <w:rFonts w:ascii="Verdana" w:hAnsi="Verdana"/>
          <w:b/>
          <w:sz w:val="20"/>
          <w:szCs w:val="20"/>
        </w:rPr>
      </w:pPr>
      <w:r w:rsidRPr="00EB5530">
        <w:rPr>
          <w:rFonts w:ascii="Verdana" w:hAnsi="Verdana"/>
          <w:sz w:val="20"/>
          <w:szCs w:val="20"/>
        </w:rPr>
        <w:t>El 26 de agosto de 1992 Lagos del Campo interpuso un recurso de nulidad ante el Presidente de la Quinta Sala Civil de Lima, en contra de la sentencia dictada por la Quinta Sala Civil de Lima</w:t>
      </w:r>
      <w:r w:rsidR="00AD0A6C" w:rsidRPr="00EB5530">
        <w:rPr>
          <w:rStyle w:val="FootnoteReference"/>
          <w:szCs w:val="20"/>
        </w:rPr>
        <w:footnoteReference w:id="87"/>
      </w:r>
      <w:r w:rsidRPr="00EB5530">
        <w:rPr>
          <w:rFonts w:ascii="Verdana" w:hAnsi="Verdana"/>
          <w:sz w:val="20"/>
          <w:szCs w:val="20"/>
        </w:rPr>
        <w:t xml:space="preserve">, sin embargo no hubo una respuesta por parte del Presidente de la Quinta Sala Civil. </w:t>
      </w:r>
    </w:p>
    <w:p w14:paraId="6613DFE3" w14:textId="77777777" w:rsidR="007A6FDA" w:rsidRPr="00EB5530" w:rsidRDefault="007A6FDA" w:rsidP="007A6FDA">
      <w:pPr>
        <w:pStyle w:val="ListParagraph"/>
        <w:rPr>
          <w:rFonts w:ascii="Verdana" w:hAnsi="Verdana"/>
          <w:b/>
          <w:sz w:val="20"/>
          <w:szCs w:val="20"/>
        </w:rPr>
      </w:pPr>
    </w:p>
    <w:p w14:paraId="2380FA08" w14:textId="78077213" w:rsidR="007A6FDA" w:rsidRPr="00EB5530" w:rsidRDefault="007A6FDA" w:rsidP="00E66DD7">
      <w:pPr>
        <w:pStyle w:val="ListParagraph"/>
        <w:numPr>
          <w:ilvl w:val="0"/>
          <w:numId w:val="1"/>
        </w:numPr>
        <w:ind w:left="0" w:hanging="11"/>
        <w:jc w:val="both"/>
        <w:rPr>
          <w:rFonts w:ascii="Verdana" w:hAnsi="Verdana"/>
          <w:b/>
          <w:sz w:val="20"/>
          <w:szCs w:val="20"/>
        </w:rPr>
      </w:pPr>
      <w:r w:rsidRPr="00EB5530">
        <w:rPr>
          <w:rFonts w:ascii="Verdana" w:hAnsi="Verdana"/>
          <w:sz w:val="20"/>
          <w:szCs w:val="20"/>
        </w:rPr>
        <w:t>En atención a lo anterior, el 10 de marzo de 1993 Lagos del Campo presentó ante el Presidente de la Sala de Derecho Constitucional y Social de la Corte Suprema un escrito</w:t>
      </w:r>
      <w:r w:rsidR="00AD0A6C" w:rsidRPr="00EB5530">
        <w:rPr>
          <w:rFonts w:ascii="Verdana" w:hAnsi="Verdana"/>
          <w:sz w:val="20"/>
          <w:szCs w:val="20"/>
        </w:rPr>
        <w:t xml:space="preserve"> </w:t>
      </w:r>
      <w:r w:rsidR="00AD0A6C" w:rsidRPr="00333304">
        <w:rPr>
          <w:rFonts w:ascii="Verdana" w:hAnsi="Verdana"/>
          <w:sz w:val="20"/>
          <w:szCs w:val="20"/>
        </w:rPr>
        <w:t>en el que señaló “sírvase declarar haber nulidad de la sentencia, la misma que deberá ser reformada, declarando fundada la acción de amparo”</w:t>
      </w:r>
      <w:r w:rsidR="00AD0A6C" w:rsidRPr="00333304">
        <w:rPr>
          <w:rStyle w:val="FootnoteReference"/>
          <w:szCs w:val="20"/>
        </w:rPr>
        <w:footnoteReference w:id="88"/>
      </w:r>
      <w:r w:rsidR="00D20A28" w:rsidRPr="00333304">
        <w:rPr>
          <w:rFonts w:ascii="Verdana" w:hAnsi="Verdana"/>
          <w:sz w:val="20"/>
          <w:szCs w:val="20"/>
        </w:rPr>
        <w:t>.</w:t>
      </w:r>
      <w:r w:rsidR="00D20A28" w:rsidRPr="00633DC9">
        <w:rPr>
          <w:rFonts w:ascii="Verdana" w:hAnsi="Verdana"/>
          <w:sz w:val="20"/>
          <w:szCs w:val="20"/>
        </w:rPr>
        <w:t xml:space="preserve"> L</w:t>
      </w:r>
      <w:r w:rsidRPr="00633DC9">
        <w:rPr>
          <w:rFonts w:ascii="Verdana" w:hAnsi="Verdana"/>
          <w:sz w:val="20"/>
          <w:szCs w:val="20"/>
        </w:rPr>
        <w:t>a Sala de Derecho Constitucional y Social de</w:t>
      </w:r>
      <w:r w:rsidRPr="00EB5530">
        <w:rPr>
          <w:rFonts w:ascii="Verdana" w:hAnsi="Verdana"/>
          <w:sz w:val="20"/>
          <w:szCs w:val="20"/>
        </w:rPr>
        <w:t xml:space="preserve"> la Corte Suprema de Justicia</w:t>
      </w:r>
      <w:r w:rsidR="00D20A28" w:rsidRPr="00EB5530">
        <w:rPr>
          <w:rFonts w:ascii="Verdana" w:hAnsi="Verdana"/>
          <w:sz w:val="20"/>
          <w:szCs w:val="20"/>
        </w:rPr>
        <w:t>,</w:t>
      </w:r>
      <w:r w:rsidRPr="00EB5530">
        <w:rPr>
          <w:rFonts w:ascii="Verdana" w:hAnsi="Verdana"/>
          <w:sz w:val="20"/>
          <w:szCs w:val="20"/>
        </w:rPr>
        <w:t xml:space="preserve"> mediante auto de 15 de marzo de 1993</w:t>
      </w:r>
      <w:r w:rsidR="00D20A28" w:rsidRPr="00EB5530">
        <w:rPr>
          <w:rFonts w:ascii="Verdana" w:hAnsi="Verdana"/>
          <w:sz w:val="20"/>
          <w:szCs w:val="20"/>
        </w:rPr>
        <w:t>,</w:t>
      </w:r>
      <w:r w:rsidRPr="00EB5530">
        <w:rPr>
          <w:rFonts w:ascii="Verdana" w:hAnsi="Verdana"/>
          <w:sz w:val="20"/>
          <w:szCs w:val="20"/>
        </w:rPr>
        <w:t xml:space="preserve"> declaró no haber nulidad en la sentencia de 8 de agosto de 1992</w:t>
      </w:r>
      <w:r w:rsidRPr="00EB5530">
        <w:rPr>
          <w:rStyle w:val="FootnoteReference"/>
          <w:szCs w:val="20"/>
        </w:rPr>
        <w:footnoteReference w:id="89"/>
      </w:r>
      <w:r w:rsidRPr="00EB5530">
        <w:rPr>
          <w:rFonts w:ascii="Verdana" w:hAnsi="Verdana"/>
          <w:sz w:val="20"/>
          <w:szCs w:val="20"/>
        </w:rPr>
        <w:t>.</w:t>
      </w:r>
    </w:p>
    <w:p w14:paraId="2604D455" w14:textId="77777777" w:rsidR="007A6FDA" w:rsidRPr="00EB5530" w:rsidRDefault="007A6FDA" w:rsidP="007A6FDA">
      <w:pPr>
        <w:pStyle w:val="ListParagraph"/>
        <w:rPr>
          <w:rFonts w:ascii="Verdana" w:hAnsi="Verdana"/>
          <w:b/>
          <w:sz w:val="20"/>
          <w:szCs w:val="20"/>
        </w:rPr>
      </w:pPr>
    </w:p>
    <w:p w14:paraId="22528909" w14:textId="133D93E8" w:rsidR="007A6FDA" w:rsidRPr="005D5A9D" w:rsidRDefault="007A6FDA" w:rsidP="00E66DD7">
      <w:pPr>
        <w:pStyle w:val="ListParagraph"/>
        <w:numPr>
          <w:ilvl w:val="0"/>
          <w:numId w:val="1"/>
        </w:numPr>
        <w:ind w:left="0" w:hanging="11"/>
        <w:jc w:val="both"/>
        <w:rPr>
          <w:rFonts w:ascii="Verdana" w:hAnsi="Verdana"/>
          <w:b/>
          <w:sz w:val="20"/>
          <w:szCs w:val="20"/>
        </w:rPr>
      </w:pPr>
      <w:r w:rsidRPr="00EB5530">
        <w:rPr>
          <w:rFonts w:ascii="Verdana" w:hAnsi="Verdana"/>
          <w:sz w:val="20"/>
          <w:szCs w:val="20"/>
        </w:rPr>
        <w:t>El 28 de abril de 1993 Lagos del Campo presentó ante el Presidente de la Sala de la Corte Suprema</w:t>
      </w:r>
      <w:r>
        <w:rPr>
          <w:rFonts w:ascii="Verdana" w:hAnsi="Verdana"/>
          <w:sz w:val="20"/>
          <w:szCs w:val="20"/>
        </w:rPr>
        <w:t xml:space="preserve"> de Derecho Constitucional y Social un escrito en el que solicitó que la Presidencia de la Sala de la Corte Suprema revise el fallo de resolución que declara no haber nulidad</w:t>
      </w:r>
      <w:r>
        <w:rPr>
          <w:rStyle w:val="FootnoteReference"/>
          <w:szCs w:val="20"/>
        </w:rPr>
        <w:footnoteReference w:id="90"/>
      </w:r>
      <w:r w:rsidR="00E72D85">
        <w:rPr>
          <w:rFonts w:ascii="Verdana" w:hAnsi="Verdana"/>
          <w:sz w:val="20"/>
          <w:szCs w:val="20"/>
        </w:rPr>
        <w:t>.</w:t>
      </w:r>
      <w:r>
        <w:rPr>
          <w:rFonts w:ascii="Verdana" w:hAnsi="Verdana"/>
          <w:sz w:val="20"/>
          <w:szCs w:val="20"/>
        </w:rPr>
        <w:t xml:space="preserve"> </w:t>
      </w:r>
      <w:r w:rsidR="00E72D85">
        <w:rPr>
          <w:rFonts w:ascii="Verdana" w:hAnsi="Verdana"/>
          <w:sz w:val="20"/>
          <w:szCs w:val="20"/>
        </w:rPr>
        <w:t>D</w:t>
      </w:r>
      <w:r>
        <w:rPr>
          <w:rFonts w:ascii="Verdana" w:hAnsi="Verdana"/>
          <w:sz w:val="20"/>
          <w:szCs w:val="20"/>
        </w:rPr>
        <w:t>icha petición no fue atendida</w:t>
      </w:r>
      <w:r w:rsidR="00164911">
        <w:rPr>
          <w:rFonts w:ascii="Verdana" w:hAnsi="Verdana"/>
          <w:sz w:val="20"/>
          <w:szCs w:val="20"/>
        </w:rPr>
        <w:t>.</w:t>
      </w:r>
    </w:p>
    <w:p w14:paraId="679B8BD5" w14:textId="77777777" w:rsidR="00275EDE" w:rsidRPr="00275EDE" w:rsidRDefault="00275EDE" w:rsidP="009C6F8E">
      <w:pPr>
        <w:jc w:val="both"/>
        <w:rPr>
          <w:rFonts w:ascii="Verdana" w:hAnsi="Verdana"/>
          <w:b/>
          <w:sz w:val="20"/>
          <w:szCs w:val="20"/>
        </w:rPr>
      </w:pPr>
    </w:p>
    <w:p w14:paraId="5550559A" w14:textId="77777777" w:rsidR="00275EDE" w:rsidRPr="00275EDE" w:rsidRDefault="00275EDE" w:rsidP="00E66DD7">
      <w:pPr>
        <w:pStyle w:val="Heading3"/>
        <w:numPr>
          <w:ilvl w:val="0"/>
          <w:numId w:val="9"/>
        </w:numPr>
        <w:rPr>
          <w:i/>
          <w:iCs/>
          <w:szCs w:val="20"/>
        </w:rPr>
      </w:pPr>
      <w:bookmarkStart w:id="25" w:name="_Toc498333489"/>
      <w:r w:rsidRPr="00275EDE">
        <w:rPr>
          <w:i/>
          <w:iCs/>
          <w:szCs w:val="20"/>
        </w:rPr>
        <w:lastRenderedPageBreak/>
        <w:t>Recurso de amparo ante el Tribunal Constitucional</w:t>
      </w:r>
      <w:bookmarkEnd w:id="25"/>
    </w:p>
    <w:p w14:paraId="05F0CC04" w14:textId="77777777" w:rsidR="00275EDE" w:rsidRPr="00275EDE" w:rsidRDefault="00275EDE" w:rsidP="00275EDE">
      <w:pPr>
        <w:jc w:val="both"/>
        <w:rPr>
          <w:rFonts w:ascii="Verdana" w:hAnsi="Verdana"/>
          <w:sz w:val="20"/>
          <w:szCs w:val="20"/>
        </w:rPr>
      </w:pPr>
    </w:p>
    <w:p w14:paraId="0CEF7AFE" w14:textId="33D7A044" w:rsidR="003F5593" w:rsidRPr="00333304" w:rsidRDefault="007A6FDA" w:rsidP="00333304">
      <w:pPr>
        <w:pStyle w:val="ListParagraph"/>
        <w:numPr>
          <w:ilvl w:val="0"/>
          <w:numId w:val="1"/>
        </w:numPr>
        <w:ind w:left="0" w:hanging="11"/>
        <w:jc w:val="both"/>
        <w:rPr>
          <w:rFonts w:ascii="Verdana" w:hAnsi="Verdana"/>
          <w:b/>
          <w:sz w:val="20"/>
          <w:szCs w:val="20"/>
        </w:rPr>
      </w:pPr>
      <w:r w:rsidRPr="00776947">
        <w:rPr>
          <w:rFonts w:ascii="Verdana" w:hAnsi="Verdana"/>
          <w:sz w:val="20"/>
          <w:szCs w:val="20"/>
        </w:rPr>
        <w:t>El 26 de julio de 1996 y con motivo de la entrada en funciones del Tribunal Constitucional del Perú, el señor Lagos del Campo presentó un escrito ante la Quinta Sala Civi</w:t>
      </w:r>
      <w:r w:rsidRPr="0079676D">
        <w:rPr>
          <w:rFonts w:ascii="Verdana" w:hAnsi="Verdana"/>
          <w:sz w:val="20"/>
          <w:szCs w:val="20"/>
        </w:rPr>
        <w:t>l de la Corte Superior solicitando el desarchivo de su acción de amparo para que fuera elevada al Tribunal Constitucional</w:t>
      </w:r>
      <w:r w:rsidRPr="00275EDE">
        <w:rPr>
          <w:rFonts w:ascii="Verdana" w:hAnsi="Verdana"/>
          <w:sz w:val="20"/>
          <w:szCs w:val="20"/>
          <w:vertAlign w:val="superscript"/>
        </w:rPr>
        <w:footnoteReference w:id="91"/>
      </w:r>
      <w:r w:rsidRPr="00776947">
        <w:rPr>
          <w:rFonts w:ascii="Verdana" w:hAnsi="Verdana"/>
          <w:sz w:val="20"/>
          <w:szCs w:val="20"/>
        </w:rPr>
        <w:t>. El 14 de enero de 1997 el señor Lagos del Campo reiteró dicha solicitud al no tener respuesta</w:t>
      </w:r>
      <w:r w:rsidRPr="00275EDE">
        <w:rPr>
          <w:rFonts w:ascii="Verdana" w:hAnsi="Verdana"/>
          <w:sz w:val="20"/>
          <w:szCs w:val="20"/>
          <w:vertAlign w:val="superscript"/>
        </w:rPr>
        <w:footnoteReference w:id="92"/>
      </w:r>
      <w:r w:rsidRPr="00776947">
        <w:rPr>
          <w:rFonts w:ascii="Verdana" w:hAnsi="Verdana"/>
          <w:sz w:val="20"/>
          <w:szCs w:val="20"/>
        </w:rPr>
        <w:t>. El 24 de junio de 1997 la Tercera Sala Civil Especializada de la Corte Superior de Lima</w:t>
      </w:r>
      <w:r w:rsidR="005F0BEE" w:rsidRPr="00776947">
        <w:rPr>
          <w:rFonts w:ascii="Verdana" w:hAnsi="Verdana"/>
          <w:sz w:val="20"/>
          <w:szCs w:val="20"/>
        </w:rPr>
        <w:t xml:space="preserve">, </w:t>
      </w:r>
      <w:r w:rsidR="005F0BEE" w:rsidRPr="00333304">
        <w:rPr>
          <w:rFonts w:ascii="Verdana" w:hAnsi="Verdana"/>
          <w:sz w:val="20"/>
          <w:szCs w:val="20"/>
        </w:rPr>
        <w:t>conforme a lo dispuesto en el Artículo 298 de la Constitución de</w:t>
      </w:r>
      <w:r w:rsidR="005F0BEE" w:rsidRPr="00776947">
        <w:rPr>
          <w:rFonts w:ascii="Verdana" w:hAnsi="Verdana"/>
          <w:b/>
          <w:sz w:val="20"/>
          <w:szCs w:val="20"/>
        </w:rPr>
        <w:t xml:space="preserve"> </w:t>
      </w:r>
      <w:r w:rsidR="005F0BEE" w:rsidRPr="00333304">
        <w:rPr>
          <w:rFonts w:ascii="Verdana" w:hAnsi="Verdana"/>
          <w:sz w:val="20"/>
          <w:szCs w:val="20"/>
        </w:rPr>
        <w:t>1979</w:t>
      </w:r>
      <w:r w:rsidR="005F0BEE" w:rsidRPr="00333304">
        <w:rPr>
          <w:rStyle w:val="FootnoteReference"/>
          <w:szCs w:val="20"/>
        </w:rPr>
        <w:footnoteReference w:id="93"/>
      </w:r>
      <w:r w:rsidR="005F0BEE" w:rsidRPr="00333304">
        <w:rPr>
          <w:rFonts w:ascii="Verdana" w:hAnsi="Verdana"/>
          <w:sz w:val="20"/>
          <w:szCs w:val="20"/>
        </w:rPr>
        <w:t>, vigente a la fecha del recurso de amparo</w:t>
      </w:r>
      <w:r w:rsidR="005D72FB">
        <w:rPr>
          <w:rFonts w:ascii="Verdana" w:hAnsi="Verdana"/>
          <w:sz w:val="20"/>
          <w:szCs w:val="20"/>
        </w:rPr>
        <w:t>,</w:t>
      </w:r>
      <w:r w:rsidRPr="00776947">
        <w:rPr>
          <w:rFonts w:ascii="Verdana" w:hAnsi="Verdana"/>
          <w:sz w:val="20"/>
          <w:szCs w:val="20"/>
        </w:rPr>
        <w:t xml:space="preserve"> declaró la improcedencia de esta solicitud, por considerar que el señor Lagos del Campo d</w:t>
      </w:r>
      <w:r w:rsidRPr="0079676D">
        <w:rPr>
          <w:rFonts w:ascii="Verdana" w:hAnsi="Verdana"/>
          <w:sz w:val="20"/>
          <w:szCs w:val="20"/>
        </w:rPr>
        <w:t>ebió haber interpuesto el recurso de casación frente a la denegación del amparo dentro del término de 15 días a partir de la notificación de tal decisión y ante el órgano correspondiente, el Tribunal de Garantías Constitucionales</w:t>
      </w:r>
      <w:r w:rsidRPr="00275EDE">
        <w:rPr>
          <w:rFonts w:ascii="Verdana" w:hAnsi="Verdana"/>
          <w:sz w:val="20"/>
          <w:szCs w:val="20"/>
          <w:vertAlign w:val="superscript"/>
        </w:rPr>
        <w:footnoteReference w:id="94"/>
      </w:r>
      <w:r w:rsidRPr="00776947">
        <w:rPr>
          <w:rFonts w:ascii="Verdana" w:hAnsi="Verdana" w:cs="Arial"/>
          <w:sz w:val="20"/>
          <w:szCs w:val="20"/>
        </w:rPr>
        <w:t xml:space="preserve">. </w:t>
      </w:r>
    </w:p>
    <w:p w14:paraId="27548CAB" w14:textId="77777777" w:rsidR="007A6FDA" w:rsidRPr="00776947" w:rsidRDefault="007A6FDA" w:rsidP="00333304">
      <w:pPr>
        <w:pStyle w:val="ListParagraph"/>
        <w:ind w:left="0"/>
        <w:jc w:val="both"/>
        <w:rPr>
          <w:rFonts w:ascii="Verdana" w:hAnsi="Verdana"/>
          <w:b/>
          <w:sz w:val="20"/>
          <w:szCs w:val="20"/>
        </w:rPr>
      </w:pPr>
    </w:p>
    <w:p w14:paraId="7A18499C" w14:textId="560A772E" w:rsidR="007A6FDA" w:rsidRPr="000E40FD" w:rsidRDefault="007A6FDA" w:rsidP="00333304">
      <w:pPr>
        <w:pStyle w:val="ListParagraph"/>
        <w:numPr>
          <w:ilvl w:val="0"/>
          <w:numId w:val="1"/>
        </w:numPr>
        <w:ind w:left="0" w:hanging="11"/>
        <w:jc w:val="both"/>
        <w:rPr>
          <w:rFonts w:ascii="Verdana" w:hAnsi="Verdana"/>
          <w:b/>
          <w:sz w:val="20"/>
          <w:szCs w:val="20"/>
        </w:rPr>
      </w:pPr>
      <w:r w:rsidRPr="00776947">
        <w:rPr>
          <w:rFonts w:ascii="Verdana" w:hAnsi="Verdana"/>
          <w:sz w:val="20"/>
          <w:szCs w:val="20"/>
        </w:rPr>
        <w:t>El 18 de julio de 1997 el señor Lagos del Campo interpuso un recurso de apelación</w:t>
      </w:r>
      <w:r w:rsidRPr="00275EDE">
        <w:rPr>
          <w:rFonts w:ascii="Verdana" w:hAnsi="Verdana"/>
          <w:sz w:val="20"/>
          <w:szCs w:val="20"/>
          <w:vertAlign w:val="superscript"/>
        </w:rPr>
        <w:footnoteReference w:id="95"/>
      </w:r>
      <w:r w:rsidRPr="00776947">
        <w:rPr>
          <w:rFonts w:ascii="Verdana" w:hAnsi="Verdana"/>
          <w:sz w:val="20"/>
          <w:szCs w:val="20"/>
        </w:rPr>
        <w:t xml:space="preserve"> ante la Tercera Sala Civil Especializada de la Corte Superior, mediante el cual afirmó que el Tribunal de Garantías Constitucional se encontraba "recesado por el gobierno d</w:t>
      </w:r>
      <w:r w:rsidRPr="0079676D">
        <w:rPr>
          <w:rFonts w:ascii="Verdana" w:hAnsi="Verdana"/>
          <w:sz w:val="20"/>
          <w:szCs w:val="20"/>
        </w:rPr>
        <w:t>e pacificación y reconstrucción nacional"</w:t>
      </w:r>
      <w:r w:rsidR="00164911" w:rsidRPr="00776947">
        <w:rPr>
          <w:rFonts w:ascii="Verdana" w:hAnsi="Verdana"/>
          <w:sz w:val="20"/>
          <w:szCs w:val="20"/>
        </w:rPr>
        <w:t xml:space="preserve"> </w:t>
      </w:r>
      <w:r w:rsidRPr="00776947">
        <w:rPr>
          <w:rFonts w:ascii="Verdana" w:hAnsi="Verdana"/>
          <w:sz w:val="20"/>
          <w:szCs w:val="20"/>
        </w:rPr>
        <w:t>por cerca de cuatro años, por lo cual optó presentar recursos de revisión de sentencia ante la Sala Constitucional y Social de la Corte Suprema de Justicia que nunca fueron resueltos. El 25 de julio de 1997 la Tercera Sala Civil Especializada de la Corte Superior declaró el recurso de apelación improcedente</w:t>
      </w:r>
      <w:r w:rsidR="00D20A28" w:rsidRPr="00776947">
        <w:rPr>
          <w:rFonts w:ascii="Verdana" w:hAnsi="Verdana"/>
          <w:sz w:val="20"/>
          <w:szCs w:val="20"/>
        </w:rPr>
        <w:t>,</w:t>
      </w:r>
      <w:r w:rsidRPr="00776947">
        <w:rPr>
          <w:rFonts w:ascii="Verdana" w:hAnsi="Verdana"/>
          <w:sz w:val="20"/>
          <w:szCs w:val="20"/>
        </w:rPr>
        <w:t xml:space="preserve"> </w:t>
      </w:r>
      <w:r w:rsidR="001B481A" w:rsidRPr="00333304">
        <w:rPr>
          <w:rFonts w:ascii="Verdana" w:hAnsi="Verdana"/>
          <w:sz w:val="20"/>
          <w:szCs w:val="20"/>
        </w:rPr>
        <w:t>puesto</w:t>
      </w:r>
      <w:r w:rsidRPr="00776947">
        <w:rPr>
          <w:rFonts w:ascii="Verdana" w:hAnsi="Verdana"/>
          <w:sz w:val="20"/>
          <w:szCs w:val="20"/>
        </w:rPr>
        <w:t xml:space="preserve"> que la apelación contra el auto del 24 de junio de 1997 no estaba prevista en el ordenamiento jurídico del Perú</w:t>
      </w:r>
      <w:r w:rsidRPr="00275EDE">
        <w:rPr>
          <w:rFonts w:ascii="Verdana" w:hAnsi="Verdana"/>
          <w:sz w:val="20"/>
          <w:szCs w:val="20"/>
          <w:vertAlign w:val="superscript"/>
        </w:rPr>
        <w:footnoteReference w:id="96"/>
      </w:r>
      <w:r w:rsidR="000E40FD">
        <w:rPr>
          <w:rFonts w:ascii="Verdana" w:hAnsi="Verdana" w:cs="Arial"/>
          <w:sz w:val="20"/>
          <w:szCs w:val="20"/>
        </w:rPr>
        <w:t>.</w:t>
      </w:r>
    </w:p>
    <w:p w14:paraId="56844E91" w14:textId="77777777" w:rsidR="000E40FD" w:rsidRPr="00275EDE" w:rsidRDefault="000E40FD" w:rsidP="000E40FD">
      <w:pPr>
        <w:pStyle w:val="ListParagraph"/>
        <w:ind w:left="0"/>
        <w:jc w:val="both"/>
        <w:rPr>
          <w:rFonts w:ascii="Verdana" w:hAnsi="Verdana"/>
          <w:b/>
          <w:sz w:val="20"/>
          <w:szCs w:val="20"/>
        </w:rPr>
      </w:pPr>
    </w:p>
    <w:p w14:paraId="458AA4C0" w14:textId="59D91AE2" w:rsidR="00275EDE" w:rsidRPr="00627E5D" w:rsidRDefault="007A6FDA" w:rsidP="00E66DD7">
      <w:pPr>
        <w:pStyle w:val="ListParagraph"/>
        <w:numPr>
          <w:ilvl w:val="0"/>
          <w:numId w:val="1"/>
        </w:numPr>
        <w:ind w:left="0" w:hanging="11"/>
        <w:jc w:val="both"/>
        <w:rPr>
          <w:rFonts w:ascii="Verdana" w:hAnsi="Verdana"/>
          <w:b/>
          <w:sz w:val="20"/>
          <w:szCs w:val="20"/>
        </w:rPr>
      </w:pPr>
      <w:r w:rsidRPr="005D5A9D">
        <w:rPr>
          <w:rFonts w:ascii="Verdana" w:eastAsia="Batang" w:hAnsi="Verdana"/>
          <w:sz w:val="20"/>
          <w:szCs w:val="20"/>
          <w:lang w:val="es-EC" w:eastAsia="es-ES"/>
        </w:rPr>
        <w:t>El 19 de agosto de 1997 el señor Lago del Campo interpuso un recurso de queja</w:t>
      </w:r>
      <w:r w:rsidRPr="00275EDE">
        <w:rPr>
          <w:vertAlign w:val="superscript"/>
        </w:rPr>
        <w:footnoteReference w:id="97"/>
      </w:r>
      <w:r w:rsidRPr="005D5A9D">
        <w:rPr>
          <w:rFonts w:ascii="Verdana" w:eastAsia="Batang" w:hAnsi="Verdana"/>
          <w:sz w:val="20"/>
          <w:szCs w:val="20"/>
          <w:lang w:val="es-EC" w:eastAsia="es-ES"/>
        </w:rPr>
        <w:t xml:space="preserve"> ante la Tercera Sala Civil Especializada de la Corte Superior, para que fuera visto en última instancia por el Tribunal Constitucional su acción de amparo. El 2 de octubre de 1997 el señor Lagos del Campo elevó </w:t>
      </w:r>
      <w:r w:rsidRPr="00333304">
        <w:rPr>
          <w:rFonts w:ascii="Verdana" w:hAnsi="Verdana"/>
          <w:sz w:val="20"/>
          <w:szCs w:val="20"/>
          <w:lang w:val="es-EC"/>
        </w:rPr>
        <w:t>el</w:t>
      </w:r>
      <w:r w:rsidRPr="00333304">
        <w:rPr>
          <w:sz w:val="20"/>
          <w:szCs w:val="20"/>
          <w:lang w:val="es-EC"/>
        </w:rPr>
        <w:t xml:space="preserve"> </w:t>
      </w:r>
      <w:r w:rsidRPr="005D5A9D">
        <w:rPr>
          <w:rFonts w:ascii="Verdana" w:eastAsia="Batang" w:hAnsi="Verdana"/>
          <w:sz w:val="20"/>
          <w:szCs w:val="20"/>
          <w:lang w:val="es-EC" w:eastAsia="es-ES"/>
        </w:rPr>
        <w:t>recurso de queja al señor presidente del Tribunal Constitucional</w:t>
      </w:r>
      <w:r w:rsidR="00D20A28">
        <w:rPr>
          <w:lang w:val="es-EC"/>
        </w:rPr>
        <w:t>.</w:t>
      </w:r>
      <w:r w:rsidRPr="00333304">
        <w:rPr>
          <w:sz w:val="20"/>
          <w:szCs w:val="20"/>
          <w:lang w:val="es-EC"/>
        </w:rPr>
        <w:t xml:space="preserve"> </w:t>
      </w:r>
      <w:r w:rsidR="00D20A28" w:rsidRPr="00333304">
        <w:rPr>
          <w:rFonts w:ascii="Verdana" w:hAnsi="Verdana"/>
          <w:sz w:val="20"/>
          <w:szCs w:val="20"/>
          <w:lang w:val="es-EC"/>
        </w:rPr>
        <w:t>E</w:t>
      </w:r>
      <w:r w:rsidRPr="00333304">
        <w:rPr>
          <w:rFonts w:ascii="Verdana" w:hAnsi="Verdana"/>
          <w:sz w:val="20"/>
          <w:szCs w:val="20"/>
          <w:lang w:val="es-EC"/>
        </w:rPr>
        <w:t>l</w:t>
      </w:r>
      <w:r>
        <w:rPr>
          <w:lang w:val="es-EC"/>
        </w:rPr>
        <w:t xml:space="preserve"> </w:t>
      </w:r>
      <w:r w:rsidRPr="005D5A9D">
        <w:rPr>
          <w:rFonts w:ascii="Verdana" w:eastAsia="Batang" w:hAnsi="Verdana"/>
          <w:sz w:val="20"/>
          <w:szCs w:val="20"/>
          <w:lang w:val="es-EC" w:eastAsia="es-ES"/>
        </w:rPr>
        <w:t xml:space="preserve">27 de noviembre de 1997 la Sala de Derecho Constitucional y Social de la Corte Suprema de Justicia resolvió la queja 447-97, declarándola infundada, toda vez que la legislación no </w:t>
      </w:r>
      <w:r w:rsidR="0046282D" w:rsidRPr="005D5A9D">
        <w:rPr>
          <w:rFonts w:ascii="Verdana" w:eastAsia="Batang" w:hAnsi="Verdana"/>
          <w:sz w:val="20"/>
          <w:szCs w:val="20"/>
          <w:lang w:val="es-EC" w:eastAsia="es-ES"/>
        </w:rPr>
        <w:t>pre</w:t>
      </w:r>
      <w:r w:rsidR="0046282D">
        <w:rPr>
          <w:rFonts w:ascii="Verdana" w:eastAsia="Batang" w:hAnsi="Verdana"/>
          <w:sz w:val="20"/>
          <w:szCs w:val="20"/>
          <w:lang w:val="es-EC" w:eastAsia="es-ES"/>
        </w:rPr>
        <w:t>veía</w:t>
      </w:r>
      <w:r w:rsidRPr="005D5A9D">
        <w:rPr>
          <w:rFonts w:ascii="Verdana" w:eastAsia="Batang" w:hAnsi="Verdana"/>
          <w:sz w:val="20"/>
          <w:szCs w:val="20"/>
          <w:lang w:val="es-EC" w:eastAsia="es-ES"/>
        </w:rPr>
        <w:t xml:space="preserve"> el recurso de apelación, sino la nulidad contra las sentencias emitidas por la Corte Superior en </w:t>
      </w:r>
      <w:r w:rsidRPr="005D5A9D">
        <w:rPr>
          <w:rFonts w:ascii="Verdana" w:eastAsia="Batang" w:hAnsi="Verdana"/>
          <w:sz w:val="20"/>
          <w:szCs w:val="20"/>
          <w:lang w:val="es-EC" w:eastAsia="es-ES"/>
        </w:rPr>
        <w:lastRenderedPageBreak/>
        <w:t>Segunda Instancia</w:t>
      </w:r>
      <w:r w:rsidRPr="00275EDE">
        <w:rPr>
          <w:vertAlign w:val="superscript"/>
        </w:rPr>
        <w:footnoteReference w:id="98"/>
      </w:r>
      <w:r w:rsidRPr="005D5A9D">
        <w:rPr>
          <w:rFonts w:ascii="Verdana" w:eastAsia="Batang" w:hAnsi="Verdana"/>
          <w:sz w:val="20"/>
          <w:szCs w:val="20"/>
          <w:lang w:val="es-EC" w:eastAsia="es-ES"/>
        </w:rPr>
        <w:t xml:space="preserve">. </w:t>
      </w:r>
      <w:r w:rsidRPr="00627E5D">
        <w:rPr>
          <w:rFonts w:ascii="Verdana" w:hAnsi="Verdana"/>
          <w:sz w:val="20"/>
          <w:szCs w:val="20"/>
          <w:lang w:val="es-CR"/>
        </w:rPr>
        <w:t>Ante tal resolución, el señor Lagos del Campo solicitó recurso de Corrección y Aclaración al señor presidente del Tribunal Constitucional el 25 de febrero de 1998</w:t>
      </w:r>
      <w:r w:rsidR="00D20A28">
        <w:rPr>
          <w:rFonts w:ascii="Verdana" w:hAnsi="Verdana"/>
          <w:sz w:val="20"/>
          <w:szCs w:val="20"/>
          <w:lang w:val="es-CR"/>
        </w:rPr>
        <w:t>,</w:t>
      </w:r>
      <w:r w:rsidRPr="00627E5D">
        <w:rPr>
          <w:rFonts w:ascii="Verdana" w:hAnsi="Verdana"/>
          <w:sz w:val="20"/>
          <w:szCs w:val="20"/>
          <w:lang w:val="es-CR"/>
        </w:rPr>
        <w:t xml:space="preserve"> </w:t>
      </w:r>
      <w:r w:rsidRPr="00627E5D">
        <w:rPr>
          <w:rFonts w:ascii="Verdana" w:eastAsia="Batang" w:hAnsi="Verdana"/>
          <w:sz w:val="20"/>
          <w:szCs w:val="20"/>
          <w:lang w:val="es-CR" w:eastAsia="es-ES"/>
        </w:rPr>
        <w:t>que no tuvo respuesta alguna</w:t>
      </w:r>
      <w:r w:rsidRPr="00627E5D">
        <w:rPr>
          <w:rFonts w:ascii="Verdana" w:hAnsi="Verdana"/>
          <w:sz w:val="20"/>
          <w:szCs w:val="20"/>
          <w:vertAlign w:val="superscript"/>
        </w:rPr>
        <w:footnoteReference w:id="99"/>
      </w:r>
      <w:r w:rsidRPr="00627E5D">
        <w:rPr>
          <w:rFonts w:ascii="Verdana" w:hAnsi="Verdana" w:cs="Arial"/>
          <w:sz w:val="20"/>
          <w:szCs w:val="20"/>
          <w:lang w:val="es-CR"/>
        </w:rPr>
        <w:t xml:space="preserve">. </w:t>
      </w:r>
    </w:p>
    <w:p w14:paraId="72DF32B0" w14:textId="77777777" w:rsidR="00275EDE" w:rsidRPr="00275EDE" w:rsidRDefault="00275EDE" w:rsidP="00275EDE">
      <w:pPr>
        <w:jc w:val="both"/>
        <w:rPr>
          <w:rFonts w:ascii="Verdana" w:hAnsi="Verdana"/>
          <w:b/>
          <w:sz w:val="20"/>
          <w:szCs w:val="20"/>
        </w:rPr>
      </w:pPr>
    </w:p>
    <w:p w14:paraId="77A87B13" w14:textId="77777777" w:rsidR="00275EDE" w:rsidRPr="00275EDE" w:rsidRDefault="00275EDE" w:rsidP="00E66DD7">
      <w:pPr>
        <w:pStyle w:val="Heading2"/>
        <w:numPr>
          <w:ilvl w:val="0"/>
          <w:numId w:val="12"/>
        </w:numPr>
        <w:rPr>
          <w:rFonts w:eastAsia="MS Gothic"/>
          <w:i/>
          <w:iCs/>
          <w:szCs w:val="20"/>
        </w:rPr>
      </w:pPr>
      <w:bookmarkStart w:id="26" w:name="_Toc472528595"/>
      <w:bookmarkStart w:id="27" w:name="_Toc498333490"/>
      <w:r w:rsidRPr="00275EDE">
        <w:rPr>
          <w:rFonts w:eastAsia="MS Gothic"/>
          <w:i/>
          <w:iCs/>
          <w:szCs w:val="20"/>
        </w:rPr>
        <w:t>La situación de Lagos del Campo después de su despido</w:t>
      </w:r>
      <w:bookmarkEnd w:id="26"/>
      <w:bookmarkEnd w:id="27"/>
    </w:p>
    <w:p w14:paraId="158692BF" w14:textId="77777777" w:rsidR="00275EDE" w:rsidRPr="00275EDE" w:rsidRDefault="00275EDE" w:rsidP="00275EDE">
      <w:pPr>
        <w:jc w:val="both"/>
        <w:rPr>
          <w:rFonts w:ascii="Verdana" w:hAnsi="Verdana"/>
          <w:sz w:val="20"/>
          <w:szCs w:val="20"/>
        </w:rPr>
      </w:pPr>
    </w:p>
    <w:p w14:paraId="6438FB5C" w14:textId="3B1CDD16" w:rsidR="007A6FDA" w:rsidRPr="00275EDE" w:rsidRDefault="007A6FDA" w:rsidP="00E66DD7">
      <w:pPr>
        <w:pStyle w:val="ListParagraph"/>
        <w:numPr>
          <w:ilvl w:val="0"/>
          <w:numId w:val="1"/>
        </w:numPr>
        <w:ind w:left="11" w:hanging="11"/>
        <w:jc w:val="both"/>
        <w:rPr>
          <w:rFonts w:ascii="Verdana" w:hAnsi="Verdana"/>
          <w:b/>
          <w:sz w:val="20"/>
          <w:szCs w:val="20"/>
        </w:rPr>
      </w:pPr>
      <w:r w:rsidRPr="00275EDE">
        <w:rPr>
          <w:rFonts w:ascii="Verdana" w:hAnsi="Verdana"/>
          <w:color w:val="000000"/>
          <w:sz w:val="20"/>
          <w:szCs w:val="20"/>
        </w:rPr>
        <w:t>Al momento de su despido en el año 1989, Lagos del Campo tenía 50 años de edad y 14 hijos, de los cuales 6 estaban en edad escolar</w:t>
      </w:r>
      <w:r w:rsidRPr="00275EDE">
        <w:rPr>
          <w:rFonts w:ascii="Verdana" w:hAnsi="Verdana" w:cs="Arial"/>
          <w:color w:val="000000"/>
          <w:sz w:val="20"/>
          <w:szCs w:val="20"/>
        </w:rPr>
        <w:t xml:space="preserve">. </w:t>
      </w:r>
      <w:r w:rsidRPr="00275EDE">
        <w:rPr>
          <w:rFonts w:ascii="Verdana" w:hAnsi="Verdana"/>
          <w:color w:val="000000"/>
          <w:sz w:val="20"/>
          <w:szCs w:val="20"/>
        </w:rPr>
        <w:t xml:space="preserve">Según la información aportada por los </w:t>
      </w:r>
      <w:r>
        <w:rPr>
          <w:rFonts w:ascii="Verdana" w:hAnsi="Verdana"/>
          <w:color w:val="000000"/>
          <w:sz w:val="20"/>
          <w:szCs w:val="20"/>
        </w:rPr>
        <w:t>representantes</w:t>
      </w:r>
      <w:r w:rsidRPr="00275EDE">
        <w:rPr>
          <w:rFonts w:ascii="Verdana" w:hAnsi="Verdana"/>
          <w:sz w:val="20"/>
          <w:szCs w:val="20"/>
        </w:rPr>
        <w:t xml:space="preserve"> y que no fue controvertida por el Estado, con posterioridad al despido el señor Lagos del Campo se vio imposibilitado para acceder a todos los beneficios de seguridad social que dependían de su empleo. El señor Lagos resaltó por medio de su testimonio prestado en audiencia que le faltaban </w:t>
      </w:r>
      <w:r w:rsidRPr="00275EDE">
        <w:rPr>
          <w:rFonts w:ascii="Verdana" w:eastAsia="Times New Roman" w:hAnsi="Verdana"/>
          <w:sz w:val="20"/>
          <w:szCs w:val="20"/>
          <w:lang w:val="es-MX"/>
        </w:rPr>
        <w:t>“</w:t>
      </w:r>
      <w:r w:rsidRPr="00275EDE">
        <w:rPr>
          <w:rFonts w:ascii="Verdana" w:hAnsi="Verdana"/>
          <w:sz w:val="20"/>
          <w:szCs w:val="20"/>
        </w:rPr>
        <w:t>cinco años según las leyes para proceder acceder a una jubilación digna para poder sobrevivir</w:t>
      </w:r>
      <w:r w:rsidRPr="00275EDE">
        <w:rPr>
          <w:rFonts w:ascii="Verdana" w:hAnsi="Verdana"/>
          <w:sz w:val="20"/>
          <w:szCs w:val="20"/>
          <w:lang w:val="es-MX"/>
        </w:rPr>
        <w:t>”</w:t>
      </w:r>
      <w:r w:rsidRPr="00275EDE">
        <w:rPr>
          <w:rFonts w:ascii="Verdana" w:hAnsi="Verdana"/>
          <w:sz w:val="20"/>
          <w:szCs w:val="20"/>
          <w:vertAlign w:val="superscript"/>
          <w:lang w:val="es-MX"/>
        </w:rPr>
        <w:footnoteReference w:id="100"/>
      </w:r>
      <w:r w:rsidRPr="00275EDE">
        <w:rPr>
          <w:rFonts w:ascii="Verdana" w:hAnsi="Verdana"/>
          <w:sz w:val="20"/>
          <w:szCs w:val="20"/>
          <w:lang w:val="es-MX"/>
        </w:rPr>
        <w:t xml:space="preserve"> después de haber trabajado en la empresa por </w:t>
      </w:r>
      <w:r w:rsidRPr="00633DC9">
        <w:rPr>
          <w:rFonts w:ascii="Verdana" w:hAnsi="Verdana"/>
          <w:sz w:val="20"/>
          <w:szCs w:val="20"/>
          <w:lang w:val="es-MX"/>
        </w:rPr>
        <w:t xml:space="preserve">más </w:t>
      </w:r>
      <w:r w:rsidRPr="00EB5530">
        <w:rPr>
          <w:rFonts w:ascii="Verdana" w:hAnsi="Verdana"/>
          <w:sz w:val="20"/>
          <w:szCs w:val="20"/>
          <w:lang w:val="es-MX"/>
        </w:rPr>
        <w:t>de 13 años</w:t>
      </w:r>
      <w:r w:rsidRPr="00633DC9">
        <w:rPr>
          <w:rFonts w:ascii="Verdana" w:hAnsi="Verdana"/>
          <w:sz w:val="20"/>
          <w:szCs w:val="20"/>
        </w:rPr>
        <w:t>.</w:t>
      </w:r>
      <w:r w:rsidRPr="00275EDE">
        <w:rPr>
          <w:rFonts w:ascii="Verdana" w:hAnsi="Verdana" w:cs="Arial"/>
          <w:b/>
          <w:sz w:val="20"/>
          <w:szCs w:val="20"/>
        </w:rPr>
        <w:t xml:space="preserve"> </w:t>
      </w:r>
      <w:r w:rsidRPr="00275EDE">
        <w:rPr>
          <w:rFonts w:ascii="Verdana" w:hAnsi="Verdana"/>
          <w:sz w:val="20"/>
          <w:szCs w:val="20"/>
        </w:rPr>
        <w:t>Las dificultades económicas de la época, su edad y las circunstancias de su despido, le impidieron obtener un empleo estable como electricista y recibir ingresos adecuados para la manutención de su familia</w:t>
      </w:r>
      <w:r w:rsidR="003F5593">
        <w:rPr>
          <w:rFonts w:ascii="Verdana" w:hAnsi="Verdana"/>
          <w:sz w:val="20"/>
          <w:szCs w:val="20"/>
        </w:rPr>
        <w:t>.</w:t>
      </w:r>
    </w:p>
    <w:p w14:paraId="790FEE35" w14:textId="77777777" w:rsidR="007A6FDA" w:rsidRPr="00275EDE" w:rsidRDefault="007A6FDA" w:rsidP="007A6FDA">
      <w:pPr>
        <w:jc w:val="both"/>
        <w:rPr>
          <w:rFonts w:ascii="Verdana" w:hAnsi="Verdana"/>
          <w:b/>
          <w:sz w:val="20"/>
          <w:szCs w:val="20"/>
        </w:rPr>
      </w:pPr>
    </w:p>
    <w:p w14:paraId="733255C5" w14:textId="5D5A6204" w:rsidR="007A6FDA" w:rsidRPr="00327227" w:rsidRDefault="007A6FDA" w:rsidP="00E66DD7">
      <w:pPr>
        <w:pStyle w:val="ListParagraph"/>
        <w:numPr>
          <w:ilvl w:val="0"/>
          <w:numId w:val="1"/>
        </w:numPr>
        <w:ind w:left="0" w:hanging="11"/>
        <w:jc w:val="both"/>
        <w:rPr>
          <w:rFonts w:ascii="Verdana" w:hAnsi="Verdana"/>
          <w:b/>
          <w:sz w:val="20"/>
          <w:szCs w:val="20"/>
        </w:rPr>
      </w:pPr>
      <w:r w:rsidRPr="00275EDE">
        <w:rPr>
          <w:rFonts w:ascii="Verdana" w:hAnsi="Verdana"/>
          <w:color w:val="000000"/>
          <w:sz w:val="20"/>
          <w:szCs w:val="20"/>
        </w:rPr>
        <w:t>Tales</w:t>
      </w:r>
      <w:r w:rsidRPr="00275EDE">
        <w:rPr>
          <w:rFonts w:ascii="Verdana" w:hAnsi="Verdana"/>
          <w:sz w:val="20"/>
          <w:szCs w:val="20"/>
        </w:rPr>
        <w:t xml:space="preserve"> aspectos también fueron resaltados por </w:t>
      </w:r>
      <w:r w:rsidRPr="00275EDE">
        <w:rPr>
          <w:rFonts w:ascii="Verdana" w:hAnsi="Verdana" w:cs="Arial"/>
          <w:sz w:val="20"/>
          <w:szCs w:val="20"/>
        </w:rPr>
        <w:t xml:space="preserve">el señor Lagos del Campo, quien manifestó en la audiencia que su despido tuvo </w:t>
      </w:r>
      <w:r w:rsidRPr="00275EDE">
        <w:rPr>
          <w:rFonts w:ascii="Verdana" w:eastAsia="Times New Roman" w:hAnsi="Verdana"/>
          <w:sz w:val="20"/>
          <w:szCs w:val="20"/>
          <w:lang w:val="es-MX"/>
        </w:rPr>
        <w:t>“</w:t>
      </w:r>
      <w:r w:rsidRPr="00275EDE">
        <w:rPr>
          <w:rFonts w:ascii="Verdana" w:hAnsi="Verdana"/>
          <w:sz w:val="20"/>
          <w:szCs w:val="20"/>
          <w:lang w:val="es-MX"/>
        </w:rPr>
        <w:t xml:space="preserve">una consecuencia de frustración hacia </w:t>
      </w:r>
      <w:r w:rsidRPr="00275EDE">
        <w:rPr>
          <w:rFonts w:ascii="Verdana" w:hAnsi="Verdana"/>
          <w:iCs/>
          <w:color w:val="000000"/>
          <w:sz w:val="20"/>
          <w:szCs w:val="20"/>
          <w:lang w:val="es-MX"/>
        </w:rPr>
        <w:t xml:space="preserve">[sus] </w:t>
      </w:r>
      <w:r w:rsidRPr="00275EDE">
        <w:rPr>
          <w:rFonts w:ascii="Verdana" w:hAnsi="Verdana"/>
          <w:sz w:val="20"/>
          <w:szCs w:val="20"/>
          <w:lang w:val="es-MX"/>
        </w:rPr>
        <w:t xml:space="preserve">derechos, tantos laborales como humanos” y agrego que, tras su despido se encontró sin alguna opción laboral, </w:t>
      </w:r>
      <w:r w:rsidRPr="00275EDE">
        <w:rPr>
          <w:rFonts w:ascii="Verdana" w:eastAsia="Times New Roman" w:hAnsi="Verdana"/>
          <w:sz w:val="20"/>
          <w:szCs w:val="20"/>
          <w:lang w:val="es-MX"/>
        </w:rPr>
        <w:t>“</w:t>
      </w:r>
      <w:r w:rsidRPr="00275EDE">
        <w:rPr>
          <w:rFonts w:ascii="Verdana" w:hAnsi="Verdana"/>
          <w:sz w:val="20"/>
          <w:szCs w:val="20"/>
          <w:lang w:val="es-MX"/>
        </w:rPr>
        <w:t xml:space="preserve">ya </w:t>
      </w:r>
      <w:r w:rsidRPr="00275EDE">
        <w:rPr>
          <w:rFonts w:ascii="Verdana" w:hAnsi="Verdana"/>
          <w:iCs/>
          <w:color w:val="000000"/>
          <w:sz w:val="20"/>
          <w:szCs w:val="20"/>
          <w:lang w:val="es-MX"/>
        </w:rPr>
        <w:t xml:space="preserve">[que] </w:t>
      </w:r>
      <w:r w:rsidRPr="00275EDE">
        <w:rPr>
          <w:rFonts w:ascii="Verdana" w:hAnsi="Verdana"/>
          <w:sz w:val="20"/>
          <w:szCs w:val="20"/>
          <w:lang w:val="es-MX"/>
        </w:rPr>
        <w:t xml:space="preserve">no había opción para trabajadores de más de 50 años </w:t>
      </w:r>
      <w:r w:rsidRPr="00275EDE">
        <w:rPr>
          <w:rFonts w:ascii="Verdana" w:hAnsi="Verdana"/>
          <w:iCs/>
          <w:color w:val="000000"/>
          <w:sz w:val="20"/>
          <w:szCs w:val="20"/>
          <w:lang w:val="es-MX"/>
        </w:rPr>
        <w:t>[…] [p]</w:t>
      </w:r>
      <w:proofErr w:type="spellStart"/>
      <w:r w:rsidRPr="00275EDE">
        <w:rPr>
          <w:rFonts w:ascii="Verdana" w:hAnsi="Verdana"/>
          <w:sz w:val="20"/>
          <w:szCs w:val="20"/>
          <w:lang w:val="es-MX"/>
        </w:rPr>
        <w:t>or</w:t>
      </w:r>
      <w:proofErr w:type="spellEnd"/>
      <w:r w:rsidRPr="00275EDE">
        <w:rPr>
          <w:rFonts w:ascii="Verdana" w:hAnsi="Verdana"/>
          <w:sz w:val="20"/>
          <w:szCs w:val="20"/>
          <w:lang w:val="es-MX"/>
        </w:rPr>
        <w:t xml:space="preserve"> lo cual trabajos estables y rentables para mantener un hogar y una familia no existían”.</w:t>
      </w:r>
      <w:r w:rsidRPr="00275EDE">
        <w:rPr>
          <w:rFonts w:ascii="Verdana" w:hAnsi="Verdana"/>
          <w:b/>
          <w:sz w:val="20"/>
          <w:szCs w:val="20"/>
        </w:rPr>
        <w:t xml:space="preserve"> </w:t>
      </w:r>
      <w:r w:rsidRPr="00275EDE">
        <w:rPr>
          <w:rFonts w:ascii="Verdana" w:hAnsi="Verdana"/>
          <w:sz w:val="20"/>
          <w:szCs w:val="20"/>
        </w:rPr>
        <w:t>Actualmente vive, con un precario estado</w:t>
      </w:r>
      <w:r w:rsidR="008C770D">
        <w:rPr>
          <w:rFonts w:ascii="Verdana" w:hAnsi="Verdana"/>
          <w:sz w:val="20"/>
          <w:szCs w:val="20"/>
        </w:rPr>
        <w:t xml:space="preserve"> económico</w:t>
      </w:r>
      <w:r w:rsidR="008C770D" w:rsidRPr="00275EDE">
        <w:rPr>
          <w:rFonts w:ascii="Verdana" w:hAnsi="Verdana"/>
          <w:sz w:val="20"/>
          <w:szCs w:val="20"/>
          <w:vertAlign w:val="superscript"/>
        </w:rPr>
        <w:footnoteReference w:id="101"/>
      </w:r>
      <w:r w:rsidR="008C770D">
        <w:rPr>
          <w:rFonts w:ascii="Verdana" w:hAnsi="Verdana"/>
          <w:sz w:val="20"/>
          <w:szCs w:val="20"/>
        </w:rPr>
        <w:t xml:space="preserve"> y</w:t>
      </w:r>
      <w:r w:rsidRPr="00275EDE">
        <w:rPr>
          <w:rFonts w:ascii="Verdana" w:hAnsi="Verdana"/>
          <w:sz w:val="20"/>
          <w:szCs w:val="20"/>
        </w:rPr>
        <w:t xml:space="preserve"> de salud</w:t>
      </w:r>
      <w:r w:rsidRPr="00275EDE">
        <w:rPr>
          <w:rFonts w:ascii="Verdana" w:hAnsi="Verdana"/>
          <w:sz w:val="20"/>
          <w:szCs w:val="20"/>
          <w:vertAlign w:val="superscript"/>
        </w:rPr>
        <w:footnoteReference w:id="102"/>
      </w:r>
      <w:r w:rsidRPr="00275EDE">
        <w:rPr>
          <w:rFonts w:ascii="Verdana" w:hAnsi="Verdana" w:cs="Arial"/>
          <w:sz w:val="20"/>
          <w:szCs w:val="20"/>
        </w:rPr>
        <w:t xml:space="preserve">. </w:t>
      </w:r>
    </w:p>
    <w:p w14:paraId="1D501058" w14:textId="77777777" w:rsidR="00275EDE" w:rsidRPr="00275EDE" w:rsidRDefault="00275EDE" w:rsidP="0089179B">
      <w:pPr>
        <w:pStyle w:val="ListParagraph"/>
        <w:ind w:left="0"/>
        <w:jc w:val="both"/>
        <w:rPr>
          <w:lang w:val="es-MX"/>
        </w:rPr>
      </w:pPr>
    </w:p>
    <w:p w14:paraId="1B3EE87E" w14:textId="22F3E142" w:rsidR="00D33760" w:rsidRPr="00D33760" w:rsidRDefault="00374FC9" w:rsidP="00D33760">
      <w:pPr>
        <w:pStyle w:val="Heading1"/>
        <w:tabs>
          <w:tab w:val="left" w:pos="851"/>
        </w:tabs>
        <w:spacing w:before="0"/>
        <w:jc w:val="center"/>
        <w:rPr>
          <w:rFonts w:cs="Verdana"/>
          <w:caps/>
          <w:snapToGrid w:val="0"/>
          <w:szCs w:val="20"/>
        </w:rPr>
      </w:pPr>
      <w:bookmarkStart w:id="28" w:name="_Toc498333491"/>
      <w:r w:rsidRPr="00333304">
        <w:rPr>
          <w:rFonts w:cs="Verdana"/>
          <w:caps/>
          <w:snapToGrid w:val="0"/>
          <w:szCs w:val="20"/>
        </w:rPr>
        <w:t>Vi</w:t>
      </w:r>
      <w:r w:rsidR="00D33760" w:rsidRPr="00333304">
        <w:rPr>
          <w:rFonts w:cs="Verdana"/>
          <w:caps/>
          <w:snapToGrid w:val="0"/>
          <w:szCs w:val="20"/>
        </w:rPr>
        <w:t>I</w:t>
      </w:r>
      <w:r w:rsidR="00D33760" w:rsidRPr="00333304">
        <w:rPr>
          <w:rFonts w:cs="Verdana"/>
          <w:caps/>
          <w:snapToGrid w:val="0"/>
          <w:szCs w:val="20"/>
        </w:rPr>
        <w:br/>
        <w:t>Fondo</w:t>
      </w:r>
      <w:bookmarkEnd w:id="28"/>
    </w:p>
    <w:p w14:paraId="5769FAD8" w14:textId="77777777" w:rsidR="00D33760" w:rsidRPr="0089179B" w:rsidRDefault="00D33760" w:rsidP="00D33760">
      <w:pPr>
        <w:rPr>
          <w:rFonts w:ascii="Verdana" w:hAnsi="Verdana"/>
          <w:sz w:val="20"/>
          <w:szCs w:val="20"/>
        </w:rPr>
      </w:pPr>
    </w:p>
    <w:p w14:paraId="38FF1881" w14:textId="722C2C0A" w:rsidR="00E62F6C" w:rsidRDefault="00E62F6C" w:rsidP="00E66DD7">
      <w:pPr>
        <w:pStyle w:val="ListParagraph"/>
        <w:numPr>
          <w:ilvl w:val="0"/>
          <w:numId w:val="1"/>
        </w:numPr>
        <w:ind w:left="0" w:firstLine="0"/>
        <w:jc w:val="both"/>
        <w:rPr>
          <w:rFonts w:ascii="Verdana" w:hAnsi="Verdana"/>
          <w:sz w:val="20"/>
          <w:szCs w:val="20"/>
        </w:rPr>
      </w:pPr>
      <w:r w:rsidRPr="00DC2F11">
        <w:rPr>
          <w:rFonts w:ascii="Verdana" w:hAnsi="Verdana"/>
          <w:sz w:val="20"/>
          <w:szCs w:val="20"/>
        </w:rPr>
        <w:t xml:space="preserve">El presente caso se relaciona con </w:t>
      </w:r>
      <w:r>
        <w:rPr>
          <w:rFonts w:ascii="Verdana" w:hAnsi="Verdana"/>
          <w:sz w:val="20"/>
          <w:szCs w:val="20"/>
        </w:rPr>
        <w:t xml:space="preserve">el despido del señor Alfredo Lagos del Campo el 26 de junio de 1989 como consecuencia de declaraciones realizadas durante una entrevista </w:t>
      </w:r>
      <w:r w:rsidR="00EB5F60">
        <w:rPr>
          <w:rFonts w:ascii="Verdana" w:hAnsi="Verdana"/>
          <w:sz w:val="20"/>
          <w:szCs w:val="20"/>
        </w:rPr>
        <w:t xml:space="preserve">para </w:t>
      </w:r>
      <w:r>
        <w:rPr>
          <w:rFonts w:ascii="Verdana" w:hAnsi="Verdana"/>
          <w:sz w:val="20"/>
          <w:szCs w:val="20"/>
        </w:rPr>
        <w:t xml:space="preserve">la revista “La Razón”. </w:t>
      </w:r>
      <w:r w:rsidR="00EB5F60">
        <w:rPr>
          <w:rFonts w:ascii="Verdana" w:hAnsi="Verdana"/>
          <w:sz w:val="20"/>
          <w:szCs w:val="20"/>
        </w:rPr>
        <w:t>Dicha</w:t>
      </w:r>
      <w:r>
        <w:rPr>
          <w:rFonts w:ascii="Verdana" w:hAnsi="Verdana"/>
          <w:sz w:val="20"/>
          <w:szCs w:val="20"/>
        </w:rPr>
        <w:t xml:space="preserve"> entrevista fue realizada </w:t>
      </w:r>
      <w:r w:rsidR="00D37AAF">
        <w:rPr>
          <w:rFonts w:ascii="Verdana" w:hAnsi="Verdana"/>
          <w:sz w:val="20"/>
          <w:szCs w:val="20"/>
        </w:rPr>
        <w:t>cuando era</w:t>
      </w:r>
      <w:r>
        <w:rPr>
          <w:rFonts w:ascii="Verdana" w:hAnsi="Verdana"/>
          <w:sz w:val="20"/>
          <w:szCs w:val="20"/>
        </w:rPr>
        <w:t xml:space="preserve"> Presidente del Comité Electoral de la Comunidad Industrial de la empresa </w:t>
      </w:r>
      <w:proofErr w:type="spellStart"/>
      <w:r>
        <w:rPr>
          <w:rFonts w:ascii="Verdana" w:hAnsi="Verdana"/>
          <w:sz w:val="20"/>
          <w:szCs w:val="20"/>
        </w:rPr>
        <w:t>Ceper-Pirelli</w:t>
      </w:r>
      <w:proofErr w:type="spellEnd"/>
      <w:r>
        <w:rPr>
          <w:rFonts w:ascii="Verdana" w:hAnsi="Verdana"/>
          <w:sz w:val="20"/>
          <w:szCs w:val="20"/>
        </w:rPr>
        <w:t>, y en ella denunció</w:t>
      </w:r>
      <w:r w:rsidR="00004729">
        <w:rPr>
          <w:rFonts w:ascii="Verdana" w:hAnsi="Verdana"/>
          <w:sz w:val="20"/>
          <w:szCs w:val="20"/>
        </w:rPr>
        <w:t>,</w:t>
      </w:r>
      <w:r>
        <w:rPr>
          <w:rFonts w:ascii="Verdana" w:hAnsi="Verdana"/>
          <w:sz w:val="20"/>
          <w:szCs w:val="20"/>
        </w:rPr>
        <w:t xml:space="preserve"> </w:t>
      </w:r>
      <w:r w:rsidR="00004729" w:rsidRPr="00410A3C">
        <w:rPr>
          <w:rFonts w:ascii="Verdana" w:hAnsi="Verdana"/>
          <w:i/>
          <w:sz w:val="20"/>
          <w:szCs w:val="20"/>
        </w:rPr>
        <w:t xml:space="preserve">inter </w:t>
      </w:r>
      <w:proofErr w:type="spellStart"/>
      <w:r w:rsidR="00004729" w:rsidRPr="00410A3C">
        <w:rPr>
          <w:rFonts w:ascii="Verdana" w:hAnsi="Verdana"/>
          <w:i/>
          <w:sz w:val="20"/>
          <w:szCs w:val="20"/>
        </w:rPr>
        <w:t>alia</w:t>
      </w:r>
      <w:proofErr w:type="spellEnd"/>
      <w:r w:rsidR="00004729">
        <w:rPr>
          <w:rFonts w:ascii="Verdana" w:hAnsi="Verdana"/>
          <w:sz w:val="20"/>
          <w:szCs w:val="20"/>
        </w:rPr>
        <w:t xml:space="preserve">, </w:t>
      </w:r>
      <w:r>
        <w:rPr>
          <w:rFonts w:ascii="Verdana" w:hAnsi="Verdana"/>
          <w:sz w:val="20"/>
          <w:szCs w:val="20"/>
        </w:rPr>
        <w:t>que el directorio de la empresa presuntamente habría empleado</w:t>
      </w:r>
      <w:r w:rsidR="00D37AAF">
        <w:rPr>
          <w:rFonts w:ascii="Verdana" w:hAnsi="Verdana"/>
          <w:sz w:val="20"/>
          <w:szCs w:val="20"/>
        </w:rPr>
        <w:t xml:space="preserve"> </w:t>
      </w:r>
      <w:r>
        <w:rPr>
          <w:rFonts w:ascii="Verdana" w:hAnsi="Verdana"/>
          <w:sz w:val="20"/>
          <w:szCs w:val="20"/>
        </w:rPr>
        <w:t>el “chantaje y la coerción” para llevar a cabo “fraudulentas elecciones al margen del Comité Electoral” (</w:t>
      </w:r>
      <w:r w:rsidR="00224537" w:rsidRPr="00224537">
        <w:rPr>
          <w:rFonts w:ascii="Verdana" w:hAnsi="Verdana"/>
          <w:i/>
          <w:sz w:val="20"/>
          <w:szCs w:val="20"/>
        </w:rPr>
        <w:t>supra</w:t>
      </w:r>
      <w:r>
        <w:rPr>
          <w:rFonts w:ascii="Verdana" w:hAnsi="Verdana"/>
          <w:sz w:val="20"/>
          <w:szCs w:val="20"/>
        </w:rPr>
        <w:t xml:space="preserve"> </w:t>
      </w:r>
      <w:r w:rsidR="003F5593">
        <w:rPr>
          <w:rFonts w:ascii="Verdana" w:hAnsi="Verdana"/>
          <w:sz w:val="20"/>
          <w:szCs w:val="20"/>
        </w:rPr>
        <w:t>párr.</w:t>
      </w:r>
      <w:r w:rsidR="00DC1C15">
        <w:rPr>
          <w:rFonts w:ascii="Verdana" w:hAnsi="Verdana"/>
          <w:sz w:val="20"/>
          <w:szCs w:val="20"/>
        </w:rPr>
        <w:t xml:space="preserve"> 50</w:t>
      </w:r>
      <w:r>
        <w:rPr>
          <w:rFonts w:ascii="Verdana" w:hAnsi="Verdana"/>
          <w:sz w:val="20"/>
          <w:szCs w:val="20"/>
        </w:rPr>
        <w:t xml:space="preserve">). Tras su despido, el señor Lagos del Campo promovió una demanda ante el Décimo Quinto Juzgado de Trabajo de Lima, el cual calificó </w:t>
      </w:r>
      <w:r w:rsidR="00D37AAF">
        <w:rPr>
          <w:rFonts w:ascii="Verdana" w:hAnsi="Verdana"/>
          <w:sz w:val="20"/>
          <w:szCs w:val="20"/>
        </w:rPr>
        <w:t xml:space="preserve">el despido </w:t>
      </w:r>
      <w:r>
        <w:rPr>
          <w:rFonts w:ascii="Verdana" w:hAnsi="Verdana"/>
          <w:sz w:val="20"/>
          <w:szCs w:val="20"/>
        </w:rPr>
        <w:t>de “improcedente e injustificado” (</w:t>
      </w:r>
      <w:r w:rsidR="00224537" w:rsidRPr="00224537">
        <w:rPr>
          <w:rFonts w:ascii="Verdana" w:hAnsi="Verdana"/>
          <w:i/>
          <w:sz w:val="20"/>
          <w:szCs w:val="20"/>
        </w:rPr>
        <w:t>supra</w:t>
      </w:r>
      <w:r>
        <w:rPr>
          <w:rFonts w:ascii="Verdana" w:hAnsi="Verdana"/>
          <w:sz w:val="20"/>
          <w:szCs w:val="20"/>
        </w:rPr>
        <w:t xml:space="preserve"> </w:t>
      </w:r>
      <w:r w:rsidR="003F5593">
        <w:rPr>
          <w:rFonts w:ascii="Verdana" w:hAnsi="Verdana"/>
          <w:sz w:val="20"/>
          <w:szCs w:val="20"/>
        </w:rPr>
        <w:t>párr.</w:t>
      </w:r>
      <w:r w:rsidR="00DC1C15">
        <w:rPr>
          <w:rFonts w:ascii="Verdana" w:hAnsi="Verdana"/>
          <w:sz w:val="20"/>
          <w:szCs w:val="20"/>
        </w:rPr>
        <w:t xml:space="preserve"> 58</w:t>
      </w:r>
      <w:r>
        <w:rPr>
          <w:rFonts w:ascii="Verdana" w:hAnsi="Verdana"/>
          <w:sz w:val="20"/>
          <w:szCs w:val="20"/>
        </w:rPr>
        <w:t>). Sin embargo, en apelación</w:t>
      </w:r>
      <w:r w:rsidR="00897EE7">
        <w:rPr>
          <w:rFonts w:ascii="Verdana" w:hAnsi="Verdana"/>
          <w:sz w:val="20"/>
          <w:szCs w:val="20"/>
        </w:rPr>
        <w:t xml:space="preserve"> interpuesta por el empleador</w:t>
      </w:r>
      <w:r>
        <w:rPr>
          <w:rFonts w:ascii="Verdana" w:hAnsi="Verdana"/>
          <w:sz w:val="20"/>
          <w:szCs w:val="20"/>
        </w:rPr>
        <w:t xml:space="preserve">, el Segundo Tribunal del Trabajo de Lima revocó la sentencia de primera instancia y calificó el despido como “legal y justificado” </w:t>
      </w:r>
      <w:r>
        <w:rPr>
          <w:rFonts w:ascii="Verdana" w:hAnsi="Verdana"/>
          <w:sz w:val="20"/>
          <w:szCs w:val="20"/>
        </w:rPr>
        <w:lastRenderedPageBreak/>
        <w:t>(</w:t>
      </w:r>
      <w:r w:rsidR="00224537" w:rsidRPr="00224537">
        <w:rPr>
          <w:rFonts w:ascii="Verdana" w:hAnsi="Verdana"/>
          <w:i/>
          <w:sz w:val="20"/>
          <w:szCs w:val="20"/>
        </w:rPr>
        <w:t>supra</w:t>
      </w:r>
      <w:r>
        <w:rPr>
          <w:rFonts w:ascii="Verdana" w:hAnsi="Verdana"/>
          <w:sz w:val="20"/>
          <w:szCs w:val="20"/>
        </w:rPr>
        <w:t xml:space="preserve"> </w:t>
      </w:r>
      <w:r w:rsidR="003F5593">
        <w:rPr>
          <w:rFonts w:ascii="Verdana" w:hAnsi="Verdana"/>
          <w:sz w:val="20"/>
          <w:szCs w:val="20"/>
        </w:rPr>
        <w:t>párr.</w:t>
      </w:r>
      <w:r w:rsidR="00DC1C15">
        <w:rPr>
          <w:rFonts w:ascii="Verdana" w:hAnsi="Verdana"/>
          <w:sz w:val="20"/>
          <w:szCs w:val="20"/>
        </w:rPr>
        <w:t xml:space="preserve"> 60</w:t>
      </w:r>
      <w:r>
        <w:rPr>
          <w:rFonts w:ascii="Verdana" w:hAnsi="Verdana"/>
          <w:sz w:val="20"/>
          <w:szCs w:val="20"/>
        </w:rPr>
        <w:t xml:space="preserve">). </w:t>
      </w:r>
      <w:r w:rsidR="00D37AAF">
        <w:rPr>
          <w:rFonts w:ascii="Verdana" w:hAnsi="Verdana"/>
          <w:sz w:val="20"/>
          <w:szCs w:val="20"/>
        </w:rPr>
        <w:t>Posteriormente, e</w:t>
      </w:r>
      <w:r>
        <w:rPr>
          <w:rFonts w:ascii="Verdana" w:hAnsi="Verdana"/>
          <w:sz w:val="20"/>
          <w:szCs w:val="20"/>
        </w:rPr>
        <w:t xml:space="preserve">l señor Lagos del Campo interpuso diversos recursos los cuales fueron declarados </w:t>
      </w:r>
      <w:r w:rsidRPr="00333304">
        <w:rPr>
          <w:rFonts w:ascii="Verdana" w:hAnsi="Verdana"/>
          <w:sz w:val="20"/>
          <w:szCs w:val="20"/>
        </w:rPr>
        <w:t>improcedente</w:t>
      </w:r>
      <w:r w:rsidR="002C289A" w:rsidRPr="00333304">
        <w:rPr>
          <w:rFonts w:ascii="Verdana" w:hAnsi="Verdana"/>
          <w:sz w:val="20"/>
          <w:szCs w:val="20"/>
        </w:rPr>
        <w:t>s</w:t>
      </w:r>
      <w:r w:rsidRPr="00333304">
        <w:rPr>
          <w:rFonts w:ascii="Verdana" w:hAnsi="Verdana"/>
          <w:sz w:val="20"/>
          <w:szCs w:val="20"/>
        </w:rPr>
        <w:t xml:space="preserve"> </w:t>
      </w:r>
      <w:r>
        <w:rPr>
          <w:rFonts w:ascii="Verdana" w:hAnsi="Verdana"/>
          <w:sz w:val="20"/>
          <w:szCs w:val="20"/>
        </w:rPr>
        <w:t>(</w:t>
      </w:r>
      <w:r w:rsidR="00224537" w:rsidRPr="00224537">
        <w:rPr>
          <w:rFonts w:ascii="Verdana" w:hAnsi="Verdana"/>
          <w:i/>
          <w:sz w:val="20"/>
          <w:szCs w:val="20"/>
        </w:rPr>
        <w:t>supra</w:t>
      </w:r>
      <w:r>
        <w:rPr>
          <w:rFonts w:ascii="Verdana" w:hAnsi="Verdana"/>
          <w:sz w:val="20"/>
          <w:szCs w:val="20"/>
        </w:rPr>
        <w:t xml:space="preserve"> </w:t>
      </w:r>
      <w:proofErr w:type="spellStart"/>
      <w:r w:rsidR="00DC1C15">
        <w:rPr>
          <w:rFonts w:ascii="Verdana" w:hAnsi="Verdana"/>
          <w:sz w:val="20"/>
          <w:szCs w:val="20"/>
        </w:rPr>
        <w:t>párr</w:t>
      </w:r>
      <w:r w:rsidR="003F5593">
        <w:rPr>
          <w:rFonts w:ascii="Verdana" w:hAnsi="Verdana"/>
          <w:sz w:val="20"/>
          <w:szCs w:val="20"/>
        </w:rPr>
        <w:t>s</w:t>
      </w:r>
      <w:proofErr w:type="spellEnd"/>
      <w:r w:rsidR="003F5593">
        <w:rPr>
          <w:rFonts w:ascii="Verdana" w:hAnsi="Verdana"/>
          <w:sz w:val="20"/>
          <w:szCs w:val="20"/>
        </w:rPr>
        <w:t>.</w:t>
      </w:r>
      <w:r w:rsidR="00DC1C15">
        <w:rPr>
          <w:rFonts w:ascii="Verdana" w:hAnsi="Verdana"/>
          <w:sz w:val="20"/>
          <w:szCs w:val="20"/>
        </w:rPr>
        <w:t xml:space="preserve"> 61</w:t>
      </w:r>
      <w:r w:rsidR="003F5593">
        <w:rPr>
          <w:rFonts w:ascii="Verdana" w:hAnsi="Verdana"/>
          <w:sz w:val="20"/>
          <w:szCs w:val="20"/>
        </w:rPr>
        <w:t xml:space="preserve"> a 70</w:t>
      </w:r>
      <w:r>
        <w:rPr>
          <w:rFonts w:ascii="Verdana" w:hAnsi="Verdana"/>
          <w:sz w:val="20"/>
          <w:szCs w:val="20"/>
        </w:rPr>
        <w:t>).</w:t>
      </w:r>
    </w:p>
    <w:p w14:paraId="2D5BDB77" w14:textId="77777777" w:rsidR="00E62F6C" w:rsidRDefault="00E62F6C" w:rsidP="00E62F6C">
      <w:pPr>
        <w:pStyle w:val="ListParagraph"/>
        <w:ind w:left="0"/>
        <w:jc w:val="both"/>
        <w:rPr>
          <w:rFonts w:ascii="Verdana" w:hAnsi="Verdana"/>
          <w:sz w:val="20"/>
          <w:szCs w:val="20"/>
        </w:rPr>
      </w:pPr>
    </w:p>
    <w:p w14:paraId="37FF2C76" w14:textId="1307901E" w:rsidR="00E62F6C" w:rsidRPr="00DC2F11" w:rsidRDefault="00E62F6C" w:rsidP="00E66DD7">
      <w:pPr>
        <w:pStyle w:val="ListParagraph"/>
        <w:numPr>
          <w:ilvl w:val="0"/>
          <w:numId w:val="1"/>
        </w:numPr>
        <w:ind w:left="0" w:firstLine="0"/>
        <w:jc w:val="both"/>
        <w:rPr>
          <w:rFonts w:ascii="Verdana" w:hAnsi="Verdana"/>
          <w:sz w:val="20"/>
          <w:szCs w:val="20"/>
        </w:rPr>
      </w:pPr>
      <w:r w:rsidRPr="005D0F69">
        <w:rPr>
          <w:rFonts w:ascii="Verdana" w:hAnsi="Verdana"/>
          <w:sz w:val="20"/>
        </w:rPr>
        <w:t xml:space="preserve">En atención a lo anterior, corresponde a la Corte analizar si la sentencia del </w:t>
      </w:r>
      <w:r w:rsidR="00004729" w:rsidRPr="00261A99">
        <w:rPr>
          <w:rFonts w:ascii="Verdana" w:hAnsi="Verdana"/>
          <w:sz w:val="20"/>
          <w:szCs w:val="20"/>
        </w:rPr>
        <w:t>Segundo Tribunal del Trabajo</w:t>
      </w:r>
      <w:r w:rsidRPr="005D0F69">
        <w:rPr>
          <w:rFonts w:ascii="Verdana" w:hAnsi="Verdana"/>
          <w:sz w:val="20"/>
        </w:rPr>
        <w:t xml:space="preserve">, que calificó el despido del señor Lagos del Campo como “legal y justificado”, </w:t>
      </w:r>
      <w:r w:rsidR="00004729" w:rsidRPr="005D0F69">
        <w:rPr>
          <w:rFonts w:ascii="Verdana" w:hAnsi="Verdana"/>
          <w:sz w:val="20"/>
        </w:rPr>
        <w:t xml:space="preserve">atendió lo dispuesto en los artículos 13.2 y 8 de la Convención, al valorar </w:t>
      </w:r>
      <w:r w:rsidR="00584602" w:rsidRPr="005D0F69">
        <w:rPr>
          <w:rFonts w:ascii="Verdana" w:hAnsi="Verdana"/>
          <w:sz w:val="20"/>
        </w:rPr>
        <w:t>la necesidad de la restricción</w:t>
      </w:r>
      <w:r w:rsidR="00004729" w:rsidRPr="005D0F69">
        <w:rPr>
          <w:rFonts w:ascii="Verdana" w:hAnsi="Verdana"/>
          <w:sz w:val="20"/>
        </w:rPr>
        <w:t xml:space="preserve"> impuesta por parte de un particular</w:t>
      </w:r>
      <w:r w:rsidR="00584602" w:rsidRPr="005D0F69">
        <w:rPr>
          <w:rFonts w:ascii="Verdana" w:hAnsi="Verdana"/>
          <w:sz w:val="20"/>
        </w:rPr>
        <w:t xml:space="preserve">, </w:t>
      </w:r>
      <w:r w:rsidRPr="005D0F69">
        <w:rPr>
          <w:rFonts w:ascii="Verdana" w:hAnsi="Verdana"/>
          <w:sz w:val="20"/>
        </w:rPr>
        <w:t>a través de una debida motivación.</w:t>
      </w:r>
      <w:r>
        <w:rPr>
          <w:rFonts w:ascii="Verdana" w:hAnsi="Verdana"/>
          <w:sz w:val="20"/>
          <w:szCs w:val="20"/>
        </w:rPr>
        <w:t xml:space="preserve"> Particularmente, </w:t>
      </w:r>
      <w:r w:rsidR="0065727E">
        <w:rPr>
          <w:rFonts w:ascii="Verdana" w:hAnsi="Verdana"/>
          <w:sz w:val="20"/>
          <w:szCs w:val="20"/>
        </w:rPr>
        <w:t xml:space="preserve">la Corte analizará </w:t>
      </w:r>
      <w:r>
        <w:rPr>
          <w:rFonts w:ascii="Verdana" w:hAnsi="Verdana"/>
          <w:sz w:val="20"/>
          <w:szCs w:val="20"/>
        </w:rPr>
        <w:t xml:space="preserve">si </w:t>
      </w:r>
      <w:r w:rsidR="00584602">
        <w:rPr>
          <w:rFonts w:ascii="Verdana" w:hAnsi="Verdana"/>
          <w:sz w:val="20"/>
          <w:szCs w:val="20"/>
        </w:rPr>
        <w:t xml:space="preserve">las declaraciones expuestas por el señor </w:t>
      </w:r>
      <w:r w:rsidR="00584602" w:rsidRPr="00633DC9">
        <w:rPr>
          <w:rFonts w:ascii="Verdana" w:hAnsi="Verdana"/>
          <w:sz w:val="20"/>
          <w:szCs w:val="20"/>
        </w:rPr>
        <w:t>Lagos del Campo contaban con</w:t>
      </w:r>
      <w:r w:rsidRPr="00633DC9">
        <w:rPr>
          <w:rFonts w:ascii="Verdana" w:hAnsi="Verdana"/>
          <w:sz w:val="20"/>
          <w:szCs w:val="20"/>
        </w:rPr>
        <w:t xml:space="preserve"> una protección reforzada en virtud de</w:t>
      </w:r>
      <w:r w:rsidR="00584602" w:rsidRPr="00633DC9">
        <w:rPr>
          <w:rFonts w:ascii="Verdana" w:hAnsi="Verdana"/>
          <w:sz w:val="20"/>
          <w:szCs w:val="20"/>
        </w:rPr>
        <w:t>l contexto de las mismas y su calidad de representante</w:t>
      </w:r>
      <w:r w:rsidRPr="00EB5530">
        <w:rPr>
          <w:rFonts w:ascii="Verdana" w:hAnsi="Verdana"/>
          <w:sz w:val="20"/>
          <w:szCs w:val="20"/>
        </w:rPr>
        <w:t xml:space="preserve">, </w:t>
      </w:r>
      <w:r w:rsidR="00584602" w:rsidRPr="00EB5530">
        <w:rPr>
          <w:rFonts w:ascii="Verdana" w:hAnsi="Verdana"/>
          <w:sz w:val="20"/>
          <w:szCs w:val="20"/>
        </w:rPr>
        <w:t xml:space="preserve">así como </w:t>
      </w:r>
      <w:r w:rsidRPr="00EB5530">
        <w:rPr>
          <w:rFonts w:ascii="Verdana" w:hAnsi="Verdana"/>
          <w:sz w:val="20"/>
          <w:szCs w:val="20"/>
        </w:rPr>
        <w:t xml:space="preserve">si el juez </w:t>
      </w:r>
      <w:r w:rsidR="00004729" w:rsidRPr="00EB5530">
        <w:rPr>
          <w:rFonts w:ascii="Verdana" w:hAnsi="Verdana"/>
          <w:sz w:val="20"/>
          <w:szCs w:val="20"/>
        </w:rPr>
        <w:t xml:space="preserve">que avaló dicha restricción </w:t>
      </w:r>
      <w:r w:rsidRPr="00EB5530">
        <w:rPr>
          <w:rFonts w:ascii="Verdana" w:hAnsi="Verdana"/>
          <w:sz w:val="20"/>
          <w:szCs w:val="20"/>
        </w:rPr>
        <w:t xml:space="preserve">tomó debida consideración de estas condiciones al momento de calificar la legalidad de la restricción. Adicionalmente, </w:t>
      </w:r>
      <w:r w:rsidR="00261A99" w:rsidRPr="00EB5530">
        <w:rPr>
          <w:rFonts w:ascii="Verdana" w:hAnsi="Verdana"/>
          <w:sz w:val="20"/>
          <w:szCs w:val="20"/>
        </w:rPr>
        <w:t xml:space="preserve">la Corte debe determinar si </w:t>
      </w:r>
      <w:r w:rsidR="00584602" w:rsidRPr="00EB5530">
        <w:rPr>
          <w:rFonts w:ascii="Verdana" w:hAnsi="Verdana"/>
          <w:sz w:val="20"/>
          <w:szCs w:val="20"/>
        </w:rPr>
        <w:t>la sanción impuesta</w:t>
      </w:r>
      <w:r w:rsidR="00261A99" w:rsidRPr="00EB5530">
        <w:rPr>
          <w:rFonts w:ascii="Verdana" w:hAnsi="Verdana"/>
          <w:sz w:val="20"/>
          <w:szCs w:val="20"/>
        </w:rPr>
        <w:t>, avalada por el juez,</w:t>
      </w:r>
      <w:r w:rsidR="00584602" w:rsidRPr="00EB5530">
        <w:rPr>
          <w:rFonts w:ascii="Verdana" w:hAnsi="Verdana"/>
          <w:sz w:val="20"/>
          <w:szCs w:val="20"/>
        </w:rPr>
        <w:t xml:space="preserve"> </w:t>
      </w:r>
      <w:r w:rsidR="00897EE7" w:rsidRPr="00EB5530">
        <w:rPr>
          <w:rFonts w:ascii="Verdana" w:hAnsi="Verdana"/>
          <w:sz w:val="20"/>
          <w:szCs w:val="20"/>
        </w:rPr>
        <w:t>impactó en el</w:t>
      </w:r>
      <w:r w:rsidR="00584602" w:rsidRPr="00EB5530">
        <w:rPr>
          <w:rFonts w:ascii="Verdana" w:hAnsi="Verdana"/>
          <w:sz w:val="20"/>
          <w:szCs w:val="20"/>
        </w:rPr>
        <w:t xml:space="preserve"> </w:t>
      </w:r>
      <w:r w:rsidRPr="00EB5530">
        <w:rPr>
          <w:rFonts w:ascii="Verdana" w:hAnsi="Verdana"/>
          <w:sz w:val="20"/>
          <w:szCs w:val="20"/>
        </w:rPr>
        <w:t xml:space="preserve">deber de garantía </w:t>
      </w:r>
      <w:r w:rsidR="00897EE7" w:rsidRPr="00EB5530">
        <w:rPr>
          <w:rFonts w:ascii="Verdana" w:hAnsi="Verdana"/>
          <w:sz w:val="20"/>
          <w:szCs w:val="20"/>
        </w:rPr>
        <w:t xml:space="preserve">por parte del Estado </w:t>
      </w:r>
      <w:r w:rsidRPr="00EB5530">
        <w:rPr>
          <w:rFonts w:ascii="Verdana" w:hAnsi="Verdana"/>
          <w:sz w:val="20"/>
          <w:szCs w:val="20"/>
        </w:rPr>
        <w:t xml:space="preserve">del derecho a la libertad de asociación </w:t>
      </w:r>
      <w:r w:rsidR="00261A99" w:rsidRPr="00EB5530">
        <w:rPr>
          <w:rFonts w:ascii="Verdana" w:hAnsi="Verdana"/>
          <w:sz w:val="20"/>
          <w:szCs w:val="20"/>
        </w:rPr>
        <w:t>en su dimensión individual y colectiva</w:t>
      </w:r>
      <w:r w:rsidRPr="000E40FD">
        <w:rPr>
          <w:rFonts w:ascii="Verdana" w:hAnsi="Verdana"/>
          <w:sz w:val="20"/>
          <w:szCs w:val="20"/>
        </w:rPr>
        <w:t>.</w:t>
      </w:r>
      <w:r w:rsidRPr="00801513">
        <w:rPr>
          <w:rFonts w:ascii="Verdana" w:hAnsi="Verdana"/>
          <w:b/>
          <w:sz w:val="20"/>
          <w:szCs w:val="20"/>
        </w:rPr>
        <w:t xml:space="preserve"> </w:t>
      </w:r>
      <w:r w:rsidR="00115071" w:rsidRPr="00801513">
        <w:rPr>
          <w:rFonts w:ascii="Verdana" w:hAnsi="Verdana"/>
          <w:sz w:val="20"/>
          <w:szCs w:val="20"/>
        </w:rPr>
        <w:t>Asimismo, si el despido vulneró la estabilidad en el empleo de la presunta víctim</w:t>
      </w:r>
      <w:r w:rsidR="00115071" w:rsidRPr="00DC1C15">
        <w:rPr>
          <w:rFonts w:ascii="Verdana" w:hAnsi="Verdana"/>
          <w:sz w:val="20"/>
          <w:szCs w:val="20"/>
        </w:rPr>
        <w:t>a</w:t>
      </w:r>
      <w:r w:rsidR="00363DED" w:rsidRPr="00333304">
        <w:rPr>
          <w:rFonts w:ascii="Verdana" w:hAnsi="Verdana"/>
          <w:sz w:val="20"/>
          <w:szCs w:val="20"/>
        </w:rPr>
        <w:t>,</w:t>
      </w:r>
      <w:r w:rsidR="00363DED">
        <w:rPr>
          <w:rFonts w:ascii="Verdana" w:hAnsi="Verdana"/>
          <w:b/>
          <w:sz w:val="20"/>
          <w:szCs w:val="20"/>
        </w:rPr>
        <w:t xml:space="preserve"> </w:t>
      </w:r>
      <w:r w:rsidR="00363DED" w:rsidRPr="00333304">
        <w:rPr>
          <w:rFonts w:ascii="Verdana" w:hAnsi="Verdana"/>
          <w:sz w:val="20"/>
          <w:szCs w:val="20"/>
        </w:rPr>
        <w:t xml:space="preserve">así como </w:t>
      </w:r>
      <w:r w:rsidR="002F34A4" w:rsidRPr="00333304">
        <w:rPr>
          <w:rFonts w:ascii="Verdana" w:hAnsi="Verdana"/>
          <w:sz w:val="20"/>
          <w:szCs w:val="20"/>
        </w:rPr>
        <w:t>si contó con una tutela judicial</w:t>
      </w:r>
      <w:r w:rsidR="00363DED" w:rsidRPr="00333304">
        <w:rPr>
          <w:rFonts w:ascii="Verdana" w:hAnsi="Verdana"/>
          <w:sz w:val="20"/>
          <w:szCs w:val="20"/>
        </w:rPr>
        <w:t xml:space="preserve"> efectiva de sus derechos</w:t>
      </w:r>
      <w:r w:rsidR="00115071" w:rsidRPr="00333304">
        <w:rPr>
          <w:rFonts w:ascii="Verdana" w:hAnsi="Verdana"/>
          <w:sz w:val="20"/>
          <w:szCs w:val="20"/>
        </w:rPr>
        <w:t>.</w:t>
      </w:r>
      <w:r w:rsidR="00115071" w:rsidRPr="003303DB">
        <w:rPr>
          <w:rFonts w:ascii="Verdana" w:hAnsi="Verdana"/>
          <w:sz w:val="20"/>
          <w:szCs w:val="20"/>
        </w:rPr>
        <w:t xml:space="preserve"> </w:t>
      </w:r>
      <w:r w:rsidRPr="00115071">
        <w:rPr>
          <w:rFonts w:ascii="Verdana" w:hAnsi="Verdana"/>
          <w:sz w:val="20"/>
          <w:szCs w:val="20"/>
        </w:rPr>
        <w:t xml:space="preserve">Finalmente, corresponde a la Corte determinar si la norma que sirvió como base para el despido del señor Lagos </w:t>
      </w:r>
      <w:r w:rsidR="00004729" w:rsidRPr="00115071">
        <w:rPr>
          <w:rFonts w:ascii="Verdana" w:hAnsi="Verdana"/>
          <w:sz w:val="20"/>
          <w:szCs w:val="20"/>
        </w:rPr>
        <w:t>contravino el</w:t>
      </w:r>
      <w:r w:rsidRPr="00115071">
        <w:rPr>
          <w:rFonts w:ascii="Verdana" w:hAnsi="Verdana"/>
          <w:sz w:val="20"/>
          <w:szCs w:val="20"/>
        </w:rPr>
        <w:t xml:space="preserve"> artículo 2 de la Convención</w:t>
      </w:r>
      <w:r w:rsidR="00995EA7">
        <w:rPr>
          <w:rFonts w:ascii="Verdana" w:hAnsi="Verdana"/>
          <w:sz w:val="20"/>
          <w:szCs w:val="20"/>
        </w:rPr>
        <w:t xml:space="preserve">. </w:t>
      </w:r>
    </w:p>
    <w:p w14:paraId="514A1204" w14:textId="77777777" w:rsidR="00E62F6C" w:rsidRPr="0089179B" w:rsidRDefault="00E62F6C" w:rsidP="00D33760">
      <w:pPr>
        <w:rPr>
          <w:rFonts w:ascii="Verdana" w:hAnsi="Verdana"/>
          <w:sz w:val="20"/>
          <w:szCs w:val="20"/>
        </w:rPr>
      </w:pPr>
    </w:p>
    <w:p w14:paraId="17C91ED7" w14:textId="484C8DC0" w:rsidR="00D33760" w:rsidRPr="00E535D8" w:rsidRDefault="00E62F6C" w:rsidP="00E66DD7">
      <w:pPr>
        <w:numPr>
          <w:ilvl w:val="0"/>
          <w:numId w:val="1"/>
        </w:numPr>
        <w:ind w:left="11" w:hanging="11"/>
        <w:contextualSpacing/>
        <w:jc w:val="both"/>
        <w:rPr>
          <w:rFonts w:ascii="Verdana" w:hAnsi="Verdana"/>
          <w:sz w:val="20"/>
          <w:szCs w:val="20"/>
        </w:rPr>
      </w:pPr>
      <w:r w:rsidRPr="00E535D8">
        <w:rPr>
          <w:rFonts w:ascii="Verdana" w:hAnsi="Verdana" w:cs="Arial"/>
          <w:sz w:val="20"/>
          <w:szCs w:val="20"/>
          <w:lang w:val="es-CO"/>
        </w:rPr>
        <w:t xml:space="preserve">Para ello, </w:t>
      </w:r>
      <w:r w:rsidR="00D33760" w:rsidRPr="00E535D8">
        <w:rPr>
          <w:rFonts w:ascii="Verdana" w:hAnsi="Verdana" w:cs="Arial"/>
          <w:sz w:val="20"/>
          <w:szCs w:val="20"/>
          <w:lang w:val="es-CO"/>
        </w:rPr>
        <w:t>la Corte procederá a analizar los argumentos presentados</w:t>
      </w:r>
      <w:r w:rsidR="00D33760" w:rsidRPr="00E535D8">
        <w:rPr>
          <w:rFonts w:ascii="Verdana" w:hAnsi="Verdana"/>
          <w:sz w:val="20"/>
          <w:szCs w:val="20"/>
        </w:rPr>
        <w:t xml:space="preserve"> por las partes y la Comisión, y desarrollará las consideraciones de derecho pertinentes relacionadas con las alegadas vulneraciones a </w:t>
      </w:r>
      <w:r w:rsidR="00D37AAF" w:rsidRPr="00E535D8">
        <w:rPr>
          <w:rFonts w:ascii="Verdana" w:hAnsi="Verdana"/>
          <w:sz w:val="20"/>
          <w:szCs w:val="20"/>
        </w:rPr>
        <w:t xml:space="preserve">libertad de </w:t>
      </w:r>
      <w:r w:rsidR="00D33760" w:rsidRPr="00E535D8">
        <w:rPr>
          <w:rFonts w:ascii="Verdana" w:hAnsi="Verdana"/>
          <w:sz w:val="20"/>
          <w:szCs w:val="20"/>
        </w:rPr>
        <w:t>pensamiento y de expresión</w:t>
      </w:r>
      <w:r w:rsidR="00897EE7" w:rsidRPr="00E535D8">
        <w:rPr>
          <w:rFonts w:ascii="Verdana" w:hAnsi="Verdana"/>
          <w:sz w:val="20"/>
          <w:szCs w:val="20"/>
        </w:rPr>
        <w:t xml:space="preserve"> (artículo 13)</w:t>
      </w:r>
      <w:r w:rsidR="00D37AAF" w:rsidRPr="00E535D8">
        <w:rPr>
          <w:rFonts w:ascii="Verdana" w:hAnsi="Verdana"/>
          <w:sz w:val="20"/>
          <w:szCs w:val="20"/>
          <w:vertAlign w:val="superscript"/>
        </w:rPr>
        <w:footnoteReference w:id="103"/>
      </w:r>
      <w:r w:rsidR="00D37AAF" w:rsidRPr="00E535D8">
        <w:rPr>
          <w:rFonts w:ascii="Verdana" w:hAnsi="Verdana"/>
          <w:sz w:val="20"/>
          <w:szCs w:val="20"/>
        </w:rPr>
        <w:t xml:space="preserve">, </w:t>
      </w:r>
      <w:r w:rsidR="00D33760" w:rsidRPr="00E535D8">
        <w:rPr>
          <w:rFonts w:ascii="Verdana" w:hAnsi="Verdana"/>
          <w:sz w:val="20"/>
          <w:szCs w:val="20"/>
        </w:rPr>
        <w:t>garantías judiciales</w:t>
      </w:r>
      <w:r w:rsidR="00897EE7" w:rsidRPr="00E535D8">
        <w:rPr>
          <w:rFonts w:ascii="Verdana" w:hAnsi="Verdana"/>
          <w:sz w:val="20"/>
          <w:szCs w:val="20"/>
        </w:rPr>
        <w:t xml:space="preserve"> (artículo 8)</w:t>
      </w:r>
      <w:r w:rsidR="00D37AAF" w:rsidRPr="00E535D8">
        <w:rPr>
          <w:rFonts w:ascii="Verdana" w:hAnsi="Verdana"/>
          <w:sz w:val="20"/>
          <w:szCs w:val="20"/>
          <w:vertAlign w:val="superscript"/>
        </w:rPr>
        <w:footnoteReference w:id="104"/>
      </w:r>
      <w:r w:rsidR="00115071" w:rsidRPr="00E535D8">
        <w:rPr>
          <w:rFonts w:ascii="Verdana" w:hAnsi="Verdana"/>
          <w:sz w:val="20"/>
          <w:szCs w:val="20"/>
        </w:rPr>
        <w:t xml:space="preserve">, </w:t>
      </w:r>
      <w:r w:rsidR="00D33760" w:rsidRPr="00E535D8">
        <w:rPr>
          <w:rFonts w:ascii="Verdana" w:hAnsi="Verdana"/>
          <w:sz w:val="20"/>
          <w:szCs w:val="20"/>
        </w:rPr>
        <w:t>libertad de asociación</w:t>
      </w:r>
      <w:r w:rsidR="00897EE7" w:rsidRPr="00E535D8">
        <w:rPr>
          <w:rFonts w:ascii="Verdana" w:hAnsi="Verdana"/>
          <w:sz w:val="20"/>
          <w:szCs w:val="20"/>
        </w:rPr>
        <w:t xml:space="preserve"> (artículo 16)</w:t>
      </w:r>
      <w:r w:rsidR="00D37AAF" w:rsidRPr="00E535D8">
        <w:rPr>
          <w:rFonts w:ascii="Verdana" w:hAnsi="Verdana"/>
          <w:sz w:val="20"/>
          <w:szCs w:val="20"/>
          <w:vertAlign w:val="superscript"/>
        </w:rPr>
        <w:footnoteReference w:id="105"/>
      </w:r>
      <w:r w:rsidR="00D37AAF" w:rsidRPr="00E535D8">
        <w:rPr>
          <w:rFonts w:ascii="Verdana" w:hAnsi="Verdana"/>
          <w:sz w:val="20"/>
          <w:szCs w:val="20"/>
        </w:rPr>
        <w:t xml:space="preserve">, </w:t>
      </w:r>
      <w:r w:rsidR="00115071" w:rsidRPr="00801513">
        <w:rPr>
          <w:rFonts w:ascii="Verdana" w:hAnsi="Verdana"/>
          <w:sz w:val="20"/>
          <w:szCs w:val="20"/>
        </w:rPr>
        <w:t>estabilidad laboral (</w:t>
      </w:r>
      <w:r w:rsidR="00115071" w:rsidRPr="00A532BE">
        <w:rPr>
          <w:rFonts w:ascii="Verdana" w:hAnsi="Verdana"/>
          <w:sz w:val="20"/>
          <w:szCs w:val="20"/>
        </w:rPr>
        <w:t>artículo 26</w:t>
      </w:r>
      <w:r w:rsidR="00334B6C" w:rsidRPr="00A532BE">
        <w:rPr>
          <w:rStyle w:val="FootnoteReference"/>
          <w:szCs w:val="20"/>
        </w:rPr>
        <w:footnoteReference w:id="106"/>
      </w:r>
      <w:r w:rsidR="00115071" w:rsidRPr="00446B52">
        <w:rPr>
          <w:rFonts w:ascii="Verdana" w:hAnsi="Verdana"/>
          <w:sz w:val="20"/>
          <w:szCs w:val="20"/>
        </w:rPr>
        <w:t>)</w:t>
      </w:r>
      <w:r w:rsidR="00115071" w:rsidRPr="005D72FB">
        <w:rPr>
          <w:rFonts w:ascii="Verdana" w:hAnsi="Verdana"/>
          <w:sz w:val="20"/>
          <w:szCs w:val="20"/>
        </w:rPr>
        <w:t>,</w:t>
      </w:r>
      <w:r w:rsidR="00115071" w:rsidRPr="00E535D8">
        <w:rPr>
          <w:rFonts w:ascii="Verdana" w:hAnsi="Verdana"/>
          <w:sz w:val="20"/>
          <w:szCs w:val="20"/>
        </w:rPr>
        <w:t xml:space="preserve"> </w:t>
      </w:r>
      <w:r w:rsidR="00D37AAF" w:rsidRPr="00E535D8">
        <w:rPr>
          <w:rFonts w:ascii="Verdana" w:hAnsi="Verdana"/>
          <w:sz w:val="20"/>
          <w:szCs w:val="20"/>
        </w:rPr>
        <w:t>en relación con el artículo 1.1</w:t>
      </w:r>
      <w:r w:rsidR="00363DED" w:rsidRPr="00E535D8">
        <w:rPr>
          <w:rFonts w:ascii="Verdana" w:hAnsi="Verdana" w:cs="Verdana"/>
          <w:caps/>
          <w:snapToGrid w:val="0"/>
          <w:sz w:val="20"/>
          <w:szCs w:val="20"/>
          <w:vertAlign w:val="superscript"/>
        </w:rPr>
        <w:footnoteReference w:id="107"/>
      </w:r>
      <w:r w:rsidR="00363DED">
        <w:rPr>
          <w:rFonts w:ascii="Verdana" w:hAnsi="Verdana"/>
          <w:sz w:val="20"/>
          <w:szCs w:val="20"/>
        </w:rPr>
        <w:t>,</w:t>
      </w:r>
      <w:r w:rsidR="00363DED" w:rsidRPr="00363DED">
        <w:rPr>
          <w:rFonts w:ascii="Verdana" w:hAnsi="Verdana"/>
          <w:sz w:val="20"/>
          <w:szCs w:val="20"/>
        </w:rPr>
        <w:t xml:space="preserve"> </w:t>
      </w:r>
      <w:r w:rsidR="00363DED" w:rsidRPr="00E535D8">
        <w:rPr>
          <w:rFonts w:ascii="Verdana" w:hAnsi="Verdana"/>
          <w:sz w:val="20"/>
          <w:szCs w:val="20"/>
        </w:rPr>
        <w:t>así como la alegada vulneración de</w:t>
      </w:r>
      <w:r w:rsidR="00363DED">
        <w:rPr>
          <w:rFonts w:ascii="Verdana" w:hAnsi="Verdana"/>
          <w:sz w:val="20"/>
          <w:szCs w:val="20"/>
        </w:rPr>
        <w:t>l</w:t>
      </w:r>
      <w:r w:rsidR="00363DED" w:rsidRPr="00E535D8">
        <w:rPr>
          <w:rFonts w:ascii="Verdana" w:hAnsi="Verdana"/>
          <w:sz w:val="20"/>
          <w:szCs w:val="20"/>
        </w:rPr>
        <w:t xml:space="preserve"> artículo 2</w:t>
      </w:r>
      <w:r w:rsidR="00363DED" w:rsidRPr="00333304">
        <w:rPr>
          <w:rStyle w:val="FootnoteReference"/>
          <w:szCs w:val="20"/>
        </w:rPr>
        <w:footnoteReference w:id="108"/>
      </w:r>
      <w:r w:rsidR="00D37AAF" w:rsidRPr="00E535D8">
        <w:rPr>
          <w:rFonts w:ascii="Verdana" w:hAnsi="Verdana"/>
          <w:sz w:val="20"/>
          <w:szCs w:val="20"/>
        </w:rPr>
        <w:t xml:space="preserve">, </w:t>
      </w:r>
      <w:r w:rsidR="00004729" w:rsidRPr="00333304">
        <w:rPr>
          <w:rFonts w:ascii="Verdana" w:hAnsi="Verdana"/>
          <w:sz w:val="20"/>
          <w:szCs w:val="20"/>
        </w:rPr>
        <w:t xml:space="preserve">y </w:t>
      </w:r>
      <w:r w:rsidR="00363DED" w:rsidRPr="00333304">
        <w:rPr>
          <w:rFonts w:ascii="Verdana" w:hAnsi="Verdana"/>
          <w:sz w:val="20"/>
          <w:szCs w:val="20"/>
        </w:rPr>
        <w:t xml:space="preserve">los artículos </w:t>
      </w:r>
      <w:r w:rsidR="00004729" w:rsidRPr="00333304">
        <w:rPr>
          <w:rFonts w:ascii="Verdana" w:hAnsi="Verdana"/>
          <w:sz w:val="20"/>
          <w:szCs w:val="20"/>
        </w:rPr>
        <w:t>8</w:t>
      </w:r>
      <w:r w:rsidR="00363DED" w:rsidRPr="00333304">
        <w:rPr>
          <w:rFonts w:ascii="Verdana" w:hAnsi="Verdana"/>
          <w:sz w:val="20"/>
          <w:szCs w:val="20"/>
        </w:rPr>
        <w:t xml:space="preserve"> y 25</w:t>
      </w:r>
      <w:r w:rsidR="00363DED" w:rsidRPr="00333304">
        <w:rPr>
          <w:rStyle w:val="FootnoteReference"/>
          <w:szCs w:val="20"/>
        </w:rPr>
        <w:footnoteReference w:id="109"/>
      </w:r>
      <w:r w:rsidR="00CD0D18" w:rsidRPr="00E535D8">
        <w:rPr>
          <w:rFonts w:ascii="Verdana" w:hAnsi="Verdana"/>
          <w:sz w:val="20"/>
          <w:szCs w:val="20"/>
        </w:rPr>
        <w:t>, todos ellos de la Convención Americana sobre Derechos Humanos.</w:t>
      </w:r>
    </w:p>
    <w:p w14:paraId="5DDF4D2C" w14:textId="77777777" w:rsidR="00A4549D" w:rsidRDefault="00A4549D" w:rsidP="00A4549D">
      <w:pPr>
        <w:contextualSpacing/>
        <w:jc w:val="both"/>
        <w:rPr>
          <w:rFonts w:ascii="Verdana" w:hAnsi="Verdana"/>
          <w:sz w:val="20"/>
          <w:szCs w:val="20"/>
        </w:rPr>
      </w:pPr>
    </w:p>
    <w:p w14:paraId="6D018C52" w14:textId="10871581" w:rsidR="00C01305" w:rsidRPr="00C01305" w:rsidRDefault="00374FC9" w:rsidP="00C01305">
      <w:pPr>
        <w:pStyle w:val="Heading1"/>
        <w:tabs>
          <w:tab w:val="left" w:pos="851"/>
        </w:tabs>
        <w:spacing w:before="0"/>
        <w:jc w:val="center"/>
        <w:rPr>
          <w:rFonts w:cs="Verdana"/>
          <w:caps/>
          <w:snapToGrid w:val="0"/>
          <w:szCs w:val="20"/>
        </w:rPr>
      </w:pPr>
      <w:bookmarkStart w:id="29" w:name="_Toc482355927"/>
      <w:bookmarkStart w:id="30" w:name="_Toc498333492"/>
      <w:r>
        <w:rPr>
          <w:rFonts w:cs="Verdana"/>
          <w:caps/>
          <w:snapToGrid w:val="0"/>
          <w:szCs w:val="20"/>
        </w:rPr>
        <w:t>VII</w:t>
      </w:r>
      <w:r w:rsidR="00C01305">
        <w:rPr>
          <w:rFonts w:cs="Verdana"/>
          <w:caps/>
          <w:snapToGrid w:val="0"/>
          <w:szCs w:val="20"/>
        </w:rPr>
        <w:t>-</w:t>
      </w:r>
      <w:bookmarkEnd w:id="29"/>
      <w:r>
        <w:rPr>
          <w:rFonts w:cs="Verdana"/>
          <w:caps/>
          <w:snapToGrid w:val="0"/>
          <w:szCs w:val="20"/>
        </w:rPr>
        <w:t>1</w:t>
      </w:r>
      <w:bookmarkEnd w:id="30"/>
    </w:p>
    <w:p w14:paraId="6F711E32" w14:textId="0D25CB26" w:rsidR="00C01305" w:rsidRPr="00C01305" w:rsidRDefault="00C01305" w:rsidP="00CC31D1">
      <w:pPr>
        <w:pStyle w:val="Heading1"/>
        <w:tabs>
          <w:tab w:val="left" w:pos="851"/>
        </w:tabs>
        <w:spacing w:before="0"/>
        <w:jc w:val="center"/>
        <w:rPr>
          <w:rFonts w:cs="Verdana"/>
          <w:caps/>
          <w:snapToGrid w:val="0"/>
          <w:szCs w:val="20"/>
        </w:rPr>
      </w:pPr>
      <w:bookmarkStart w:id="31" w:name="_Toc462239155"/>
      <w:bookmarkStart w:id="32" w:name="_Toc498333493"/>
      <w:r w:rsidRPr="00C01305">
        <w:rPr>
          <w:rFonts w:cs="Verdana"/>
          <w:caps/>
          <w:snapToGrid w:val="0"/>
          <w:szCs w:val="20"/>
        </w:rPr>
        <w:t>libertad de pensamiento y de expresión</w:t>
      </w:r>
      <w:bookmarkEnd w:id="31"/>
      <w:r w:rsidR="00CC31D1">
        <w:rPr>
          <w:rFonts w:cs="Verdana"/>
          <w:caps/>
          <w:snapToGrid w:val="0"/>
          <w:szCs w:val="20"/>
        </w:rPr>
        <w:t>,</w:t>
      </w:r>
      <w:r w:rsidRPr="00C01305">
        <w:rPr>
          <w:rFonts w:cs="Verdana"/>
          <w:caps/>
          <w:snapToGrid w:val="0"/>
          <w:szCs w:val="20"/>
        </w:rPr>
        <w:t xml:space="preserve"> GARANTÍAS JUDICIALES</w:t>
      </w:r>
      <w:r w:rsidR="00430EA0">
        <w:rPr>
          <w:rFonts w:cs="Verdana"/>
          <w:caps/>
          <w:snapToGrid w:val="0"/>
          <w:szCs w:val="20"/>
        </w:rPr>
        <w:t xml:space="preserve">, </w:t>
      </w:r>
      <w:r w:rsidR="00DC2D17">
        <w:rPr>
          <w:rFonts w:cs="Verdana"/>
          <w:caps/>
          <w:snapToGrid w:val="0"/>
          <w:szCs w:val="20"/>
        </w:rPr>
        <w:t>Estabilidad laboral</w:t>
      </w:r>
      <w:r w:rsidR="00F20967">
        <w:rPr>
          <w:rFonts w:cs="Verdana"/>
          <w:caps/>
          <w:snapToGrid w:val="0"/>
          <w:szCs w:val="20"/>
        </w:rPr>
        <w:t xml:space="preserve">, </w:t>
      </w:r>
      <w:r w:rsidR="00430EA0">
        <w:rPr>
          <w:rFonts w:cs="Verdana"/>
          <w:caps/>
          <w:snapToGrid w:val="0"/>
          <w:szCs w:val="20"/>
        </w:rPr>
        <w:t>libertad de asociación,</w:t>
      </w:r>
      <w:r w:rsidR="0088700B">
        <w:rPr>
          <w:rFonts w:cs="Verdana"/>
          <w:caps/>
          <w:snapToGrid w:val="0"/>
          <w:szCs w:val="20"/>
        </w:rPr>
        <w:t xml:space="preserve"> </w:t>
      </w:r>
      <w:r w:rsidR="006448F1">
        <w:rPr>
          <w:rFonts w:cs="Verdana"/>
          <w:caps/>
          <w:snapToGrid w:val="0"/>
          <w:szCs w:val="20"/>
        </w:rPr>
        <w:t>de</w:t>
      </w:r>
      <w:r w:rsidR="00897EE7">
        <w:rPr>
          <w:rFonts w:cs="Verdana"/>
          <w:caps/>
          <w:snapToGrid w:val="0"/>
          <w:szCs w:val="20"/>
        </w:rPr>
        <w:t>BER DE</w:t>
      </w:r>
      <w:r w:rsidR="0052581B">
        <w:rPr>
          <w:rFonts w:cs="Verdana"/>
          <w:caps/>
          <w:snapToGrid w:val="0"/>
          <w:szCs w:val="20"/>
        </w:rPr>
        <w:t xml:space="preserve"> </w:t>
      </w:r>
      <w:r w:rsidR="00CC31D1" w:rsidRPr="00557859">
        <w:rPr>
          <w:rFonts w:cs="Verdana"/>
          <w:caps/>
          <w:snapToGrid w:val="0"/>
          <w:szCs w:val="20"/>
        </w:rPr>
        <w:t>ADOPTAR DISPOSICIONES DE DERECHO INTERNO</w:t>
      </w:r>
      <w:bookmarkEnd w:id="32"/>
    </w:p>
    <w:p w14:paraId="61A06078" w14:textId="6245E03B" w:rsidR="00C01305" w:rsidRDefault="00C01305" w:rsidP="00C01305">
      <w:pPr>
        <w:pStyle w:val="Heading1"/>
        <w:tabs>
          <w:tab w:val="left" w:pos="851"/>
        </w:tabs>
        <w:spacing w:before="0"/>
        <w:jc w:val="center"/>
        <w:rPr>
          <w:rFonts w:cs="Verdana"/>
          <w:caps/>
          <w:snapToGrid w:val="0"/>
          <w:szCs w:val="20"/>
        </w:rPr>
      </w:pPr>
      <w:bookmarkStart w:id="33" w:name="_Toc482355929"/>
      <w:bookmarkStart w:id="34" w:name="_Toc498333494"/>
      <w:r w:rsidRPr="00C01305">
        <w:rPr>
          <w:rFonts w:cs="Verdana"/>
          <w:caps/>
          <w:snapToGrid w:val="0"/>
          <w:szCs w:val="20"/>
        </w:rPr>
        <w:t>(ARTÍCULOS 13</w:t>
      </w:r>
      <w:r w:rsidR="00CC31D1">
        <w:rPr>
          <w:rFonts w:cs="Verdana"/>
          <w:caps/>
          <w:snapToGrid w:val="0"/>
          <w:szCs w:val="20"/>
        </w:rPr>
        <w:t xml:space="preserve">, </w:t>
      </w:r>
      <w:r w:rsidRPr="00C01305">
        <w:rPr>
          <w:rFonts w:cs="Verdana"/>
          <w:caps/>
          <w:snapToGrid w:val="0"/>
          <w:szCs w:val="20"/>
        </w:rPr>
        <w:t>8</w:t>
      </w:r>
      <w:r w:rsidR="00CC31D1">
        <w:rPr>
          <w:rFonts w:cs="Verdana"/>
          <w:caps/>
          <w:snapToGrid w:val="0"/>
          <w:szCs w:val="20"/>
        </w:rPr>
        <w:t>,</w:t>
      </w:r>
      <w:r w:rsidR="00430EA0">
        <w:rPr>
          <w:rFonts w:cs="Verdana"/>
          <w:caps/>
          <w:snapToGrid w:val="0"/>
          <w:szCs w:val="20"/>
        </w:rPr>
        <w:t xml:space="preserve"> </w:t>
      </w:r>
      <w:r w:rsidR="00F20967">
        <w:rPr>
          <w:rFonts w:cs="Verdana"/>
          <w:caps/>
          <w:snapToGrid w:val="0"/>
          <w:szCs w:val="20"/>
        </w:rPr>
        <w:t>26, 16</w:t>
      </w:r>
      <w:r w:rsidR="0088700B">
        <w:rPr>
          <w:rFonts w:cs="Verdana"/>
          <w:caps/>
          <w:snapToGrid w:val="0"/>
          <w:szCs w:val="20"/>
        </w:rPr>
        <w:t xml:space="preserve">, </w:t>
      </w:r>
      <w:r w:rsidR="00CC31D1">
        <w:rPr>
          <w:rFonts w:cs="Verdana"/>
          <w:caps/>
          <w:snapToGrid w:val="0"/>
          <w:szCs w:val="20"/>
        </w:rPr>
        <w:t>1.1</w:t>
      </w:r>
      <w:r w:rsidRPr="00C01305">
        <w:rPr>
          <w:rFonts w:cs="Verdana"/>
          <w:caps/>
          <w:snapToGrid w:val="0"/>
          <w:szCs w:val="20"/>
        </w:rPr>
        <w:t xml:space="preserve"> </w:t>
      </w:r>
      <w:r w:rsidR="00CC31D1">
        <w:rPr>
          <w:rFonts w:cs="Verdana"/>
          <w:caps/>
          <w:snapToGrid w:val="0"/>
          <w:szCs w:val="20"/>
        </w:rPr>
        <w:t xml:space="preserve">y 2 </w:t>
      </w:r>
      <w:r w:rsidRPr="00C01305">
        <w:rPr>
          <w:rFonts w:cs="Verdana"/>
          <w:caps/>
          <w:snapToGrid w:val="0"/>
          <w:szCs w:val="20"/>
        </w:rPr>
        <w:t>DE LA CONVENCIÓN AMERICANA)</w:t>
      </w:r>
      <w:bookmarkEnd w:id="33"/>
      <w:bookmarkEnd w:id="34"/>
    </w:p>
    <w:p w14:paraId="09CCEE2C" w14:textId="77777777" w:rsidR="00C01305" w:rsidRDefault="00C01305" w:rsidP="00C01305"/>
    <w:p w14:paraId="60A1C29E" w14:textId="77777777" w:rsidR="00C01305" w:rsidRPr="00C01305" w:rsidRDefault="00C01305" w:rsidP="00E66DD7">
      <w:pPr>
        <w:pStyle w:val="Heading2"/>
        <w:numPr>
          <w:ilvl w:val="0"/>
          <w:numId w:val="10"/>
        </w:numPr>
        <w:rPr>
          <w:i/>
          <w:szCs w:val="20"/>
        </w:rPr>
      </w:pPr>
      <w:bookmarkStart w:id="35" w:name="_Toc447112135"/>
      <w:bookmarkStart w:id="36" w:name="_Toc498333495"/>
      <w:r w:rsidRPr="00C01305">
        <w:rPr>
          <w:i/>
          <w:szCs w:val="20"/>
        </w:rPr>
        <w:t>Argumentos de las partes</w:t>
      </w:r>
      <w:bookmarkEnd w:id="35"/>
      <w:r w:rsidRPr="00C01305">
        <w:rPr>
          <w:i/>
          <w:szCs w:val="20"/>
        </w:rPr>
        <w:t xml:space="preserve"> y de la Comisión</w:t>
      </w:r>
      <w:bookmarkEnd w:id="36"/>
    </w:p>
    <w:p w14:paraId="19404AC6" w14:textId="77777777" w:rsidR="004D6B60" w:rsidRPr="00604459" w:rsidRDefault="004D6B60" w:rsidP="005D0F69">
      <w:pPr>
        <w:keepNext/>
        <w:keepLines/>
        <w:jc w:val="both"/>
        <w:outlineLvl w:val="1"/>
        <w:rPr>
          <w:rFonts w:ascii="Verdana" w:eastAsia="Times New Roman" w:hAnsi="Verdana"/>
          <w:b/>
          <w:bCs/>
          <w:i/>
          <w:sz w:val="20"/>
          <w:szCs w:val="20"/>
          <w:lang w:val="es-ES"/>
        </w:rPr>
      </w:pPr>
    </w:p>
    <w:p w14:paraId="38B41E3C" w14:textId="3A031F99" w:rsidR="00C01305" w:rsidRPr="005B3D37" w:rsidRDefault="004D6B60" w:rsidP="00E66DD7">
      <w:pPr>
        <w:pStyle w:val="Heading3"/>
        <w:numPr>
          <w:ilvl w:val="0"/>
          <w:numId w:val="18"/>
        </w:numPr>
        <w:rPr>
          <w:b w:val="0"/>
          <w:bCs w:val="0"/>
          <w:i/>
          <w:iCs/>
          <w:szCs w:val="20"/>
        </w:rPr>
      </w:pPr>
      <w:bookmarkStart w:id="37" w:name="_Toc498333496"/>
      <w:r w:rsidRPr="005B3D37">
        <w:rPr>
          <w:i/>
          <w:iCs/>
          <w:szCs w:val="20"/>
        </w:rPr>
        <w:t>Relativos a la libertad de expresión y a las garantías judiciales</w:t>
      </w:r>
      <w:bookmarkEnd w:id="37"/>
    </w:p>
    <w:p w14:paraId="30000091" w14:textId="77777777" w:rsidR="004D6B60" w:rsidRPr="00C01305" w:rsidRDefault="004D6B60" w:rsidP="005D0F69">
      <w:pPr>
        <w:keepNext/>
        <w:keepLines/>
        <w:jc w:val="both"/>
        <w:outlineLvl w:val="1"/>
        <w:rPr>
          <w:rFonts w:ascii="Verdana" w:eastAsia="Times New Roman" w:hAnsi="Verdana"/>
          <w:b/>
          <w:bCs/>
          <w:i/>
          <w:sz w:val="20"/>
          <w:szCs w:val="20"/>
          <w:lang w:val="es-ES"/>
        </w:rPr>
      </w:pPr>
    </w:p>
    <w:p w14:paraId="70F8C0C8" w14:textId="4AF6412A" w:rsidR="00C01305" w:rsidRPr="00557859" w:rsidRDefault="00C01305" w:rsidP="00E66DD7">
      <w:pPr>
        <w:numPr>
          <w:ilvl w:val="0"/>
          <w:numId w:val="1"/>
        </w:numPr>
        <w:autoSpaceDE w:val="0"/>
        <w:autoSpaceDN w:val="0"/>
        <w:adjustRightInd w:val="0"/>
        <w:ind w:left="0" w:firstLine="0"/>
        <w:contextualSpacing/>
        <w:jc w:val="both"/>
        <w:rPr>
          <w:sz w:val="20"/>
          <w:szCs w:val="20"/>
        </w:rPr>
      </w:pPr>
      <w:r w:rsidRPr="00C01305">
        <w:rPr>
          <w:rFonts w:ascii="Verdana" w:hAnsi="Verdana"/>
          <w:sz w:val="20"/>
          <w:szCs w:val="20"/>
          <w:lang w:val="es-ES"/>
        </w:rPr>
        <w:t>Respecto de la libertad de expresión,</w:t>
      </w:r>
      <w:r w:rsidRPr="00C01305">
        <w:rPr>
          <w:rFonts w:ascii="Verdana" w:hAnsi="Verdana"/>
          <w:sz w:val="20"/>
          <w:szCs w:val="20"/>
          <w:lang w:val="es-MX"/>
        </w:rPr>
        <w:t xml:space="preserve"> la </w:t>
      </w:r>
      <w:r w:rsidRPr="00C01305">
        <w:rPr>
          <w:rFonts w:ascii="Verdana" w:hAnsi="Verdana"/>
          <w:b/>
          <w:i/>
          <w:sz w:val="20"/>
          <w:szCs w:val="20"/>
          <w:lang w:val="es-MX"/>
        </w:rPr>
        <w:t>Comisión</w:t>
      </w:r>
      <w:r w:rsidRPr="00C01305">
        <w:rPr>
          <w:rFonts w:ascii="Verdana" w:hAnsi="Verdana"/>
          <w:sz w:val="20"/>
          <w:szCs w:val="20"/>
          <w:lang w:val="es-MX"/>
        </w:rPr>
        <w:t xml:space="preserve"> alegó</w:t>
      </w:r>
      <w:r w:rsidR="000F0E92">
        <w:rPr>
          <w:rFonts w:ascii="Verdana" w:hAnsi="Verdana"/>
          <w:sz w:val="20"/>
          <w:szCs w:val="20"/>
          <w:lang w:val="es-MX"/>
        </w:rPr>
        <w:t xml:space="preserve"> </w:t>
      </w:r>
      <w:r w:rsidRPr="00C01305">
        <w:rPr>
          <w:rFonts w:ascii="Verdana" w:hAnsi="Verdana"/>
          <w:sz w:val="20"/>
          <w:szCs w:val="20"/>
          <w:lang w:val="es-MX"/>
        </w:rPr>
        <w:t xml:space="preserve">que </w:t>
      </w:r>
      <w:r w:rsidRPr="00C01305">
        <w:rPr>
          <w:rFonts w:ascii="Verdana" w:hAnsi="Verdana"/>
          <w:sz w:val="20"/>
          <w:szCs w:val="20"/>
          <w:lang w:val="es-ES" w:eastAsia="es-ES"/>
        </w:rPr>
        <w:t>las manifestaciones del señor Lagos del Campo deben entenderse como parte de su labor como representante de una colectividad de trabajadores, los cuales gozan de una mayor protección bajo la Convención Americana.</w:t>
      </w:r>
      <w:r w:rsidRPr="00C01305">
        <w:rPr>
          <w:rFonts w:ascii="Verdana" w:hAnsi="Verdana"/>
          <w:sz w:val="20"/>
          <w:szCs w:val="20"/>
          <w:lang w:val="es-MX"/>
        </w:rPr>
        <w:t xml:space="preserve"> De</w:t>
      </w:r>
      <w:r w:rsidRPr="00C01305">
        <w:rPr>
          <w:rFonts w:ascii="Verdana" w:hAnsi="Verdana"/>
          <w:sz w:val="20"/>
          <w:szCs w:val="20"/>
          <w:lang w:val="es-ES" w:eastAsia="es-ES"/>
        </w:rPr>
        <w:t xml:space="preserve"> la lectura integral de la entrevista publicada en la revista “La Razón” es evidente que el objeto de las declaraciones fue denunciar y llamar la atención sobre actos de injerencia indebida de los empleadores en la vida de las organizaciones representativas de los trabajadores y en la realización de elecciones internas de la Comunidad Industrial,</w:t>
      </w:r>
      <w:r w:rsidR="00F41D30">
        <w:rPr>
          <w:rFonts w:ascii="Verdana" w:hAnsi="Verdana"/>
          <w:b/>
          <w:sz w:val="20"/>
          <w:szCs w:val="20"/>
          <w:lang w:val="es-ES"/>
        </w:rPr>
        <w:t xml:space="preserve"> </w:t>
      </w:r>
      <w:r w:rsidR="001B481A" w:rsidRPr="00333304">
        <w:rPr>
          <w:rFonts w:ascii="Verdana" w:hAnsi="Verdana"/>
          <w:sz w:val="20"/>
          <w:szCs w:val="20"/>
          <w:lang w:val="es-MX" w:eastAsia="es-ES"/>
        </w:rPr>
        <w:t>puesto</w:t>
      </w:r>
      <w:r w:rsidRPr="00C01305">
        <w:rPr>
          <w:rFonts w:ascii="Verdana" w:hAnsi="Verdana"/>
          <w:sz w:val="20"/>
          <w:szCs w:val="20"/>
          <w:lang w:val="es-ES" w:eastAsia="es-ES"/>
        </w:rPr>
        <w:t xml:space="preserve"> que se trataba de elecciones que impactaban el ejercicio de los derechos de los trabajadores.</w:t>
      </w:r>
      <w:r w:rsidRPr="00C01305">
        <w:rPr>
          <w:rFonts w:ascii="Verdana" w:hAnsi="Verdana"/>
          <w:sz w:val="20"/>
          <w:szCs w:val="20"/>
          <w:lang w:val="es-MX"/>
        </w:rPr>
        <w:t xml:space="preserve"> Por ello, no resulta probado que la sanción fuera verdaderamente necesaria en una sociedad democrática, pues involucra un evidente interés público.</w:t>
      </w:r>
      <w:r w:rsidR="00F41D30">
        <w:rPr>
          <w:rFonts w:ascii="Verdana" w:hAnsi="Verdana"/>
          <w:b/>
          <w:sz w:val="20"/>
          <w:szCs w:val="20"/>
          <w:lang w:val="es-MX"/>
        </w:rPr>
        <w:t xml:space="preserve"> </w:t>
      </w:r>
      <w:r w:rsidR="002E04A3" w:rsidRPr="00557859">
        <w:rPr>
          <w:rFonts w:ascii="Verdana" w:hAnsi="Verdana"/>
          <w:sz w:val="20"/>
          <w:szCs w:val="20"/>
          <w:lang w:val="es-MX"/>
        </w:rPr>
        <w:t>Agregó</w:t>
      </w:r>
      <w:r w:rsidR="002E04A3">
        <w:rPr>
          <w:rFonts w:ascii="Verdana" w:hAnsi="Verdana"/>
          <w:sz w:val="20"/>
          <w:szCs w:val="20"/>
          <w:lang w:val="es-MX"/>
        </w:rPr>
        <w:t>,</w:t>
      </w:r>
      <w:r w:rsidR="002E04A3" w:rsidRPr="00557859">
        <w:rPr>
          <w:rFonts w:ascii="Verdana" w:hAnsi="Verdana"/>
          <w:sz w:val="20"/>
          <w:szCs w:val="20"/>
          <w:lang w:val="es-MX"/>
        </w:rPr>
        <w:t xml:space="preserve"> que</w:t>
      </w:r>
      <w:r w:rsidR="002E04A3">
        <w:rPr>
          <w:rFonts w:ascii="Verdana" w:hAnsi="Verdana"/>
          <w:b/>
          <w:sz w:val="20"/>
          <w:szCs w:val="20"/>
          <w:lang w:val="es-MX"/>
        </w:rPr>
        <w:t xml:space="preserve"> </w:t>
      </w:r>
      <w:r w:rsidR="002E04A3">
        <w:rPr>
          <w:rFonts w:ascii="Verdana" w:hAnsi="Verdana"/>
          <w:sz w:val="20"/>
          <w:szCs w:val="20"/>
          <w:lang w:val="es-MX"/>
        </w:rPr>
        <w:t>e</w:t>
      </w:r>
      <w:r w:rsidRPr="00C01305">
        <w:rPr>
          <w:rFonts w:ascii="Verdana" w:hAnsi="Verdana"/>
          <w:sz w:val="20"/>
          <w:szCs w:val="20"/>
          <w:lang w:val="es-MX"/>
        </w:rPr>
        <w:t>l Estado no demostró que el despido responda a una necesidad social imperiosa, ni se puede sostener que sea proporcionada al fin que se persigue</w:t>
      </w:r>
      <w:r w:rsidRPr="00557859">
        <w:rPr>
          <w:rFonts w:ascii="Verdana" w:hAnsi="Verdana"/>
          <w:sz w:val="20"/>
          <w:szCs w:val="20"/>
          <w:vertAlign w:val="superscript"/>
          <w:lang w:val="es-MX"/>
        </w:rPr>
        <w:footnoteReference w:id="110"/>
      </w:r>
      <w:r w:rsidRPr="00557859">
        <w:rPr>
          <w:rFonts w:ascii="Verdana" w:hAnsi="Verdana"/>
          <w:sz w:val="20"/>
          <w:szCs w:val="20"/>
          <w:lang w:val="es-MX"/>
        </w:rPr>
        <w:t>.</w:t>
      </w:r>
      <w:r w:rsidRPr="00C01305">
        <w:rPr>
          <w:rFonts w:ascii="Verdana" w:hAnsi="Verdana"/>
          <w:b/>
          <w:sz w:val="20"/>
          <w:szCs w:val="20"/>
          <w:lang w:val="es-MX"/>
        </w:rPr>
        <w:t xml:space="preserve"> </w:t>
      </w:r>
      <w:r w:rsidR="00EA03AE" w:rsidRPr="00557859">
        <w:rPr>
          <w:rFonts w:ascii="Verdana" w:hAnsi="Verdana"/>
          <w:sz w:val="20"/>
          <w:szCs w:val="20"/>
        </w:rPr>
        <w:t xml:space="preserve">Adicionalmente, </w:t>
      </w:r>
      <w:r w:rsidR="00EA03AE" w:rsidRPr="00557859">
        <w:rPr>
          <w:rFonts w:ascii="Verdana" w:hAnsi="Verdana"/>
          <w:sz w:val="20"/>
          <w:szCs w:val="20"/>
          <w:lang w:val="es-ES" w:eastAsia="es-ES"/>
        </w:rPr>
        <w:t>la Comisión también alegó que las afirmaciones del señor Lagos del Campo pudieron ser investigadas, rectificadas o aclaradas por la empresa y que existían otros medios menos lesivos que el despido, mediante los cuales la empresa pudo aclarar la información y haber defendido el honor de quienes se sintieron afectados. Aunado a que la aplicación de restricciones a la libertad de expresión para la protección de fines legítimos, no puede conducir a la imposición de un deber de lealtad absoluta hacia los empleadores ni a la sujeción del trabajador</w:t>
      </w:r>
      <w:r w:rsidR="00022E85">
        <w:rPr>
          <w:rFonts w:ascii="Verdana" w:hAnsi="Verdana"/>
          <w:sz w:val="20"/>
          <w:szCs w:val="20"/>
          <w:lang w:val="es-ES" w:eastAsia="es-ES"/>
        </w:rPr>
        <w:t xml:space="preserve"> </w:t>
      </w:r>
      <w:r w:rsidR="00022E85" w:rsidRPr="00333304">
        <w:rPr>
          <w:rFonts w:ascii="Verdana" w:hAnsi="Verdana" w:cs="Arial"/>
          <w:sz w:val="20"/>
          <w:szCs w:val="20"/>
          <w:shd w:val="clear" w:color="auto" w:fill="FFFFFF"/>
        </w:rPr>
        <w:t>—</w:t>
      </w:r>
      <w:r w:rsidR="00EA03AE" w:rsidRPr="003304E1">
        <w:rPr>
          <w:rFonts w:ascii="Verdana" w:hAnsi="Verdana"/>
          <w:sz w:val="20"/>
          <w:szCs w:val="20"/>
          <w:lang w:val="es-ES" w:eastAsia="es-ES"/>
        </w:rPr>
        <w:t>e</w:t>
      </w:r>
      <w:r w:rsidR="00EA03AE" w:rsidRPr="00557859">
        <w:rPr>
          <w:rFonts w:ascii="Verdana" w:hAnsi="Verdana"/>
          <w:sz w:val="20"/>
          <w:szCs w:val="20"/>
          <w:lang w:val="es-ES" w:eastAsia="es-ES"/>
        </w:rPr>
        <w:t>specialmente si se trata de un dirigente de trabajadores</w:t>
      </w:r>
      <w:r w:rsidR="00F41D30" w:rsidRPr="006A2648">
        <w:rPr>
          <w:rFonts w:ascii="Verdana" w:hAnsi="Verdana" w:cs="Arial"/>
          <w:sz w:val="20"/>
          <w:szCs w:val="20"/>
          <w:shd w:val="clear" w:color="auto" w:fill="FFFFFF"/>
        </w:rPr>
        <w:t>—</w:t>
      </w:r>
      <w:r w:rsidR="00022E85" w:rsidRPr="00557859" w:rsidDel="00022E85">
        <w:rPr>
          <w:rFonts w:ascii="Verdana" w:hAnsi="Verdana"/>
          <w:sz w:val="20"/>
          <w:szCs w:val="20"/>
          <w:lang w:val="es-ES" w:eastAsia="es-ES"/>
        </w:rPr>
        <w:t xml:space="preserve"> </w:t>
      </w:r>
      <w:r w:rsidR="00EA03AE" w:rsidRPr="00557859">
        <w:rPr>
          <w:rFonts w:ascii="Verdana" w:hAnsi="Verdana"/>
          <w:sz w:val="20"/>
          <w:szCs w:val="20"/>
          <w:lang w:val="es-ES" w:eastAsia="es-ES"/>
        </w:rPr>
        <w:t>a los intereses del patrono.</w:t>
      </w:r>
    </w:p>
    <w:p w14:paraId="6945F76D" w14:textId="77777777" w:rsidR="0052581B" w:rsidRPr="00C01305" w:rsidRDefault="0052581B" w:rsidP="00262F28">
      <w:pPr>
        <w:autoSpaceDE w:val="0"/>
        <w:autoSpaceDN w:val="0"/>
        <w:adjustRightInd w:val="0"/>
        <w:contextualSpacing/>
        <w:jc w:val="both"/>
      </w:pPr>
    </w:p>
    <w:p w14:paraId="1870BB3C" w14:textId="1D966FEC" w:rsidR="0099759B" w:rsidRPr="00333304" w:rsidRDefault="00C01305" w:rsidP="00333304">
      <w:pPr>
        <w:numPr>
          <w:ilvl w:val="0"/>
          <w:numId w:val="1"/>
        </w:numPr>
        <w:autoSpaceDE w:val="0"/>
        <w:autoSpaceDN w:val="0"/>
        <w:adjustRightInd w:val="0"/>
        <w:ind w:left="0" w:firstLine="0"/>
        <w:contextualSpacing/>
        <w:jc w:val="both"/>
        <w:rPr>
          <w:rFonts w:ascii="Verdana" w:hAnsi="Verdana"/>
          <w:b/>
          <w:sz w:val="20"/>
          <w:szCs w:val="20"/>
          <w:lang w:val="es-MX"/>
        </w:rPr>
      </w:pPr>
      <w:r w:rsidRPr="003304E1">
        <w:rPr>
          <w:rFonts w:ascii="Verdana" w:eastAsia="MS Mincho" w:hAnsi="Verdana" w:cs="Verdana"/>
          <w:sz w:val="20"/>
          <w:szCs w:val="20"/>
          <w:lang w:val="es-ES" w:eastAsia="es-ES"/>
        </w:rPr>
        <w:t xml:space="preserve">Por lo que hace a las garantías judiciales, la </w:t>
      </w:r>
      <w:r w:rsidRPr="003304E1">
        <w:rPr>
          <w:rFonts w:ascii="Verdana" w:eastAsia="MS Mincho" w:hAnsi="Verdana" w:cs="Verdana"/>
          <w:bCs/>
          <w:iCs/>
          <w:sz w:val="20"/>
          <w:szCs w:val="20"/>
          <w:lang w:val="es-ES" w:eastAsia="es-ES"/>
        </w:rPr>
        <w:t xml:space="preserve">Comisión </w:t>
      </w:r>
      <w:r w:rsidRPr="003304E1">
        <w:rPr>
          <w:rFonts w:ascii="Verdana" w:hAnsi="Verdana"/>
          <w:sz w:val="20"/>
          <w:szCs w:val="20"/>
          <w:lang w:val="es-MX"/>
        </w:rPr>
        <w:t>ale</w:t>
      </w:r>
      <w:r w:rsidRPr="006C2E34">
        <w:rPr>
          <w:rFonts w:ascii="Verdana" w:hAnsi="Verdana"/>
          <w:sz w:val="20"/>
          <w:szCs w:val="20"/>
          <w:lang w:val="es-MX"/>
        </w:rPr>
        <w:t xml:space="preserve">gó que los tribunales peruanos violaron el artículo 8.1 de la Convención Americana en relación </w:t>
      </w:r>
      <w:r w:rsidR="002E04A3" w:rsidRPr="00691B72">
        <w:rPr>
          <w:rFonts w:ascii="Verdana" w:hAnsi="Verdana"/>
          <w:sz w:val="20"/>
          <w:szCs w:val="20"/>
          <w:lang w:val="es-MX"/>
        </w:rPr>
        <w:t>con el</w:t>
      </w:r>
      <w:r w:rsidRPr="00DE6464">
        <w:rPr>
          <w:rFonts w:ascii="Verdana" w:hAnsi="Verdana"/>
          <w:sz w:val="20"/>
          <w:szCs w:val="20"/>
          <w:lang w:val="es-MX"/>
        </w:rPr>
        <w:t xml:space="preserve"> deber de motivación, </w:t>
      </w:r>
      <w:r w:rsidR="00753933" w:rsidRPr="00333304">
        <w:rPr>
          <w:rFonts w:ascii="Verdana" w:hAnsi="Verdana"/>
          <w:sz w:val="20"/>
          <w:szCs w:val="20"/>
          <w:lang w:val="es-MX"/>
        </w:rPr>
        <w:t>debido a</w:t>
      </w:r>
      <w:r w:rsidR="001B481A" w:rsidRPr="003304E1">
        <w:rPr>
          <w:rFonts w:ascii="Verdana" w:hAnsi="Verdana"/>
          <w:sz w:val="20"/>
          <w:szCs w:val="20"/>
          <w:lang w:val="es-MX"/>
        </w:rPr>
        <w:t xml:space="preserve"> </w:t>
      </w:r>
      <w:r w:rsidRPr="003304E1">
        <w:rPr>
          <w:rFonts w:ascii="Verdana" w:hAnsi="Verdana"/>
          <w:sz w:val="20"/>
          <w:szCs w:val="20"/>
          <w:lang w:val="es-MX"/>
        </w:rPr>
        <w:t>que la sentencia que confirmó el despido</w:t>
      </w:r>
      <w:r w:rsidR="002E04A3" w:rsidRPr="003304E1">
        <w:rPr>
          <w:rFonts w:ascii="Verdana" w:hAnsi="Verdana"/>
          <w:sz w:val="20"/>
          <w:szCs w:val="20"/>
          <w:lang w:val="es-MX"/>
        </w:rPr>
        <w:t xml:space="preserve"> </w:t>
      </w:r>
      <w:r w:rsidRPr="006C2E34">
        <w:rPr>
          <w:rFonts w:ascii="Verdana" w:hAnsi="Verdana"/>
          <w:sz w:val="20"/>
          <w:szCs w:val="20"/>
          <w:lang w:val="es-MX"/>
        </w:rPr>
        <w:t>fue “equivalente a una providencia de mero trámite</w:t>
      </w:r>
      <w:r w:rsidR="0099759B" w:rsidRPr="00DE6464">
        <w:rPr>
          <w:rFonts w:ascii="Verdana" w:hAnsi="Verdana"/>
          <w:sz w:val="20"/>
          <w:szCs w:val="20"/>
          <w:lang w:val="es-MX"/>
        </w:rPr>
        <w:t xml:space="preserve"> </w:t>
      </w:r>
      <w:r w:rsidRPr="00315E10">
        <w:rPr>
          <w:rFonts w:ascii="Verdana" w:hAnsi="Verdana"/>
          <w:sz w:val="20"/>
          <w:szCs w:val="20"/>
          <w:lang w:val="es-MX"/>
        </w:rPr>
        <w:t>que se limitó a dar visto bueno a la medida adoptada por el empleador</w:t>
      </w:r>
      <w:r w:rsidR="0099759B" w:rsidRPr="00315E10">
        <w:rPr>
          <w:rFonts w:ascii="Verdana" w:hAnsi="Verdana"/>
          <w:sz w:val="20"/>
          <w:szCs w:val="20"/>
          <w:lang w:val="es-MX"/>
        </w:rPr>
        <w:t>”.</w:t>
      </w:r>
      <w:r w:rsidRPr="00315E10">
        <w:rPr>
          <w:rFonts w:ascii="Verdana" w:hAnsi="Verdana"/>
          <w:sz w:val="20"/>
          <w:szCs w:val="20"/>
          <w:lang w:val="es-MX"/>
        </w:rPr>
        <w:t xml:space="preserve"> Esta falta de motivación resulta más gravosa si se toma en cuenta que el fallo revirtió la sentencia de primera instancia que le había otorgado la razón al trabajador</w:t>
      </w:r>
      <w:r w:rsidR="0099759B">
        <w:rPr>
          <w:rFonts w:ascii="Verdana" w:hAnsi="Verdana"/>
          <w:sz w:val="20"/>
          <w:szCs w:val="20"/>
          <w:lang w:val="es-MX"/>
        </w:rPr>
        <w:t>.</w:t>
      </w:r>
    </w:p>
    <w:p w14:paraId="14F5CCCC" w14:textId="77777777" w:rsidR="004D6B60" w:rsidRPr="003304E1" w:rsidRDefault="004D6B60" w:rsidP="00333304">
      <w:pPr>
        <w:autoSpaceDE w:val="0"/>
        <w:autoSpaceDN w:val="0"/>
        <w:adjustRightInd w:val="0"/>
        <w:contextualSpacing/>
        <w:jc w:val="both"/>
        <w:rPr>
          <w:rFonts w:ascii="Verdana" w:hAnsi="Verdana"/>
          <w:b/>
          <w:sz w:val="20"/>
          <w:szCs w:val="20"/>
          <w:lang w:val="es-MX"/>
        </w:rPr>
      </w:pPr>
    </w:p>
    <w:p w14:paraId="5A61A9FE" w14:textId="2370716E" w:rsidR="004D6B60" w:rsidRPr="005D0F69" w:rsidRDefault="004D6B60" w:rsidP="00E66DD7">
      <w:pPr>
        <w:numPr>
          <w:ilvl w:val="0"/>
          <w:numId w:val="1"/>
        </w:numPr>
        <w:ind w:left="0" w:firstLine="0"/>
        <w:contextualSpacing/>
        <w:jc w:val="both"/>
        <w:rPr>
          <w:rFonts w:ascii="Verdana" w:hAnsi="Verdana"/>
          <w:sz w:val="20"/>
          <w:szCs w:val="20"/>
          <w:lang w:val="es-ES"/>
        </w:rPr>
      </w:pPr>
      <w:r w:rsidRPr="00C01305">
        <w:rPr>
          <w:rFonts w:ascii="Verdana" w:hAnsi="Verdana"/>
          <w:sz w:val="20"/>
          <w:szCs w:val="20"/>
          <w:lang w:val="es-MX"/>
        </w:rPr>
        <w:t xml:space="preserve">Respecto de la libertad de expresión, los </w:t>
      </w:r>
      <w:r w:rsidRPr="00C01305">
        <w:rPr>
          <w:rFonts w:ascii="Verdana" w:hAnsi="Verdana"/>
          <w:b/>
          <w:i/>
          <w:sz w:val="20"/>
          <w:szCs w:val="20"/>
          <w:lang w:val="es-MX"/>
        </w:rPr>
        <w:t xml:space="preserve">representantes, </w:t>
      </w:r>
      <w:r w:rsidRPr="00C01305">
        <w:rPr>
          <w:rFonts w:ascii="Verdana" w:hAnsi="Verdana"/>
          <w:sz w:val="20"/>
          <w:szCs w:val="20"/>
          <w:lang w:val="es-MX"/>
        </w:rPr>
        <w:t xml:space="preserve">coincidieron en líneas generales con la Comisión y </w:t>
      </w:r>
      <w:r>
        <w:rPr>
          <w:rFonts w:ascii="Verdana" w:hAnsi="Verdana"/>
          <w:sz w:val="20"/>
          <w:szCs w:val="20"/>
          <w:lang w:val="es-MX"/>
        </w:rPr>
        <w:t>enfatizaron</w:t>
      </w:r>
      <w:r w:rsidRPr="00C01305">
        <w:rPr>
          <w:rFonts w:ascii="Verdana" w:hAnsi="Verdana"/>
          <w:sz w:val="20"/>
          <w:szCs w:val="20"/>
          <w:lang w:val="es-MX"/>
        </w:rPr>
        <w:t xml:space="preserve"> que las declaraciones del señor Lagos del Campo fueron </w:t>
      </w:r>
      <w:r w:rsidRPr="00C01305">
        <w:rPr>
          <w:rFonts w:ascii="Verdana" w:hAnsi="Verdana"/>
          <w:sz w:val="20"/>
          <w:szCs w:val="20"/>
          <w:lang w:val="es-MX"/>
        </w:rPr>
        <w:lastRenderedPageBreak/>
        <w:t>publicadas con base a su posición como representante, para que los trabajadores integrantes de la Comunidad Industrial y la opinión pública, en general, pudiera</w:t>
      </w:r>
      <w:r w:rsidR="0099759B">
        <w:rPr>
          <w:rFonts w:ascii="Verdana" w:hAnsi="Verdana"/>
          <w:sz w:val="20"/>
          <w:szCs w:val="20"/>
          <w:lang w:val="es-MX"/>
        </w:rPr>
        <w:t>n</w:t>
      </w:r>
      <w:r w:rsidRPr="00C01305">
        <w:rPr>
          <w:rFonts w:ascii="Verdana" w:hAnsi="Verdana"/>
          <w:sz w:val="20"/>
          <w:szCs w:val="20"/>
          <w:lang w:val="es-MX"/>
        </w:rPr>
        <w:t xml:space="preserve"> conocer el manejo de las elecciones, dentro del conflictivo ámbito laboral</w:t>
      </w:r>
      <w:r>
        <w:rPr>
          <w:rFonts w:ascii="Verdana" w:hAnsi="Verdana"/>
          <w:sz w:val="20"/>
          <w:szCs w:val="20"/>
          <w:lang w:val="es-MX"/>
        </w:rPr>
        <w:t xml:space="preserve"> </w:t>
      </w:r>
      <w:r w:rsidRPr="006B6319">
        <w:rPr>
          <w:rFonts w:ascii="Verdana" w:hAnsi="Verdana"/>
          <w:sz w:val="20"/>
          <w:szCs w:val="20"/>
          <w:lang w:val="es-MX"/>
        </w:rPr>
        <w:t>y</w:t>
      </w:r>
      <w:r w:rsidRPr="00557859">
        <w:rPr>
          <w:rFonts w:ascii="Verdana" w:hAnsi="Verdana"/>
          <w:sz w:val="20"/>
          <w:szCs w:val="20"/>
          <w:lang w:val="es-ES"/>
        </w:rPr>
        <w:t xml:space="preserve"> dado el contexto de conflicto que rodeaba a las Comunidades Industriales, la información sobre irregularidades al interior de estas era de interés público. </w:t>
      </w:r>
      <w:r w:rsidRPr="00C01305">
        <w:rPr>
          <w:rFonts w:ascii="Verdana" w:hAnsi="Verdana"/>
          <w:sz w:val="20"/>
          <w:szCs w:val="20"/>
          <w:lang w:val="es-ES"/>
        </w:rPr>
        <w:t xml:space="preserve">Los representantes manifestaron que dicha información era importante para el debate abierto de una sociedad democrática y para los 220 empleados y obreros que trabajaban para </w:t>
      </w:r>
      <w:proofErr w:type="spellStart"/>
      <w:r w:rsidRPr="006A2D03">
        <w:rPr>
          <w:rFonts w:ascii="Verdana" w:hAnsi="Verdana"/>
          <w:i/>
          <w:sz w:val="20"/>
          <w:szCs w:val="20"/>
          <w:lang w:val="es-ES"/>
        </w:rPr>
        <w:t>Ceper-Pirelli</w:t>
      </w:r>
      <w:proofErr w:type="spellEnd"/>
      <w:r w:rsidRPr="00C01305">
        <w:rPr>
          <w:rFonts w:ascii="Verdana" w:hAnsi="Verdana"/>
          <w:sz w:val="20"/>
          <w:szCs w:val="20"/>
          <w:lang w:val="es-ES"/>
        </w:rPr>
        <w:t xml:space="preserve"> en ese momento</w:t>
      </w:r>
      <w:r w:rsidRPr="000E40FD">
        <w:rPr>
          <w:rFonts w:ascii="Verdana" w:hAnsi="Verdana"/>
          <w:sz w:val="20"/>
          <w:szCs w:val="20"/>
          <w:lang w:val="es-ES"/>
        </w:rPr>
        <w:t xml:space="preserve">. </w:t>
      </w:r>
      <w:r>
        <w:rPr>
          <w:rFonts w:ascii="Verdana" w:hAnsi="Verdana"/>
          <w:sz w:val="20"/>
          <w:szCs w:val="20"/>
          <w:lang w:val="es-ES"/>
        </w:rPr>
        <w:t>R</w:t>
      </w:r>
      <w:r w:rsidRPr="00C01305">
        <w:rPr>
          <w:rFonts w:ascii="Verdana" w:hAnsi="Verdana"/>
          <w:sz w:val="20"/>
          <w:szCs w:val="20"/>
          <w:lang w:val="es-ES"/>
        </w:rPr>
        <w:t>efirieron que si bien el Segundo Tribunal del Trabajo realizó una interpretación conforme a la Ley N° 24514, al tratarse de una limitación a la libertad de expresión debió ponderar entre éste y el derecho a la reputación, los cuales se encontraban en conflict</w:t>
      </w:r>
      <w:r w:rsidR="00AD5EEE" w:rsidRPr="00333304">
        <w:rPr>
          <w:rFonts w:ascii="Verdana" w:hAnsi="Verdana"/>
          <w:sz w:val="20"/>
          <w:szCs w:val="20"/>
          <w:lang w:val="es-ES"/>
        </w:rPr>
        <w:t>o.</w:t>
      </w:r>
      <w:r w:rsidRPr="00C01305">
        <w:rPr>
          <w:rFonts w:ascii="Verdana" w:hAnsi="Verdana"/>
          <w:b/>
          <w:sz w:val="20"/>
          <w:szCs w:val="20"/>
          <w:lang w:val="es-MX"/>
        </w:rPr>
        <w:t xml:space="preserve"> </w:t>
      </w:r>
      <w:r w:rsidRPr="00C01305">
        <w:rPr>
          <w:rFonts w:ascii="Verdana" w:hAnsi="Verdana"/>
          <w:sz w:val="20"/>
          <w:szCs w:val="20"/>
        </w:rPr>
        <w:t xml:space="preserve">Además, manifestaron que la sanción </w:t>
      </w:r>
      <w:r w:rsidRPr="00C01305">
        <w:rPr>
          <w:rFonts w:ascii="Verdana" w:hAnsi="Verdana"/>
          <w:sz w:val="20"/>
          <w:szCs w:val="20"/>
          <w:lang w:val="es-MX"/>
        </w:rPr>
        <w:t>no fue necesaria en una sociedad democrática y tampoco era proporcional en relación con la alegada afectación del derecho a la honra de la empresa y del personal.</w:t>
      </w:r>
      <w:r w:rsidRPr="00C01305">
        <w:rPr>
          <w:rFonts w:ascii="Verdana" w:hAnsi="Verdana"/>
          <w:b/>
          <w:sz w:val="20"/>
          <w:szCs w:val="20"/>
          <w:lang w:val="es-MX"/>
        </w:rPr>
        <w:t xml:space="preserve"> </w:t>
      </w:r>
      <w:r>
        <w:rPr>
          <w:rFonts w:ascii="Verdana" w:hAnsi="Verdana"/>
          <w:sz w:val="20"/>
          <w:szCs w:val="20"/>
          <w:lang w:val="es-ES"/>
        </w:rPr>
        <w:t>Estimaron que</w:t>
      </w:r>
      <w:r w:rsidRPr="00C01305">
        <w:rPr>
          <w:rFonts w:ascii="Verdana" w:hAnsi="Verdana"/>
          <w:sz w:val="20"/>
          <w:szCs w:val="20"/>
          <w:lang w:val="es-ES"/>
        </w:rPr>
        <w:t xml:space="preserve"> una sanción civil como un despido puede ser más intimidante que una sanción penal, en tanto tiene la potencialidad de comprometer la vida personal y familiar.</w:t>
      </w:r>
      <w:r w:rsidR="00AD5EEE">
        <w:rPr>
          <w:rFonts w:ascii="Verdana" w:hAnsi="Verdana"/>
          <w:sz w:val="20"/>
          <w:szCs w:val="20"/>
          <w:lang w:val="es-ES"/>
        </w:rPr>
        <w:t xml:space="preserve"> </w:t>
      </w:r>
      <w:r w:rsidRPr="00557859">
        <w:rPr>
          <w:rFonts w:ascii="Verdana" w:hAnsi="Verdana"/>
          <w:sz w:val="20"/>
          <w:szCs w:val="20"/>
          <w:lang w:val="es-ES"/>
        </w:rPr>
        <w:t>Sin perjuicio de lo anterior</w:t>
      </w:r>
      <w:r w:rsidRPr="006B6319">
        <w:rPr>
          <w:rFonts w:ascii="Verdana" w:hAnsi="Verdana"/>
          <w:sz w:val="20"/>
          <w:szCs w:val="20"/>
          <w:lang w:val="es-ES"/>
        </w:rPr>
        <w:t xml:space="preserve">, los representantes estimaron que ante la existencia de un conflicto entre los derechos presuntamente vulnerados, las personas que se sentían injuriadas o </w:t>
      </w:r>
      <w:r w:rsidRPr="00B84DB1">
        <w:rPr>
          <w:rFonts w:ascii="Verdana" w:hAnsi="Verdana"/>
          <w:sz w:val="20"/>
          <w:szCs w:val="20"/>
          <w:lang w:val="es-ES"/>
        </w:rPr>
        <w:t>difamadas podían iniciar una denuncia penal en contra del señor Lagos de Campo por los delitos contra el honor o, en su caso, solicitar una rectificación de conformidad con el Estatuto de Libertad de Prensa.</w:t>
      </w:r>
    </w:p>
    <w:p w14:paraId="44E13C1A" w14:textId="77777777" w:rsidR="004D6B60" w:rsidRDefault="004D6B60" w:rsidP="005D0F69">
      <w:pPr>
        <w:contextualSpacing/>
        <w:jc w:val="both"/>
        <w:rPr>
          <w:rFonts w:ascii="Verdana" w:hAnsi="Verdana"/>
          <w:sz w:val="20"/>
          <w:szCs w:val="20"/>
          <w:lang w:val="es-ES"/>
        </w:rPr>
      </w:pPr>
    </w:p>
    <w:p w14:paraId="5D9B87B6" w14:textId="6BA607A4" w:rsidR="004D6B60" w:rsidRPr="00557859" w:rsidRDefault="004D6B60" w:rsidP="00E66DD7">
      <w:pPr>
        <w:numPr>
          <w:ilvl w:val="0"/>
          <w:numId w:val="1"/>
        </w:numPr>
        <w:ind w:left="0" w:hanging="11"/>
        <w:contextualSpacing/>
        <w:jc w:val="both"/>
        <w:rPr>
          <w:rFonts w:ascii="Verdana" w:hAnsi="Verdana"/>
          <w:strike/>
          <w:sz w:val="20"/>
          <w:lang w:val="es-CR"/>
        </w:rPr>
      </w:pPr>
      <w:r w:rsidRPr="00557859">
        <w:rPr>
          <w:rFonts w:ascii="Verdana" w:eastAsia="MS Mincho" w:hAnsi="Verdana" w:cs="Verdana"/>
          <w:sz w:val="20"/>
          <w:szCs w:val="20"/>
          <w:lang w:val="es-ES" w:eastAsia="es-ES"/>
        </w:rPr>
        <w:t>R</w:t>
      </w:r>
      <w:r w:rsidRPr="00B84DB1">
        <w:rPr>
          <w:rFonts w:ascii="Verdana" w:eastAsia="MS Mincho" w:hAnsi="Verdana" w:cs="Verdana"/>
          <w:sz w:val="20"/>
          <w:szCs w:val="20"/>
          <w:lang w:val="es-ES" w:eastAsia="es-ES"/>
        </w:rPr>
        <w:t>especto de las garantías judiciales</w:t>
      </w:r>
      <w:r w:rsidRPr="00557859">
        <w:rPr>
          <w:rFonts w:ascii="Verdana" w:eastAsia="MS Mincho" w:hAnsi="Verdana" w:cs="Verdana"/>
          <w:sz w:val="20"/>
          <w:szCs w:val="20"/>
          <w:lang w:val="es-ES" w:eastAsia="es-ES"/>
        </w:rPr>
        <w:t>,</w:t>
      </w:r>
      <w:r w:rsidRPr="00B84DB1">
        <w:rPr>
          <w:rFonts w:ascii="Verdana" w:eastAsia="MS Mincho" w:hAnsi="Verdana" w:cs="Verdana"/>
          <w:sz w:val="20"/>
          <w:szCs w:val="20"/>
          <w:lang w:val="es-ES" w:eastAsia="es-ES"/>
        </w:rPr>
        <w:t xml:space="preserve"> </w:t>
      </w:r>
      <w:r w:rsidRPr="00557859">
        <w:rPr>
          <w:rFonts w:ascii="Verdana" w:eastAsia="MS Mincho" w:hAnsi="Verdana" w:cs="Verdana"/>
          <w:sz w:val="20"/>
          <w:szCs w:val="20"/>
          <w:lang w:val="es-ES" w:eastAsia="es-ES"/>
        </w:rPr>
        <w:t xml:space="preserve">los </w:t>
      </w:r>
      <w:r w:rsidRPr="00557859">
        <w:rPr>
          <w:rFonts w:ascii="Verdana" w:eastAsia="MS Mincho" w:hAnsi="Verdana" w:cs="Verdana"/>
          <w:bCs/>
          <w:iCs/>
          <w:sz w:val="20"/>
          <w:szCs w:val="20"/>
          <w:lang w:val="es-ES" w:eastAsia="es-ES"/>
        </w:rPr>
        <w:t>representantes</w:t>
      </w:r>
      <w:r w:rsidRPr="00557859">
        <w:rPr>
          <w:rFonts w:ascii="Verdana" w:eastAsia="MS Mincho" w:hAnsi="Verdana" w:cs="Verdana"/>
          <w:sz w:val="20"/>
          <w:szCs w:val="20"/>
          <w:lang w:val="es-ES" w:eastAsia="es-ES"/>
        </w:rPr>
        <w:t xml:space="preserve"> afirmaron </w:t>
      </w:r>
      <w:r>
        <w:rPr>
          <w:rFonts w:ascii="Verdana" w:eastAsia="MS Mincho" w:hAnsi="Verdana" w:cs="Verdana"/>
          <w:sz w:val="20"/>
          <w:szCs w:val="20"/>
          <w:lang w:val="es-ES" w:eastAsia="es-ES"/>
        </w:rPr>
        <w:t xml:space="preserve">que </w:t>
      </w:r>
      <w:r w:rsidRPr="00557859">
        <w:rPr>
          <w:rFonts w:ascii="Verdana" w:eastAsia="MS Mincho" w:hAnsi="Verdana" w:cs="Verdana"/>
          <w:sz w:val="20"/>
          <w:szCs w:val="20"/>
          <w:lang w:val="es-ES" w:eastAsia="es-ES"/>
        </w:rPr>
        <w:t xml:space="preserve">se violó </w:t>
      </w:r>
      <w:r w:rsidRPr="00B84DB1">
        <w:rPr>
          <w:rFonts w:ascii="Verdana" w:eastAsia="MS Mincho" w:hAnsi="Verdana" w:cs="Verdana"/>
          <w:sz w:val="20"/>
          <w:szCs w:val="20"/>
          <w:lang w:val="es-ES" w:eastAsia="es-ES"/>
        </w:rPr>
        <w:t xml:space="preserve">el deber de motivación tanto en el proceso laboral como en el proceso de amparo. </w:t>
      </w:r>
      <w:r w:rsidRPr="00B84DB1">
        <w:rPr>
          <w:rFonts w:ascii="Verdana" w:hAnsi="Verdana"/>
          <w:sz w:val="20"/>
          <w:szCs w:val="20"/>
          <w:lang w:val="es-MX"/>
        </w:rPr>
        <w:t>Adicionalmente, sostuvieron que se violó el derecho a ser oído por un juez o tribunal toda vez que el Segundo Tribunal de Trabajo no brindó trámite correspondiente a las observaciones y alegaciones del señor Lagos del Campo hasta después de haber emitido sentencia. Expresaron que el derecho a ser oído incluye no sólo la posibilidad de conocer la prueba sino también analizar los argumentos de las partes.</w:t>
      </w:r>
      <w:r w:rsidR="00AD5EEE">
        <w:rPr>
          <w:rFonts w:ascii="Verdana" w:hAnsi="Verdana"/>
          <w:b/>
          <w:sz w:val="20"/>
          <w:szCs w:val="20"/>
          <w:lang w:val="es-MX"/>
        </w:rPr>
        <w:t xml:space="preserve"> </w:t>
      </w:r>
      <w:r w:rsidRPr="00B84DB1">
        <w:rPr>
          <w:rFonts w:ascii="Verdana" w:hAnsi="Verdana"/>
          <w:sz w:val="20"/>
          <w:szCs w:val="20"/>
          <w:lang w:val="es-MX"/>
        </w:rPr>
        <w:t>Lo cual, constituyó una limitación al derecho a contradecir las afirmaciones y argumentos realizados por la empresa.</w:t>
      </w:r>
    </w:p>
    <w:p w14:paraId="40E0ECD3" w14:textId="77777777" w:rsidR="004D6B60" w:rsidRPr="00B84DB1" w:rsidRDefault="004D6B60" w:rsidP="005D0F69">
      <w:pPr>
        <w:contextualSpacing/>
        <w:jc w:val="both"/>
        <w:rPr>
          <w:rFonts w:ascii="Verdana" w:hAnsi="Verdana"/>
          <w:sz w:val="20"/>
          <w:szCs w:val="20"/>
          <w:lang w:val="es-ES"/>
        </w:rPr>
      </w:pPr>
    </w:p>
    <w:p w14:paraId="64013D73" w14:textId="362EED70" w:rsidR="004D6B60" w:rsidRPr="00C01305" w:rsidRDefault="004D6B60" w:rsidP="00E66DD7">
      <w:pPr>
        <w:numPr>
          <w:ilvl w:val="0"/>
          <w:numId w:val="1"/>
        </w:numPr>
        <w:ind w:left="0" w:hanging="11"/>
        <w:contextualSpacing/>
        <w:jc w:val="both"/>
        <w:rPr>
          <w:rFonts w:ascii="Verdana" w:hAnsi="Verdana"/>
          <w:b/>
          <w:sz w:val="20"/>
          <w:szCs w:val="20"/>
          <w:lang w:val="es-MX"/>
        </w:rPr>
      </w:pPr>
      <w:r w:rsidRPr="00B84DB1">
        <w:rPr>
          <w:rFonts w:ascii="Verdana" w:hAnsi="Verdana"/>
          <w:sz w:val="20"/>
          <w:szCs w:val="20"/>
          <w:lang w:val="es-MX"/>
        </w:rPr>
        <w:t xml:space="preserve">El </w:t>
      </w:r>
      <w:r w:rsidRPr="00B84DB1">
        <w:rPr>
          <w:rFonts w:ascii="Verdana" w:hAnsi="Verdana"/>
          <w:b/>
          <w:i/>
          <w:sz w:val="20"/>
          <w:szCs w:val="20"/>
          <w:lang w:val="es-MX"/>
        </w:rPr>
        <w:t xml:space="preserve">Estado </w:t>
      </w:r>
      <w:r>
        <w:rPr>
          <w:rFonts w:ascii="Verdana" w:hAnsi="Verdana"/>
          <w:sz w:val="20"/>
          <w:szCs w:val="20"/>
          <w:lang w:val="es-MX"/>
        </w:rPr>
        <w:t>señaló</w:t>
      </w:r>
      <w:r w:rsidRPr="00B84DB1">
        <w:rPr>
          <w:rFonts w:ascii="Verdana" w:hAnsi="Verdana"/>
          <w:sz w:val="20"/>
          <w:szCs w:val="20"/>
          <w:lang w:val="es-MX"/>
        </w:rPr>
        <w:t xml:space="preserve"> que el señor Lagos del Campo al no ser dirigente sindical, no le correspondía</w:t>
      </w:r>
      <w:r w:rsidRPr="00C01305">
        <w:rPr>
          <w:rFonts w:ascii="Verdana" w:hAnsi="Verdana"/>
          <w:sz w:val="20"/>
          <w:szCs w:val="20"/>
          <w:lang w:val="es-MX"/>
        </w:rPr>
        <w:t xml:space="preserve"> una “mayor protección” y sus declaraciones </w:t>
      </w:r>
      <w:r>
        <w:rPr>
          <w:rFonts w:ascii="Verdana" w:hAnsi="Verdana"/>
          <w:sz w:val="20"/>
          <w:szCs w:val="20"/>
          <w:lang w:val="es-MX"/>
        </w:rPr>
        <w:t xml:space="preserve">no revestían </w:t>
      </w:r>
      <w:r w:rsidRPr="00C01305">
        <w:rPr>
          <w:rFonts w:ascii="Verdana" w:hAnsi="Verdana"/>
          <w:sz w:val="20"/>
          <w:szCs w:val="20"/>
          <w:lang w:val="es-MX"/>
        </w:rPr>
        <w:t xml:space="preserve">un interés público. Afirmó que el hecho de que la información fuera relevante para que los trabajadores formaran una opinión sobre la situación de las elecciones hace aún más importante que dicha información no fuera falsa o tergiversada. Asimismo, el Estado señaló que la Comisión dejó de lado la importancia de generar un debate respetuoso de opiniones e información. En este sentido, indicó que </w:t>
      </w:r>
      <w:r w:rsidR="00AD5EEE">
        <w:rPr>
          <w:rFonts w:ascii="Verdana" w:hAnsi="Verdana"/>
          <w:sz w:val="20"/>
          <w:szCs w:val="20"/>
          <w:lang w:val="es-MX"/>
        </w:rPr>
        <w:t xml:space="preserve">el Comité de Libertad Sindical del Consejo de Administración de la </w:t>
      </w:r>
      <w:r w:rsidRPr="00C01305">
        <w:rPr>
          <w:rFonts w:ascii="Verdana" w:hAnsi="Verdana"/>
          <w:sz w:val="20"/>
          <w:szCs w:val="20"/>
          <w:lang w:val="es-MX"/>
        </w:rPr>
        <w:t>OIT señaló que “las organizaciones sindicales no deberían sobrepasar los límites admisibles de la polémica y deberían abstenerse de excesos en el lenguaje”.</w:t>
      </w:r>
      <w:r w:rsidRPr="00C01305">
        <w:rPr>
          <w:rFonts w:ascii="Verdana" w:hAnsi="Verdana"/>
          <w:b/>
          <w:sz w:val="20"/>
          <w:szCs w:val="20"/>
          <w:lang w:val="es-MX"/>
        </w:rPr>
        <w:t xml:space="preserve"> </w:t>
      </w:r>
      <w:r w:rsidRPr="00C01305">
        <w:rPr>
          <w:rFonts w:ascii="Verdana" w:hAnsi="Verdana"/>
          <w:sz w:val="20"/>
          <w:szCs w:val="20"/>
          <w:lang w:val="es-MX"/>
        </w:rPr>
        <w:t xml:space="preserve">Alegó que la Comisión no analizó los límites a la utilización de ciertas formas, obviando que es necesario ponderar dicho derecho con el derecho al honor. </w:t>
      </w:r>
      <w:r>
        <w:rPr>
          <w:rFonts w:ascii="Verdana" w:hAnsi="Verdana"/>
          <w:sz w:val="20"/>
          <w:szCs w:val="20"/>
          <w:lang w:val="es-MX"/>
        </w:rPr>
        <w:t xml:space="preserve">Además, </w:t>
      </w:r>
      <w:r w:rsidRPr="00C01305">
        <w:rPr>
          <w:rFonts w:ascii="Verdana" w:hAnsi="Verdana"/>
          <w:sz w:val="20"/>
          <w:szCs w:val="20"/>
          <w:lang w:val="es-MX"/>
        </w:rPr>
        <w:t>señaló que la Comisión pretendió trasladar al “tercero particular” no sólo la responsabilidad de solicitar una rectificación</w:t>
      </w:r>
      <w:r w:rsidR="00C47391">
        <w:rPr>
          <w:rFonts w:ascii="Verdana" w:hAnsi="Verdana"/>
          <w:sz w:val="20"/>
          <w:szCs w:val="20"/>
          <w:lang w:val="es-MX"/>
        </w:rPr>
        <w:t>,</w:t>
      </w:r>
      <w:r w:rsidRPr="00C01305">
        <w:rPr>
          <w:rFonts w:ascii="Verdana" w:hAnsi="Verdana"/>
          <w:sz w:val="20"/>
          <w:szCs w:val="20"/>
          <w:lang w:val="es-MX"/>
        </w:rPr>
        <w:t xml:space="preserve"> sino que también corroborar la emisión de la declaración formulada y probar un grave daño.</w:t>
      </w:r>
      <w:r w:rsidRPr="00C01305">
        <w:rPr>
          <w:rFonts w:ascii="Verdana" w:hAnsi="Verdana"/>
          <w:b/>
          <w:sz w:val="20"/>
          <w:szCs w:val="20"/>
          <w:lang w:val="es-MX"/>
        </w:rPr>
        <w:t xml:space="preserve"> </w:t>
      </w:r>
      <w:r w:rsidRPr="00C01305">
        <w:rPr>
          <w:rFonts w:ascii="Verdana" w:hAnsi="Verdana"/>
          <w:sz w:val="20"/>
          <w:szCs w:val="20"/>
          <w:lang w:val="es-MX"/>
        </w:rPr>
        <w:t xml:space="preserve">Esto haría inmanejable e ilusoria la defensa de quienes consideren vulnerado su honor. Así, la Comisión obvió también señalar que si la presunta víctima consideraba que la entrevista no fue fiel a sus palabras pudo haber solicitado una rectificación, lo que no hizo. </w:t>
      </w:r>
      <w:r w:rsidRPr="00F83A02">
        <w:rPr>
          <w:rFonts w:ascii="Verdana" w:hAnsi="Verdana"/>
          <w:sz w:val="20"/>
          <w:szCs w:val="20"/>
          <w:lang w:val="es-MX"/>
        </w:rPr>
        <w:t xml:space="preserve">La jurisprudencia </w:t>
      </w:r>
      <w:r w:rsidRPr="00557859">
        <w:rPr>
          <w:rFonts w:ascii="Verdana" w:hAnsi="Verdana"/>
          <w:sz w:val="20"/>
          <w:szCs w:val="20"/>
          <w:lang w:val="es-MX"/>
        </w:rPr>
        <w:t xml:space="preserve">del Tribunal Europeo </w:t>
      </w:r>
      <w:r w:rsidRPr="00F83A02">
        <w:rPr>
          <w:rFonts w:ascii="Verdana" w:hAnsi="Verdana"/>
          <w:sz w:val="20"/>
          <w:szCs w:val="20"/>
          <w:lang w:val="es-MX"/>
        </w:rPr>
        <w:t xml:space="preserve">ha reconocido que existe un deber </w:t>
      </w:r>
      <w:r w:rsidRPr="00557859">
        <w:rPr>
          <w:rFonts w:ascii="Verdana" w:hAnsi="Verdana"/>
          <w:sz w:val="20"/>
          <w:szCs w:val="20"/>
          <w:lang w:val="es-MX"/>
        </w:rPr>
        <w:t>de lealtad</w:t>
      </w:r>
      <w:r w:rsidRPr="00F83A02">
        <w:rPr>
          <w:rFonts w:ascii="Verdana" w:hAnsi="Verdana"/>
          <w:sz w:val="20"/>
          <w:szCs w:val="20"/>
          <w:lang w:val="es-MX"/>
        </w:rPr>
        <w:t xml:space="preserve"> de los empleados con su empleador, aunque no sea absoluto.</w:t>
      </w:r>
      <w:r w:rsidRPr="00C01305">
        <w:rPr>
          <w:rFonts w:ascii="Verdana" w:hAnsi="Verdana"/>
          <w:sz w:val="20"/>
          <w:szCs w:val="20"/>
          <w:lang w:val="es-MX"/>
        </w:rPr>
        <w:t xml:space="preserve"> </w:t>
      </w:r>
      <w:r>
        <w:rPr>
          <w:rFonts w:ascii="Verdana" w:hAnsi="Verdana"/>
          <w:sz w:val="20"/>
          <w:szCs w:val="20"/>
          <w:lang w:val="es-MX"/>
        </w:rPr>
        <w:t xml:space="preserve">Además, dicho Tribunal </w:t>
      </w:r>
      <w:r w:rsidRPr="00C01305">
        <w:rPr>
          <w:rFonts w:ascii="Verdana" w:hAnsi="Verdana"/>
          <w:sz w:val="20"/>
          <w:szCs w:val="20"/>
          <w:lang w:val="es-MX"/>
        </w:rPr>
        <w:t xml:space="preserve">ha diferenciado entre crítica e insulto, afirmando que el empleador puede utilizar su potestad disciplinaria cuando es insultado por un empleado. Sostuvo que en este caso, no es posible considerar las declaraciones de la presunta víctima como críticas objetivas en la medida que se atribuyeron términos agraviantes como “chantaje” y “coerción”. Por último, señaló que para analizar la proporcionalidad de la medida se debe considerar que el señor Lagos del Campo fue suspendido por actos de indisciplina en 1985, sanción que la Sub Directoral de Trabajo consideró justificada. </w:t>
      </w:r>
    </w:p>
    <w:p w14:paraId="1E9F4F54" w14:textId="77777777" w:rsidR="004D6B60" w:rsidRPr="00C01305" w:rsidRDefault="004D6B60" w:rsidP="004D6B60">
      <w:pPr>
        <w:jc w:val="both"/>
        <w:rPr>
          <w:rFonts w:ascii="Calibri" w:hAnsi="Calibri"/>
          <w:sz w:val="22"/>
          <w:szCs w:val="22"/>
          <w:lang w:val="es-CR"/>
        </w:rPr>
      </w:pPr>
    </w:p>
    <w:p w14:paraId="7F24A5C0" w14:textId="29C12D7B" w:rsidR="00430EA0" w:rsidRDefault="004D6B60" w:rsidP="00E66DD7">
      <w:pPr>
        <w:numPr>
          <w:ilvl w:val="0"/>
          <w:numId w:val="1"/>
        </w:numPr>
        <w:ind w:left="0" w:hanging="11"/>
        <w:contextualSpacing/>
        <w:jc w:val="both"/>
        <w:rPr>
          <w:rFonts w:ascii="Verdana" w:hAnsi="Verdana"/>
          <w:b/>
          <w:sz w:val="20"/>
          <w:szCs w:val="20"/>
          <w:lang w:val="es-MX"/>
        </w:rPr>
      </w:pPr>
      <w:r w:rsidRPr="00C01305">
        <w:rPr>
          <w:rFonts w:ascii="Verdana" w:eastAsia="MS Mincho" w:hAnsi="Verdana" w:cs="Verdana"/>
          <w:sz w:val="20"/>
          <w:szCs w:val="20"/>
          <w:lang w:val="es-CR" w:eastAsia="es-ES"/>
        </w:rPr>
        <w:lastRenderedPageBreak/>
        <w:t>Respecto</w:t>
      </w:r>
      <w:r w:rsidRPr="00C01305">
        <w:rPr>
          <w:rFonts w:ascii="Verdana" w:eastAsia="MS Mincho" w:hAnsi="Verdana" w:cs="Verdana"/>
          <w:sz w:val="20"/>
          <w:szCs w:val="20"/>
          <w:lang w:val="es-ES" w:eastAsia="es-ES"/>
        </w:rPr>
        <w:t xml:space="preserve"> de las </w:t>
      </w:r>
      <w:r w:rsidRPr="00AB5ECF">
        <w:rPr>
          <w:rFonts w:ascii="Verdana" w:eastAsia="MS Mincho" w:hAnsi="Verdana" w:cs="Verdana"/>
          <w:sz w:val="20"/>
          <w:szCs w:val="20"/>
          <w:lang w:val="es-ES" w:eastAsia="es-ES"/>
        </w:rPr>
        <w:t>garantías judiciales</w:t>
      </w:r>
      <w:r w:rsidRPr="00C01305">
        <w:rPr>
          <w:rFonts w:ascii="Verdana" w:eastAsia="MS Mincho" w:hAnsi="Verdana" w:cs="Verdana"/>
          <w:sz w:val="20"/>
          <w:szCs w:val="20"/>
          <w:lang w:val="es-ES" w:eastAsia="es-ES"/>
        </w:rPr>
        <w:t xml:space="preserve">, </w:t>
      </w:r>
      <w:r w:rsidRPr="00C01305">
        <w:rPr>
          <w:rFonts w:ascii="Verdana" w:hAnsi="Verdana"/>
          <w:sz w:val="20"/>
          <w:szCs w:val="20"/>
          <w:lang w:val="es-MX"/>
        </w:rPr>
        <w:t xml:space="preserve">el Estado consideró que si bien el </w:t>
      </w:r>
      <w:r w:rsidR="00602389">
        <w:rPr>
          <w:rFonts w:ascii="Verdana" w:hAnsi="Verdana"/>
          <w:sz w:val="20"/>
          <w:szCs w:val="20"/>
          <w:lang w:val="es-MX"/>
        </w:rPr>
        <w:t>juicio</w:t>
      </w:r>
      <w:r w:rsidRPr="00C01305">
        <w:rPr>
          <w:rFonts w:ascii="Verdana" w:hAnsi="Verdana"/>
          <w:sz w:val="20"/>
          <w:szCs w:val="20"/>
          <w:lang w:val="es-MX"/>
        </w:rPr>
        <w:t xml:space="preserve"> aplicado por los tribunales no ocupó la misma terminología utilizada por la Comisión, esto no quiere decir que los tribunales peruanos no realizaron dicha ponderación. En efecto, el Segundo Tribunal del Trabajo de Lima valoró el contenido de las declaraciones publicadas en “La Razón” y consideró que eran frases agraviantes para el empleador y los compañeros de trabajo.</w:t>
      </w:r>
      <w:r w:rsidR="00505D3F">
        <w:rPr>
          <w:rFonts w:ascii="Verdana" w:hAnsi="Verdana"/>
          <w:sz w:val="20"/>
          <w:szCs w:val="20"/>
          <w:lang w:val="es-MX"/>
        </w:rPr>
        <w:t xml:space="preserve"> </w:t>
      </w:r>
      <w:r w:rsidRPr="00C01305">
        <w:rPr>
          <w:rFonts w:ascii="Verdana" w:hAnsi="Verdana"/>
          <w:sz w:val="20"/>
          <w:szCs w:val="20"/>
          <w:lang w:val="es-MX"/>
        </w:rPr>
        <w:t xml:space="preserve">Asimismo, dicho Tribunal tomó en consideración otros elementos tales como la reincidencia del señor Lagos del Campo y que la presunta víctima pudo haber solicitado una rectificación y no lo hizo. De esta manera, es incomprensible pretender que la judicatura interna haya realizado su análisis del caso siguiendo un </w:t>
      </w:r>
      <w:r w:rsidRPr="00333304">
        <w:rPr>
          <w:rFonts w:ascii="Verdana" w:hAnsi="Verdana"/>
          <w:i/>
          <w:sz w:val="20"/>
          <w:szCs w:val="20"/>
          <w:lang w:val="es-MX"/>
        </w:rPr>
        <w:t>test</w:t>
      </w:r>
      <w:r w:rsidRPr="00C01305">
        <w:rPr>
          <w:rFonts w:ascii="Verdana" w:hAnsi="Verdana"/>
          <w:sz w:val="20"/>
          <w:szCs w:val="20"/>
          <w:lang w:val="es-MX"/>
        </w:rPr>
        <w:t xml:space="preserve"> de proporcionalidad que ni siquiera existía en la época, esto es, hace más de dos décadas.</w:t>
      </w:r>
      <w:r w:rsidR="00505D3F">
        <w:rPr>
          <w:rFonts w:ascii="Verdana" w:hAnsi="Verdana"/>
          <w:sz w:val="20"/>
          <w:szCs w:val="20"/>
          <w:lang w:val="es-MX"/>
        </w:rPr>
        <w:t xml:space="preserve"> </w:t>
      </w:r>
      <w:r>
        <w:rPr>
          <w:rFonts w:ascii="Verdana" w:hAnsi="Verdana"/>
          <w:sz w:val="20"/>
          <w:szCs w:val="20"/>
          <w:lang w:val="es-MX"/>
        </w:rPr>
        <w:t>Respecto del alegato del</w:t>
      </w:r>
      <w:r w:rsidRPr="00C01305">
        <w:rPr>
          <w:rFonts w:ascii="Verdana" w:hAnsi="Verdana"/>
          <w:sz w:val="20"/>
          <w:szCs w:val="20"/>
          <w:lang w:val="es-MX"/>
        </w:rPr>
        <w:t xml:space="preserve"> derecho a ser oído, el Estado señaló que el escrito presentado por el señor Lagos del Campo ante el Segundo Tribunal de Trabajo, si bien fue tramitado hasta después de la sentencia, no era un escrito con medios probatorios, sino alegaciones de derecho y que muchas de ellas se encontraban ya en otros escritos presentados por la demandante previamente, lo cual no transgredió su derecho de defensa. </w:t>
      </w:r>
    </w:p>
    <w:p w14:paraId="2748E574" w14:textId="77777777" w:rsidR="004D6B60" w:rsidRDefault="004D6B60" w:rsidP="00262F28">
      <w:pPr>
        <w:jc w:val="both"/>
        <w:rPr>
          <w:rFonts w:ascii="Verdana" w:hAnsi="Verdana"/>
          <w:b/>
          <w:sz w:val="20"/>
          <w:szCs w:val="20"/>
          <w:lang w:val="es-MX"/>
        </w:rPr>
      </w:pPr>
    </w:p>
    <w:p w14:paraId="014D3BB9" w14:textId="24E0051A" w:rsidR="004D6B60" w:rsidRPr="005B3D37" w:rsidRDefault="004D6B60" w:rsidP="00E66DD7">
      <w:pPr>
        <w:pStyle w:val="Heading3"/>
        <w:numPr>
          <w:ilvl w:val="0"/>
          <w:numId w:val="18"/>
        </w:numPr>
        <w:rPr>
          <w:b w:val="0"/>
          <w:i/>
          <w:iCs/>
          <w:szCs w:val="20"/>
        </w:rPr>
      </w:pPr>
      <w:bookmarkStart w:id="38" w:name="_Toc498333497"/>
      <w:r w:rsidRPr="005B3D37">
        <w:rPr>
          <w:i/>
          <w:iCs/>
          <w:szCs w:val="20"/>
        </w:rPr>
        <w:t>Relativos a la libertad de asociación</w:t>
      </w:r>
      <w:bookmarkEnd w:id="38"/>
    </w:p>
    <w:p w14:paraId="753E6DEE" w14:textId="77777777" w:rsidR="004D6B60" w:rsidRDefault="004D6B60" w:rsidP="00262F28">
      <w:pPr>
        <w:jc w:val="both"/>
        <w:rPr>
          <w:rFonts w:ascii="Verdana" w:hAnsi="Verdana"/>
          <w:b/>
          <w:sz w:val="20"/>
          <w:szCs w:val="20"/>
          <w:lang w:val="es-MX"/>
        </w:rPr>
      </w:pPr>
    </w:p>
    <w:p w14:paraId="03C7A04F" w14:textId="4347BF2C" w:rsidR="00430EA0" w:rsidRPr="005D0F69" w:rsidRDefault="004D6B60" w:rsidP="00E66DD7">
      <w:pPr>
        <w:numPr>
          <w:ilvl w:val="0"/>
          <w:numId w:val="1"/>
        </w:numPr>
        <w:ind w:left="0" w:firstLine="0"/>
        <w:contextualSpacing/>
        <w:jc w:val="both"/>
        <w:rPr>
          <w:rFonts w:ascii="Verdana" w:hAnsi="Verdana"/>
          <w:b/>
          <w:sz w:val="20"/>
          <w:szCs w:val="20"/>
          <w:lang w:val="es-ES"/>
        </w:rPr>
      </w:pPr>
      <w:r>
        <w:rPr>
          <w:rFonts w:ascii="Verdana" w:eastAsia="MS Mincho" w:hAnsi="Verdana" w:cs="Verdana"/>
          <w:sz w:val="20"/>
          <w:szCs w:val="20"/>
          <w:lang w:val="es-ES" w:eastAsia="es-ES"/>
        </w:rPr>
        <w:t>L</w:t>
      </w:r>
      <w:r w:rsidR="00430EA0" w:rsidRPr="00B9797C">
        <w:rPr>
          <w:rFonts w:ascii="Verdana" w:eastAsia="MS Mincho" w:hAnsi="Verdana" w:cs="Verdana"/>
          <w:sz w:val="20"/>
          <w:szCs w:val="20"/>
          <w:lang w:val="es-ES" w:eastAsia="es-ES"/>
        </w:rPr>
        <w:t xml:space="preserve">a </w:t>
      </w:r>
      <w:r w:rsidR="00430EA0" w:rsidRPr="004D6B60">
        <w:rPr>
          <w:rFonts w:ascii="Verdana" w:eastAsia="MS Mincho" w:hAnsi="Verdana" w:cs="Verdana"/>
          <w:b/>
          <w:i/>
          <w:sz w:val="20"/>
          <w:szCs w:val="20"/>
          <w:lang w:val="es-ES" w:eastAsia="es-ES"/>
        </w:rPr>
        <w:t>Comisión</w:t>
      </w:r>
      <w:r w:rsidR="00430EA0" w:rsidRPr="00B9797C">
        <w:rPr>
          <w:rFonts w:ascii="Verdana" w:eastAsia="MS Mincho" w:hAnsi="Verdana" w:cs="Verdana"/>
          <w:b/>
          <w:i/>
          <w:sz w:val="20"/>
          <w:szCs w:val="20"/>
          <w:lang w:val="es-ES" w:eastAsia="es-ES"/>
        </w:rPr>
        <w:t xml:space="preserve"> </w:t>
      </w:r>
      <w:r w:rsidR="00430EA0" w:rsidRPr="00B9797C">
        <w:rPr>
          <w:rFonts w:ascii="Verdana" w:eastAsia="MS Mincho" w:hAnsi="Verdana" w:cs="Verdana"/>
          <w:sz w:val="20"/>
          <w:szCs w:val="20"/>
          <w:lang w:val="es-ES" w:eastAsia="es-ES"/>
        </w:rPr>
        <w:t>sostuvo que la protección a la libertad de expresión en el ámbito laboral resulta especialmente relevante cuando se le vincula con el derecho a la asociación con fines laborales, toda vez que la protección de los trabajadores de expresarse de manera que puedan divulgar información y promover de manera concertada sus intereses y demandas es uno de los objetivos del derecho de asociación en el ámbito labora</w:t>
      </w:r>
      <w:r w:rsidR="003304E1" w:rsidRPr="00333304">
        <w:rPr>
          <w:rFonts w:ascii="Verdana" w:eastAsia="MS Mincho" w:hAnsi="Verdana" w:cs="Verdana"/>
          <w:sz w:val="20"/>
          <w:szCs w:val="20"/>
          <w:lang w:val="es-ES" w:eastAsia="es-ES"/>
        </w:rPr>
        <w:t xml:space="preserve">l. </w:t>
      </w:r>
      <w:r w:rsidR="00430EA0">
        <w:rPr>
          <w:rFonts w:ascii="Verdana" w:eastAsia="MS Mincho" w:hAnsi="Verdana" w:cs="Verdana"/>
          <w:sz w:val="20"/>
          <w:szCs w:val="20"/>
          <w:lang w:val="es-ES" w:eastAsia="es-ES"/>
        </w:rPr>
        <w:t>En consecuencia, estimó que la estricta proporcionalidad de las restricciones a la libertad de expresión en el ámbito laboral debe juzgarse con base en los efectos sobre el derecho de las organizaciones de trabajadores y de sus dirigentes a procurar la protección de los intereses de las personas que representan, y del posible efecto disuasivo que tenga en otros dirigentes obreros o sindicales.</w:t>
      </w:r>
    </w:p>
    <w:p w14:paraId="4B51AF6E" w14:textId="77777777" w:rsidR="004D6B60" w:rsidRDefault="004D6B60" w:rsidP="005D0F69">
      <w:pPr>
        <w:contextualSpacing/>
        <w:jc w:val="both"/>
        <w:rPr>
          <w:rFonts w:ascii="Verdana" w:eastAsia="MS Mincho" w:hAnsi="Verdana" w:cs="Verdana"/>
          <w:sz w:val="20"/>
          <w:szCs w:val="20"/>
          <w:lang w:val="es-ES" w:eastAsia="es-ES"/>
        </w:rPr>
      </w:pPr>
    </w:p>
    <w:p w14:paraId="67A220B8" w14:textId="1EF954EF" w:rsidR="004D6B60" w:rsidRPr="00751089" w:rsidRDefault="004D6B60" w:rsidP="00E66DD7">
      <w:pPr>
        <w:numPr>
          <w:ilvl w:val="0"/>
          <w:numId w:val="1"/>
        </w:numPr>
        <w:ind w:left="0" w:firstLine="0"/>
        <w:contextualSpacing/>
        <w:jc w:val="both"/>
        <w:rPr>
          <w:rFonts w:ascii="Verdana" w:hAnsi="Verdana"/>
          <w:b/>
          <w:sz w:val="20"/>
          <w:szCs w:val="20"/>
          <w:lang w:val="es-ES"/>
        </w:rPr>
      </w:pPr>
      <w:r w:rsidRPr="00751089">
        <w:rPr>
          <w:rFonts w:ascii="Verdana" w:eastAsia="MS Mincho" w:hAnsi="Verdana" w:cs="Verdana"/>
          <w:sz w:val="20"/>
          <w:szCs w:val="20"/>
          <w:lang w:val="es-ES" w:eastAsia="es-ES"/>
        </w:rPr>
        <w:t xml:space="preserve">Los </w:t>
      </w:r>
      <w:r w:rsidRPr="00751089">
        <w:rPr>
          <w:rFonts w:ascii="Verdana" w:eastAsia="MS Mincho" w:hAnsi="Verdana" w:cs="Verdana"/>
          <w:b/>
          <w:i/>
          <w:sz w:val="20"/>
          <w:szCs w:val="20"/>
          <w:lang w:val="es-ES" w:eastAsia="es-ES"/>
        </w:rPr>
        <w:t xml:space="preserve">representantes </w:t>
      </w:r>
      <w:r w:rsidRPr="00751089">
        <w:rPr>
          <w:rFonts w:ascii="Verdana" w:eastAsia="MS Mincho" w:hAnsi="Verdana" w:cs="Verdana"/>
          <w:sz w:val="20"/>
          <w:szCs w:val="20"/>
          <w:lang w:val="es-ES" w:eastAsia="es-ES"/>
        </w:rPr>
        <w:t xml:space="preserve">alegaron que la aprobación judicial del despido de Lagos del Campo pudo acarrear un </w:t>
      </w:r>
      <w:r w:rsidR="00E02AC4" w:rsidRPr="00333304">
        <w:rPr>
          <w:rFonts w:ascii="Verdana" w:eastAsia="MS Mincho" w:hAnsi="Verdana" w:cs="Verdana"/>
          <w:sz w:val="20"/>
          <w:szCs w:val="20"/>
          <w:lang w:val="es-ES" w:eastAsia="es-ES"/>
        </w:rPr>
        <w:t>efecto amedrentador</w:t>
      </w:r>
      <w:r w:rsidR="00E02AC4" w:rsidRPr="00EB5530">
        <w:rPr>
          <w:rFonts w:ascii="Verdana" w:eastAsia="MS Mincho" w:hAnsi="Verdana" w:cs="Verdana"/>
          <w:b/>
          <w:sz w:val="20"/>
          <w:szCs w:val="20"/>
          <w:lang w:val="es-ES" w:eastAsia="es-ES"/>
        </w:rPr>
        <w:t xml:space="preserve"> </w:t>
      </w:r>
      <w:r w:rsidRPr="00751089">
        <w:rPr>
          <w:rFonts w:ascii="Verdana" w:eastAsia="MS Mincho" w:hAnsi="Verdana" w:cs="Verdana"/>
          <w:sz w:val="20"/>
          <w:szCs w:val="20"/>
          <w:lang w:val="es-ES" w:eastAsia="es-ES"/>
        </w:rPr>
        <w:t>a otras personas en una situación similar u otros trabajadores que se encontraban maltratados por sus empleadores, causando miedo de reportar irregularidades como las descritas en el presente caso. En consecuencia, alegaron que la sentencia dictada por el Segundo Tribunal del Trabajo del Perú contribuyó a un ambiente laboral donde los trabajadores pudieran temer reportar cuando existieren problemas como los denunciados u otros conflictos</w:t>
      </w:r>
      <w:r>
        <w:rPr>
          <w:rFonts w:ascii="Verdana" w:eastAsia="MS Mincho" w:hAnsi="Verdana" w:cs="Verdana"/>
          <w:sz w:val="20"/>
          <w:szCs w:val="20"/>
          <w:lang w:val="es-ES" w:eastAsia="es-ES"/>
        </w:rPr>
        <w:t>.</w:t>
      </w:r>
    </w:p>
    <w:p w14:paraId="0307CAC4" w14:textId="77777777" w:rsidR="004D6B60" w:rsidRDefault="004D6B60" w:rsidP="005D0F69">
      <w:pPr>
        <w:contextualSpacing/>
        <w:jc w:val="both"/>
        <w:rPr>
          <w:rFonts w:ascii="Verdana" w:eastAsia="MS Mincho" w:hAnsi="Verdana" w:cs="Verdana"/>
          <w:sz w:val="20"/>
          <w:szCs w:val="20"/>
          <w:lang w:val="es-ES" w:eastAsia="es-ES"/>
        </w:rPr>
      </w:pPr>
    </w:p>
    <w:p w14:paraId="3A386241" w14:textId="1E43D897" w:rsidR="004D6B60" w:rsidRPr="00C01305" w:rsidRDefault="004D6B60" w:rsidP="00E66DD7">
      <w:pPr>
        <w:numPr>
          <w:ilvl w:val="0"/>
          <w:numId w:val="1"/>
        </w:numPr>
        <w:ind w:left="0" w:firstLine="0"/>
        <w:contextualSpacing/>
        <w:jc w:val="both"/>
        <w:rPr>
          <w:rFonts w:ascii="Verdana" w:hAnsi="Verdana"/>
          <w:sz w:val="20"/>
          <w:lang w:val="es-MX"/>
        </w:rPr>
      </w:pPr>
      <w:r>
        <w:rPr>
          <w:rFonts w:ascii="Verdana" w:hAnsi="Verdana"/>
          <w:sz w:val="20"/>
          <w:lang w:val="es-MX"/>
        </w:rPr>
        <w:t>E</w:t>
      </w:r>
      <w:r w:rsidRPr="00751089">
        <w:rPr>
          <w:rFonts w:ascii="Verdana" w:hAnsi="Verdana"/>
          <w:sz w:val="20"/>
          <w:szCs w:val="20"/>
          <w:lang w:val="es-CR"/>
        </w:rPr>
        <w:t xml:space="preserve">l </w:t>
      </w:r>
      <w:r w:rsidRPr="005D0F69">
        <w:rPr>
          <w:rFonts w:ascii="Verdana" w:hAnsi="Verdana"/>
          <w:b/>
          <w:i/>
          <w:sz w:val="20"/>
          <w:szCs w:val="20"/>
          <w:lang w:val="es-CR"/>
        </w:rPr>
        <w:t>Estado</w:t>
      </w:r>
      <w:r w:rsidRPr="00751089">
        <w:rPr>
          <w:rFonts w:ascii="Verdana" w:hAnsi="Verdana"/>
          <w:b/>
          <w:i/>
          <w:sz w:val="20"/>
          <w:szCs w:val="20"/>
          <w:lang w:val="es-CR"/>
        </w:rPr>
        <w:t xml:space="preserve"> </w:t>
      </w:r>
      <w:r>
        <w:rPr>
          <w:rFonts w:ascii="Verdana" w:hAnsi="Verdana"/>
          <w:sz w:val="20"/>
          <w:szCs w:val="20"/>
          <w:lang w:val="es-CR"/>
        </w:rPr>
        <w:t>sostuvo</w:t>
      </w:r>
      <w:r w:rsidRPr="00751089">
        <w:rPr>
          <w:rFonts w:ascii="Verdana" w:hAnsi="Verdana"/>
          <w:sz w:val="20"/>
          <w:szCs w:val="20"/>
          <w:lang w:val="es-CR"/>
        </w:rPr>
        <w:t xml:space="preserve"> que </w:t>
      </w:r>
      <w:r>
        <w:rPr>
          <w:rFonts w:ascii="Verdana" w:hAnsi="Verdana"/>
          <w:sz w:val="20"/>
          <w:szCs w:val="20"/>
          <w:lang w:val="es-CR"/>
        </w:rPr>
        <w:t>el señor Lagos del Campo</w:t>
      </w:r>
      <w:r w:rsidRPr="00751089">
        <w:rPr>
          <w:rFonts w:ascii="Verdana" w:hAnsi="Verdana"/>
          <w:sz w:val="20"/>
          <w:szCs w:val="20"/>
          <w:lang w:val="es-CR"/>
        </w:rPr>
        <w:t>, al no ser representante de los trabajadores o un dirigente sindical, y por lo tanto no contar con la protección como tal, no vio vulnerada su libertad de asociación como resultado de la presunta vulneración a su libertad de expresión. Adicionalmente, el Estado sostuvo que no pudo existir efecto intimidatorio alguno en los demás trabajadores de pertenecer a la Comunidad Industrial, pues la pertenencia a dicha Comunidad no dependía de su voluntad, sino que estaba previsto conforme a la ley aplicable y vigente en la época. Finalmente, alegó que no se presentó fundamento probatorio alguno respecto de la presunta intimidación y/o temor causado en los trabajadores por la posible pérdida de sus puestos de trabajo.</w:t>
      </w:r>
    </w:p>
    <w:p w14:paraId="6AEDF954" w14:textId="77777777" w:rsidR="004D6B60" w:rsidRDefault="004D6B60" w:rsidP="00262F28">
      <w:pPr>
        <w:jc w:val="both"/>
        <w:rPr>
          <w:rFonts w:ascii="Verdana" w:hAnsi="Verdana"/>
          <w:b/>
          <w:sz w:val="20"/>
          <w:szCs w:val="20"/>
          <w:lang w:val="es-ES"/>
        </w:rPr>
      </w:pPr>
    </w:p>
    <w:p w14:paraId="1D4048BB" w14:textId="535627C8" w:rsidR="004D6B60" w:rsidRPr="005B3D37" w:rsidRDefault="004D6B60" w:rsidP="00E66DD7">
      <w:pPr>
        <w:pStyle w:val="Heading3"/>
        <w:numPr>
          <w:ilvl w:val="0"/>
          <w:numId w:val="18"/>
        </w:numPr>
        <w:rPr>
          <w:b w:val="0"/>
          <w:i/>
          <w:iCs/>
          <w:szCs w:val="20"/>
        </w:rPr>
      </w:pPr>
      <w:bookmarkStart w:id="39" w:name="_Toc498333498"/>
      <w:r w:rsidRPr="005B3D37">
        <w:rPr>
          <w:i/>
          <w:iCs/>
          <w:szCs w:val="20"/>
        </w:rPr>
        <w:t xml:space="preserve">Relativos al deber de adoptar </w:t>
      </w:r>
      <w:r w:rsidR="00D37AAF" w:rsidRPr="005B3D37">
        <w:rPr>
          <w:i/>
          <w:iCs/>
          <w:szCs w:val="20"/>
        </w:rPr>
        <w:t>disposiciones</w:t>
      </w:r>
      <w:r w:rsidRPr="005B3D37">
        <w:rPr>
          <w:i/>
          <w:iCs/>
          <w:szCs w:val="20"/>
        </w:rPr>
        <w:t xml:space="preserve"> de derecho interno</w:t>
      </w:r>
      <w:bookmarkEnd w:id="39"/>
    </w:p>
    <w:p w14:paraId="0E63871A" w14:textId="77777777" w:rsidR="00625FAD" w:rsidRPr="005D0F69" w:rsidRDefault="00625FAD" w:rsidP="00CB5A95">
      <w:pPr>
        <w:autoSpaceDE w:val="0"/>
        <w:autoSpaceDN w:val="0"/>
        <w:adjustRightInd w:val="0"/>
        <w:contextualSpacing/>
        <w:jc w:val="both"/>
        <w:rPr>
          <w:rFonts w:ascii="Verdana" w:hAnsi="Verdana"/>
          <w:b/>
          <w:sz w:val="20"/>
          <w:lang w:val="es-ES"/>
        </w:rPr>
      </w:pPr>
    </w:p>
    <w:p w14:paraId="01060B21" w14:textId="26D0D2A4" w:rsidR="002F1386" w:rsidRPr="00557859" w:rsidRDefault="002F1386" w:rsidP="00E66DD7">
      <w:pPr>
        <w:numPr>
          <w:ilvl w:val="0"/>
          <w:numId w:val="1"/>
        </w:numPr>
        <w:ind w:left="0" w:hanging="11"/>
        <w:contextualSpacing/>
        <w:jc w:val="both"/>
        <w:rPr>
          <w:rFonts w:ascii="Verdana" w:hAnsi="Verdana"/>
          <w:sz w:val="20"/>
          <w:szCs w:val="20"/>
          <w:lang w:val="es-ES" w:eastAsia="es-ES"/>
        </w:rPr>
      </w:pPr>
      <w:r w:rsidRPr="00557859">
        <w:rPr>
          <w:rFonts w:ascii="Verdana" w:hAnsi="Verdana"/>
          <w:sz w:val="20"/>
          <w:szCs w:val="20"/>
          <w:lang w:val="es-ES"/>
        </w:rPr>
        <w:t xml:space="preserve">La </w:t>
      </w:r>
      <w:r w:rsidRPr="00557859">
        <w:rPr>
          <w:rFonts w:ascii="Verdana" w:hAnsi="Verdana"/>
          <w:b/>
          <w:i/>
          <w:sz w:val="20"/>
          <w:szCs w:val="20"/>
          <w:lang w:val="es-MX"/>
        </w:rPr>
        <w:t>Comisión</w:t>
      </w:r>
      <w:r w:rsidRPr="00557859">
        <w:rPr>
          <w:rFonts w:ascii="Verdana" w:hAnsi="Verdana"/>
          <w:i/>
          <w:sz w:val="20"/>
          <w:szCs w:val="20"/>
          <w:lang w:val="es-MX"/>
        </w:rPr>
        <w:t xml:space="preserve"> </w:t>
      </w:r>
      <w:r w:rsidRPr="00557859">
        <w:rPr>
          <w:rFonts w:ascii="Verdana" w:hAnsi="Verdana"/>
          <w:sz w:val="20"/>
          <w:szCs w:val="20"/>
          <w:lang w:val="es-MX"/>
        </w:rPr>
        <w:t>consideró que la normativa sobre la que se basó el despido del señor Lagos del Campo era vaga e imprecisa, toda vez que no delimitaba el ámbito de aplicación con el fin de proteger los discursos referidos a asuntos de interés público, ni aquellas expresiones emitidas por representantes de trabajadores actuando en esa calidad. En este sentido, señaló que, al haberse producido la violación al derecho a la libertad de expresión del señor Lagos del Campo como consecuencia de la aplicación de una ley que no cumplía con los requisitos de legalidad, el Estado también incumplió el artículo 2 de la Convención American</w:t>
      </w:r>
      <w:r w:rsidR="003304E1">
        <w:rPr>
          <w:rFonts w:ascii="Verdana" w:hAnsi="Verdana"/>
          <w:sz w:val="20"/>
          <w:szCs w:val="20"/>
          <w:lang w:val="es-MX"/>
        </w:rPr>
        <w:t>a.</w:t>
      </w:r>
      <w:r w:rsidRPr="00557859">
        <w:rPr>
          <w:rFonts w:ascii="Verdana" w:hAnsi="Verdana"/>
          <w:sz w:val="20"/>
          <w:szCs w:val="20"/>
          <w:lang w:val="es-MX"/>
        </w:rPr>
        <w:t xml:space="preserve"> </w:t>
      </w:r>
    </w:p>
    <w:p w14:paraId="06735E69" w14:textId="77777777" w:rsidR="002F1386" w:rsidRPr="005D0F69" w:rsidRDefault="002F1386" w:rsidP="005D0F69">
      <w:pPr>
        <w:jc w:val="both"/>
        <w:rPr>
          <w:rFonts w:ascii="Verdana" w:hAnsi="Verdana"/>
          <w:sz w:val="20"/>
          <w:szCs w:val="20"/>
          <w:lang w:val="es-CR"/>
        </w:rPr>
      </w:pPr>
    </w:p>
    <w:p w14:paraId="6B2D8144" w14:textId="2D5187EB" w:rsidR="004D6B60" w:rsidRPr="005D0F69" w:rsidRDefault="002F1386" w:rsidP="00E66DD7">
      <w:pPr>
        <w:pStyle w:val="ListParagraph"/>
        <w:numPr>
          <w:ilvl w:val="0"/>
          <w:numId w:val="1"/>
        </w:numPr>
        <w:ind w:left="0" w:firstLine="70"/>
        <w:jc w:val="both"/>
        <w:rPr>
          <w:lang w:val="es-CR"/>
        </w:rPr>
      </w:pPr>
      <w:r>
        <w:rPr>
          <w:rFonts w:ascii="Verdana" w:hAnsi="Verdana"/>
          <w:sz w:val="20"/>
          <w:szCs w:val="20"/>
          <w:lang w:val="es-MX"/>
        </w:rPr>
        <w:t>L</w:t>
      </w:r>
      <w:r w:rsidR="000F0E92" w:rsidRPr="005D0F69">
        <w:rPr>
          <w:rFonts w:ascii="Verdana" w:hAnsi="Verdana"/>
          <w:sz w:val="20"/>
          <w:szCs w:val="20"/>
          <w:lang w:val="es-CR"/>
        </w:rPr>
        <w:t xml:space="preserve">os </w:t>
      </w:r>
      <w:r w:rsidR="000F0E92" w:rsidRPr="005D0F69">
        <w:rPr>
          <w:rFonts w:ascii="Verdana" w:hAnsi="Verdana"/>
          <w:b/>
          <w:i/>
          <w:sz w:val="20"/>
          <w:szCs w:val="20"/>
          <w:lang w:val="es-CR"/>
        </w:rPr>
        <w:t>representantes</w:t>
      </w:r>
      <w:r w:rsidR="000F0E92" w:rsidRPr="005D0F69">
        <w:rPr>
          <w:rFonts w:ascii="Verdana" w:hAnsi="Verdana"/>
          <w:sz w:val="20"/>
          <w:szCs w:val="20"/>
          <w:lang w:val="es-CR"/>
        </w:rPr>
        <w:t xml:space="preserve"> </w:t>
      </w:r>
      <w:r w:rsidR="000F0E92" w:rsidRPr="005D0F69">
        <w:rPr>
          <w:rFonts w:ascii="Verdana" w:hAnsi="Verdana"/>
          <w:sz w:val="20"/>
          <w:szCs w:val="20"/>
          <w:lang w:val="es-MX"/>
        </w:rPr>
        <w:t>coincidieron con el alegato de la Comisión respecto de la incompatibilidad entre el literal h) del artículo 5 de la ley No. 24514 y el artículo 2 de la Convención Americana. Adicionalmente, alegaron que el Decreto Legislativo No. 728, el cual derogó la ley No. 24514, adolece de los mismos defectos que la ley aplicada en el caso concreto. En consecuencia, solicitó a la Corte un examen de compatibilidad entre el artículo 25 del Decreto Legislativo No. 728 y la Convención Americana</w:t>
      </w:r>
    </w:p>
    <w:p w14:paraId="04B5AD25" w14:textId="77777777" w:rsidR="004D6B60" w:rsidRPr="00CB5A95" w:rsidRDefault="004D6B60" w:rsidP="005D0F69">
      <w:pPr>
        <w:autoSpaceDE w:val="0"/>
        <w:autoSpaceDN w:val="0"/>
        <w:adjustRightInd w:val="0"/>
        <w:contextualSpacing/>
        <w:jc w:val="both"/>
        <w:rPr>
          <w:rFonts w:ascii="Verdana" w:hAnsi="Verdana"/>
          <w:sz w:val="20"/>
          <w:lang w:val="es-CR"/>
        </w:rPr>
      </w:pPr>
    </w:p>
    <w:p w14:paraId="7182B7AB" w14:textId="11BB515F" w:rsidR="0055376B" w:rsidRPr="00C01305" w:rsidRDefault="002F1386" w:rsidP="00E66DD7">
      <w:pPr>
        <w:numPr>
          <w:ilvl w:val="0"/>
          <w:numId w:val="1"/>
        </w:numPr>
        <w:autoSpaceDE w:val="0"/>
        <w:autoSpaceDN w:val="0"/>
        <w:adjustRightInd w:val="0"/>
        <w:ind w:left="0" w:firstLine="0"/>
        <w:contextualSpacing/>
        <w:jc w:val="both"/>
        <w:rPr>
          <w:rFonts w:ascii="Verdana" w:hAnsi="Verdana"/>
          <w:sz w:val="20"/>
          <w:szCs w:val="20"/>
          <w:lang w:val="es-MX"/>
        </w:rPr>
      </w:pPr>
      <w:r>
        <w:rPr>
          <w:rFonts w:ascii="Verdana" w:hAnsi="Verdana"/>
          <w:sz w:val="20"/>
          <w:szCs w:val="20"/>
          <w:lang w:val="es-MX"/>
        </w:rPr>
        <w:t>E</w:t>
      </w:r>
      <w:r w:rsidR="0055376B" w:rsidRPr="00971F47">
        <w:rPr>
          <w:rFonts w:ascii="Verdana" w:hAnsi="Verdana"/>
          <w:sz w:val="20"/>
          <w:szCs w:val="20"/>
          <w:lang w:val="es-MX"/>
        </w:rPr>
        <w:t xml:space="preserve">l </w:t>
      </w:r>
      <w:r w:rsidR="0055376B" w:rsidRPr="00971F47">
        <w:rPr>
          <w:rFonts w:ascii="Verdana" w:hAnsi="Verdana"/>
          <w:b/>
          <w:i/>
          <w:sz w:val="20"/>
          <w:szCs w:val="20"/>
          <w:lang w:val="es-MX"/>
        </w:rPr>
        <w:t>Estado</w:t>
      </w:r>
      <w:r w:rsidR="0055376B" w:rsidRPr="00971F47">
        <w:rPr>
          <w:rFonts w:ascii="Verdana" w:hAnsi="Verdana"/>
          <w:sz w:val="20"/>
          <w:szCs w:val="20"/>
          <w:lang w:val="es-MX"/>
        </w:rPr>
        <w:t xml:space="preserve"> alegó que el artículo 5 de la ley No. 24514 no se trataba de una norma vaga e imprecisa</w:t>
      </w:r>
      <w:r w:rsidR="003304E1">
        <w:rPr>
          <w:rFonts w:ascii="Verdana" w:hAnsi="Verdana"/>
          <w:sz w:val="20"/>
          <w:szCs w:val="20"/>
          <w:lang w:val="es-MX"/>
        </w:rPr>
        <w:t>,</w:t>
      </w:r>
      <w:r w:rsidR="0055376B" w:rsidRPr="00971F47">
        <w:rPr>
          <w:rFonts w:ascii="Verdana" w:hAnsi="Verdana"/>
          <w:sz w:val="20"/>
          <w:szCs w:val="20"/>
          <w:lang w:val="es-MX"/>
        </w:rPr>
        <w:t xml:space="preserve"> debido a que no delimitaba su ámbito de aplicación en cuanto a asuntos de interés público ni respecto de expresiones emitidas por representantes actuando como tal, toda vez que el señor Lagos del Campo no era un representante laboral, y por lo tanto sus expresiones no eran de interés público. Por otro lado, y sin perjuicio de lo anterior, alegó que la constitucionalidad de la Ley No. 24514 nunca fue objeto de cuestionamientos a través de los mecanismos internos expeditos en el periodo en que estuvo vigente, ni fue objeto de reclamo o crítica ante la Organización Internacional del Trabajo. Por consiguiente, el Estado estimó que no incumplió el artículo 2 de la Convención Americana</w:t>
      </w:r>
      <w:r w:rsidR="00FA58C4">
        <w:rPr>
          <w:rFonts w:ascii="Verdana" w:hAnsi="Verdana"/>
          <w:sz w:val="20"/>
          <w:szCs w:val="20"/>
          <w:lang w:val="es-MX"/>
        </w:rPr>
        <w:t>.</w:t>
      </w:r>
    </w:p>
    <w:p w14:paraId="2CEC15E1" w14:textId="77777777" w:rsidR="00C01305" w:rsidRDefault="00C01305" w:rsidP="00C01305">
      <w:pPr>
        <w:autoSpaceDE w:val="0"/>
        <w:autoSpaceDN w:val="0"/>
        <w:adjustRightInd w:val="0"/>
        <w:contextualSpacing/>
        <w:jc w:val="both"/>
        <w:rPr>
          <w:rFonts w:ascii="Verdana" w:hAnsi="Verdana"/>
          <w:sz w:val="20"/>
          <w:szCs w:val="20"/>
          <w:lang w:val="es-MX"/>
        </w:rPr>
      </w:pPr>
    </w:p>
    <w:p w14:paraId="781034BF" w14:textId="77777777" w:rsidR="00C01305" w:rsidRPr="00C01305" w:rsidRDefault="00C01305" w:rsidP="00E66DD7">
      <w:pPr>
        <w:pStyle w:val="Heading2"/>
        <w:numPr>
          <w:ilvl w:val="0"/>
          <w:numId w:val="10"/>
        </w:numPr>
        <w:rPr>
          <w:i/>
          <w:szCs w:val="20"/>
        </w:rPr>
      </w:pPr>
      <w:bookmarkStart w:id="40" w:name="_Toc498333499"/>
      <w:r w:rsidRPr="00C01305">
        <w:rPr>
          <w:i/>
          <w:szCs w:val="20"/>
        </w:rPr>
        <w:t>Consideraciones de la Corte</w:t>
      </w:r>
      <w:bookmarkEnd w:id="40"/>
    </w:p>
    <w:p w14:paraId="20C485B0" w14:textId="77777777" w:rsidR="00C01305" w:rsidRDefault="00C01305" w:rsidP="00C01305">
      <w:pPr>
        <w:rPr>
          <w:rFonts w:ascii="Calibri" w:hAnsi="Calibri"/>
          <w:sz w:val="22"/>
          <w:szCs w:val="22"/>
        </w:rPr>
      </w:pPr>
    </w:p>
    <w:p w14:paraId="347C3D51" w14:textId="77777777" w:rsidR="002F1386" w:rsidRPr="005D0F69" w:rsidRDefault="002F1386" w:rsidP="00E66DD7">
      <w:pPr>
        <w:pStyle w:val="Heading3"/>
        <w:numPr>
          <w:ilvl w:val="0"/>
          <w:numId w:val="11"/>
        </w:numPr>
        <w:ind w:left="714" w:hanging="357"/>
        <w:rPr>
          <w:b w:val="0"/>
          <w:i/>
          <w:lang w:val="es-MX"/>
        </w:rPr>
      </w:pPr>
      <w:bookmarkStart w:id="41" w:name="_Toc498333500"/>
      <w:r w:rsidRPr="00261A99">
        <w:rPr>
          <w:i/>
          <w:lang w:val="es-MX"/>
        </w:rPr>
        <w:t>Libertad de expresión y garantías judi</w:t>
      </w:r>
      <w:r w:rsidRPr="00172797">
        <w:rPr>
          <w:i/>
          <w:lang w:val="es-MX"/>
        </w:rPr>
        <w:t>ciales</w:t>
      </w:r>
      <w:bookmarkEnd w:id="41"/>
    </w:p>
    <w:p w14:paraId="55A5CE3E" w14:textId="77777777" w:rsidR="00C01305" w:rsidRPr="00261A99" w:rsidRDefault="00C01305" w:rsidP="00C01305">
      <w:pPr>
        <w:autoSpaceDE w:val="0"/>
        <w:autoSpaceDN w:val="0"/>
        <w:adjustRightInd w:val="0"/>
        <w:contextualSpacing/>
        <w:jc w:val="both"/>
        <w:rPr>
          <w:rFonts w:ascii="Verdana" w:hAnsi="Verdana"/>
          <w:sz w:val="20"/>
          <w:szCs w:val="20"/>
          <w:lang w:val="es-MX"/>
        </w:rPr>
      </w:pPr>
    </w:p>
    <w:p w14:paraId="3D5ED48C" w14:textId="1B2C5BB4" w:rsidR="00C01305" w:rsidRPr="007E39F5" w:rsidRDefault="00C01305" w:rsidP="00E66DD7">
      <w:pPr>
        <w:numPr>
          <w:ilvl w:val="0"/>
          <w:numId w:val="1"/>
        </w:numPr>
        <w:autoSpaceDE w:val="0"/>
        <w:autoSpaceDN w:val="0"/>
        <w:adjustRightInd w:val="0"/>
        <w:ind w:left="0" w:firstLine="0"/>
        <w:contextualSpacing/>
        <w:jc w:val="both"/>
        <w:rPr>
          <w:rFonts w:ascii="Verdana" w:hAnsi="Verdana"/>
          <w:sz w:val="20"/>
          <w:lang w:val="es-MX"/>
        </w:rPr>
      </w:pPr>
      <w:r w:rsidRPr="00900CB9">
        <w:rPr>
          <w:rFonts w:ascii="Verdana" w:hAnsi="Verdana"/>
          <w:sz w:val="20"/>
          <w:szCs w:val="20"/>
          <w:lang w:val="es-MX"/>
        </w:rPr>
        <w:t xml:space="preserve">En </w:t>
      </w:r>
      <w:r w:rsidR="00EE6DEA" w:rsidRPr="00900CB9">
        <w:rPr>
          <w:rFonts w:ascii="Verdana" w:hAnsi="Verdana"/>
          <w:sz w:val="20"/>
          <w:szCs w:val="20"/>
          <w:lang w:val="es-MX"/>
        </w:rPr>
        <w:t xml:space="preserve">este apartado, </w:t>
      </w:r>
      <w:r w:rsidR="00E72D85" w:rsidRPr="00900CB9">
        <w:rPr>
          <w:rFonts w:ascii="Verdana" w:hAnsi="Verdana"/>
          <w:sz w:val="20"/>
          <w:szCs w:val="20"/>
          <w:lang w:val="es-MX"/>
        </w:rPr>
        <w:t>la Corte</w:t>
      </w:r>
      <w:r w:rsidRPr="00900CB9">
        <w:rPr>
          <w:rFonts w:ascii="Verdana" w:hAnsi="Verdana"/>
          <w:sz w:val="20"/>
          <w:szCs w:val="20"/>
          <w:lang w:val="es-MX"/>
        </w:rPr>
        <w:t xml:space="preserve"> </w:t>
      </w:r>
      <w:r w:rsidR="00E72D85" w:rsidRPr="00900CB9">
        <w:rPr>
          <w:rFonts w:ascii="Verdana" w:hAnsi="Verdana"/>
          <w:sz w:val="20"/>
          <w:szCs w:val="20"/>
          <w:lang w:val="es-MX"/>
        </w:rPr>
        <w:t>analizará</w:t>
      </w:r>
      <w:r w:rsidRPr="00900CB9">
        <w:rPr>
          <w:rFonts w:ascii="Verdana" w:hAnsi="Verdana"/>
          <w:sz w:val="20"/>
          <w:szCs w:val="20"/>
          <w:lang w:val="es-MX"/>
        </w:rPr>
        <w:t xml:space="preserve"> si </w:t>
      </w:r>
      <w:r w:rsidR="00AB5ECF" w:rsidRPr="00900CB9">
        <w:rPr>
          <w:rFonts w:ascii="Verdana" w:hAnsi="Verdana"/>
          <w:sz w:val="20"/>
          <w:szCs w:val="20"/>
          <w:lang w:val="es-MX"/>
        </w:rPr>
        <w:t xml:space="preserve">las </w:t>
      </w:r>
      <w:r w:rsidR="00923890" w:rsidRPr="00900CB9">
        <w:rPr>
          <w:rFonts w:ascii="Verdana" w:hAnsi="Verdana"/>
          <w:sz w:val="20"/>
          <w:szCs w:val="20"/>
          <w:lang w:val="es-MX"/>
        </w:rPr>
        <w:t>declaraciones</w:t>
      </w:r>
      <w:r w:rsidR="00054656" w:rsidRPr="00900CB9">
        <w:rPr>
          <w:rFonts w:ascii="Verdana" w:hAnsi="Verdana"/>
          <w:sz w:val="20"/>
          <w:szCs w:val="20"/>
          <w:lang w:val="es-MX"/>
        </w:rPr>
        <w:t xml:space="preserve"> </w:t>
      </w:r>
      <w:r w:rsidR="00AB5ECF" w:rsidRPr="00900CB9">
        <w:rPr>
          <w:rFonts w:ascii="Verdana" w:hAnsi="Verdana"/>
          <w:sz w:val="20"/>
          <w:szCs w:val="20"/>
          <w:lang w:val="es-MX"/>
        </w:rPr>
        <w:t>del</w:t>
      </w:r>
      <w:r w:rsidRPr="00900CB9">
        <w:rPr>
          <w:rFonts w:ascii="Verdana" w:hAnsi="Verdana"/>
          <w:sz w:val="20"/>
          <w:szCs w:val="20"/>
          <w:lang w:val="es-MX"/>
        </w:rPr>
        <w:t xml:space="preserve"> señor Lagos del Campo </w:t>
      </w:r>
      <w:r w:rsidR="00AB5ECF" w:rsidRPr="00900CB9">
        <w:rPr>
          <w:rFonts w:ascii="Verdana" w:hAnsi="Verdana"/>
          <w:sz w:val="20"/>
          <w:szCs w:val="20"/>
          <w:lang w:val="es-MX"/>
        </w:rPr>
        <w:t xml:space="preserve">se encuentran en el ámbito de </w:t>
      </w:r>
      <w:r w:rsidR="00C41937" w:rsidRPr="00900CB9">
        <w:rPr>
          <w:rFonts w:ascii="Verdana" w:hAnsi="Verdana"/>
          <w:sz w:val="20"/>
          <w:szCs w:val="20"/>
          <w:lang w:val="es-MX"/>
        </w:rPr>
        <w:t xml:space="preserve">especial </w:t>
      </w:r>
      <w:r w:rsidR="00AB5ECF" w:rsidRPr="00900CB9">
        <w:rPr>
          <w:rFonts w:ascii="Verdana" w:hAnsi="Verdana"/>
          <w:sz w:val="20"/>
          <w:szCs w:val="20"/>
          <w:lang w:val="es-MX"/>
        </w:rPr>
        <w:t>protección</w:t>
      </w:r>
      <w:r w:rsidRPr="00900CB9">
        <w:rPr>
          <w:rFonts w:ascii="Verdana" w:hAnsi="Verdana"/>
          <w:sz w:val="20"/>
          <w:szCs w:val="20"/>
          <w:lang w:val="es-MX"/>
        </w:rPr>
        <w:t xml:space="preserve"> </w:t>
      </w:r>
      <w:r w:rsidR="00AB5ECF" w:rsidRPr="00900CB9">
        <w:rPr>
          <w:rFonts w:ascii="Verdana" w:hAnsi="Verdana"/>
          <w:sz w:val="20"/>
          <w:szCs w:val="20"/>
          <w:lang w:val="es-MX"/>
        </w:rPr>
        <w:t xml:space="preserve">del </w:t>
      </w:r>
      <w:r w:rsidRPr="00900CB9">
        <w:rPr>
          <w:rFonts w:ascii="Verdana" w:hAnsi="Verdana"/>
          <w:sz w:val="20"/>
          <w:szCs w:val="20"/>
          <w:lang w:val="es-MX"/>
        </w:rPr>
        <w:t xml:space="preserve">derecho a la libertad de expresión y, en su caso, si </w:t>
      </w:r>
      <w:r w:rsidR="00602389" w:rsidRPr="00900CB9">
        <w:rPr>
          <w:rFonts w:ascii="Verdana" w:hAnsi="Verdana"/>
          <w:sz w:val="20"/>
          <w:szCs w:val="20"/>
          <w:lang w:val="es-MX"/>
        </w:rPr>
        <w:t xml:space="preserve">su libertad de expresión </w:t>
      </w:r>
      <w:r w:rsidRPr="00900CB9">
        <w:rPr>
          <w:rFonts w:ascii="Verdana" w:hAnsi="Verdana"/>
          <w:sz w:val="20"/>
          <w:szCs w:val="20"/>
          <w:lang w:val="es-MX"/>
        </w:rPr>
        <w:t>fue garantizad</w:t>
      </w:r>
      <w:r w:rsidR="00054656" w:rsidRPr="00900CB9">
        <w:rPr>
          <w:rFonts w:ascii="Verdana" w:hAnsi="Verdana"/>
          <w:sz w:val="20"/>
          <w:szCs w:val="20"/>
          <w:lang w:val="es-MX"/>
        </w:rPr>
        <w:t>a</w:t>
      </w:r>
      <w:r w:rsidRPr="00900CB9">
        <w:rPr>
          <w:rFonts w:ascii="Verdana" w:hAnsi="Verdana"/>
          <w:sz w:val="20"/>
          <w:szCs w:val="20"/>
          <w:lang w:val="es-MX"/>
        </w:rPr>
        <w:t xml:space="preserve"> por el Estado, </w:t>
      </w:r>
      <w:r w:rsidR="00602389" w:rsidRPr="00900CB9">
        <w:rPr>
          <w:rFonts w:ascii="Verdana" w:hAnsi="Verdana"/>
          <w:sz w:val="20"/>
          <w:szCs w:val="20"/>
          <w:lang w:val="es-MX"/>
        </w:rPr>
        <w:t>a través de</w:t>
      </w:r>
      <w:r w:rsidR="00261A99" w:rsidRPr="00900CB9">
        <w:rPr>
          <w:rFonts w:ascii="Verdana" w:hAnsi="Verdana"/>
          <w:sz w:val="20"/>
          <w:szCs w:val="20"/>
          <w:lang w:val="es-MX"/>
        </w:rPr>
        <w:t xml:space="preserve"> la decisión del</w:t>
      </w:r>
      <w:r w:rsidRPr="00900CB9">
        <w:rPr>
          <w:rFonts w:ascii="Verdana" w:hAnsi="Verdana"/>
          <w:sz w:val="20"/>
          <w:szCs w:val="20"/>
          <w:lang w:val="es-MX"/>
        </w:rPr>
        <w:t xml:space="preserve"> juez de segunda instancia</w:t>
      </w:r>
      <w:r w:rsidR="00517048" w:rsidRPr="00900CB9">
        <w:rPr>
          <w:rFonts w:ascii="Verdana" w:hAnsi="Verdana"/>
          <w:sz w:val="20"/>
          <w:szCs w:val="20"/>
          <w:lang w:val="es-MX"/>
        </w:rPr>
        <w:t>.</w:t>
      </w:r>
      <w:r w:rsidR="00517048" w:rsidRPr="00261A99">
        <w:rPr>
          <w:rFonts w:ascii="Verdana" w:hAnsi="Verdana"/>
          <w:sz w:val="20"/>
          <w:szCs w:val="20"/>
          <w:lang w:val="es-MX"/>
        </w:rPr>
        <w:t xml:space="preserve"> </w:t>
      </w:r>
      <w:r w:rsidRPr="00261A99">
        <w:rPr>
          <w:rFonts w:ascii="Verdana" w:hAnsi="Verdana"/>
          <w:sz w:val="20"/>
          <w:szCs w:val="20"/>
          <w:lang w:val="es-MX"/>
        </w:rPr>
        <w:t xml:space="preserve">Para ello, el Tribunal analizará la presente </w:t>
      </w:r>
      <w:r w:rsidRPr="001423EE">
        <w:rPr>
          <w:rFonts w:ascii="Verdana" w:hAnsi="Verdana"/>
          <w:sz w:val="20"/>
          <w:lang w:val="es-MX"/>
        </w:rPr>
        <w:t xml:space="preserve">controversia en los siguientes acápites: </w:t>
      </w:r>
      <w:r w:rsidR="00C41937" w:rsidRPr="0065727E">
        <w:rPr>
          <w:rFonts w:ascii="Verdana" w:hAnsi="Verdana"/>
          <w:sz w:val="20"/>
          <w:lang w:val="es-MX"/>
        </w:rPr>
        <w:t xml:space="preserve">a) </w:t>
      </w:r>
      <w:r w:rsidRPr="00653B63">
        <w:rPr>
          <w:rFonts w:ascii="Verdana" w:hAnsi="Verdana"/>
          <w:sz w:val="20"/>
          <w:lang w:val="es-MX"/>
        </w:rPr>
        <w:t>La libertad de expresión en contextos laborales</w:t>
      </w:r>
      <w:r w:rsidR="002A7B50" w:rsidRPr="005D0F69">
        <w:rPr>
          <w:rFonts w:ascii="Verdana" w:hAnsi="Verdana"/>
          <w:sz w:val="20"/>
          <w:szCs w:val="20"/>
          <w:lang w:val="es-MX"/>
        </w:rPr>
        <w:t xml:space="preserve"> y</w:t>
      </w:r>
      <w:r w:rsidRPr="00172797">
        <w:rPr>
          <w:rFonts w:ascii="Verdana" w:hAnsi="Verdana"/>
          <w:sz w:val="20"/>
          <w:szCs w:val="20"/>
          <w:lang w:val="es-MX"/>
        </w:rPr>
        <w:t xml:space="preserve"> </w:t>
      </w:r>
      <w:r w:rsidR="002A7B50" w:rsidRPr="005D0F69">
        <w:rPr>
          <w:rFonts w:ascii="Verdana" w:hAnsi="Verdana"/>
          <w:sz w:val="20"/>
          <w:szCs w:val="20"/>
          <w:lang w:val="es-MX"/>
        </w:rPr>
        <w:t>b</w:t>
      </w:r>
      <w:r w:rsidRPr="00172797">
        <w:rPr>
          <w:rFonts w:ascii="Verdana" w:hAnsi="Verdana"/>
          <w:sz w:val="20"/>
          <w:lang w:val="es-MX"/>
        </w:rPr>
        <w:t xml:space="preserve">) </w:t>
      </w:r>
      <w:r w:rsidR="001E446C" w:rsidRPr="00172797">
        <w:rPr>
          <w:rFonts w:ascii="Verdana" w:hAnsi="Verdana"/>
          <w:sz w:val="20"/>
          <w:lang w:val="es-MX"/>
        </w:rPr>
        <w:t>A</w:t>
      </w:r>
      <w:r w:rsidRPr="00717715">
        <w:rPr>
          <w:rFonts w:ascii="Verdana" w:hAnsi="Verdana"/>
          <w:sz w:val="20"/>
          <w:lang w:val="es-MX"/>
        </w:rPr>
        <w:t xml:space="preserve">nálisis de </w:t>
      </w:r>
      <w:r w:rsidR="001E446C" w:rsidRPr="007E39F5">
        <w:rPr>
          <w:rFonts w:ascii="Verdana" w:hAnsi="Verdana"/>
          <w:sz w:val="20"/>
          <w:lang w:val="es-MX"/>
        </w:rPr>
        <w:t xml:space="preserve">necesidad </w:t>
      </w:r>
      <w:r w:rsidRPr="007E39F5">
        <w:rPr>
          <w:rFonts w:ascii="Verdana" w:hAnsi="Verdana"/>
          <w:sz w:val="20"/>
          <w:lang w:val="es-MX"/>
        </w:rPr>
        <w:t xml:space="preserve">y razonabilidad </w:t>
      </w:r>
      <w:r w:rsidR="007E39F5">
        <w:rPr>
          <w:rFonts w:ascii="Verdana" w:hAnsi="Verdana"/>
          <w:sz w:val="20"/>
          <w:lang w:val="es-MX"/>
        </w:rPr>
        <w:t xml:space="preserve">de la restricción </w:t>
      </w:r>
      <w:r w:rsidR="001E446C" w:rsidRPr="007E39F5">
        <w:rPr>
          <w:rFonts w:ascii="Verdana" w:hAnsi="Verdana"/>
          <w:sz w:val="20"/>
          <w:lang w:val="es-MX"/>
        </w:rPr>
        <w:t>en el</w:t>
      </w:r>
      <w:r w:rsidRPr="007E39F5">
        <w:rPr>
          <w:rFonts w:ascii="Verdana" w:hAnsi="Verdana"/>
          <w:sz w:val="20"/>
          <w:lang w:val="es-MX"/>
        </w:rPr>
        <w:t xml:space="preserve"> presente caso</w:t>
      </w:r>
      <w:r w:rsidR="001E446C" w:rsidRPr="007E39F5">
        <w:rPr>
          <w:rFonts w:ascii="Verdana" w:hAnsi="Verdana"/>
          <w:sz w:val="20"/>
          <w:lang w:val="es-MX"/>
        </w:rPr>
        <w:t>.</w:t>
      </w:r>
    </w:p>
    <w:p w14:paraId="22B20085" w14:textId="77777777" w:rsidR="00C41937" w:rsidRPr="00C01305" w:rsidRDefault="00C41937" w:rsidP="00557859">
      <w:pPr>
        <w:autoSpaceDE w:val="0"/>
        <w:autoSpaceDN w:val="0"/>
        <w:adjustRightInd w:val="0"/>
        <w:contextualSpacing/>
        <w:jc w:val="both"/>
        <w:rPr>
          <w:rFonts w:ascii="Verdana" w:hAnsi="Verdana"/>
          <w:sz w:val="20"/>
          <w:szCs w:val="20"/>
          <w:lang w:val="es-MX"/>
        </w:rPr>
      </w:pPr>
    </w:p>
    <w:p w14:paraId="7B3BA865" w14:textId="0FC6D6C5" w:rsidR="00517048" w:rsidRPr="00262F28" w:rsidRDefault="00517048" w:rsidP="00E66DD7">
      <w:pPr>
        <w:pStyle w:val="Heading3"/>
        <w:numPr>
          <w:ilvl w:val="1"/>
          <w:numId w:val="11"/>
        </w:numPr>
        <w:rPr>
          <w:i/>
          <w:lang w:val="es-MX"/>
        </w:rPr>
      </w:pPr>
      <w:bookmarkStart w:id="42" w:name="_Toc498333501"/>
      <w:r w:rsidRPr="00262F28">
        <w:rPr>
          <w:i/>
          <w:lang w:val="es-MX"/>
        </w:rPr>
        <w:t>La libertad de expresión en contextos laborales</w:t>
      </w:r>
      <w:bookmarkEnd w:id="42"/>
    </w:p>
    <w:p w14:paraId="2AD0E74E" w14:textId="77777777" w:rsidR="00E365AD" w:rsidRDefault="00E365AD" w:rsidP="00CB5A95">
      <w:pPr>
        <w:autoSpaceDE w:val="0"/>
        <w:autoSpaceDN w:val="0"/>
        <w:adjustRightInd w:val="0"/>
        <w:contextualSpacing/>
        <w:jc w:val="both"/>
        <w:rPr>
          <w:i/>
          <w:lang w:val="es-MX"/>
        </w:rPr>
      </w:pPr>
    </w:p>
    <w:p w14:paraId="34AC2DC1" w14:textId="77777777" w:rsidR="00E365AD" w:rsidRPr="00C01305" w:rsidRDefault="00E365AD" w:rsidP="00E66DD7">
      <w:pPr>
        <w:numPr>
          <w:ilvl w:val="0"/>
          <w:numId w:val="1"/>
        </w:numPr>
        <w:autoSpaceDE w:val="0"/>
        <w:autoSpaceDN w:val="0"/>
        <w:adjustRightInd w:val="0"/>
        <w:ind w:left="0" w:firstLine="0"/>
        <w:contextualSpacing/>
        <w:jc w:val="both"/>
        <w:rPr>
          <w:rFonts w:ascii="Verdana" w:hAnsi="Verdana"/>
          <w:sz w:val="20"/>
          <w:szCs w:val="20"/>
        </w:rPr>
      </w:pPr>
      <w:r w:rsidRPr="00C01305">
        <w:rPr>
          <w:rFonts w:ascii="Verdana" w:hAnsi="Verdana"/>
          <w:sz w:val="20"/>
          <w:szCs w:val="20"/>
        </w:rPr>
        <w:t>La jurisprudencia del Tribunal ha dado un amplio contenido al derecho a la libertad de pensamiento y de expresión consagrado en el artículo 13 de la Convención. La Corte ha indicado que dicha norma protege el derecho de buscar, recibir y difundir ideas e informaciones de toda índole, así como también el de recibir y conocer las informaciones e ideas difundidas por los demás</w:t>
      </w:r>
      <w:r w:rsidRPr="00C01305">
        <w:rPr>
          <w:rFonts w:ascii="Verdana" w:hAnsi="Verdana"/>
          <w:sz w:val="20"/>
          <w:szCs w:val="20"/>
          <w:vertAlign w:val="superscript"/>
        </w:rPr>
        <w:footnoteReference w:id="111"/>
      </w:r>
      <w:r w:rsidRPr="00C01305">
        <w:rPr>
          <w:rFonts w:ascii="Verdana" w:hAnsi="Verdana"/>
          <w:sz w:val="20"/>
          <w:szCs w:val="20"/>
        </w:rPr>
        <w:t>. Asimismo, ha señalado que la libertad de expresión tiene una dimensión individual y una dimensión social, de las cuales ha desprendido una serie de derechos que se encuentran protegidos en dicho artículo</w:t>
      </w:r>
      <w:r w:rsidRPr="00C01305">
        <w:rPr>
          <w:rFonts w:ascii="Verdana" w:hAnsi="Verdana"/>
          <w:sz w:val="20"/>
          <w:szCs w:val="20"/>
          <w:vertAlign w:val="superscript"/>
        </w:rPr>
        <w:footnoteReference w:id="112"/>
      </w:r>
      <w:r w:rsidRPr="00C01305">
        <w:rPr>
          <w:rFonts w:ascii="Verdana" w:hAnsi="Verdana"/>
          <w:sz w:val="20"/>
          <w:szCs w:val="20"/>
        </w:rPr>
        <w:t>. Este Tribunal ha afirmado que ambas dimensiones poseen igual importancia y deben ser garantizadas plenamente en forma simultánea para dar efectividad total al derecho a la libertad de expresión</w:t>
      </w:r>
      <w:r>
        <w:rPr>
          <w:rFonts w:ascii="Verdana" w:hAnsi="Verdana"/>
          <w:sz w:val="20"/>
          <w:szCs w:val="20"/>
        </w:rPr>
        <w:t>,</w:t>
      </w:r>
      <w:r w:rsidRPr="00C01305">
        <w:rPr>
          <w:rFonts w:ascii="Verdana" w:hAnsi="Verdana"/>
          <w:sz w:val="20"/>
          <w:szCs w:val="20"/>
        </w:rPr>
        <w:t xml:space="preserve"> en los términos previstos por el artículo 13 de la Convención</w:t>
      </w:r>
      <w:r w:rsidRPr="00C01305">
        <w:rPr>
          <w:rFonts w:ascii="Verdana" w:hAnsi="Verdana"/>
          <w:sz w:val="20"/>
          <w:szCs w:val="20"/>
          <w:vertAlign w:val="superscript"/>
        </w:rPr>
        <w:footnoteReference w:id="113"/>
      </w:r>
      <w:r w:rsidRPr="00C01305">
        <w:rPr>
          <w:rFonts w:ascii="Verdana" w:hAnsi="Verdana"/>
          <w:sz w:val="20"/>
          <w:szCs w:val="20"/>
        </w:rPr>
        <w:t>. Para el ciudadano común tiene tanta importancia el conocimiento de la opinión ajena o de la información de que disponen otros como el derecho a difundir la propia</w:t>
      </w:r>
      <w:r w:rsidRPr="00C01305">
        <w:rPr>
          <w:rFonts w:ascii="Verdana" w:hAnsi="Verdana"/>
          <w:sz w:val="20"/>
          <w:szCs w:val="20"/>
          <w:vertAlign w:val="superscript"/>
        </w:rPr>
        <w:footnoteReference w:id="114"/>
      </w:r>
      <w:r w:rsidRPr="00C01305">
        <w:rPr>
          <w:rFonts w:ascii="Verdana" w:hAnsi="Verdana"/>
          <w:sz w:val="20"/>
          <w:szCs w:val="20"/>
        </w:rPr>
        <w:t>.</w:t>
      </w:r>
      <w:r w:rsidRPr="00C01305">
        <w:rPr>
          <w:rFonts w:ascii="Verdana" w:hAnsi="Verdana"/>
          <w:b/>
          <w:sz w:val="20"/>
          <w:szCs w:val="20"/>
        </w:rPr>
        <w:t xml:space="preserve"> </w:t>
      </w:r>
      <w:r w:rsidRPr="00C01305">
        <w:rPr>
          <w:rFonts w:ascii="Verdana" w:hAnsi="Verdana"/>
          <w:sz w:val="20"/>
          <w:szCs w:val="20"/>
        </w:rPr>
        <w:t>Es por ello que</w:t>
      </w:r>
      <w:r>
        <w:rPr>
          <w:rFonts w:ascii="Verdana" w:hAnsi="Verdana"/>
          <w:sz w:val="20"/>
          <w:szCs w:val="20"/>
        </w:rPr>
        <w:t>,</w:t>
      </w:r>
      <w:r w:rsidRPr="00C01305">
        <w:rPr>
          <w:rFonts w:ascii="Verdana" w:hAnsi="Verdana"/>
          <w:sz w:val="20"/>
          <w:szCs w:val="20"/>
        </w:rPr>
        <w:t xml:space="preserve"> a la luz de ambas dimensiones, la libertad de expresión requiere, por un lado, que nadie sea arbitrariamente menoscabado o impedido de manifestar su propio pensamiento y representa, por tanto, un derecho de cada individuo; pero implica también, por otro lado, un </w:t>
      </w:r>
      <w:r w:rsidRPr="00C01305">
        <w:rPr>
          <w:rFonts w:ascii="Verdana" w:hAnsi="Verdana"/>
          <w:sz w:val="20"/>
          <w:szCs w:val="20"/>
        </w:rPr>
        <w:lastRenderedPageBreak/>
        <w:t>derecho colectivo a recibir cualquier información y a conocer la expresión del pensamiento ajeno</w:t>
      </w:r>
      <w:r w:rsidRPr="00C01305">
        <w:rPr>
          <w:rFonts w:ascii="Verdana" w:hAnsi="Verdana"/>
          <w:sz w:val="20"/>
          <w:szCs w:val="20"/>
          <w:vertAlign w:val="superscript"/>
        </w:rPr>
        <w:footnoteReference w:id="115"/>
      </w:r>
      <w:r w:rsidRPr="00C01305">
        <w:rPr>
          <w:rFonts w:ascii="Verdana" w:hAnsi="Verdana"/>
          <w:sz w:val="20"/>
          <w:szCs w:val="20"/>
        </w:rPr>
        <w:t>.</w:t>
      </w:r>
    </w:p>
    <w:p w14:paraId="4C6409BF" w14:textId="77777777" w:rsidR="00E365AD" w:rsidRPr="00C01305" w:rsidRDefault="00E365AD" w:rsidP="00E365AD">
      <w:pPr>
        <w:autoSpaceDE w:val="0"/>
        <w:autoSpaceDN w:val="0"/>
        <w:adjustRightInd w:val="0"/>
        <w:contextualSpacing/>
        <w:jc w:val="both"/>
        <w:rPr>
          <w:rFonts w:ascii="Verdana" w:hAnsi="Verdana"/>
          <w:sz w:val="20"/>
          <w:szCs w:val="20"/>
        </w:rPr>
      </w:pPr>
    </w:p>
    <w:p w14:paraId="34D6CCEA" w14:textId="77777777" w:rsidR="00E365AD" w:rsidRPr="00F23D52" w:rsidRDefault="00E365AD" w:rsidP="00E66DD7">
      <w:pPr>
        <w:numPr>
          <w:ilvl w:val="0"/>
          <w:numId w:val="1"/>
        </w:numPr>
        <w:autoSpaceDE w:val="0"/>
        <w:autoSpaceDN w:val="0"/>
        <w:adjustRightInd w:val="0"/>
        <w:ind w:left="0" w:firstLine="0"/>
        <w:contextualSpacing/>
        <w:jc w:val="both"/>
        <w:rPr>
          <w:rFonts w:ascii="Verdana" w:eastAsia="Times New Roman" w:hAnsi="Verdana" w:cs="Arial"/>
          <w:b/>
          <w:sz w:val="20"/>
          <w:szCs w:val="20"/>
        </w:rPr>
      </w:pPr>
      <w:r w:rsidRPr="00C01305">
        <w:rPr>
          <w:rFonts w:ascii="Verdana" w:hAnsi="Verdana"/>
          <w:sz w:val="20"/>
          <w:szCs w:val="22"/>
        </w:rPr>
        <w:t xml:space="preserve">La Convención Americana garantiza el derecho a la libertad de expresión a toda persona, independientemente de cualquier otra consideración, </w:t>
      </w:r>
      <w:r w:rsidRPr="00C01305">
        <w:rPr>
          <w:rFonts w:ascii="Verdana" w:hAnsi="Verdana"/>
          <w:sz w:val="20"/>
          <w:szCs w:val="20"/>
        </w:rPr>
        <w:t xml:space="preserve">por lo que no cabe restringirla a una </w:t>
      </w:r>
      <w:r w:rsidRPr="00D24B13">
        <w:rPr>
          <w:rFonts w:ascii="Verdana" w:hAnsi="Verdana"/>
          <w:sz w:val="20"/>
          <w:szCs w:val="20"/>
        </w:rPr>
        <w:t>determinada profesión o grupo de personas</w:t>
      </w:r>
      <w:r w:rsidRPr="00C01305">
        <w:rPr>
          <w:rFonts w:ascii="Verdana" w:hAnsi="Verdana"/>
          <w:sz w:val="20"/>
          <w:szCs w:val="20"/>
          <w:vertAlign w:val="superscript"/>
        </w:rPr>
        <w:footnoteReference w:id="116"/>
      </w:r>
      <w:r w:rsidRPr="00C01305">
        <w:rPr>
          <w:rFonts w:ascii="Verdana" w:hAnsi="Verdana"/>
          <w:sz w:val="20"/>
          <w:szCs w:val="20"/>
        </w:rPr>
        <w:t>.</w:t>
      </w:r>
      <w:r w:rsidRPr="00C01305">
        <w:rPr>
          <w:rFonts w:ascii="Verdana" w:eastAsia="Times New Roman" w:hAnsi="Verdana" w:cs="Arial"/>
          <w:sz w:val="20"/>
          <w:szCs w:val="20"/>
        </w:rPr>
        <w:t xml:space="preserve"> En este sentido,</w:t>
      </w:r>
      <w:r w:rsidRPr="00C01305">
        <w:rPr>
          <w:rFonts w:ascii="Verdana" w:eastAsia="Times New Roman" w:hAnsi="Verdana" w:cs="Arial"/>
          <w:b/>
          <w:sz w:val="20"/>
          <w:szCs w:val="20"/>
        </w:rPr>
        <w:t xml:space="preserve"> </w:t>
      </w:r>
      <w:r w:rsidRPr="00C01305">
        <w:rPr>
          <w:rFonts w:ascii="Verdana" w:eastAsia="Times New Roman" w:hAnsi="Verdana"/>
          <w:sz w:val="20"/>
          <w:szCs w:val="20"/>
          <w:lang w:val="es-ES" w:eastAsia="es-ES"/>
        </w:rPr>
        <w:t xml:space="preserve">la Corte ha sostenido que la libertad de expresión es indispensable para la formación de la opinión pública en una sociedad democrática. “Es también </w:t>
      </w:r>
      <w:proofErr w:type="spellStart"/>
      <w:r w:rsidRPr="00C01305">
        <w:rPr>
          <w:rFonts w:ascii="Verdana" w:eastAsia="Times New Roman" w:hAnsi="Verdana"/>
          <w:i/>
          <w:sz w:val="20"/>
          <w:szCs w:val="20"/>
          <w:lang w:val="es-ES" w:eastAsia="es-ES"/>
        </w:rPr>
        <w:t>conditio</w:t>
      </w:r>
      <w:proofErr w:type="spellEnd"/>
      <w:r w:rsidRPr="00C01305">
        <w:rPr>
          <w:rFonts w:ascii="Verdana" w:eastAsia="Times New Roman" w:hAnsi="Verdana"/>
          <w:i/>
          <w:sz w:val="20"/>
          <w:szCs w:val="20"/>
          <w:lang w:val="es-ES" w:eastAsia="es-ES"/>
        </w:rPr>
        <w:t xml:space="preserve"> sine qua non</w:t>
      </w:r>
      <w:r w:rsidRPr="00C01305">
        <w:rPr>
          <w:rFonts w:ascii="Verdana" w:eastAsia="Times New Roman" w:hAnsi="Verdana"/>
          <w:sz w:val="20"/>
          <w:szCs w:val="20"/>
          <w:lang w:val="es-ES" w:eastAsia="es-ES"/>
        </w:rPr>
        <w:t xml:space="preserve"> </w:t>
      </w:r>
      <w:r>
        <w:rPr>
          <w:rFonts w:ascii="Verdana" w:hAnsi="Verdana"/>
          <w:sz w:val="20"/>
          <w:lang w:val="es-ES"/>
        </w:rPr>
        <w:t xml:space="preserve">para que […] </w:t>
      </w:r>
      <w:r w:rsidRPr="00900CB9">
        <w:rPr>
          <w:rFonts w:ascii="Verdana" w:hAnsi="Verdana"/>
          <w:sz w:val="20"/>
          <w:lang w:val="es-ES"/>
        </w:rPr>
        <w:t>los sindicatos […] y en general, quienes deseen influir sobre la colectividad</w:t>
      </w:r>
      <w:r w:rsidRPr="002B373E">
        <w:rPr>
          <w:rFonts w:ascii="Verdana" w:hAnsi="Verdana"/>
          <w:sz w:val="20"/>
          <w:lang w:val="es-ES"/>
        </w:rPr>
        <w:t xml:space="preserve"> puedan desarrollarse plenamente</w:t>
      </w:r>
      <w:r w:rsidRPr="002B373E">
        <w:rPr>
          <w:rFonts w:ascii="Verdana" w:eastAsia="Times New Roman" w:hAnsi="Verdana"/>
          <w:sz w:val="20"/>
          <w:szCs w:val="20"/>
          <w:lang w:val="es-ES" w:eastAsia="es-ES"/>
        </w:rPr>
        <w:t>”</w:t>
      </w:r>
      <w:r w:rsidRPr="002B373E">
        <w:rPr>
          <w:rFonts w:ascii="Verdana" w:eastAsia="Times New Roman" w:hAnsi="Verdana"/>
          <w:sz w:val="20"/>
          <w:szCs w:val="20"/>
          <w:vertAlign w:val="superscript"/>
          <w:lang w:val="es-ES" w:eastAsia="es-ES"/>
        </w:rPr>
        <w:footnoteReference w:id="117"/>
      </w:r>
      <w:r w:rsidRPr="002B373E">
        <w:rPr>
          <w:rFonts w:ascii="Verdana" w:eastAsia="Times New Roman" w:hAnsi="Verdana"/>
          <w:sz w:val="20"/>
          <w:szCs w:val="20"/>
          <w:lang w:val="es-ES" w:eastAsia="es-ES"/>
        </w:rPr>
        <w:t>.</w:t>
      </w:r>
      <w:r w:rsidRPr="00C01305">
        <w:rPr>
          <w:rFonts w:ascii="Verdana" w:eastAsia="Times New Roman" w:hAnsi="Verdana"/>
          <w:sz w:val="20"/>
          <w:szCs w:val="20"/>
          <w:lang w:val="es-ES" w:eastAsia="es-ES"/>
        </w:rPr>
        <w:t xml:space="preserve"> </w:t>
      </w:r>
    </w:p>
    <w:p w14:paraId="2F7FEF65" w14:textId="77777777" w:rsidR="00E365AD" w:rsidRPr="00CB5A95" w:rsidRDefault="00E365AD" w:rsidP="00E365AD">
      <w:pPr>
        <w:contextualSpacing/>
        <w:rPr>
          <w:rFonts w:ascii="Verdana" w:eastAsia="Times New Roman" w:hAnsi="Verdana" w:cs="Arial"/>
          <w:b/>
          <w:sz w:val="20"/>
          <w:szCs w:val="20"/>
          <w:lang w:val="es-MX"/>
        </w:rPr>
      </w:pPr>
    </w:p>
    <w:p w14:paraId="5A0FCCFB" w14:textId="0C66B8D2" w:rsidR="00E365AD" w:rsidRPr="00C01305" w:rsidRDefault="00E365AD" w:rsidP="00E66DD7">
      <w:pPr>
        <w:numPr>
          <w:ilvl w:val="0"/>
          <w:numId w:val="1"/>
        </w:numPr>
        <w:autoSpaceDE w:val="0"/>
        <w:autoSpaceDN w:val="0"/>
        <w:adjustRightInd w:val="0"/>
        <w:ind w:left="0" w:firstLine="0"/>
        <w:contextualSpacing/>
        <w:jc w:val="both"/>
        <w:rPr>
          <w:rFonts w:ascii="Verdana" w:eastAsia="Times New Roman" w:hAnsi="Verdana" w:cs="Arial"/>
          <w:sz w:val="20"/>
          <w:szCs w:val="20"/>
        </w:rPr>
      </w:pPr>
      <w:r w:rsidRPr="00C01305">
        <w:rPr>
          <w:rFonts w:ascii="Verdana" w:eastAsia="Times New Roman" w:hAnsi="Verdana" w:cs="Arial"/>
          <w:sz w:val="20"/>
          <w:szCs w:val="20"/>
        </w:rPr>
        <w:t xml:space="preserve">En este sentido, la libertad de expresión resulta </w:t>
      </w:r>
      <w:r w:rsidRPr="00333304">
        <w:rPr>
          <w:rFonts w:ascii="Verdana" w:eastAsia="Times New Roman" w:hAnsi="Verdana" w:cs="Arial"/>
          <w:sz w:val="20"/>
          <w:szCs w:val="20"/>
        </w:rPr>
        <w:t>un</w:t>
      </w:r>
      <w:r w:rsidR="000A6A6B" w:rsidRPr="00333304">
        <w:rPr>
          <w:rFonts w:ascii="Verdana" w:eastAsia="Times New Roman" w:hAnsi="Verdana" w:cs="Arial"/>
          <w:sz w:val="20"/>
          <w:szCs w:val="20"/>
        </w:rPr>
        <w:t>a condición necesaria</w:t>
      </w:r>
      <w:r w:rsidRPr="00C01305">
        <w:rPr>
          <w:rFonts w:ascii="Verdana" w:eastAsia="Times New Roman" w:hAnsi="Verdana" w:cs="Arial"/>
          <w:sz w:val="20"/>
          <w:szCs w:val="20"/>
        </w:rPr>
        <w:t xml:space="preserve"> para el ejercicio de organizaciones de trabajadores, a fin de proteger sus derechos laborales, mejorar sus condiciones e intereses legítimos, </w:t>
      </w:r>
      <w:r w:rsidR="001B481A" w:rsidRPr="00333304">
        <w:rPr>
          <w:rFonts w:ascii="Verdana" w:eastAsia="Times New Roman" w:hAnsi="Verdana" w:cs="Arial"/>
          <w:sz w:val="20"/>
          <w:szCs w:val="20"/>
        </w:rPr>
        <w:t>puesto</w:t>
      </w:r>
      <w:r w:rsidR="001B481A">
        <w:rPr>
          <w:rFonts w:ascii="Verdana" w:eastAsia="Times New Roman" w:hAnsi="Verdana" w:cs="Arial"/>
          <w:sz w:val="20"/>
          <w:szCs w:val="20"/>
        </w:rPr>
        <w:t xml:space="preserve"> </w:t>
      </w:r>
      <w:r>
        <w:rPr>
          <w:rFonts w:ascii="Verdana" w:eastAsia="Times New Roman" w:hAnsi="Verdana" w:cs="Arial"/>
          <w:sz w:val="20"/>
          <w:szCs w:val="20"/>
        </w:rPr>
        <w:t xml:space="preserve">que </w:t>
      </w:r>
      <w:r w:rsidRPr="00C01305">
        <w:rPr>
          <w:rFonts w:ascii="Verdana" w:eastAsia="Times New Roman" w:hAnsi="Verdana" w:cs="Arial"/>
          <w:sz w:val="20"/>
          <w:szCs w:val="20"/>
        </w:rPr>
        <w:t>sin este derecho dichas organizaciones carecerían de eficacia y razón de ser</w:t>
      </w:r>
      <w:r w:rsidRPr="00C01305">
        <w:rPr>
          <w:rFonts w:ascii="Verdana" w:hAnsi="Verdana"/>
          <w:sz w:val="20"/>
          <w:szCs w:val="20"/>
          <w:vertAlign w:val="superscript"/>
        </w:rPr>
        <w:footnoteReference w:id="118"/>
      </w:r>
      <w:r w:rsidRPr="00C01305">
        <w:rPr>
          <w:rFonts w:ascii="Verdana" w:eastAsia="Times New Roman" w:hAnsi="Verdana" w:cs="Arial"/>
          <w:sz w:val="20"/>
          <w:szCs w:val="20"/>
        </w:rPr>
        <w:t xml:space="preserve">. </w:t>
      </w:r>
    </w:p>
    <w:p w14:paraId="1CAD3BF6" w14:textId="77777777" w:rsidR="00E365AD" w:rsidRDefault="00E365AD" w:rsidP="00CB5A95">
      <w:pPr>
        <w:autoSpaceDE w:val="0"/>
        <w:autoSpaceDN w:val="0"/>
        <w:adjustRightInd w:val="0"/>
        <w:contextualSpacing/>
        <w:jc w:val="both"/>
        <w:rPr>
          <w:i/>
          <w:lang w:val="es-MX"/>
        </w:rPr>
      </w:pPr>
    </w:p>
    <w:p w14:paraId="7279346B" w14:textId="6490FDEA" w:rsidR="004F060B" w:rsidRPr="00CB5A95" w:rsidRDefault="002A7B50" w:rsidP="00E66DD7">
      <w:pPr>
        <w:numPr>
          <w:ilvl w:val="0"/>
          <w:numId w:val="1"/>
        </w:numPr>
        <w:autoSpaceDE w:val="0"/>
        <w:autoSpaceDN w:val="0"/>
        <w:adjustRightInd w:val="0"/>
        <w:ind w:left="0" w:firstLine="0"/>
        <w:contextualSpacing/>
        <w:jc w:val="both"/>
        <w:rPr>
          <w:rFonts w:ascii="Verdana" w:eastAsia="Times New Roman" w:hAnsi="Verdana" w:cs="Arial"/>
          <w:b/>
          <w:sz w:val="20"/>
          <w:szCs w:val="20"/>
        </w:rPr>
      </w:pPr>
      <w:r>
        <w:rPr>
          <w:rFonts w:ascii="Verdana" w:hAnsi="Verdana"/>
          <w:sz w:val="20"/>
          <w:szCs w:val="20"/>
        </w:rPr>
        <w:t>Asimismo, l</w:t>
      </w:r>
      <w:r w:rsidR="004F060B" w:rsidRPr="00CB5A95">
        <w:rPr>
          <w:rFonts w:ascii="Verdana" w:hAnsi="Verdana"/>
          <w:sz w:val="20"/>
          <w:szCs w:val="20"/>
        </w:rPr>
        <w:t>a Corte ha establecido que la obligación de garantizar los derechos de la Convención, presupone obligaciones positivas para el Estado, a fin de proteger los derechos inclusive en la esfera privada</w:t>
      </w:r>
      <w:r w:rsidR="004F060B" w:rsidRPr="00CB5A95">
        <w:rPr>
          <w:rFonts w:ascii="Verdana" w:hAnsi="Verdana" w:cs="Tahoma"/>
          <w:sz w:val="20"/>
          <w:szCs w:val="20"/>
          <w:vertAlign w:val="superscript"/>
        </w:rPr>
        <w:footnoteReference w:id="119"/>
      </w:r>
      <w:r w:rsidR="004F060B" w:rsidRPr="00CB5A95">
        <w:rPr>
          <w:rFonts w:ascii="Verdana" w:hAnsi="Verdana"/>
          <w:sz w:val="20"/>
          <w:szCs w:val="20"/>
        </w:rPr>
        <w:t xml:space="preserve">. En </w:t>
      </w:r>
      <w:r w:rsidR="00517048">
        <w:rPr>
          <w:rFonts w:ascii="Verdana" w:hAnsi="Verdana"/>
          <w:sz w:val="20"/>
          <w:szCs w:val="20"/>
        </w:rPr>
        <w:t>casos</w:t>
      </w:r>
      <w:r w:rsidR="004F060B" w:rsidRPr="00CB5A95">
        <w:rPr>
          <w:rFonts w:ascii="Verdana" w:hAnsi="Verdana"/>
          <w:sz w:val="20"/>
          <w:szCs w:val="20"/>
        </w:rPr>
        <w:t xml:space="preserve"> como el presente, las autoridades competentes, sean judiciales o administrativas, tienen el deber de revisar si las actuaciones o decisiones que se ejercen en el ámbito privado y acarreen consecuencias a derechos fundamentales, resultan acorde con el derecho interno y sus obligaciones internacionales. De lo contrario, </w:t>
      </w:r>
      <w:r w:rsidR="00517048">
        <w:rPr>
          <w:rFonts w:ascii="Verdana" w:hAnsi="Verdana"/>
          <w:sz w:val="20"/>
          <w:szCs w:val="20"/>
        </w:rPr>
        <w:t>el Estado</w:t>
      </w:r>
      <w:r w:rsidR="004F060B" w:rsidRPr="00CB5A95">
        <w:rPr>
          <w:rFonts w:ascii="Verdana" w:hAnsi="Verdana"/>
          <w:sz w:val="20"/>
          <w:szCs w:val="20"/>
        </w:rPr>
        <w:t xml:space="preserve"> debe corregir </w:t>
      </w:r>
      <w:r w:rsidR="00517048">
        <w:rPr>
          <w:rFonts w:ascii="Verdana" w:hAnsi="Verdana"/>
          <w:sz w:val="20"/>
          <w:szCs w:val="20"/>
        </w:rPr>
        <w:t xml:space="preserve">la </w:t>
      </w:r>
      <w:r w:rsidR="004F060B" w:rsidRPr="00CB5A95">
        <w:rPr>
          <w:rFonts w:ascii="Verdana" w:hAnsi="Verdana"/>
          <w:sz w:val="20"/>
          <w:szCs w:val="20"/>
        </w:rPr>
        <w:t>vulneración a estos derechos y brindarles una adecuada protección</w:t>
      </w:r>
      <w:r w:rsidR="00517048">
        <w:rPr>
          <w:rFonts w:ascii="Verdana" w:hAnsi="Verdana"/>
          <w:sz w:val="20"/>
          <w:szCs w:val="20"/>
        </w:rPr>
        <w:t>.</w:t>
      </w:r>
    </w:p>
    <w:p w14:paraId="55CE164D" w14:textId="77777777" w:rsidR="004F060B" w:rsidRPr="00CB5A95" w:rsidRDefault="004F060B" w:rsidP="00CB5A95">
      <w:pPr>
        <w:autoSpaceDE w:val="0"/>
        <w:autoSpaceDN w:val="0"/>
        <w:adjustRightInd w:val="0"/>
        <w:contextualSpacing/>
        <w:jc w:val="both"/>
        <w:rPr>
          <w:rFonts w:ascii="Verdana" w:eastAsia="Times New Roman" w:hAnsi="Verdana" w:cs="Arial"/>
          <w:b/>
          <w:sz w:val="20"/>
          <w:szCs w:val="20"/>
          <w:highlight w:val="yellow"/>
        </w:rPr>
      </w:pPr>
    </w:p>
    <w:p w14:paraId="3FBABE17" w14:textId="40E05CF0" w:rsidR="00C41937" w:rsidRPr="00223110" w:rsidRDefault="004F060B" w:rsidP="00E66DD7">
      <w:pPr>
        <w:numPr>
          <w:ilvl w:val="0"/>
          <w:numId w:val="1"/>
        </w:numPr>
        <w:autoSpaceDE w:val="0"/>
        <w:autoSpaceDN w:val="0"/>
        <w:adjustRightInd w:val="0"/>
        <w:ind w:left="0" w:firstLine="0"/>
        <w:contextualSpacing/>
        <w:jc w:val="both"/>
        <w:rPr>
          <w:rFonts w:ascii="Verdana" w:hAnsi="Verdana"/>
          <w:sz w:val="20"/>
        </w:rPr>
      </w:pPr>
      <w:r w:rsidRPr="00CB5A95">
        <w:rPr>
          <w:rFonts w:ascii="Verdana" w:hAnsi="Verdana"/>
          <w:sz w:val="20"/>
          <w:szCs w:val="20"/>
        </w:rPr>
        <w:t xml:space="preserve">Sobre el particular, </w:t>
      </w:r>
      <w:r w:rsidRPr="00CB5A95">
        <w:rPr>
          <w:rFonts w:ascii="Verdana" w:hAnsi="Verdana"/>
          <w:sz w:val="20"/>
          <w:szCs w:val="20"/>
          <w:lang w:val="es-ES"/>
        </w:rPr>
        <w:t>e</w:t>
      </w:r>
      <w:r w:rsidR="00C41937" w:rsidRPr="00223110">
        <w:rPr>
          <w:rFonts w:ascii="Verdana" w:hAnsi="Verdana"/>
          <w:sz w:val="20"/>
          <w:lang w:val="es-ES"/>
        </w:rPr>
        <w:t>ste Tribunal ha reconocido que “e</w:t>
      </w:r>
      <w:r w:rsidR="00C41937" w:rsidRPr="00A45F7E">
        <w:rPr>
          <w:rFonts w:ascii="Verdana" w:hAnsi="Verdana"/>
          <w:sz w:val="20"/>
        </w:rPr>
        <w:t>n términos amplios de la Convención Americana, la libertad de expr</w:t>
      </w:r>
      <w:r w:rsidR="00C41937" w:rsidRPr="00223110">
        <w:rPr>
          <w:rFonts w:ascii="Verdana" w:hAnsi="Verdana"/>
          <w:sz w:val="20"/>
        </w:rPr>
        <w:t>esión se puede ver también afectada sin la intervención directa de la acción estatal”</w:t>
      </w:r>
      <w:r w:rsidR="00C41937" w:rsidRPr="00223110">
        <w:rPr>
          <w:rFonts w:ascii="Verdana" w:hAnsi="Verdana"/>
          <w:sz w:val="20"/>
          <w:vertAlign w:val="superscript"/>
        </w:rPr>
        <w:footnoteReference w:id="120"/>
      </w:r>
      <w:r w:rsidR="00C41937" w:rsidRPr="00223110">
        <w:rPr>
          <w:rFonts w:ascii="Verdana" w:hAnsi="Verdana"/>
          <w:sz w:val="20"/>
        </w:rPr>
        <w:t xml:space="preserve">. </w:t>
      </w:r>
      <w:r w:rsidR="00C41937" w:rsidRPr="00A45F7E">
        <w:rPr>
          <w:rFonts w:ascii="Verdana" w:hAnsi="Verdana"/>
          <w:sz w:val="20"/>
        </w:rPr>
        <w:t>En el caso de la libertad de expresión, cuyo ejercicio real y efectivo no depende simplemente del deber del Estado de abstenerse de cualquier injerencia, sino que pue</w:t>
      </w:r>
      <w:r w:rsidR="00C41937" w:rsidRPr="00223110">
        <w:rPr>
          <w:rFonts w:ascii="Verdana" w:hAnsi="Verdana"/>
          <w:sz w:val="20"/>
        </w:rPr>
        <w:t>de requerir medidas positivas de protección incluso en las relaciones entre las personas. En efecto, en ciertos casos, el Estado tiene la obligación positiva de proteger el derecho a la libertad de expresión, incluso frente a ataques provenientes de particulares</w:t>
      </w:r>
      <w:r w:rsidR="00C41937" w:rsidRPr="00223110">
        <w:rPr>
          <w:rFonts w:ascii="Verdana" w:hAnsi="Verdana"/>
          <w:sz w:val="20"/>
          <w:vertAlign w:val="superscript"/>
        </w:rPr>
        <w:footnoteReference w:id="121"/>
      </w:r>
      <w:r w:rsidR="00C41937" w:rsidRPr="00223110">
        <w:rPr>
          <w:rFonts w:ascii="Verdana" w:hAnsi="Verdana"/>
          <w:sz w:val="20"/>
        </w:rPr>
        <w:t>.</w:t>
      </w:r>
    </w:p>
    <w:p w14:paraId="01EA1B53" w14:textId="77777777" w:rsidR="00517048" w:rsidRPr="00223110" w:rsidRDefault="00517048" w:rsidP="005D0F69">
      <w:pPr>
        <w:autoSpaceDE w:val="0"/>
        <w:autoSpaceDN w:val="0"/>
        <w:adjustRightInd w:val="0"/>
        <w:contextualSpacing/>
        <w:jc w:val="both"/>
        <w:rPr>
          <w:rFonts w:ascii="Verdana" w:hAnsi="Verdana"/>
          <w:sz w:val="20"/>
        </w:rPr>
      </w:pPr>
    </w:p>
    <w:p w14:paraId="11816A53" w14:textId="30BA6F06" w:rsidR="00517048" w:rsidRPr="00C01305" w:rsidRDefault="00EC6C24" w:rsidP="00E66DD7">
      <w:pPr>
        <w:numPr>
          <w:ilvl w:val="0"/>
          <w:numId w:val="1"/>
        </w:numPr>
        <w:autoSpaceDE w:val="0"/>
        <w:autoSpaceDN w:val="0"/>
        <w:adjustRightInd w:val="0"/>
        <w:ind w:left="0" w:firstLine="0"/>
        <w:contextualSpacing/>
        <w:jc w:val="both"/>
        <w:rPr>
          <w:sz w:val="20"/>
          <w:szCs w:val="20"/>
        </w:rPr>
      </w:pPr>
      <w:r w:rsidRPr="00C01305">
        <w:rPr>
          <w:rFonts w:ascii="Verdana" w:eastAsia="Times New Roman" w:hAnsi="Verdana" w:cs="Arial"/>
          <w:sz w:val="20"/>
          <w:szCs w:val="20"/>
          <w:lang w:val="es-CR"/>
        </w:rPr>
        <w:t>Es por ello que en el ámbito laboral,</w:t>
      </w:r>
      <w:r>
        <w:rPr>
          <w:rFonts w:ascii="Verdana" w:eastAsia="Times New Roman" w:hAnsi="Verdana" w:cs="Arial"/>
          <w:sz w:val="20"/>
          <w:szCs w:val="20"/>
          <w:lang w:val="es-CR"/>
        </w:rPr>
        <w:t xml:space="preserve"> </w:t>
      </w:r>
      <w:r w:rsidR="00517048">
        <w:rPr>
          <w:rFonts w:ascii="Verdana" w:hAnsi="Verdana"/>
          <w:color w:val="222222"/>
          <w:sz w:val="20"/>
          <w:szCs w:val="20"/>
        </w:rPr>
        <w:t>la responsabilidad del Estado se</w:t>
      </w:r>
      <w:r w:rsidR="00517048">
        <w:rPr>
          <w:rFonts w:ascii="Verdana" w:hAnsi="Verdana"/>
          <w:color w:val="222222"/>
          <w:sz w:val="20"/>
          <w:szCs w:val="20"/>
          <w:lang w:val="es-ES"/>
        </w:rPr>
        <w:t xml:space="preserve"> puede generar bajo </w:t>
      </w:r>
      <w:r w:rsidR="00517048" w:rsidRPr="00C01305">
        <w:rPr>
          <w:rFonts w:ascii="Verdana" w:hAnsi="Verdana"/>
          <w:color w:val="222222"/>
          <w:sz w:val="20"/>
          <w:szCs w:val="20"/>
          <w:lang w:val="es-ES"/>
        </w:rPr>
        <w:t xml:space="preserve">la premisa de que el derecho interno, tal como fue interpretado en última instancia por el órgano jurisdiccional nacional, </w:t>
      </w:r>
      <w:r>
        <w:rPr>
          <w:rFonts w:ascii="Verdana" w:hAnsi="Verdana"/>
          <w:color w:val="222222"/>
          <w:sz w:val="20"/>
          <w:szCs w:val="20"/>
          <w:lang w:val="es-ES"/>
        </w:rPr>
        <w:t xml:space="preserve">habría convalidado </w:t>
      </w:r>
      <w:r w:rsidR="00517048" w:rsidRPr="00C01305">
        <w:rPr>
          <w:rFonts w:ascii="Verdana" w:hAnsi="Verdana"/>
          <w:color w:val="222222"/>
          <w:sz w:val="20"/>
          <w:szCs w:val="20"/>
          <w:lang w:val="es-ES"/>
        </w:rPr>
        <w:t xml:space="preserve">una vulneración del derecho del </w:t>
      </w:r>
      <w:r w:rsidR="00517048">
        <w:rPr>
          <w:rFonts w:ascii="Verdana" w:hAnsi="Verdana"/>
          <w:color w:val="222222"/>
          <w:sz w:val="20"/>
          <w:szCs w:val="20"/>
          <w:lang w:val="es-ES"/>
        </w:rPr>
        <w:t>recurrente</w:t>
      </w:r>
      <w:r w:rsidR="00517048" w:rsidRPr="00C01305">
        <w:rPr>
          <w:rFonts w:ascii="Verdana" w:hAnsi="Verdana"/>
          <w:color w:val="222222"/>
          <w:sz w:val="20"/>
          <w:szCs w:val="20"/>
          <w:lang w:val="es-ES"/>
        </w:rPr>
        <w:t>, por lo que la sanció</w:t>
      </w:r>
      <w:r w:rsidR="00517048">
        <w:rPr>
          <w:rFonts w:ascii="Verdana" w:hAnsi="Verdana"/>
          <w:color w:val="222222"/>
          <w:sz w:val="20"/>
          <w:szCs w:val="20"/>
          <w:lang w:val="es-ES"/>
        </w:rPr>
        <w:t>n</w:t>
      </w:r>
      <w:r>
        <w:rPr>
          <w:rFonts w:ascii="Verdana" w:hAnsi="Verdana"/>
          <w:color w:val="222222"/>
          <w:sz w:val="20"/>
          <w:szCs w:val="20"/>
          <w:lang w:val="es-ES"/>
        </w:rPr>
        <w:t>,</w:t>
      </w:r>
      <w:r w:rsidR="00517048">
        <w:rPr>
          <w:rFonts w:ascii="Verdana" w:hAnsi="Verdana"/>
          <w:color w:val="222222"/>
          <w:sz w:val="20"/>
          <w:szCs w:val="20"/>
          <w:lang w:val="es-ES"/>
        </w:rPr>
        <w:t xml:space="preserve"> en</w:t>
      </w:r>
      <w:r w:rsidR="00517048" w:rsidRPr="00C01305">
        <w:rPr>
          <w:rFonts w:ascii="Verdana" w:hAnsi="Verdana"/>
          <w:color w:val="222222"/>
          <w:sz w:val="20"/>
          <w:szCs w:val="20"/>
          <w:lang w:val="es-ES"/>
        </w:rPr>
        <w:t xml:space="preserve"> último término, deriva como resultado de la resolución del tribunal nacional, pudiendo ello acarrear un ilícito internacional. </w:t>
      </w:r>
    </w:p>
    <w:p w14:paraId="3231E571" w14:textId="77777777" w:rsidR="00C41937" w:rsidRPr="00C01305" w:rsidRDefault="00C41937" w:rsidP="00C41937">
      <w:pPr>
        <w:contextualSpacing/>
        <w:rPr>
          <w:rFonts w:ascii="Verdana" w:hAnsi="Verdana"/>
          <w:sz w:val="20"/>
          <w:szCs w:val="20"/>
        </w:rPr>
      </w:pPr>
    </w:p>
    <w:p w14:paraId="3F3BF7DE" w14:textId="7B421138" w:rsidR="00C41937" w:rsidRPr="00C01305" w:rsidRDefault="00C41937" w:rsidP="00E66DD7">
      <w:pPr>
        <w:numPr>
          <w:ilvl w:val="0"/>
          <w:numId w:val="1"/>
        </w:numPr>
        <w:autoSpaceDE w:val="0"/>
        <w:autoSpaceDN w:val="0"/>
        <w:adjustRightInd w:val="0"/>
        <w:ind w:left="0" w:firstLine="0"/>
        <w:contextualSpacing/>
        <w:jc w:val="both"/>
        <w:rPr>
          <w:sz w:val="20"/>
          <w:szCs w:val="20"/>
        </w:rPr>
      </w:pPr>
      <w:r w:rsidRPr="00C01305">
        <w:rPr>
          <w:rFonts w:ascii="Verdana" w:hAnsi="Verdana"/>
          <w:sz w:val="20"/>
          <w:szCs w:val="20"/>
        </w:rPr>
        <w:t xml:space="preserve">En </w:t>
      </w:r>
      <w:r>
        <w:rPr>
          <w:rFonts w:ascii="Verdana" w:hAnsi="Verdana"/>
          <w:sz w:val="20"/>
          <w:szCs w:val="20"/>
        </w:rPr>
        <w:t>este sentido</w:t>
      </w:r>
      <w:r w:rsidRPr="00C01305">
        <w:rPr>
          <w:rFonts w:ascii="Verdana" w:hAnsi="Verdana"/>
          <w:sz w:val="20"/>
          <w:szCs w:val="20"/>
        </w:rPr>
        <w:t xml:space="preserve">, el Tribunal Europeo de Derechos Humanos ha sostenido que </w:t>
      </w:r>
      <w:r w:rsidRPr="00C01305">
        <w:rPr>
          <w:rFonts w:ascii="Verdana" w:eastAsia="Cambria" w:hAnsi="Verdana"/>
          <w:sz w:val="20"/>
          <w:szCs w:val="20"/>
          <w:lang w:val="es-CR"/>
        </w:rPr>
        <w:t>el artículo 10 del Convenio Europeo (libertad de expresión) se impone no sólo en las relaciones entre empleador y empleado cuando éstas se rigen por el derecho público, sino que a la vez pueden aplicarse cuando estas relaciones son de derecho privado</w:t>
      </w:r>
      <w:r w:rsidRPr="00C01305">
        <w:rPr>
          <w:rFonts w:ascii="Verdana" w:eastAsia="Cambria" w:hAnsi="Verdana"/>
          <w:sz w:val="20"/>
          <w:szCs w:val="20"/>
          <w:vertAlign w:val="superscript"/>
        </w:rPr>
        <w:footnoteReference w:id="122"/>
      </w:r>
      <w:r w:rsidRPr="00C01305">
        <w:rPr>
          <w:rFonts w:ascii="Verdana" w:eastAsia="Cambria" w:hAnsi="Verdana"/>
          <w:sz w:val="20"/>
          <w:szCs w:val="20"/>
          <w:lang w:val="es-CR"/>
        </w:rPr>
        <w:t>.</w:t>
      </w:r>
      <w:r>
        <w:rPr>
          <w:rFonts w:ascii="Verdana" w:hAnsi="Verdana"/>
          <w:sz w:val="18"/>
          <w:szCs w:val="20"/>
        </w:rPr>
        <w:t xml:space="preserve"> </w:t>
      </w:r>
      <w:r w:rsidRPr="00C01305">
        <w:rPr>
          <w:rFonts w:ascii="Verdana" w:hAnsi="Verdana"/>
          <w:sz w:val="20"/>
          <w:szCs w:val="20"/>
          <w:lang w:val="es-CR"/>
        </w:rPr>
        <w:t>E</w:t>
      </w:r>
      <w:r w:rsidRPr="00C01305">
        <w:rPr>
          <w:rFonts w:ascii="Verdana" w:hAnsi="Verdana"/>
          <w:sz w:val="20"/>
          <w:szCs w:val="20"/>
        </w:rPr>
        <w:t xml:space="preserve">n </w:t>
      </w:r>
      <w:r>
        <w:rPr>
          <w:rFonts w:ascii="Verdana" w:hAnsi="Verdana"/>
          <w:sz w:val="20"/>
          <w:szCs w:val="20"/>
        </w:rPr>
        <w:t xml:space="preserve">particular, en </w:t>
      </w:r>
      <w:r w:rsidRPr="00C01305">
        <w:rPr>
          <w:rFonts w:ascii="Verdana" w:hAnsi="Verdana"/>
          <w:sz w:val="20"/>
          <w:szCs w:val="20"/>
        </w:rPr>
        <w:t xml:space="preserve">aplicación de la protección de la libertad de expresión en contextos laborales entre particulares, el Tribunal Europeo ha analizado si la </w:t>
      </w:r>
      <w:r w:rsidRPr="00C01305">
        <w:rPr>
          <w:rFonts w:ascii="Verdana" w:hAnsi="Verdana"/>
          <w:color w:val="222222"/>
          <w:sz w:val="20"/>
          <w:szCs w:val="20"/>
          <w:lang w:val="es-ES"/>
        </w:rPr>
        <w:t xml:space="preserve">injerencia </w:t>
      </w:r>
      <w:r>
        <w:rPr>
          <w:rFonts w:ascii="Verdana" w:hAnsi="Verdana"/>
          <w:color w:val="222222"/>
          <w:sz w:val="20"/>
          <w:szCs w:val="20"/>
          <w:lang w:val="es-ES"/>
        </w:rPr>
        <w:t xml:space="preserve">a dicho derecho </w:t>
      </w:r>
      <w:r w:rsidRPr="00C01305">
        <w:rPr>
          <w:rFonts w:ascii="Verdana" w:hAnsi="Verdana"/>
          <w:color w:val="222222"/>
          <w:sz w:val="20"/>
          <w:szCs w:val="20"/>
          <w:lang w:val="es-ES"/>
        </w:rPr>
        <w:t>puede atribuirse a las decisiones de los tribunales que avalaron el despido u otra sanción</w:t>
      </w:r>
      <w:r w:rsidRPr="00C01305">
        <w:rPr>
          <w:rFonts w:ascii="Verdana" w:hAnsi="Verdana"/>
          <w:sz w:val="20"/>
          <w:szCs w:val="20"/>
          <w:vertAlign w:val="superscript"/>
        </w:rPr>
        <w:footnoteReference w:id="123"/>
      </w:r>
      <w:r w:rsidRPr="00C01305">
        <w:rPr>
          <w:rFonts w:ascii="Verdana" w:hAnsi="Verdana"/>
          <w:color w:val="222222"/>
          <w:sz w:val="20"/>
          <w:szCs w:val="20"/>
          <w:lang w:val="es-ES"/>
        </w:rPr>
        <w:t xml:space="preserve">. </w:t>
      </w:r>
    </w:p>
    <w:p w14:paraId="67A66A18" w14:textId="77777777" w:rsidR="00C01305" w:rsidRPr="00C01305" w:rsidRDefault="00C01305" w:rsidP="00262F28">
      <w:pPr>
        <w:contextualSpacing/>
        <w:rPr>
          <w:rFonts w:ascii="Verdana" w:eastAsia="Times New Roman" w:hAnsi="Verdana" w:cs="Arial"/>
          <w:sz w:val="20"/>
          <w:szCs w:val="20"/>
        </w:rPr>
      </w:pPr>
    </w:p>
    <w:p w14:paraId="3375EFD0" w14:textId="61EFBA8F" w:rsidR="00C01305" w:rsidRPr="00261A99" w:rsidRDefault="00F80ADC" w:rsidP="00E66DD7">
      <w:pPr>
        <w:numPr>
          <w:ilvl w:val="0"/>
          <w:numId w:val="1"/>
        </w:numPr>
        <w:autoSpaceDE w:val="0"/>
        <w:autoSpaceDN w:val="0"/>
        <w:adjustRightInd w:val="0"/>
        <w:ind w:left="0" w:firstLine="0"/>
        <w:contextualSpacing/>
        <w:jc w:val="both"/>
        <w:rPr>
          <w:rFonts w:ascii="Verdana" w:hAnsi="Verdana"/>
          <w:sz w:val="20"/>
        </w:rPr>
      </w:pPr>
      <w:r w:rsidRPr="00261A99">
        <w:rPr>
          <w:rFonts w:ascii="Verdana" w:hAnsi="Verdana"/>
          <w:sz w:val="20"/>
        </w:rPr>
        <w:t>En vista de ello</w:t>
      </w:r>
      <w:r w:rsidR="00C01305" w:rsidRPr="00261A99">
        <w:rPr>
          <w:rFonts w:ascii="Verdana" w:hAnsi="Verdana"/>
          <w:sz w:val="20"/>
        </w:rPr>
        <w:t xml:space="preserve">, la Corte </w:t>
      </w:r>
      <w:r w:rsidR="00C41937" w:rsidRPr="00261A99">
        <w:rPr>
          <w:rFonts w:ascii="Verdana" w:hAnsi="Verdana"/>
          <w:sz w:val="20"/>
        </w:rPr>
        <w:t>re</w:t>
      </w:r>
      <w:r w:rsidR="00C01305" w:rsidRPr="00261A99">
        <w:rPr>
          <w:rFonts w:ascii="Verdana" w:hAnsi="Verdana"/>
          <w:sz w:val="20"/>
        </w:rPr>
        <w:t xml:space="preserve">afirma que el </w:t>
      </w:r>
      <w:r w:rsidR="00C41937" w:rsidRPr="00261A99">
        <w:rPr>
          <w:rFonts w:ascii="Verdana" w:hAnsi="Verdana"/>
          <w:sz w:val="20"/>
        </w:rPr>
        <w:t xml:space="preserve">ámbito de protección del </w:t>
      </w:r>
      <w:r w:rsidR="00C01305" w:rsidRPr="00261A99">
        <w:rPr>
          <w:rFonts w:ascii="Verdana" w:hAnsi="Verdana"/>
          <w:sz w:val="20"/>
        </w:rPr>
        <w:t xml:space="preserve">derecho a la libertad de </w:t>
      </w:r>
      <w:r w:rsidR="006D2CF3" w:rsidRPr="00261A99">
        <w:rPr>
          <w:rFonts w:ascii="Verdana" w:hAnsi="Verdana"/>
          <w:sz w:val="20"/>
        </w:rPr>
        <w:t xml:space="preserve">pensamiento y </w:t>
      </w:r>
      <w:r w:rsidR="00C01305" w:rsidRPr="00261A99">
        <w:rPr>
          <w:rFonts w:ascii="Verdana" w:hAnsi="Verdana"/>
          <w:sz w:val="20"/>
        </w:rPr>
        <w:t xml:space="preserve">expresión resulta </w:t>
      </w:r>
      <w:r w:rsidR="00E365AD" w:rsidRPr="00261A99">
        <w:rPr>
          <w:rFonts w:ascii="Verdana" w:hAnsi="Verdana"/>
          <w:sz w:val="20"/>
        </w:rPr>
        <w:t xml:space="preserve">particularmente </w:t>
      </w:r>
      <w:r w:rsidR="00C01305" w:rsidRPr="00261A99">
        <w:rPr>
          <w:rFonts w:ascii="Verdana" w:hAnsi="Verdana"/>
          <w:sz w:val="20"/>
        </w:rPr>
        <w:t xml:space="preserve">aplicable en </w:t>
      </w:r>
      <w:r w:rsidR="00C01305" w:rsidRPr="00EB5530">
        <w:rPr>
          <w:rFonts w:ascii="Verdana" w:hAnsi="Verdana"/>
          <w:sz w:val="20"/>
        </w:rPr>
        <w:t>contextos laborales</w:t>
      </w:r>
      <w:r w:rsidR="00E365AD" w:rsidRPr="00EB5530">
        <w:rPr>
          <w:rFonts w:ascii="Verdana" w:hAnsi="Verdana"/>
          <w:sz w:val="20"/>
        </w:rPr>
        <w:t xml:space="preserve"> como </w:t>
      </w:r>
      <w:r w:rsidR="00261A99" w:rsidRPr="00EB5530">
        <w:rPr>
          <w:rFonts w:ascii="Verdana" w:hAnsi="Verdana"/>
          <w:sz w:val="20"/>
        </w:rPr>
        <w:t xml:space="preserve">el del </w:t>
      </w:r>
      <w:r w:rsidR="00E365AD" w:rsidRPr="00EB5530">
        <w:rPr>
          <w:rFonts w:ascii="Verdana" w:hAnsi="Verdana"/>
          <w:sz w:val="20"/>
        </w:rPr>
        <w:t xml:space="preserve">presente caso, </w:t>
      </w:r>
      <w:r w:rsidR="00C01305" w:rsidRPr="00261A99">
        <w:rPr>
          <w:rFonts w:ascii="Verdana" w:hAnsi="Verdana"/>
          <w:sz w:val="20"/>
        </w:rPr>
        <w:t>respecto de</w:t>
      </w:r>
      <w:r w:rsidR="00E365AD" w:rsidRPr="00261A99">
        <w:rPr>
          <w:rFonts w:ascii="Verdana" w:hAnsi="Verdana"/>
          <w:sz w:val="20"/>
        </w:rPr>
        <w:t>l</w:t>
      </w:r>
      <w:r w:rsidR="00C01305" w:rsidRPr="00261A99">
        <w:rPr>
          <w:rFonts w:ascii="Verdana" w:hAnsi="Verdana"/>
          <w:sz w:val="20"/>
        </w:rPr>
        <w:t xml:space="preserve"> cual el Estado debe no sólo respetar dicho derecho sino también garantizarlo, a fin de que los trabajadores o sus representantes puedan también ejercer</w:t>
      </w:r>
      <w:r w:rsidR="004E4E2E" w:rsidRPr="005D0F69">
        <w:rPr>
          <w:rFonts w:ascii="Verdana" w:hAnsi="Verdana"/>
          <w:sz w:val="20"/>
        </w:rPr>
        <w:t>lo</w:t>
      </w:r>
      <w:r w:rsidR="00C01305" w:rsidRPr="00261A99">
        <w:rPr>
          <w:rFonts w:ascii="Verdana" w:hAnsi="Verdana"/>
          <w:sz w:val="20"/>
        </w:rPr>
        <w:t>. Es por ello que</w:t>
      </w:r>
      <w:r w:rsidR="002A7B50" w:rsidRPr="005D0F69">
        <w:rPr>
          <w:rFonts w:ascii="Verdana" w:hAnsi="Verdana"/>
          <w:sz w:val="20"/>
        </w:rPr>
        <w:t>,</w:t>
      </w:r>
      <w:r w:rsidR="00C01305" w:rsidRPr="00261A99">
        <w:rPr>
          <w:rFonts w:ascii="Verdana" w:hAnsi="Verdana"/>
          <w:sz w:val="20"/>
        </w:rPr>
        <w:t xml:space="preserve"> en caso en que exista un interés general o público, se requiere de un nivel reforzado de protección</w:t>
      </w:r>
      <w:r w:rsidR="002A7B50" w:rsidRPr="005D0F69">
        <w:rPr>
          <w:rFonts w:ascii="Verdana" w:hAnsi="Verdana"/>
          <w:sz w:val="20"/>
        </w:rPr>
        <w:t xml:space="preserve"> de la libertad de expresión</w:t>
      </w:r>
      <w:r w:rsidR="00C01305" w:rsidRPr="00261A99">
        <w:rPr>
          <w:rFonts w:ascii="Verdana" w:hAnsi="Verdana"/>
          <w:sz w:val="20"/>
          <w:vertAlign w:val="superscript"/>
        </w:rPr>
        <w:footnoteReference w:id="124"/>
      </w:r>
      <w:r w:rsidR="009958A8" w:rsidRPr="00261A99">
        <w:rPr>
          <w:rFonts w:ascii="Verdana" w:hAnsi="Verdana"/>
          <w:sz w:val="20"/>
        </w:rPr>
        <w:t>,</w:t>
      </w:r>
      <w:r w:rsidR="00C41937" w:rsidRPr="00261A99">
        <w:rPr>
          <w:rFonts w:ascii="Verdana" w:hAnsi="Verdana"/>
          <w:sz w:val="20"/>
        </w:rPr>
        <w:t xml:space="preserve"> y</w:t>
      </w:r>
      <w:r w:rsidR="009958A8" w:rsidRPr="00261A99">
        <w:rPr>
          <w:rFonts w:ascii="Verdana" w:hAnsi="Verdana"/>
          <w:sz w:val="20"/>
        </w:rPr>
        <w:t xml:space="preserve"> </w:t>
      </w:r>
      <w:r w:rsidR="006D2CF3" w:rsidRPr="00261A99">
        <w:rPr>
          <w:rFonts w:ascii="Verdana" w:hAnsi="Verdana"/>
          <w:sz w:val="20"/>
        </w:rPr>
        <w:t>especialmente</w:t>
      </w:r>
      <w:r w:rsidR="009958A8" w:rsidRPr="00261A99">
        <w:rPr>
          <w:rFonts w:ascii="Verdana" w:hAnsi="Verdana"/>
          <w:sz w:val="20"/>
        </w:rPr>
        <w:t xml:space="preserve"> respecto de quienes ejercen </w:t>
      </w:r>
      <w:r w:rsidR="00261A99">
        <w:rPr>
          <w:rFonts w:ascii="Verdana" w:hAnsi="Verdana"/>
          <w:sz w:val="20"/>
        </w:rPr>
        <w:t>un cargo de</w:t>
      </w:r>
      <w:r w:rsidR="009958A8" w:rsidRPr="00261A99">
        <w:rPr>
          <w:rFonts w:ascii="Verdana" w:hAnsi="Verdana"/>
          <w:sz w:val="20"/>
        </w:rPr>
        <w:t xml:space="preserve"> representación</w:t>
      </w:r>
      <w:r w:rsidR="00C01305" w:rsidRPr="00261A99">
        <w:rPr>
          <w:rFonts w:ascii="Verdana" w:hAnsi="Verdana"/>
          <w:sz w:val="20"/>
        </w:rPr>
        <w:t xml:space="preserve">. </w:t>
      </w:r>
    </w:p>
    <w:p w14:paraId="45F74B1F" w14:textId="77777777" w:rsidR="00C01305" w:rsidRPr="00C01305" w:rsidRDefault="00C01305" w:rsidP="00C01305">
      <w:pPr>
        <w:autoSpaceDE w:val="0"/>
        <w:autoSpaceDN w:val="0"/>
        <w:adjustRightInd w:val="0"/>
        <w:spacing w:before="120"/>
        <w:contextualSpacing/>
        <w:jc w:val="both"/>
        <w:rPr>
          <w:rFonts w:ascii="Verdana" w:eastAsia="Times New Roman" w:hAnsi="Verdana" w:cs="Arial"/>
          <w:b/>
          <w:sz w:val="20"/>
          <w:szCs w:val="20"/>
          <w:lang w:val="es-CR"/>
        </w:rPr>
      </w:pPr>
    </w:p>
    <w:p w14:paraId="568DBB11" w14:textId="77777777" w:rsidR="002A7B50" w:rsidRPr="00C01305" w:rsidRDefault="002A7B50" w:rsidP="00E66DD7">
      <w:pPr>
        <w:numPr>
          <w:ilvl w:val="0"/>
          <w:numId w:val="1"/>
        </w:numPr>
        <w:autoSpaceDE w:val="0"/>
        <w:autoSpaceDN w:val="0"/>
        <w:adjustRightInd w:val="0"/>
        <w:ind w:left="0" w:firstLine="0"/>
        <w:contextualSpacing/>
        <w:jc w:val="both"/>
        <w:rPr>
          <w:rFonts w:ascii="Verdana" w:eastAsia="Times New Roman" w:hAnsi="Verdana" w:cs="Arial"/>
          <w:b/>
          <w:sz w:val="20"/>
          <w:szCs w:val="20"/>
          <w:lang w:val="es-CR"/>
        </w:rPr>
      </w:pPr>
      <w:r>
        <w:rPr>
          <w:rFonts w:ascii="Verdana" w:eastAsia="Times New Roman" w:hAnsi="Verdana" w:cs="Arial"/>
          <w:sz w:val="20"/>
          <w:szCs w:val="20"/>
          <w:lang w:val="es-CR"/>
        </w:rPr>
        <w:t>Por ende, esta Corte determinará si, en el presente caso, para preservar los derechos alegados por la presunta víctima en el ámbito de las relaciones laborales, la decisión de segunda instancia constituyó una infracción a la libertad de expresión al haber avalado el despido</w:t>
      </w:r>
      <w:r>
        <w:rPr>
          <w:rStyle w:val="FootnoteReference"/>
          <w:rFonts w:eastAsia="Times New Roman"/>
          <w:szCs w:val="20"/>
          <w:lang w:val="es-CR"/>
        </w:rPr>
        <w:footnoteReference w:id="125"/>
      </w:r>
      <w:r>
        <w:rPr>
          <w:rFonts w:ascii="Verdana" w:eastAsia="Times New Roman" w:hAnsi="Verdana" w:cs="Arial"/>
          <w:sz w:val="20"/>
          <w:szCs w:val="20"/>
          <w:lang w:val="es-CR"/>
        </w:rPr>
        <w:t>.</w:t>
      </w:r>
    </w:p>
    <w:p w14:paraId="35ECFAEB" w14:textId="77777777" w:rsidR="002A7B50" w:rsidRDefault="002A7B50" w:rsidP="00C01305">
      <w:pPr>
        <w:autoSpaceDE w:val="0"/>
        <w:autoSpaceDN w:val="0"/>
        <w:adjustRightInd w:val="0"/>
        <w:spacing w:before="120"/>
        <w:contextualSpacing/>
        <w:jc w:val="both"/>
        <w:rPr>
          <w:rFonts w:ascii="Verdana" w:eastAsia="Times New Roman" w:hAnsi="Verdana" w:cs="Arial"/>
          <w:b/>
          <w:sz w:val="20"/>
          <w:szCs w:val="20"/>
          <w:lang w:val="es-CR"/>
        </w:rPr>
      </w:pPr>
    </w:p>
    <w:p w14:paraId="3B09C73E" w14:textId="250C7CED" w:rsidR="00C01305" w:rsidRDefault="00C01305" w:rsidP="00E66DD7">
      <w:pPr>
        <w:pStyle w:val="Heading3"/>
        <w:numPr>
          <w:ilvl w:val="1"/>
          <w:numId w:val="11"/>
        </w:numPr>
        <w:rPr>
          <w:i/>
          <w:lang w:val="es-MX"/>
        </w:rPr>
      </w:pPr>
      <w:bookmarkStart w:id="43" w:name="_Toc498333502"/>
      <w:r w:rsidRPr="00E6716F">
        <w:rPr>
          <w:i/>
          <w:lang w:val="es-MX"/>
        </w:rPr>
        <w:t xml:space="preserve">Análisis de necesidad y razonabilidad </w:t>
      </w:r>
      <w:r w:rsidR="007E39F5">
        <w:rPr>
          <w:i/>
          <w:lang w:val="es-MX"/>
        </w:rPr>
        <w:t xml:space="preserve">de la restricción </w:t>
      </w:r>
      <w:r w:rsidR="0050364F" w:rsidRPr="00E6716F">
        <w:rPr>
          <w:i/>
          <w:lang w:val="es-MX"/>
        </w:rPr>
        <w:t>en el</w:t>
      </w:r>
      <w:r w:rsidRPr="00E6716F">
        <w:rPr>
          <w:i/>
          <w:lang w:val="es-MX"/>
        </w:rPr>
        <w:t xml:space="preserve"> presente caso</w:t>
      </w:r>
      <w:bookmarkEnd w:id="43"/>
    </w:p>
    <w:p w14:paraId="76155D6A" w14:textId="39E760E6" w:rsidR="00604459" w:rsidRPr="00604459" w:rsidRDefault="00604459" w:rsidP="00604459">
      <w:pPr>
        <w:pStyle w:val="ListParagraph"/>
        <w:ind w:left="1080"/>
        <w:rPr>
          <w:lang w:val="es-MX"/>
        </w:rPr>
      </w:pPr>
    </w:p>
    <w:p w14:paraId="46C877F3" w14:textId="24F29CEF" w:rsidR="00C01305" w:rsidRPr="00C01305" w:rsidRDefault="00C01305" w:rsidP="00E66DD7">
      <w:pPr>
        <w:numPr>
          <w:ilvl w:val="0"/>
          <w:numId w:val="1"/>
        </w:numPr>
        <w:autoSpaceDE w:val="0"/>
        <w:autoSpaceDN w:val="0"/>
        <w:adjustRightInd w:val="0"/>
        <w:ind w:left="0" w:firstLine="0"/>
        <w:contextualSpacing/>
        <w:jc w:val="both"/>
        <w:rPr>
          <w:rFonts w:ascii="Verdana" w:hAnsi="Verdana"/>
          <w:sz w:val="20"/>
          <w:szCs w:val="20"/>
        </w:rPr>
      </w:pPr>
      <w:r w:rsidRPr="00C01305">
        <w:rPr>
          <w:rFonts w:ascii="Verdana" w:hAnsi="Verdana"/>
          <w:spacing w:val="-3"/>
          <w:sz w:val="20"/>
          <w:szCs w:val="20"/>
        </w:rPr>
        <w:t>La Corte ha reiterado que la libertad de expresión no es un derecho absoluto. E</w:t>
      </w:r>
      <w:r w:rsidRPr="00C01305">
        <w:rPr>
          <w:rFonts w:ascii="Verdana" w:hAnsi="Verdana"/>
          <w:sz w:val="20"/>
          <w:szCs w:val="20"/>
        </w:rPr>
        <w:t xml:space="preserve">l artículo 13.2 de la Convención, que prohíbe la censura previa, también prevé la posibilidad de exigir </w:t>
      </w:r>
      <w:r w:rsidRPr="00C81E7D">
        <w:rPr>
          <w:rFonts w:ascii="Verdana" w:hAnsi="Verdana"/>
          <w:sz w:val="20"/>
          <w:szCs w:val="20"/>
        </w:rPr>
        <w:t xml:space="preserve">responsabilidades ulteriores por el ejercicio abusivo de este derecho, </w:t>
      </w:r>
      <w:r w:rsidRPr="00C81E7D">
        <w:rPr>
          <w:rFonts w:ascii="Verdana" w:hAnsi="Verdana"/>
          <w:spacing w:val="-2"/>
          <w:sz w:val="20"/>
          <w:szCs w:val="20"/>
        </w:rPr>
        <w:t xml:space="preserve">inclusive para asegurar “el respeto a los derechos o la reputación de los demás” (literal “a” del artículo 13.2). </w:t>
      </w:r>
      <w:r w:rsidRPr="00C81E7D">
        <w:rPr>
          <w:rFonts w:ascii="Verdana" w:hAnsi="Verdana"/>
          <w:spacing w:val="-3"/>
          <w:sz w:val="20"/>
          <w:szCs w:val="20"/>
        </w:rPr>
        <w:t xml:space="preserve">Estas restricciones tienen carácter excepcional y </w:t>
      </w:r>
      <w:r w:rsidRPr="00C81E7D">
        <w:rPr>
          <w:rFonts w:ascii="Verdana" w:hAnsi="Verdana"/>
          <w:sz w:val="20"/>
          <w:szCs w:val="20"/>
        </w:rPr>
        <w:t>no deben limitar, más allá de lo estrictamente necesario, el pleno ejercicio de la libertad de expresión y convertirse en un mecanismo directo o indirecto de censura previa</w:t>
      </w:r>
      <w:r w:rsidRPr="00C81E7D">
        <w:rPr>
          <w:rFonts w:ascii="Verdana" w:hAnsi="Verdana"/>
          <w:sz w:val="20"/>
          <w:szCs w:val="20"/>
          <w:vertAlign w:val="superscript"/>
        </w:rPr>
        <w:footnoteReference w:id="126"/>
      </w:r>
      <w:r w:rsidRPr="00C81E7D">
        <w:rPr>
          <w:rFonts w:ascii="Verdana" w:hAnsi="Verdana"/>
          <w:sz w:val="20"/>
          <w:szCs w:val="20"/>
        </w:rPr>
        <w:t xml:space="preserve">. </w:t>
      </w:r>
      <w:r w:rsidRPr="00C81E7D">
        <w:rPr>
          <w:rFonts w:ascii="Verdana" w:eastAsia="Times New Roman" w:hAnsi="Verdana"/>
          <w:spacing w:val="-2"/>
          <w:sz w:val="20"/>
          <w:szCs w:val="20"/>
        </w:rPr>
        <w:t>En este sentido, la Corte ha establecido que se pueden</w:t>
      </w:r>
      <w:r w:rsidRPr="00C01305">
        <w:rPr>
          <w:rFonts w:ascii="Verdana" w:eastAsia="Times New Roman" w:hAnsi="Verdana"/>
          <w:spacing w:val="-2"/>
          <w:sz w:val="20"/>
          <w:szCs w:val="20"/>
        </w:rPr>
        <w:t xml:space="preserve"> imponer </w:t>
      </w:r>
      <w:r w:rsidR="00C81E7D">
        <w:rPr>
          <w:rFonts w:ascii="Verdana" w:eastAsia="Times New Roman" w:hAnsi="Verdana"/>
          <w:spacing w:val="-2"/>
          <w:sz w:val="20"/>
          <w:szCs w:val="20"/>
        </w:rPr>
        <w:t xml:space="preserve">tales </w:t>
      </w:r>
      <w:r w:rsidRPr="00C01305">
        <w:rPr>
          <w:rFonts w:ascii="Verdana" w:eastAsia="Times New Roman" w:hAnsi="Verdana"/>
          <w:spacing w:val="-2"/>
          <w:sz w:val="20"/>
          <w:szCs w:val="20"/>
        </w:rPr>
        <w:t>responsabilidades ulteriores, en tanto se pudiera haber afectado el derecho a la honra y la reputación</w:t>
      </w:r>
      <w:r w:rsidRPr="00C01305">
        <w:rPr>
          <w:rFonts w:ascii="Verdana" w:eastAsia="Times New Roman" w:hAnsi="Verdana"/>
          <w:spacing w:val="-2"/>
          <w:sz w:val="20"/>
          <w:szCs w:val="20"/>
          <w:vertAlign w:val="superscript"/>
        </w:rPr>
        <w:footnoteReference w:id="127"/>
      </w:r>
      <w:r w:rsidRPr="00C01305">
        <w:rPr>
          <w:rFonts w:ascii="Verdana" w:eastAsia="Times New Roman" w:hAnsi="Verdana"/>
          <w:spacing w:val="-2"/>
          <w:sz w:val="20"/>
          <w:szCs w:val="20"/>
        </w:rPr>
        <w:t>.</w:t>
      </w:r>
      <w:r w:rsidRPr="00C01305">
        <w:rPr>
          <w:rFonts w:eastAsia="Times New Roman"/>
          <w:spacing w:val="-2"/>
        </w:rPr>
        <w:t xml:space="preserve"> </w:t>
      </w:r>
    </w:p>
    <w:p w14:paraId="13AE7ADA" w14:textId="77777777" w:rsidR="00C01305" w:rsidRPr="00C01305" w:rsidRDefault="00C01305" w:rsidP="00CA58EF">
      <w:pPr>
        <w:contextualSpacing/>
        <w:rPr>
          <w:rFonts w:ascii="Verdana" w:hAnsi="Verdana"/>
          <w:sz w:val="20"/>
          <w:szCs w:val="20"/>
        </w:rPr>
      </w:pPr>
    </w:p>
    <w:p w14:paraId="27ABA668" w14:textId="77777777" w:rsidR="00C01305" w:rsidRPr="00C01305" w:rsidRDefault="00C01305" w:rsidP="00E66DD7">
      <w:pPr>
        <w:numPr>
          <w:ilvl w:val="0"/>
          <w:numId w:val="1"/>
        </w:numPr>
        <w:autoSpaceDE w:val="0"/>
        <w:autoSpaceDN w:val="0"/>
        <w:adjustRightInd w:val="0"/>
        <w:ind w:left="0" w:firstLine="0"/>
        <w:contextualSpacing/>
        <w:jc w:val="both"/>
        <w:rPr>
          <w:rFonts w:ascii="Verdana" w:hAnsi="Verdana" w:cs="Verdana"/>
          <w:b/>
          <w:bCs/>
          <w:spacing w:val="-2"/>
          <w:sz w:val="20"/>
          <w:szCs w:val="20"/>
        </w:rPr>
      </w:pPr>
      <w:bookmarkStart w:id="44" w:name="_Ref370754675"/>
      <w:r w:rsidRPr="00C01305">
        <w:rPr>
          <w:rFonts w:ascii="Verdana" w:hAnsi="Verdana"/>
          <w:spacing w:val="-3"/>
          <w:sz w:val="20"/>
          <w:szCs w:val="20"/>
        </w:rPr>
        <w:t>El</w:t>
      </w:r>
      <w:r w:rsidRPr="00C01305">
        <w:rPr>
          <w:rFonts w:ascii="Verdana" w:hAnsi="Verdana" w:cs="Verdana"/>
          <w:spacing w:val="-2"/>
          <w:sz w:val="20"/>
          <w:szCs w:val="20"/>
        </w:rPr>
        <w:t xml:space="preserve"> artículo 11 de la Convención establece, en efecto, que toda persona tiene derecho a la protección de su honra y al reconocimiento de su dignidad. La Corte ha señalado que el derecho a </w:t>
      </w:r>
      <w:r w:rsidRPr="00C01305">
        <w:rPr>
          <w:rFonts w:ascii="Verdana" w:hAnsi="Verdana" w:cs="Verdana"/>
          <w:spacing w:val="-2"/>
          <w:sz w:val="20"/>
          <w:szCs w:val="20"/>
        </w:rPr>
        <w:lastRenderedPageBreak/>
        <w:t>la honra “reconoce que toda persona tiene derecho al respeto de esta, prohíbe todo ataque ilegal contra la honra o reputación e impone a los Estados el deber de brindar la protección de la ley contra tales ataques. En términos generales, este Tribunal ha indicado que el derecho a la honra se relaciona con la estima y valía propia, mientras que la reputación se refiere a la opinión que otros tienen de una persona”</w:t>
      </w:r>
      <w:r w:rsidRPr="00C01305">
        <w:rPr>
          <w:rFonts w:ascii="Verdana" w:hAnsi="Verdana" w:cs="Verdana"/>
          <w:spacing w:val="-2"/>
          <w:sz w:val="20"/>
          <w:szCs w:val="20"/>
          <w:vertAlign w:val="superscript"/>
        </w:rPr>
        <w:footnoteReference w:id="128"/>
      </w:r>
      <w:r w:rsidRPr="00C01305">
        <w:rPr>
          <w:rFonts w:ascii="Verdana" w:hAnsi="Verdana" w:cs="Verdana"/>
          <w:spacing w:val="-2"/>
          <w:sz w:val="20"/>
          <w:szCs w:val="20"/>
        </w:rPr>
        <w:t>.</w:t>
      </w:r>
      <w:bookmarkEnd w:id="44"/>
      <w:r w:rsidRPr="00C01305">
        <w:rPr>
          <w:rFonts w:ascii="Verdana" w:hAnsi="Verdana" w:cs="Verdana"/>
          <w:spacing w:val="-2"/>
          <w:sz w:val="20"/>
          <w:szCs w:val="20"/>
        </w:rPr>
        <w:t xml:space="preserve">  </w:t>
      </w:r>
    </w:p>
    <w:p w14:paraId="7F1BB9DF" w14:textId="77777777" w:rsidR="00C01305" w:rsidRPr="00C01305" w:rsidRDefault="00C01305" w:rsidP="00CA58EF">
      <w:pPr>
        <w:contextualSpacing/>
        <w:rPr>
          <w:rFonts w:ascii="Verdana" w:hAnsi="Verdana"/>
          <w:spacing w:val="-2"/>
          <w:sz w:val="20"/>
          <w:szCs w:val="20"/>
        </w:rPr>
      </w:pPr>
    </w:p>
    <w:p w14:paraId="65B694E6" w14:textId="60D8CAD7" w:rsidR="00C01305" w:rsidRPr="00C01305" w:rsidRDefault="00C01305" w:rsidP="00E66DD7">
      <w:pPr>
        <w:numPr>
          <w:ilvl w:val="0"/>
          <w:numId w:val="1"/>
        </w:numPr>
        <w:autoSpaceDE w:val="0"/>
        <w:autoSpaceDN w:val="0"/>
        <w:adjustRightInd w:val="0"/>
        <w:ind w:left="0" w:firstLine="0"/>
        <w:contextualSpacing/>
        <w:jc w:val="both"/>
        <w:rPr>
          <w:rFonts w:ascii="Verdana" w:hAnsi="Verdana" w:cs="Verdana"/>
          <w:b/>
          <w:bCs/>
          <w:spacing w:val="-2"/>
          <w:sz w:val="20"/>
          <w:szCs w:val="20"/>
        </w:rPr>
      </w:pPr>
      <w:r w:rsidRPr="00C01305">
        <w:rPr>
          <w:rFonts w:ascii="Verdana" w:hAnsi="Verdana"/>
          <w:spacing w:val="-2"/>
          <w:sz w:val="20"/>
          <w:szCs w:val="20"/>
        </w:rPr>
        <w:t>En este sentido, este Tribunal ha sostenido que, “tanto la libertad de expresión como el derecho a la honra, derechos ambos protegidos por la Convención, revisten suma importancia, por lo cual es necesario garantizar ambos derechos, de forma que coexistan de manera armoniosa”</w:t>
      </w:r>
      <w:r w:rsidRPr="00C01305">
        <w:rPr>
          <w:rFonts w:ascii="Verdana" w:hAnsi="Verdana"/>
          <w:spacing w:val="-2"/>
          <w:sz w:val="20"/>
          <w:szCs w:val="20"/>
          <w:vertAlign w:val="superscript"/>
        </w:rPr>
        <w:footnoteReference w:id="129"/>
      </w:r>
      <w:r w:rsidRPr="00C01305">
        <w:rPr>
          <w:rFonts w:ascii="Verdana" w:hAnsi="Verdana"/>
          <w:spacing w:val="-2"/>
          <w:sz w:val="20"/>
          <w:szCs w:val="20"/>
        </w:rPr>
        <w:t>. El ejercicio de cada derecho fundamental tiene que hacerse con respeto y salvaguarda de los demás derechos fundamentales</w:t>
      </w:r>
      <w:r w:rsidRPr="00C01305">
        <w:rPr>
          <w:rFonts w:ascii="Verdana" w:hAnsi="Verdana"/>
          <w:spacing w:val="-2"/>
          <w:sz w:val="20"/>
          <w:szCs w:val="20"/>
          <w:vertAlign w:val="superscript"/>
        </w:rPr>
        <w:footnoteReference w:id="130"/>
      </w:r>
      <w:r w:rsidRPr="00C01305">
        <w:rPr>
          <w:rFonts w:ascii="Verdana" w:hAnsi="Verdana"/>
          <w:spacing w:val="-2"/>
          <w:sz w:val="20"/>
          <w:szCs w:val="20"/>
        </w:rPr>
        <w:t>. Por ende, la Corte ha señalado que “la solución del conflicto que se presenta entre ambos derechos requiere de una ponderación entre los mismos, para lo cual deberá examinarse cada caso, conforme a sus características y circunstancias, a fin de apreciar la existencia e intensidad de los elementos en que se sustenta dicho juicio”</w:t>
      </w:r>
      <w:r w:rsidRPr="00C01305">
        <w:rPr>
          <w:rFonts w:ascii="Verdana" w:hAnsi="Verdana"/>
          <w:spacing w:val="-2"/>
          <w:sz w:val="20"/>
          <w:szCs w:val="20"/>
          <w:vertAlign w:val="superscript"/>
        </w:rPr>
        <w:footnoteReference w:id="131"/>
      </w:r>
      <w:r w:rsidRPr="00C01305">
        <w:rPr>
          <w:rFonts w:ascii="Verdana" w:hAnsi="Verdana"/>
          <w:spacing w:val="-2"/>
          <w:sz w:val="20"/>
          <w:szCs w:val="20"/>
        </w:rPr>
        <w:t>.</w:t>
      </w:r>
    </w:p>
    <w:p w14:paraId="287B232F" w14:textId="77777777" w:rsidR="00C01305" w:rsidRPr="00C01305" w:rsidRDefault="00C01305" w:rsidP="00CA58EF">
      <w:pPr>
        <w:autoSpaceDE w:val="0"/>
        <w:autoSpaceDN w:val="0"/>
        <w:adjustRightInd w:val="0"/>
        <w:contextualSpacing/>
        <w:jc w:val="both"/>
        <w:rPr>
          <w:rFonts w:ascii="Verdana" w:hAnsi="Verdana" w:cs="Verdana"/>
          <w:b/>
          <w:bCs/>
          <w:spacing w:val="-2"/>
          <w:sz w:val="20"/>
          <w:szCs w:val="20"/>
        </w:rPr>
      </w:pPr>
    </w:p>
    <w:p w14:paraId="09BFECD5" w14:textId="5A2D5A97" w:rsidR="000A6A6B" w:rsidRPr="00691B72" w:rsidRDefault="00C01305" w:rsidP="00E66DD7">
      <w:pPr>
        <w:numPr>
          <w:ilvl w:val="0"/>
          <w:numId w:val="1"/>
        </w:numPr>
        <w:autoSpaceDE w:val="0"/>
        <w:autoSpaceDN w:val="0"/>
        <w:adjustRightInd w:val="0"/>
        <w:ind w:left="0" w:firstLine="0"/>
        <w:contextualSpacing/>
        <w:jc w:val="both"/>
        <w:rPr>
          <w:rFonts w:ascii="Verdana" w:hAnsi="Verdana"/>
          <w:sz w:val="20"/>
          <w:szCs w:val="20"/>
        </w:rPr>
      </w:pPr>
      <w:r w:rsidRPr="00C01305">
        <w:rPr>
          <w:rFonts w:ascii="Verdana" w:hAnsi="Verdana"/>
          <w:sz w:val="20"/>
          <w:szCs w:val="20"/>
        </w:rPr>
        <w:t xml:space="preserve">Al respecto, </w:t>
      </w:r>
      <w:r w:rsidR="00E71477">
        <w:rPr>
          <w:rFonts w:ascii="Verdana" w:hAnsi="Verdana"/>
          <w:sz w:val="20"/>
          <w:szCs w:val="20"/>
        </w:rPr>
        <w:t xml:space="preserve">cabe señalar que </w:t>
      </w:r>
      <w:r w:rsidRPr="00C01305">
        <w:rPr>
          <w:rFonts w:ascii="Verdana" w:hAnsi="Verdana"/>
          <w:sz w:val="20"/>
          <w:szCs w:val="20"/>
        </w:rPr>
        <w:t xml:space="preserve">Perú objetó la aplicación de un examen de proporcionalidad, </w:t>
      </w:r>
      <w:r w:rsidR="00753933" w:rsidRPr="00333304">
        <w:rPr>
          <w:rFonts w:ascii="Verdana" w:hAnsi="Verdana"/>
          <w:sz w:val="20"/>
          <w:szCs w:val="20"/>
        </w:rPr>
        <w:t>puesto</w:t>
      </w:r>
      <w:r w:rsidR="001B481A" w:rsidRPr="00C01305">
        <w:rPr>
          <w:rFonts w:ascii="Verdana" w:hAnsi="Verdana"/>
          <w:sz w:val="20"/>
          <w:szCs w:val="20"/>
        </w:rPr>
        <w:t xml:space="preserve"> </w:t>
      </w:r>
      <w:r w:rsidRPr="00C01305">
        <w:rPr>
          <w:rFonts w:ascii="Verdana" w:hAnsi="Verdana"/>
          <w:sz w:val="20"/>
          <w:szCs w:val="20"/>
        </w:rPr>
        <w:t>que, según el Estado, este se deriva de la doctrina o jurisprudencia posterior a los hechos (</w:t>
      </w:r>
      <w:r w:rsidR="00224537" w:rsidRPr="00224537">
        <w:rPr>
          <w:rFonts w:ascii="Verdana" w:hAnsi="Verdana"/>
          <w:i/>
          <w:sz w:val="20"/>
          <w:szCs w:val="20"/>
        </w:rPr>
        <w:t>supra</w:t>
      </w:r>
      <w:r w:rsidR="00E71477">
        <w:rPr>
          <w:rFonts w:ascii="Verdana" w:hAnsi="Verdana"/>
          <w:sz w:val="20"/>
          <w:szCs w:val="20"/>
        </w:rPr>
        <w:t xml:space="preserve"> párr.</w:t>
      </w:r>
      <w:r w:rsidR="00691B72">
        <w:rPr>
          <w:rFonts w:ascii="Verdana" w:hAnsi="Verdana"/>
          <w:sz w:val="20"/>
          <w:szCs w:val="20"/>
        </w:rPr>
        <w:t xml:space="preserve"> 81</w:t>
      </w:r>
      <w:r w:rsidR="00E71477">
        <w:rPr>
          <w:rFonts w:ascii="Verdana" w:hAnsi="Verdana"/>
          <w:sz w:val="20"/>
          <w:szCs w:val="20"/>
        </w:rPr>
        <w:t xml:space="preserve">). </w:t>
      </w:r>
      <w:r w:rsidR="00B56102" w:rsidRPr="00333304">
        <w:rPr>
          <w:rFonts w:ascii="Verdana" w:hAnsi="Verdana"/>
          <w:sz w:val="20"/>
          <w:szCs w:val="20"/>
        </w:rPr>
        <w:t>La Corte hace notar que en el artículo 13.2 de la Convención se establece expresamente la exigencia de realizar un análisis de razonabilidad frente a la restricción de la libertad de expresión. Asimismo, c</w:t>
      </w:r>
      <w:r w:rsidR="008345B6" w:rsidRPr="00333304">
        <w:rPr>
          <w:rFonts w:ascii="Verdana" w:hAnsi="Verdana"/>
          <w:sz w:val="20"/>
          <w:szCs w:val="20"/>
        </w:rPr>
        <w:t>abe señalar</w:t>
      </w:r>
      <w:r w:rsidR="000A6A6B" w:rsidRPr="00333304">
        <w:rPr>
          <w:rFonts w:ascii="Verdana" w:hAnsi="Verdana"/>
          <w:sz w:val="20"/>
          <w:szCs w:val="20"/>
        </w:rPr>
        <w:t xml:space="preserve"> que el criterio </w:t>
      </w:r>
      <w:r w:rsidR="00B56102" w:rsidRPr="00333304">
        <w:rPr>
          <w:rFonts w:ascii="Verdana" w:hAnsi="Verdana"/>
          <w:sz w:val="20"/>
          <w:szCs w:val="20"/>
        </w:rPr>
        <w:t>desarrollado</w:t>
      </w:r>
      <w:r w:rsidR="000A6A6B" w:rsidRPr="00333304">
        <w:rPr>
          <w:rFonts w:ascii="Verdana" w:hAnsi="Verdana"/>
          <w:sz w:val="20"/>
          <w:szCs w:val="20"/>
        </w:rPr>
        <w:t xml:space="preserve"> con posterioridad por esta Corte respecto de la proporcionalidad, no es más que la aplicación de un principio general de interpretación jurídica derivado de la matriz general de racionalidad.</w:t>
      </w:r>
      <w:r w:rsidR="002F3D8B" w:rsidRPr="00333304">
        <w:rPr>
          <w:rFonts w:ascii="Verdana" w:hAnsi="Verdana"/>
          <w:sz w:val="20"/>
          <w:szCs w:val="20"/>
        </w:rPr>
        <w:t xml:space="preserve"> En consecuencia, la ponderación está contemplada en el </w:t>
      </w:r>
      <w:r w:rsidR="00EC71A4" w:rsidRPr="00333304">
        <w:rPr>
          <w:rFonts w:ascii="Verdana" w:hAnsi="Verdana"/>
          <w:sz w:val="20"/>
          <w:szCs w:val="20"/>
        </w:rPr>
        <w:t xml:space="preserve">propio </w:t>
      </w:r>
      <w:r w:rsidR="002F3D8B" w:rsidRPr="00333304">
        <w:rPr>
          <w:rFonts w:ascii="Verdana" w:hAnsi="Verdana"/>
          <w:sz w:val="20"/>
          <w:szCs w:val="20"/>
        </w:rPr>
        <w:t>artículo 13.2 de la Convención.</w:t>
      </w:r>
    </w:p>
    <w:p w14:paraId="2F3B060F" w14:textId="77777777" w:rsidR="00C01305" w:rsidRPr="00333304" w:rsidRDefault="00C01305" w:rsidP="00CA58EF">
      <w:pPr>
        <w:autoSpaceDE w:val="0"/>
        <w:autoSpaceDN w:val="0"/>
        <w:adjustRightInd w:val="0"/>
        <w:contextualSpacing/>
        <w:jc w:val="both"/>
        <w:rPr>
          <w:rFonts w:ascii="Verdana" w:hAnsi="Verdana" w:cs="Verdana"/>
          <w:bCs/>
          <w:spacing w:val="-2"/>
          <w:sz w:val="20"/>
          <w:szCs w:val="20"/>
        </w:rPr>
      </w:pPr>
    </w:p>
    <w:p w14:paraId="066433E3" w14:textId="2A0F1C05" w:rsidR="00C01305" w:rsidRPr="00C01305" w:rsidRDefault="00C01305" w:rsidP="00E66DD7">
      <w:pPr>
        <w:numPr>
          <w:ilvl w:val="0"/>
          <w:numId w:val="1"/>
        </w:numPr>
        <w:autoSpaceDE w:val="0"/>
        <w:autoSpaceDN w:val="0"/>
        <w:adjustRightInd w:val="0"/>
        <w:ind w:left="0" w:firstLine="0"/>
        <w:jc w:val="both"/>
        <w:rPr>
          <w:rFonts w:ascii="Verdana" w:hAnsi="Verdana"/>
          <w:b/>
          <w:sz w:val="20"/>
          <w:szCs w:val="20"/>
        </w:rPr>
      </w:pPr>
      <w:bookmarkStart w:id="45" w:name="_Ref359981203"/>
      <w:r w:rsidRPr="00C01305">
        <w:rPr>
          <w:rFonts w:ascii="Verdana" w:hAnsi="Verdana"/>
          <w:spacing w:val="-2"/>
          <w:sz w:val="20"/>
          <w:szCs w:val="20"/>
        </w:rPr>
        <w:t xml:space="preserve">En lo concerniente, </w:t>
      </w:r>
      <w:r w:rsidR="0001522B">
        <w:rPr>
          <w:rFonts w:ascii="Verdana" w:hAnsi="Verdana"/>
          <w:spacing w:val="-2"/>
          <w:sz w:val="20"/>
          <w:szCs w:val="20"/>
        </w:rPr>
        <w:t xml:space="preserve">este Tribunal ha reiterado </w:t>
      </w:r>
      <w:r w:rsidR="00B56102">
        <w:rPr>
          <w:rFonts w:ascii="Verdana" w:hAnsi="Verdana"/>
          <w:spacing w:val="-2"/>
          <w:sz w:val="20"/>
          <w:szCs w:val="20"/>
        </w:rPr>
        <w:t xml:space="preserve">en su jurisprudencia </w:t>
      </w:r>
      <w:r w:rsidR="0001522B">
        <w:rPr>
          <w:rFonts w:ascii="Verdana" w:hAnsi="Verdana"/>
          <w:spacing w:val="-2"/>
          <w:sz w:val="20"/>
          <w:szCs w:val="20"/>
        </w:rPr>
        <w:t xml:space="preserve">que </w:t>
      </w:r>
      <w:r w:rsidRPr="00C01305">
        <w:rPr>
          <w:rFonts w:ascii="Verdana" w:hAnsi="Verdana"/>
          <w:spacing w:val="-2"/>
          <w:sz w:val="20"/>
          <w:szCs w:val="20"/>
        </w:rPr>
        <w:t>el artículo 13.2 de la Convención Americana establece que las responsabilidades ulteriores por el ejercicio de la libertad de expresión, deben cumplir con los siguientes requisitos de forma concurrente: (i) estar previamente fijadas por ley, en sentido formal y material</w:t>
      </w:r>
      <w:r w:rsidRPr="00C01305">
        <w:rPr>
          <w:rFonts w:ascii="Verdana" w:hAnsi="Verdana"/>
          <w:spacing w:val="-2"/>
          <w:sz w:val="20"/>
          <w:szCs w:val="20"/>
          <w:vertAlign w:val="superscript"/>
          <w:lang w:eastAsia="de-DE"/>
        </w:rPr>
        <w:footnoteReference w:id="132"/>
      </w:r>
      <w:r w:rsidRPr="00C01305">
        <w:rPr>
          <w:rFonts w:ascii="Verdana" w:hAnsi="Verdana"/>
          <w:spacing w:val="-2"/>
          <w:sz w:val="20"/>
          <w:szCs w:val="20"/>
        </w:rPr>
        <w:t xml:space="preserve">; (ii) responder a un objetivo permitido por la Convención Americana (“el respeto a los derechos </w:t>
      </w:r>
      <w:r w:rsidRPr="00333304">
        <w:rPr>
          <w:rFonts w:ascii="Verdana" w:hAnsi="Verdana"/>
          <w:spacing w:val="-2"/>
          <w:sz w:val="20"/>
          <w:szCs w:val="20"/>
        </w:rPr>
        <w:t>a la reputación de los demás</w:t>
      </w:r>
      <w:r w:rsidRPr="00C01305">
        <w:rPr>
          <w:rFonts w:ascii="Verdana" w:hAnsi="Verdana"/>
          <w:spacing w:val="-2"/>
          <w:sz w:val="20"/>
          <w:szCs w:val="20"/>
        </w:rPr>
        <w:t xml:space="preserve">” o “la protección de la seguridad nacional, el orden público o la salud o la moral públicas”), y (iii) ser </w:t>
      </w:r>
      <w:r w:rsidRPr="00333304">
        <w:rPr>
          <w:rFonts w:ascii="Verdana" w:hAnsi="Verdana"/>
          <w:spacing w:val="-2"/>
          <w:sz w:val="20"/>
          <w:szCs w:val="20"/>
        </w:rPr>
        <w:t>necesaria</w:t>
      </w:r>
      <w:r w:rsidRPr="00C01305">
        <w:rPr>
          <w:rFonts w:ascii="Verdana" w:hAnsi="Verdana"/>
          <w:spacing w:val="-2"/>
          <w:sz w:val="20"/>
          <w:szCs w:val="20"/>
        </w:rPr>
        <w:t xml:space="preserve"> en una sociedad democrática (para lo cual deben </w:t>
      </w:r>
      <w:r w:rsidRPr="00C01305">
        <w:rPr>
          <w:rFonts w:ascii="Verdana" w:hAnsi="Verdana"/>
          <w:spacing w:val="-2"/>
          <w:sz w:val="20"/>
          <w:szCs w:val="20"/>
          <w:lang w:val="es-CR" w:eastAsia="de-DE"/>
        </w:rPr>
        <w:t>cumplir con los requisitos de idoneidad, necesidad y proporcionalidad</w:t>
      </w:r>
      <w:r w:rsidRPr="00C01305">
        <w:rPr>
          <w:rFonts w:ascii="Verdana" w:hAnsi="Verdana"/>
          <w:spacing w:val="-2"/>
          <w:sz w:val="20"/>
          <w:szCs w:val="20"/>
          <w:vertAlign w:val="superscript"/>
          <w:lang w:eastAsia="de-DE"/>
        </w:rPr>
        <w:footnoteReference w:id="133"/>
      </w:r>
      <w:r w:rsidRPr="00C01305">
        <w:rPr>
          <w:rFonts w:ascii="Verdana" w:hAnsi="Verdana"/>
          <w:spacing w:val="-2"/>
          <w:sz w:val="20"/>
          <w:szCs w:val="20"/>
          <w:lang w:val="es-CR" w:eastAsia="de-DE"/>
        </w:rPr>
        <w:t>).</w:t>
      </w:r>
      <w:r w:rsidRPr="00C01305">
        <w:rPr>
          <w:rFonts w:ascii="Verdana" w:hAnsi="Verdana"/>
          <w:spacing w:val="-2"/>
          <w:sz w:val="20"/>
          <w:szCs w:val="20"/>
        </w:rPr>
        <w:t xml:space="preserve"> </w:t>
      </w:r>
      <w:bookmarkEnd w:id="45"/>
    </w:p>
    <w:p w14:paraId="4863E179" w14:textId="77777777" w:rsidR="00C01305" w:rsidRPr="00C01305" w:rsidRDefault="00C01305" w:rsidP="00CA58EF">
      <w:pPr>
        <w:contextualSpacing/>
        <w:rPr>
          <w:rFonts w:ascii="Verdana" w:hAnsi="Verdana"/>
          <w:sz w:val="20"/>
          <w:szCs w:val="20"/>
        </w:rPr>
      </w:pPr>
    </w:p>
    <w:p w14:paraId="3ACDC9F5" w14:textId="3294C65A" w:rsidR="00C01305" w:rsidRPr="00C01305" w:rsidRDefault="00AF6642" w:rsidP="00E66DD7">
      <w:pPr>
        <w:numPr>
          <w:ilvl w:val="0"/>
          <w:numId w:val="1"/>
        </w:numPr>
        <w:autoSpaceDE w:val="0"/>
        <w:autoSpaceDN w:val="0"/>
        <w:adjustRightInd w:val="0"/>
        <w:ind w:left="0" w:firstLine="0"/>
        <w:jc w:val="both"/>
        <w:rPr>
          <w:rFonts w:ascii="Verdana" w:hAnsi="Verdana"/>
          <w:sz w:val="20"/>
          <w:szCs w:val="20"/>
        </w:rPr>
      </w:pPr>
      <w:r w:rsidRPr="00AF6642">
        <w:rPr>
          <w:rFonts w:ascii="Verdana" w:hAnsi="Verdana"/>
          <w:sz w:val="20"/>
          <w:szCs w:val="20"/>
        </w:rPr>
        <w:t xml:space="preserve">En particular, </w:t>
      </w:r>
      <w:r w:rsidRPr="005D0F69">
        <w:rPr>
          <w:rFonts w:ascii="Verdana" w:hAnsi="Verdana"/>
          <w:sz w:val="20"/>
          <w:szCs w:val="20"/>
        </w:rPr>
        <w:t>l</w:t>
      </w:r>
      <w:r w:rsidR="004E4E2E" w:rsidRPr="005D0F69">
        <w:rPr>
          <w:rFonts w:ascii="Verdana" w:hAnsi="Verdana"/>
          <w:sz w:val="20"/>
          <w:szCs w:val="20"/>
        </w:rPr>
        <w:t xml:space="preserve">a evaluación de restricciones legítimas al derecho a la libertad de expresión </w:t>
      </w:r>
      <w:r w:rsidRPr="005D0F69">
        <w:rPr>
          <w:rFonts w:ascii="Verdana" w:hAnsi="Verdana"/>
          <w:sz w:val="20"/>
          <w:szCs w:val="20"/>
        </w:rPr>
        <w:t>exige</w:t>
      </w:r>
      <w:r w:rsidR="004E4E2E" w:rsidRPr="005D0F69">
        <w:rPr>
          <w:rFonts w:ascii="Verdana" w:hAnsi="Verdana"/>
          <w:sz w:val="20"/>
          <w:szCs w:val="20"/>
        </w:rPr>
        <w:t xml:space="preserve"> un análisis de necesidad (artículo 13.2)</w:t>
      </w:r>
      <w:r w:rsidR="004E4E2E" w:rsidRPr="00AF6642">
        <w:rPr>
          <w:rFonts w:ascii="Verdana" w:hAnsi="Verdana"/>
          <w:sz w:val="20"/>
          <w:szCs w:val="20"/>
        </w:rPr>
        <w:t xml:space="preserve">. </w:t>
      </w:r>
      <w:r w:rsidR="004E4E2E" w:rsidRPr="005D0F69">
        <w:rPr>
          <w:rFonts w:ascii="Verdana" w:hAnsi="Verdana"/>
          <w:sz w:val="20"/>
          <w:szCs w:val="20"/>
        </w:rPr>
        <w:t xml:space="preserve">De tal manera, lo que se requiere al Estado, a través de sus operadores de justicia, es la aplicación de un análisis de la razonabilidad o ponderación de las limitaciones o restricciones a derechos humanos, </w:t>
      </w:r>
      <w:r w:rsidRPr="005D0F69">
        <w:rPr>
          <w:rFonts w:ascii="Verdana" w:hAnsi="Verdana"/>
          <w:sz w:val="20"/>
          <w:szCs w:val="20"/>
        </w:rPr>
        <w:t>dispuesta</w:t>
      </w:r>
      <w:r w:rsidR="004E4E2E" w:rsidRPr="005D0F69">
        <w:rPr>
          <w:rFonts w:ascii="Verdana" w:hAnsi="Verdana"/>
          <w:sz w:val="20"/>
          <w:szCs w:val="20"/>
        </w:rPr>
        <w:t xml:space="preserve"> por la propia Convención (</w:t>
      </w:r>
      <w:r w:rsidR="00915ACA">
        <w:rPr>
          <w:rFonts w:ascii="Verdana" w:hAnsi="Verdana"/>
          <w:sz w:val="20"/>
          <w:szCs w:val="20"/>
        </w:rPr>
        <w:t>artículo13.2</w:t>
      </w:r>
      <w:r w:rsidR="004E4E2E" w:rsidRPr="005D0F69">
        <w:rPr>
          <w:rFonts w:ascii="Verdana" w:hAnsi="Verdana"/>
          <w:sz w:val="20"/>
          <w:szCs w:val="20"/>
        </w:rPr>
        <w:t xml:space="preserve">), así como una debida motivación que respete el debido proceso legal (artículo 8 de la Convención). La metodología, técnica argumentativa o examen particular, es menester de las autoridades internas, siempre y cuando refleje tales garantías. </w:t>
      </w:r>
      <w:r w:rsidR="004E4E2E">
        <w:rPr>
          <w:rFonts w:ascii="Verdana" w:hAnsi="Verdana"/>
          <w:sz w:val="20"/>
          <w:szCs w:val="20"/>
        </w:rPr>
        <w:t>P</w:t>
      </w:r>
      <w:r w:rsidR="00C01305" w:rsidRPr="00C01305">
        <w:rPr>
          <w:rFonts w:ascii="Verdana" w:hAnsi="Verdana"/>
          <w:sz w:val="20"/>
          <w:szCs w:val="20"/>
        </w:rPr>
        <w:t xml:space="preserve">ara efectos de </w:t>
      </w:r>
      <w:r w:rsidR="00C81E7D">
        <w:rPr>
          <w:rFonts w:ascii="Verdana" w:hAnsi="Verdana"/>
          <w:sz w:val="20"/>
          <w:szCs w:val="20"/>
        </w:rPr>
        <w:t>esta valoración</w:t>
      </w:r>
      <w:r w:rsidR="00C01305" w:rsidRPr="00C01305">
        <w:rPr>
          <w:rFonts w:ascii="Verdana" w:hAnsi="Verdana"/>
          <w:sz w:val="20"/>
          <w:szCs w:val="20"/>
        </w:rPr>
        <w:t xml:space="preserve"> a nivel internacional, la Corte ha recurrido</w:t>
      </w:r>
      <w:r w:rsidR="0001522B" w:rsidRPr="0001522B">
        <w:rPr>
          <w:rFonts w:ascii="Verdana" w:hAnsi="Verdana"/>
          <w:sz w:val="20"/>
          <w:szCs w:val="20"/>
        </w:rPr>
        <w:t xml:space="preserve"> </w:t>
      </w:r>
      <w:r w:rsidR="0001522B" w:rsidRPr="00C01305">
        <w:rPr>
          <w:rFonts w:ascii="Verdana" w:hAnsi="Verdana"/>
          <w:sz w:val="20"/>
          <w:szCs w:val="20"/>
        </w:rPr>
        <w:t>a</w:t>
      </w:r>
      <w:r w:rsidR="0001522B">
        <w:rPr>
          <w:rFonts w:ascii="Verdana" w:hAnsi="Verdana"/>
          <w:sz w:val="20"/>
          <w:szCs w:val="20"/>
        </w:rPr>
        <w:t xml:space="preserve"> distintos análisis</w:t>
      </w:r>
      <w:r w:rsidR="00C01305" w:rsidRPr="00C01305">
        <w:rPr>
          <w:rFonts w:ascii="Verdana" w:hAnsi="Verdana"/>
          <w:sz w:val="20"/>
          <w:szCs w:val="20"/>
        </w:rPr>
        <w:t xml:space="preserve">, dependiendo los derechos en juego, pero siempre observando una adecuada ponderación o justo equilibrio de los </w:t>
      </w:r>
      <w:r w:rsidR="00C01305" w:rsidRPr="00C01305">
        <w:rPr>
          <w:rFonts w:ascii="Verdana" w:hAnsi="Verdana"/>
          <w:sz w:val="20"/>
          <w:szCs w:val="20"/>
        </w:rPr>
        <w:lastRenderedPageBreak/>
        <w:t>derechos convencionales</w:t>
      </w:r>
      <w:r w:rsidR="00F80ADC">
        <w:rPr>
          <w:rStyle w:val="FootnoteReference"/>
          <w:szCs w:val="20"/>
        </w:rPr>
        <w:footnoteReference w:id="134"/>
      </w:r>
      <w:r w:rsidR="00C01305" w:rsidRPr="00C01305">
        <w:rPr>
          <w:rFonts w:ascii="Verdana" w:hAnsi="Verdana"/>
          <w:sz w:val="20"/>
          <w:szCs w:val="20"/>
        </w:rPr>
        <w:t>, por ende</w:t>
      </w:r>
      <w:r w:rsidR="00F80ADC">
        <w:rPr>
          <w:rFonts w:ascii="Verdana" w:hAnsi="Verdana"/>
          <w:sz w:val="20"/>
          <w:szCs w:val="20"/>
        </w:rPr>
        <w:t>,</w:t>
      </w:r>
      <w:r w:rsidR="00C01305" w:rsidRPr="00C01305">
        <w:rPr>
          <w:rFonts w:ascii="Verdana" w:hAnsi="Verdana"/>
          <w:sz w:val="20"/>
          <w:szCs w:val="20"/>
        </w:rPr>
        <w:t xml:space="preserve"> la aplicación de un </w:t>
      </w:r>
      <w:r>
        <w:rPr>
          <w:rFonts w:ascii="Verdana" w:hAnsi="Verdana"/>
          <w:sz w:val="20"/>
          <w:szCs w:val="20"/>
        </w:rPr>
        <w:t xml:space="preserve">análisis de necesidad razonada </w:t>
      </w:r>
      <w:r w:rsidR="00C01305" w:rsidRPr="00C01305">
        <w:rPr>
          <w:rFonts w:ascii="Verdana" w:hAnsi="Verdana"/>
          <w:sz w:val="20"/>
          <w:szCs w:val="20"/>
        </w:rPr>
        <w:t xml:space="preserve">por parte de </w:t>
      </w:r>
      <w:r>
        <w:rPr>
          <w:rFonts w:ascii="Verdana" w:hAnsi="Verdana"/>
          <w:sz w:val="20"/>
          <w:szCs w:val="20"/>
        </w:rPr>
        <w:t>esta</w:t>
      </w:r>
      <w:r w:rsidR="00C01305" w:rsidRPr="00C01305">
        <w:rPr>
          <w:rFonts w:ascii="Verdana" w:hAnsi="Verdana"/>
          <w:sz w:val="20"/>
          <w:szCs w:val="20"/>
        </w:rPr>
        <w:t xml:space="preserve"> Corte deriva del propio tratado internacional que debe interpretar</w:t>
      </w:r>
      <w:r w:rsidR="004E4E2E">
        <w:rPr>
          <w:rStyle w:val="FootnoteReference"/>
          <w:szCs w:val="20"/>
        </w:rPr>
        <w:footnoteReference w:id="135"/>
      </w:r>
      <w:r w:rsidR="00915ACA">
        <w:rPr>
          <w:rFonts w:ascii="Verdana" w:hAnsi="Verdana"/>
          <w:sz w:val="20"/>
          <w:szCs w:val="20"/>
        </w:rPr>
        <w:t>, así como de</w:t>
      </w:r>
      <w:r>
        <w:rPr>
          <w:rFonts w:ascii="Verdana" w:hAnsi="Verdana"/>
          <w:sz w:val="20"/>
          <w:szCs w:val="20"/>
        </w:rPr>
        <w:t xml:space="preserve"> su jurisprudencia constante</w:t>
      </w:r>
      <w:r w:rsidR="00C01305" w:rsidRPr="00C01305">
        <w:rPr>
          <w:rFonts w:ascii="Verdana" w:hAnsi="Verdana"/>
          <w:sz w:val="20"/>
          <w:szCs w:val="20"/>
        </w:rPr>
        <w:t xml:space="preserve">. </w:t>
      </w:r>
    </w:p>
    <w:p w14:paraId="03C97E2B" w14:textId="77777777" w:rsidR="00C01305" w:rsidRPr="00C01305" w:rsidRDefault="00C01305" w:rsidP="00CA58EF">
      <w:pPr>
        <w:contextualSpacing/>
        <w:rPr>
          <w:rFonts w:ascii="Verdana" w:hAnsi="Verdana"/>
          <w:sz w:val="20"/>
          <w:szCs w:val="20"/>
        </w:rPr>
      </w:pPr>
    </w:p>
    <w:p w14:paraId="63F9FA01" w14:textId="73093DB5" w:rsidR="00C01305" w:rsidRPr="00C01305" w:rsidRDefault="00C01305" w:rsidP="00E66DD7">
      <w:pPr>
        <w:numPr>
          <w:ilvl w:val="0"/>
          <w:numId w:val="1"/>
        </w:numPr>
        <w:ind w:left="0" w:firstLine="0"/>
        <w:contextualSpacing/>
        <w:jc w:val="both"/>
        <w:rPr>
          <w:rFonts w:ascii="Verdana" w:hAnsi="Verdana"/>
          <w:sz w:val="20"/>
          <w:szCs w:val="20"/>
          <w:lang w:val="es-CR"/>
        </w:rPr>
      </w:pPr>
      <w:r w:rsidRPr="00C01305">
        <w:rPr>
          <w:rFonts w:ascii="Verdana" w:hAnsi="Verdana"/>
          <w:sz w:val="20"/>
          <w:szCs w:val="20"/>
        </w:rPr>
        <w:t xml:space="preserve">Para efectos del presente caso, concerniente con la interpretación de responsabilidades ulteriores </w:t>
      </w:r>
      <w:r w:rsidRPr="00C01305">
        <w:rPr>
          <w:rFonts w:ascii="Verdana" w:hAnsi="Verdana"/>
          <w:sz w:val="20"/>
          <w:szCs w:val="20"/>
          <w:lang w:val="es-CR"/>
        </w:rPr>
        <w:t>por el ejercicio de la libertad de expresión</w:t>
      </w:r>
      <w:r w:rsidR="007A21DE">
        <w:rPr>
          <w:rFonts w:ascii="Verdana" w:hAnsi="Verdana"/>
          <w:sz w:val="20"/>
          <w:szCs w:val="20"/>
          <w:lang w:val="es-CR"/>
        </w:rPr>
        <w:t xml:space="preserve"> en el ámbito laboral</w:t>
      </w:r>
      <w:r w:rsidRPr="00C01305">
        <w:rPr>
          <w:rFonts w:ascii="Verdana" w:hAnsi="Verdana"/>
          <w:sz w:val="20"/>
          <w:szCs w:val="20"/>
          <w:lang w:val="es-CR"/>
        </w:rPr>
        <w:t>, la Corte analizará la restricción impuesta, a la luz del artículo 13.2 de la Convención, tomando en cuenta los siguientes requi</w:t>
      </w:r>
      <w:r w:rsidR="00C81E7D">
        <w:rPr>
          <w:rFonts w:ascii="Verdana" w:hAnsi="Verdana"/>
          <w:sz w:val="20"/>
          <w:szCs w:val="20"/>
          <w:lang w:val="es-CR"/>
        </w:rPr>
        <w:t xml:space="preserve">sitos de forma concurrente: </w:t>
      </w:r>
      <w:r w:rsidR="007A21DE">
        <w:rPr>
          <w:rFonts w:ascii="Verdana" w:hAnsi="Verdana"/>
          <w:sz w:val="20"/>
          <w:szCs w:val="20"/>
          <w:lang w:val="es-CR"/>
        </w:rPr>
        <w:t>i</w:t>
      </w:r>
      <w:r w:rsidR="007A21DE" w:rsidRPr="00C01305">
        <w:rPr>
          <w:rFonts w:ascii="Verdana" w:hAnsi="Verdana"/>
          <w:sz w:val="20"/>
          <w:szCs w:val="20"/>
          <w:lang w:val="es-CR"/>
        </w:rPr>
        <w:t>) calificación de las declaraciones de Lagos del Campo;</w:t>
      </w:r>
      <w:r w:rsidR="007A21DE">
        <w:rPr>
          <w:rFonts w:ascii="Verdana" w:hAnsi="Verdana"/>
          <w:sz w:val="20"/>
          <w:szCs w:val="20"/>
          <w:lang w:val="es-CR"/>
        </w:rPr>
        <w:t xml:space="preserve"> </w:t>
      </w:r>
      <w:r w:rsidR="00C81E7D">
        <w:rPr>
          <w:rFonts w:ascii="Verdana" w:hAnsi="Verdana"/>
          <w:sz w:val="20"/>
          <w:szCs w:val="20"/>
          <w:lang w:val="es-CR"/>
        </w:rPr>
        <w:t>i</w:t>
      </w:r>
      <w:r w:rsidR="007A21DE">
        <w:rPr>
          <w:rFonts w:ascii="Verdana" w:hAnsi="Verdana"/>
          <w:sz w:val="20"/>
          <w:szCs w:val="20"/>
          <w:lang w:val="es-CR"/>
        </w:rPr>
        <w:t>i</w:t>
      </w:r>
      <w:r w:rsidR="00C81E7D">
        <w:rPr>
          <w:rFonts w:ascii="Verdana" w:hAnsi="Verdana"/>
          <w:sz w:val="20"/>
          <w:szCs w:val="20"/>
          <w:lang w:val="es-CR"/>
        </w:rPr>
        <w:t>) l</w:t>
      </w:r>
      <w:r w:rsidRPr="00C01305">
        <w:rPr>
          <w:rFonts w:ascii="Verdana" w:hAnsi="Verdana"/>
          <w:sz w:val="20"/>
          <w:szCs w:val="20"/>
          <w:lang w:val="es-CR"/>
        </w:rPr>
        <w:t xml:space="preserve">egalidad </w:t>
      </w:r>
      <w:r w:rsidRPr="00F80ADC">
        <w:rPr>
          <w:rFonts w:ascii="Verdana" w:hAnsi="Verdana"/>
          <w:sz w:val="20"/>
          <w:lang w:val="es-CR"/>
        </w:rPr>
        <w:t>y finalidad</w:t>
      </w:r>
      <w:r w:rsidR="00CC31D1">
        <w:rPr>
          <w:rFonts w:ascii="Verdana" w:hAnsi="Verdana"/>
          <w:sz w:val="20"/>
          <w:szCs w:val="20"/>
          <w:lang w:val="es-CR"/>
        </w:rPr>
        <w:t>, y</w:t>
      </w:r>
      <w:r w:rsidRPr="00C01305">
        <w:rPr>
          <w:rFonts w:ascii="Verdana" w:hAnsi="Verdana"/>
          <w:sz w:val="20"/>
          <w:szCs w:val="20"/>
          <w:lang w:val="es-CR"/>
        </w:rPr>
        <w:t xml:space="preserve"> </w:t>
      </w:r>
      <w:r w:rsidRPr="00CC31D1">
        <w:rPr>
          <w:rFonts w:ascii="Verdana" w:hAnsi="Verdana"/>
          <w:sz w:val="20"/>
          <w:lang w:val="es-CR"/>
        </w:rPr>
        <w:t>iii) necesidad</w:t>
      </w:r>
      <w:r w:rsidR="00CC31D1" w:rsidRPr="00CB5A95">
        <w:rPr>
          <w:rFonts w:ascii="Verdana" w:hAnsi="Verdana"/>
          <w:sz w:val="20"/>
          <w:lang w:val="es-CR"/>
        </w:rPr>
        <w:t xml:space="preserve"> </w:t>
      </w:r>
      <w:r w:rsidRPr="00CC31D1">
        <w:rPr>
          <w:rFonts w:ascii="Verdana" w:hAnsi="Verdana"/>
          <w:sz w:val="20"/>
          <w:lang w:val="es-CR"/>
        </w:rPr>
        <w:t>y deber de motivar</w:t>
      </w:r>
      <w:r w:rsidRPr="00CC31D1">
        <w:rPr>
          <w:rFonts w:ascii="Verdana" w:hAnsi="Verdana"/>
          <w:sz w:val="20"/>
          <w:szCs w:val="20"/>
          <w:vertAlign w:val="superscript"/>
          <w:lang w:val="es-CR"/>
        </w:rPr>
        <w:footnoteReference w:id="136"/>
      </w:r>
      <w:r w:rsidRPr="00CC31D1">
        <w:rPr>
          <w:rFonts w:ascii="Verdana" w:hAnsi="Verdana"/>
          <w:sz w:val="20"/>
          <w:szCs w:val="20"/>
          <w:lang w:val="es-CR"/>
        </w:rPr>
        <w:t>.</w:t>
      </w:r>
      <w:r w:rsidRPr="00C01305">
        <w:rPr>
          <w:rFonts w:ascii="Verdana" w:hAnsi="Verdana"/>
          <w:sz w:val="20"/>
          <w:szCs w:val="20"/>
          <w:lang w:val="es-CR"/>
        </w:rPr>
        <w:t xml:space="preserve"> </w:t>
      </w:r>
    </w:p>
    <w:p w14:paraId="07F8F606" w14:textId="77777777" w:rsidR="00C01305" w:rsidRDefault="00C01305" w:rsidP="00C01305">
      <w:pPr>
        <w:ind w:left="720"/>
        <w:contextualSpacing/>
        <w:rPr>
          <w:rFonts w:ascii="Verdana" w:hAnsi="Verdana"/>
          <w:sz w:val="20"/>
          <w:szCs w:val="20"/>
          <w:lang w:val="es-CR"/>
        </w:rPr>
      </w:pPr>
    </w:p>
    <w:p w14:paraId="380ED213" w14:textId="15ABF1AF" w:rsidR="007A21DE" w:rsidRPr="00897912" w:rsidRDefault="00897912" w:rsidP="005B3D37">
      <w:pPr>
        <w:pStyle w:val="Heading3"/>
        <w:ind w:left="360"/>
        <w:rPr>
          <w:i/>
          <w:lang w:val="es-MX"/>
        </w:rPr>
      </w:pPr>
      <w:bookmarkStart w:id="46" w:name="_Toc498333503"/>
      <w:r>
        <w:rPr>
          <w:i/>
          <w:lang w:val="es-MX"/>
        </w:rPr>
        <w:t xml:space="preserve">1.2.1 </w:t>
      </w:r>
      <w:r w:rsidR="007A21DE" w:rsidRPr="00897912">
        <w:rPr>
          <w:i/>
          <w:lang w:val="es-MX"/>
        </w:rPr>
        <w:t>Calificación de las declaraciones de Lagos del Campo</w:t>
      </w:r>
      <w:bookmarkEnd w:id="46"/>
    </w:p>
    <w:p w14:paraId="2B9DF720" w14:textId="77777777" w:rsidR="007A21DE" w:rsidRPr="00604459" w:rsidRDefault="007A21DE" w:rsidP="00604459">
      <w:pPr>
        <w:pStyle w:val="Heading3"/>
        <w:ind w:left="720"/>
        <w:rPr>
          <w:rFonts w:eastAsia="Times New Roman"/>
          <w:i/>
        </w:rPr>
      </w:pPr>
    </w:p>
    <w:p w14:paraId="661E4065" w14:textId="01CC1872" w:rsidR="007A21DE" w:rsidRPr="00C01305" w:rsidRDefault="007A21DE" w:rsidP="00E66DD7">
      <w:pPr>
        <w:numPr>
          <w:ilvl w:val="0"/>
          <w:numId w:val="1"/>
        </w:numPr>
        <w:ind w:left="0" w:firstLine="0"/>
        <w:contextualSpacing/>
        <w:jc w:val="both"/>
        <w:rPr>
          <w:rFonts w:ascii="Verdana" w:hAnsi="Verdana"/>
          <w:sz w:val="20"/>
          <w:szCs w:val="20"/>
        </w:rPr>
      </w:pPr>
      <w:r w:rsidRPr="00C01305">
        <w:rPr>
          <w:rFonts w:ascii="Verdana" w:hAnsi="Verdana"/>
          <w:sz w:val="20"/>
          <w:szCs w:val="20"/>
          <w:lang w:val="es-CR"/>
        </w:rPr>
        <w:t>La Corte estima necesario determinar si el discurso del señor Lagos del Campo: a) se dio en su calidad de representante de los trabajadores (</w:t>
      </w:r>
      <w:r w:rsidR="00224537" w:rsidRPr="00224537">
        <w:rPr>
          <w:rFonts w:ascii="Verdana" w:hAnsi="Verdana"/>
          <w:i/>
          <w:sz w:val="20"/>
          <w:szCs w:val="20"/>
          <w:lang w:val="es-CR"/>
        </w:rPr>
        <w:t>supra</w:t>
      </w:r>
      <w:r w:rsidRPr="00C01305">
        <w:rPr>
          <w:rFonts w:ascii="Verdana" w:hAnsi="Verdana"/>
          <w:sz w:val="20"/>
          <w:szCs w:val="20"/>
          <w:lang w:val="es-CR"/>
        </w:rPr>
        <w:t xml:space="preserve">, párr. </w:t>
      </w:r>
      <w:r w:rsidR="00F8746C">
        <w:rPr>
          <w:rFonts w:ascii="Verdana" w:hAnsi="Verdana"/>
          <w:sz w:val="20"/>
          <w:szCs w:val="20"/>
          <w:lang w:val="es-CR"/>
        </w:rPr>
        <w:t>96</w:t>
      </w:r>
      <w:r w:rsidRPr="00C01305">
        <w:rPr>
          <w:rFonts w:ascii="Verdana" w:hAnsi="Verdana"/>
          <w:sz w:val="20"/>
          <w:szCs w:val="20"/>
          <w:lang w:val="es-CR"/>
        </w:rPr>
        <w:t xml:space="preserve">); b) era de interés </w:t>
      </w:r>
      <w:r>
        <w:rPr>
          <w:rFonts w:ascii="Verdana" w:hAnsi="Verdana"/>
          <w:sz w:val="20"/>
          <w:szCs w:val="20"/>
          <w:lang w:val="es-CR"/>
        </w:rPr>
        <w:t>público</w:t>
      </w:r>
      <w:r w:rsidRPr="00C01305">
        <w:rPr>
          <w:rFonts w:ascii="Verdana" w:hAnsi="Verdana"/>
          <w:sz w:val="20"/>
          <w:szCs w:val="20"/>
          <w:lang w:val="es-CR"/>
        </w:rPr>
        <w:t xml:space="preserve">; y c) la </w:t>
      </w:r>
      <w:r>
        <w:rPr>
          <w:rFonts w:ascii="Verdana" w:hAnsi="Verdana"/>
          <w:sz w:val="20"/>
          <w:szCs w:val="20"/>
          <w:lang w:val="es-CR"/>
        </w:rPr>
        <w:t xml:space="preserve">entidad </w:t>
      </w:r>
      <w:r w:rsidRPr="00C01305">
        <w:rPr>
          <w:rFonts w:ascii="Verdana" w:hAnsi="Verdana"/>
          <w:sz w:val="20"/>
          <w:szCs w:val="20"/>
          <w:lang w:val="es-CR"/>
        </w:rPr>
        <w:t xml:space="preserve">de sus declaraciones. </w:t>
      </w:r>
    </w:p>
    <w:p w14:paraId="31993E41" w14:textId="77777777" w:rsidR="007A21DE" w:rsidRPr="00C01305" w:rsidRDefault="007A21DE" w:rsidP="007A21DE">
      <w:pPr>
        <w:contextualSpacing/>
        <w:jc w:val="both"/>
        <w:rPr>
          <w:rFonts w:ascii="Verdana" w:hAnsi="Verdana"/>
          <w:sz w:val="20"/>
          <w:szCs w:val="20"/>
        </w:rPr>
      </w:pPr>
    </w:p>
    <w:p w14:paraId="5EF61C1A" w14:textId="5EA7A803" w:rsidR="007A21DE" w:rsidRPr="00C01305" w:rsidRDefault="007A21DE" w:rsidP="00E66DD7">
      <w:pPr>
        <w:numPr>
          <w:ilvl w:val="0"/>
          <w:numId w:val="1"/>
        </w:numPr>
        <w:ind w:left="0" w:firstLine="0"/>
        <w:contextualSpacing/>
        <w:jc w:val="both"/>
        <w:rPr>
          <w:rFonts w:ascii="Verdana" w:hAnsi="Verdana"/>
          <w:sz w:val="20"/>
          <w:szCs w:val="20"/>
          <w:lang w:val="es-CR"/>
        </w:rPr>
      </w:pPr>
      <w:r w:rsidRPr="00C01305">
        <w:rPr>
          <w:rFonts w:ascii="Verdana" w:hAnsi="Verdana"/>
          <w:sz w:val="20"/>
          <w:szCs w:val="20"/>
        </w:rPr>
        <w:t xml:space="preserve">En primer lugar, respecto de la representación del señor Lagos </w:t>
      </w:r>
      <w:r>
        <w:rPr>
          <w:rFonts w:ascii="Verdana" w:hAnsi="Verdana"/>
          <w:sz w:val="20"/>
          <w:szCs w:val="20"/>
        </w:rPr>
        <w:t>del Campo, la Corte observa que</w:t>
      </w:r>
      <w:r w:rsidRPr="00C01305">
        <w:rPr>
          <w:rFonts w:ascii="Verdana" w:hAnsi="Verdana"/>
          <w:sz w:val="20"/>
          <w:szCs w:val="20"/>
        </w:rPr>
        <w:t xml:space="preserve"> </w:t>
      </w:r>
      <w:r w:rsidR="00EC11D2">
        <w:rPr>
          <w:rFonts w:ascii="Verdana" w:hAnsi="Verdana"/>
          <w:sz w:val="20"/>
          <w:szCs w:val="20"/>
        </w:rPr>
        <w:t>—</w:t>
      </w:r>
      <w:r w:rsidRPr="00C01305">
        <w:rPr>
          <w:rFonts w:ascii="Verdana" w:hAnsi="Verdana"/>
          <w:sz w:val="20"/>
          <w:szCs w:val="20"/>
          <w:lang w:val="es-CR"/>
        </w:rPr>
        <w:t>en virtud del principio de inmediatez</w:t>
      </w:r>
      <w:r w:rsidR="00EC11D2">
        <w:rPr>
          <w:rFonts w:ascii="Verdana" w:hAnsi="Verdana"/>
          <w:sz w:val="20"/>
          <w:szCs w:val="20"/>
          <w:lang w:val="es-CR"/>
        </w:rPr>
        <w:t>—</w:t>
      </w:r>
      <w:r w:rsidRPr="00C01305">
        <w:rPr>
          <w:rFonts w:ascii="Verdana" w:hAnsi="Verdana"/>
          <w:sz w:val="20"/>
          <w:szCs w:val="20"/>
          <w:lang w:val="es-CR"/>
        </w:rPr>
        <w:t xml:space="preserve">, </w:t>
      </w:r>
      <w:r w:rsidR="00171480">
        <w:rPr>
          <w:rFonts w:ascii="Verdana" w:hAnsi="Verdana"/>
          <w:sz w:val="20"/>
          <w:szCs w:val="20"/>
          <w:lang w:val="es-CR"/>
        </w:rPr>
        <w:t>desde</w:t>
      </w:r>
      <w:r w:rsidR="00171480" w:rsidRPr="00C01305">
        <w:rPr>
          <w:rFonts w:ascii="Verdana" w:hAnsi="Verdana"/>
          <w:sz w:val="20"/>
          <w:szCs w:val="20"/>
          <w:lang w:val="es-CR"/>
        </w:rPr>
        <w:t xml:space="preserve"> </w:t>
      </w:r>
      <w:r>
        <w:rPr>
          <w:rFonts w:ascii="Verdana" w:hAnsi="Verdana"/>
          <w:sz w:val="20"/>
          <w:szCs w:val="20"/>
          <w:lang w:val="es-CR"/>
        </w:rPr>
        <w:t xml:space="preserve">su primer </w:t>
      </w:r>
      <w:r w:rsidRPr="00C01305">
        <w:rPr>
          <w:rFonts w:ascii="Verdana" w:hAnsi="Verdana"/>
          <w:sz w:val="20"/>
          <w:szCs w:val="20"/>
          <w:lang w:val="es-CR"/>
        </w:rPr>
        <w:t xml:space="preserve">escrito de descargo formulado por el señor Lagos del Campo a la empresa, </w:t>
      </w:r>
      <w:r w:rsidR="00AF6642">
        <w:rPr>
          <w:rFonts w:ascii="Verdana" w:hAnsi="Verdana"/>
          <w:sz w:val="20"/>
          <w:szCs w:val="20"/>
          <w:lang w:val="es-CR"/>
        </w:rPr>
        <w:t>e</w:t>
      </w:r>
      <w:r w:rsidRPr="00C01305">
        <w:rPr>
          <w:rFonts w:ascii="Verdana" w:hAnsi="Verdana"/>
          <w:sz w:val="20"/>
          <w:szCs w:val="20"/>
          <w:lang w:val="es-CR"/>
        </w:rPr>
        <w:t>ste puntualizó que las declaraciones:</w:t>
      </w:r>
    </w:p>
    <w:p w14:paraId="22A0FF24" w14:textId="77777777" w:rsidR="007A21DE" w:rsidRPr="00C01305" w:rsidRDefault="007A21DE" w:rsidP="007A21DE">
      <w:pPr>
        <w:ind w:left="720"/>
        <w:contextualSpacing/>
        <w:rPr>
          <w:rFonts w:ascii="Verdana" w:hAnsi="Verdana"/>
          <w:sz w:val="20"/>
          <w:szCs w:val="20"/>
          <w:lang w:val="es-CR"/>
        </w:rPr>
      </w:pPr>
    </w:p>
    <w:p w14:paraId="1568DEEC" w14:textId="07D3A3AA" w:rsidR="007A21DE" w:rsidRPr="00C01305" w:rsidRDefault="007A21DE" w:rsidP="007A21DE">
      <w:pPr>
        <w:ind w:left="284"/>
        <w:contextualSpacing/>
        <w:jc w:val="both"/>
        <w:rPr>
          <w:rFonts w:ascii="Verdana" w:hAnsi="Verdana"/>
          <w:sz w:val="20"/>
          <w:szCs w:val="20"/>
          <w:lang w:val="es-CR"/>
        </w:rPr>
      </w:pPr>
      <w:r>
        <w:rPr>
          <w:rFonts w:ascii="Verdana" w:hAnsi="Verdana"/>
          <w:sz w:val="18"/>
          <w:szCs w:val="20"/>
          <w:lang w:val="es-CR"/>
        </w:rPr>
        <w:t xml:space="preserve"> “[F]</w:t>
      </w:r>
      <w:proofErr w:type="spellStart"/>
      <w:r w:rsidRPr="00C01305">
        <w:rPr>
          <w:rFonts w:ascii="Verdana" w:hAnsi="Verdana"/>
          <w:sz w:val="18"/>
          <w:szCs w:val="20"/>
          <w:lang w:val="es-CR"/>
        </w:rPr>
        <w:t>ueron</w:t>
      </w:r>
      <w:proofErr w:type="spellEnd"/>
      <w:r w:rsidRPr="00C01305">
        <w:rPr>
          <w:rFonts w:ascii="Verdana" w:hAnsi="Verdana"/>
          <w:sz w:val="18"/>
          <w:szCs w:val="20"/>
          <w:lang w:val="es-CR"/>
        </w:rPr>
        <w:t xml:space="preserve"> prestad[a]s en [su] calidad de Presidente del Comité Electoral de la Comunidad Industrial CEPER, estando directa y exclusivamente relacionadas con asuntos internos de interés comunero, como son las irregularidades producidas en el proceso electoral […] que por lo demás habían sido denunciadas por los propios trabajadores comuneros y que habían sido verificadas por la Oficina General de Participación del Ministerio de Industrias”</w:t>
      </w:r>
      <w:r w:rsidRPr="00C01305">
        <w:rPr>
          <w:rFonts w:ascii="Verdana" w:hAnsi="Verdana"/>
          <w:sz w:val="20"/>
          <w:szCs w:val="20"/>
          <w:vertAlign w:val="superscript"/>
          <w:lang w:val="es-CR"/>
        </w:rPr>
        <w:footnoteReference w:id="137"/>
      </w:r>
      <w:r w:rsidRPr="00C01305">
        <w:rPr>
          <w:rFonts w:ascii="Verdana" w:hAnsi="Verdana"/>
          <w:sz w:val="20"/>
          <w:szCs w:val="20"/>
          <w:lang w:val="es-CR"/>
        </w:rPr>
        <w:t>.</w:t>
      </w:r>
    </w:p>
    <w:p w14:paraId="733CCB37" w14:textId="77777777" w:rsidR="007A21DE" w:rsidRPr="00C01305" w:rsidRDefault="007A21DE" w:rsidP="007A21DE">
      <w:pPr>
        <w:contextualSpacing/>
        <w:jc w:val="both"/>
        <w:rPr>
          <w:rFonts w:ascii="Verdana" w:hAnsi="Verdana"/>
          <w:sz w:val="20"/>
          <w:szCs w:val="20"/>
          <w:lang w:val="es-CR"/>
        </w:rPr>
      </w:pPr>
    </w:p>
    <w:p w14:paraId="7E4CE1C1" w14:textId="77854B3E" w:rsidR="007A21DE" w:rsidRPr="00C01305" w:rsidRDefault="007E39F5" w:rsidP="00E66DD7">
      <w:pPr>
        <w:numPr>
          <w:ilvl w:val="0"/>
          <w:numId w:val="1"/>
        </w:numPr>
        <w:ind w:left="0" w:firstLine="0"/>
        <w:contextualSpacing/>
        <w:jc w:val="both"/>
        <w:rPr>
          <w:rFonts w:ascii="Verdana" w:hAnsi="Verdana"/>
          <w:sz w:val="20"/>
          <w:lang w:val="es-CR"/>
        </w:rPr>
      </w:pPr>
      <w:r>
        <w:rPr>
          <w:rFonts w:ascii="Verdana" w:hAnsi="Verdana"/>
          <w:sz w:val="20"/>
          <w:szCs w:val="20"/>
          <w:lang w:val="es-CR"/>
        </w:rPr>
        <w:t>Asimismo, d</w:t>
      </w:r>
      <w:r w:rsidR="00B32EB0" w:rsidRPr="00B32EB0">
        <w:rPr>
          <w:rFonts w:ascii="Verdana" w:hAnsi="Verdana"/>
          <w:sz w:val="20"/>
          <w:szCs w:val="20"/>
          <w:lang w:val="es-CR"/>
        </w:rPr>
        <w:t>el caudal probatorio,</w:t>
      </w:r>
      <w:r w:rsidR="00B32EB0" w:rsidRPr="00C52AF8">
        <w:rPr>
          <w:rFonts w:ascii="Verdana" w:hAnsi="Verdana"/>
          <w:sz w:val="20"/>
          <w:szCs w:val="20"/>
          <w:lang w:val="es-CR"/>
        </w:rPr>
        <w:t xml:space="preserve"> la Corte encuentra </w:t>
      </w:r>
      <w:r w:rsidR="00171480">
        <w:rPr>
          <w:rFonts w:ascii="Verdana" w:hAnsi="Verdana"/>
          <w:sz w:val="20"/>
          <w:szCs w:val="20"/>
          <w:lang w:val="es-CR"/>
        </w:rPr>
        <w:t>que:</w:t>
      </w:r>
      <w:r w:rsidR="00B32EB0" w:rsidRPr="00C52AF8">
        <w:rPr>
          <w:rFonts w:ascii="Verdana" w:hAnsi="Verdana"/>
          <w:sz w:val="20"/>
          <w:szCs w:val="20"/>
          <w:lang w:val="es-CR"/>
        </w:rPr>
        <w:t xml:space="preserve"> i) el señor Lagos del Campo, al ocupar el cargo de Presidente del Comité Electoral de la Comunidad Industrial </w:t>
      </w:r>
      <w:r w:rsidR="00B32EB0" w:rsidRPr="00E91326">
        <w:rPr>
          <w:rFonts w:ascii="Verdana" w:hAnsi="Verdana"/>
          <w:sz w:val="20"/>
          <w:szCs w:val="20"/>
          <w:lang w:val="es-CR"/>
        </w:rPr>
        <w:t>de la empresa, para el cual había sido elegido por la Asamblea General, la cual está conformada por todos los miembros de la comunidad industrial, es decir por todos los trabajadores de la empresa en forma estable</w:t>
      </w:r>
      <w:r w:rsidR="00B32EB0" w:rsidRPr="00751089">
        <w:rPr>
          <w:rFonts w:ascii="Verdana" w:hAnsi="Verdana"/>
          <w:sz w:val="20"/>
          <w:szCs w:val="20"/>
          <w:vertAlign w:val="superscript"/>
          <w:lang w:val="es-CR"/>
        </w:rPr>
        <w:footnoteReference w:id="138"/>
      </w:r>
      <w:r w:rsidR="00B32EB0" w:rsidRPr="00B32EB0">
        <w:rPr>
          <w:rFonts w:ascii="Verdana" w:hAnsi="Verdana"/>
          <w:sz w:val="20"/>
          <w:szCs w:val="20"/>
          <w:lang w:val="es-CR"/>
        </w:rPr>
        <w:t>, y cuya función consistía en llevar a cabo</w:t>
      </w:r>
      <w:r w:rsidR="00B32EB0" w:rsidRPr="00C52AF8">
        <w:rPr>
          <w:rFonts w:ascii="Verdana" w:hAnsi="Verdana"/>
          <w:sz w:val="20"/>
          <w:szCs w:val="20"/>
          <w:lang w:val="es-CR"/>
        </w:rPr>
        <w:t xml:space="preserve"> las elecciones de los miembros del Consejo de la Comunidad, y de los representantes ante el Directorio de la empresa, indudablemente ocupaba un cargo de representación de los intereses de los trabajadores en la empresa</w:t>
      </w:r>
      <w:r w:rsidR="00B32EB0" w:rsidRPr="00751089">
        <w:rPr>
          <w:rFonts w:ascii="Verdana" w:hAnsi="Verdana"/>
          <w:sz w:val="20"/>
          <w:szCs w:val="20"/>
          <w:vertAlign w:val="superscript"/>
          <w:lang w:val="es-CR"/>
        </w:rPr>
        <w:footnoteReference w:id="139"/>
      </w:r>
      <w:r w:rsidR="00171480">
        <w:rPr>
          <w:rFonts w:ascii="Verdana" w:hAnsi="Verdana"/>
          <w:sz w:val="20"/>
          <w:szCs w:val="20"/>
          <w:lang w:val="es-CR"/>
        </w:rPr>
        <w:t>; ii)</w:t>
      </w:r>
      <w:r w:rsidR="00B32EB0" w:rsidRPr="00C52AF8">
        <w:rPr>
          <w:rFonts w:ascii="Verdana" w:hAnsi="Verdana"/>
          <w:sz w:val="20"/>
          <w:szCs w:val="20"/>
          <w:lang w:val="es-CR"/>
        </w:rPr>
        <w:t xml:space="preserve"> el señor Lagos</w:t>
      </w:r>
      <w:r w:rsidR="00B32EB0" w:rsidRPr="00E91326">
        <w:rPr>
          <w:rFonts w:ascii="Verdana" w:hAnsi="Verdana"/>
          <w:sz w:val="20"/>
          <w:szCs w:val="20"/>
          <w:lang w:val="es-CR"/>
        </w:rPr>
        <w:t xml:space="preserve"> del Campo </w:t>
      </w:r>
      <w:r w:rsidR="00B32EB0" w:rsidRPr="00E91326">
        <w:rPr>
          <w:rFonts w:ascii="Verdana" w:hAnsi="Verdana"/>
          <w:sz w:val="20"/>
          <w:szCs w:val="20"/>
        </w:rPr>
        <w:t xml:space="preserve">ejercía </w:t>
      </w:r>
      <w:r>
        <w:rPr>
          <w:rFonts w:ascii="Verdana" w:hAnsi="Verdana"/>
          <w:sz w:val="20"/>
          <w:szCs w:val="20"/>
        </w:rPr>
        <w:t xml:space="preserve">también </w:t>
      </w:r>
      <w:r w:rsidR="00B32EB0" w:rsidRPr="00E91326">
        <w:rPr>
          <w:rFonts w:ascii="Verdana" w:hAnsi="Verdana"/>
          <w:sz w:val="20"/>
          <w:szCs w:val="20"/>
        </w:rPr>
        <w:t>representación ante la CONACI</w:t>
      </w:r>
      <w:r w:rsidR="00915ACA">
        <w:rPr>
          <w:rFonts w:ascii="Verdana" w:hAnsi="Verdana"/>
          <w:sz w:val="20"/>
          <w:szCs w:val="20"/>
        </w:rPr>
        <w:t xml:space="preserve"> (</w:t>
      </w:r>
      <w:r w:rsidR="00224537" w:rsidRPr="00224537">
        <w:rPr>
          <w:rFonts w:ascii="Verdana" w:hAnsi="Verdana"/>
          <w:i/>
          <w:sz w:val="20"/>
          <w:szCs w:val="20"/>
        </w:rPr>
        <w:t>supra</w:t>
      </w:r>
      <w:r w:rsidR="00AF223F">
        <w:rPr>
          <w:rFonts w:ascii="Verdana" w:hAnsi="Verdana"/>
          <w:i/>
          <w:sz w:val="20"/>
          <w:szCs w:val="20"/>
        </w:rPr>
        <w:t xml:space="preserve"> </w:t>
      </w:r>
      <w:r w:rsidR="00AF223F" w:rsidRPr="00333304">
        <w:rPr>
          <w:rFonts w:ascii="Verdana" w:hAnsi="Verdana"/>
          <w:sz w:val="20"/>
          <w:szCs w:val="20"/>
        </w:rPr>
        <w:t>párr.</w:t>
      </w:r>
      <w:r w:rsidR="00EC11D2" w:rsidRPr="00333304">
        <w:rPr>
          <w:rFonts w:ascii="Verdana" w:hAnsi="Verdana"/>
          <w:sz w:val="20"/>
          <w:szCs w:val="20"/>
        </w:rPr>
        <w:t xml:space="preserve"> </w:t>
      </w:r>
      <w:r w:rsidR="00AF223F" w:rsidRPr="00333304">
        <w:rPr>
          <w:rFonts w:ascii="Verdana" w:hAnsi="Verdana"/>
          <w:sz w:val="20"/>
          <w:szCs w:val="20"/>
        </w:rPr>
        <w:t>50</w:t>
      </w:r>
      <w:r w:rsidR="00915ACA">
        <w:rPr>
          <w:rFonts w:ascii="Verdana" w:hAnsi="Verdana"/>
          <w:sz w:val="20"/>
          <w:szCs w:val="20"/>
        </w:rPr>
        <w:t>)</w:t>
      </w:r>
      <w:r w:rsidR="00B32EB0" w:rsidRPr="00C01305">
        <w:rPr>
          <w:rFonts w:ascii="Verdana" w:hAnsi="Verdana"/>
          <w:sz w:val="20"/>
          <w:szCs w:val="20"/>
          <w:vertAlign w:val="superscript"/>
          <w:lang w:val="es-CR"/>
        </w:rPr>
        <w:footnoteReference w:id="140"/>
      </w:r>
      <w:r w:rsidR="00B32EB0" w:rsidRPr="00B32EB0">
        <w:rPr>
          <w:rFonts w:ascii="Verdana" w:hAnsi="Verdana"/>
          <w:sz w:val="20"/>
          <w:szCs w:val="20"/>
          <w:lang w:val="es-CR"/>
        </w:rPr>
        <w:t>, y</w:t>
      </w:r>
      <w:r w:rsidR="00B32EB0" w:rsidRPr="00C52AF8">
        <w:rPr>
          <w:rFonts w:ascii="Verdana" w:hAnsi="Verdana"/>
          <w:sz w:val="20"/>
          <w:szCs w:val="20"/>
        </w:rPr>
        <w:t xml:space="preserve"> iii) de las manifestaciones que realizó al diario La Razón, se desprenden la </w:t>
      </w:r>
      <w:r w:rsidR="00B32EB0" w:rsidRPr="00C52AF8">
        <w:rPr>
          <w:rFonts w:ascii="Verdana" w:hAnsi="Verdana"/>
          <w:sz w:val="20"/>
          <w:szCs w:val="20"/>
        </w:rPr>
        <w:lastRenderedPageBreak/>
        <w:t>denuncia de supuestas irregularidades en el proceso de elecciones internas, las cuáles realizó como Presidente del Comité enca</w:t>
      </w:r>
      <w:r w:rsidR="00B32EB0" w:rsidRPr="00E91326">
        <w:rPr>
          <w:rFonts w:ascii="Verdana" w:hAnsi="Verdana"/>
          <w:sz w:val="20"/>
          <w:szCs w:val="20"/>
        </w:rPr>
        <w:t>rgado de regular dicho proceso</w:t>
      </w:r>
      <w:r w:rsidR="00B32EB0">
        <w:rPr>
          <w:rStyle w:val="FootnoteReference"/>
          <w:szCs w:val="20"/>
        </w:rPr>
        <w:footnoteReference w:id="141"/>
      </w:r>
      <w:r w:rsidR="00B32EB0" w:rsidRPr="00B32EB0">
        <w:rPr>
          <w:rFonts w:ascii="Verdana" w:hAnsi="Verdana"/>
          <w:sz w:val="20"/>
          <w:szCs w:val="20"/>
        </w:rPr>
        <w:t>.</w:t>
      </w:r>
    </w:p>
    <w:p w14:paraId="667DB527" w14:textId="77777777" w:rsidR="007A21DE" w:rsidRPr="00C01305" w:rsidRDefault="007A21DE" w:rsidP="007A21DE">
      <w:pPr>
        <w:contextualSpacing/>
        <w:rPr>
          <w:rFonts w:ascii="Verdana" w:hAnsi="Verdana"/>
          <w:sz w:val="20"/>
          <w:szCs w:val="20"/>
        </w:rPr>
      </w:pPr>
    </w:p>
    <w:p w14:paraId="7F9B85BC" w14:textId="724036BC" w:rsidR="007A21DE" w:rsidRPr="001F3785" w:rsidRDefault="007A21DE" w:rsidP="001F3785">
      <w:pPr>
        <w:numPr>
          <w:ilvl w:val="0"/>
          <w:numId w:val="1"/>
        </w:numPr>
        <w:ind w:left="0" w:firstLine="0"/>
        <w:contextualSpacing/>
        <w:jc w:val="both"/>
        <w:rPr>
          <w:rFonts w:ascii="Verdana" w:hAnsi="Verdana"/>
          <w:sz w:val="20"/>
          <w:szCs w:val="20"/>
        </w:rPr>
      </w:pPr>
      <w:r w:rsidRPr="00C01305">
        <w:rPr>
          <w:rFonts w:ascii="Verdana" w:hAnsi="Verdana"/>
          <w:sz w:val="20"/>
          <w:szCs w:val="20"/>
        </w:rPr>
        <w:t>En vista de lo anterior, la Corte confirma que el señor Lagos del Campo realizó dichas manifestaciones en su calidad de representante de los trabajadores</w:t>
      </w:r>
      <w:r w:rsidRPr="00C01305">
        <w:rPr>
          <w:rFonts w:ascii="Verdana" w:hAnsi="Verdana"/>
          <w:sz w:val="20"/>
          <w:szCs w:val="20"/>
          <w:vertAlign w:val="superscript"/>
        </w:rPr>
        <w:footnoteReference w:id="142"/>
      </w:r>
      <w:r>
        <w:rPr>
          <w:rFonts w:ascii="Verdana" w:hAnsi="Verdana"/>
          <w:sz w:val="20"/>
          <w:szCs w:val="20"/>
        </w:rPr>
        <w:t xml:space="preserve"> </w:t>
      </w:r>
      <w:r w:rsidRPr="00C01305">
        <w:rPr>
          <w:rFonts w:ascii="Verdana" w:hAnsi="Verdana"/>
          <w:sz w:val="20"/>
          <w:szCs w:val="20"/>
        </w:rPr>
        <w:t>y en el marco del ejercicio de sus competencias como Presidente del Comité Electora</w:t>
      </w:r>
      <w:r w:rsidR="00171480">
        <w:rPr>
          <w:rFonts w:ascii="Verdana" w:hAnsi="Verdana"/>
          <w:sz w:val="20"/>
          <w:szCs w:val="20"/>
        </w:rPr>
        <w:t>l</w:t>
      </w:r>
      <w:r w:rsidRPr="001F3785">
        <w:rPr>
          <w:rFonts w:ascii="Verdana" w:hAnsi="Verdana"/>
          <w:sz w:val="20"/>
          <w:szCs w:val="20"/>
        </w:rPr>
        <w:t xml:space="preserve">.  </w:t>
      </w:r>
    </w:p>
    <w:p w14:paraId="0C668512" w14:textId="77777777" w:rsidR="007A21DE" w:rsidRPr="00C01305" w:rsidRDefault="007A21DE" w:rsidP="007A21DE">
      <w:pPr>
        <w:contextualSpacing/>
        <w:rPr>
          <w:rFonts w:ascii="Verdana" w:hAnsi="Verdana"/>
          <w:sz w:val="20"/>
          <w:szCs w:val="20"/>
        </w:rPr>
      </w:pPr>
    </w:p>
    <w:p w14:paraId="540BBC1C" w14:textId="087CA53E" w:rsidR="007A21DE" w:rsidRPr="00C01305" w:rsidRDefault="007A21DE" w:rsidP="00E66DD7">
      <w:pPr>
        <w:numPr>
          <w:ilvl w:val="0"/>
          <w:numId w:val="1"/>
        </w:numPr>
        <w:ind w:left="0" w:firstLine="0"/>
        <w:contextualSpacing/>
        <w:jc w:val="both"/>
        <w:rPr>
          <w:rFonts w:ascii="Verdana" w:hAnsi="Verdana"/>
          <w:sz w:val="20"/>
          <w:szCs w:val="20"/>
        </w:rPr>
      </w:pPr>
      <w:r w:rsidRPr="00C01305">
        <w:rPr>
          <w:rFonts w:ascii="Verdana" w:hAnsi="Verdana"/>
          <w:sz w:val="20"/>
          <w:szCs w:val="20"/>
        </w:rPr>
        <w:t xml:space="preserve">En segundo lugar, respecto </w:t>
      </w:r>
      <w:r w:rsidR="00171480">
        <w:rPr>
          <w:rFonts w:ascii="Verdana" w:hAnsi="Verdana"/>
          <w:sz w:val="20"/>
          <w:szCs w:val="20"/>
        </w:rPr>
        <w:t>al</w:t>
      </w:r>
      <w:r w:rsidRPr="00C01305">
        <w:rPr>
          <w:rFonts w:ascii="Verdana" w:hAnsi="Verdana"/>
          <w:sz w:val="20"/>
          <w:szCs w:val="20"/>
        </w:rPr>
        <w:t xml:space="preserve"> interés general de las declaraciones, </w:t>
      </w:r>
      <w:r w:rsidRPr="00C01305">
        <w:rPr>
          <w:rFonts w:ascii="Verdana" w:hAnsi="Verdana"/>
          <w:spacing w:val="-2"/>
          <w:sz w:val="20"/>
          <w:szCs w:val="20"/>
        </w:rPr>
        <w:t>la Corte ha señalado que el artículo 13 de la Convención protege expresiones, ideas o información “de toda índole”, sean o no de interés público. No obstante, cuando dichas expresiones versan sobre temas de interés público, el juzgador debe evaluar con especial cautela la necesidad de limitar la libertad de expresión</w:t>
      </w:r>
      <w:r w:rsidRPr="00C01305">
        <w:rPr>
          <w:rFonts w:ascii="Verdana" w:hAnsi="Verdana"/>
          <w:spacing w:val="-2"/>
          <w:sz w:val="20"/>
          <w:szCs w:val="20"/>
          <w:vertAlign w:val="superscript"/>
        </w:rPr>
        <w:footnoteReference w:id="143"/>
      </w:r>
      <w:r w:rsidRPr="00C01305">
        <w:rPr>
          <w:rFonts w:ascii="Verdana" w:hAnsi="Verdana"/>
          <w:spacing w:val="-2"/>
          <w:sz w:val="20"/>
          <w:szCs w:val="20"/>
        </w:rPr>
        <w:t>.</w:t>
      </w:r>
      <w:r w:rsidRPr="00C01305">
        <w:rPr>
          <w:spacing w:val="-2"/>
        </w:rPr>
        <w:t xml:space="preserve"> </w:t>
      </w:r>
    </w:p>
    <w:p w14:paraId="613C5D54" w14:textId="77777777" w:rsidR="007A21DE" w:rsidRPr="00C01305" w:rsidRDefault="007A21DE" w:rsidP="007A21DE">
      <w:pPr>
        <w:contextualSpacing/>
        <w:rPr>
          <w:rFonts w:ascii="Verdana" w:hAnsi="Verdana"/>
          <w:sz w:val="20"/>
          <w:szCs w:val="20"/>
        </w:rPr>
      </w:pPr>
    </w:p>
    <w:p w14:paraId="63D55394" w14:textId="77777777" w:rsidR="007A21DE" w:rsidRPr="00C01305" w:rsidRDefault="007A21DE" w:rsidP="00E66DD7">
      <w:pPr>
        <w:numPr>
          <w:ilvl w:val="0"/>
          <w:numId w:val="1"/>
        </w:numPr>
        <w:ind w:left="0" w:firstLine="0"/>
        <w:contextualSpacing/>
        <w:jc w:val="both"/>
        <w:rPr>
          <w:rFonts w:ascii="Verdana" w:hAnsi="Verdana"/>
          <w:sz w:val="20"/>
          <w:szCs w:val="20"/>
        </w:rPr>
      </w:pPr>
      <w:r w:rsidRPr="00C01305">
        <w:rPr>
          <w:rFonts w:ascii="Verdana" w:hAnsi="Verdana"/>
          <w:spacing w:val="-2"/>
          <w:sz w:val="20"/>
          <w:szCs w:val="20"/>
          <w:lang w:val="es-CR"/>
        </w:rPr>
        <w:t>Así, la Corte ha considerado de interés público aquellas opiniones o informaciones sobre asuntos en los cuales la sociedad tiene un legítimo interés de mantenerse informada, de conocer lo que incide sobre el funcionamiento del Estado, o afecta derechos o intereses generales o le acarrea consecuencias importantes</w:t>
      </w:r>
      <w:r w:rsidRPr="00C01305">
        <w:rPr>
          <w:rFonts w:ascii="Verdana" w:hAnsi="Verdana"/>
          <w:spacing w:val="-2"/>
          <w:sz w:val="20"/>
          <w:szCs w:val="20"/>
          <w:vertAlign w:val="superscript"/>
        </w:rPr>
        <w:footnoteReference w:id="144"/>
      </w:r>
      <w:r w:rsidRPr="00C01305">
        <w:rPr>
          <w:rFonts w:ascii="Verdana" w:hAnsi="Verdana"/>
          <w:spacing w:val="-2"/>
          <w:sz w:val="20"/>
          <w:szCs w:val="20"/>
          <w:lang w:val="es-CR"/>
        </w:rPr>
        <w:t xml:space="preserve">. </w:t>
      </w:r>
    </w:p>
    <w:p w14:paraId="09F43C78" w14:textId="77777777" w:rsidR="007A21DE" w:rsidRPr="00C01305" w:rsidRDefault="007A21DE" w:rsidP="007A21DE">
      <w:pPr>
        <w:contextualSpacing/>
        <w:rPr>
          <w:rFonts w:ascii="Verdana" w:hAnsi="Verdana"/>
          <w:spacing w:val="-2"/>
          <w:sz w:val="20"/>
          <w:szCs w:val="20"/>
          <w:lang w:val="es-CR"/>
        </w:rPr>
      </w:pPr>
    </w:p>
    <w:p w14:paraId="79C08A0D" w14:textId="3A0566DC" w:rsidR="007A21DE" w:rsidRPr="00EB5530" w:rsidRDefault="007A21DE" w:rsidP="00E66DD7">
      <w:pPr>
        <w:numPr>
          <w:ilvl w:val="0"/>
          <w:numId w:val="1"/>
        </w:numPr>
        <w:ind w:left="0" w:firstLine="0"/>
        <w:contextualSpacing/>
        <w:jc w:val="both"/>
        <w:rPr>
          <w:rFonts w:ascii="Verdana" w:hAnsi="Verdana"/>
          <w:sz w:val="20"/>
          <w:szCs w:val="20"/>
        </w:rPr>
      </w:pPr>
      <w:r w:rsidRPr="00633DC9">
        <w:rPr>
          <w:rFonts w:ascii="Verdana" w:hAnsi="Verdana"/>
          <w:spacing w:val="-2"/>
          <w:sz w:val="20"/>
          <w:szCs w:val="20"/>
          <w:lang w:val="es-CR"/>
        </w:rPr>
        <w:t xml:space="preserve">Esta Corte reconoce que la emisión de información concerniente </w:t>
      </w:r>
      <w:r w:rsidR="00E74F1C" w:rsidRPr="00633DC9">
        <w:rPr>
          <w:rFonts w:ascii="Verdana" w:hAnsi="Verdana"/>
          <w:spacing w:val="-2"/>
          <w:sz w:val="20"/>
          <w:szCs w:val="20"/>
          <w:lang w:val="es-CR"/>
        </w:rPr>
        <w:t>al ámbito laboral</w:t>
      </w:r>
      <w:r w:rsidR="00633DC9" w:rsidRPr="00EB5530">
        <w:rPr>
          <w:rFonts w:ascii="Verdana" w:hAnsi="Verdana"/>
          <w:spacing w:val="-2"/>
          <w:sz w:val="20"/>
          <w:szCs w:val="20"/>
          <w:lang w:val="es-CR"/>
        </w:rPr>
        <w:t>, por lo general,</w:t>
      </w:r>
      <w:r w:rsidRPr="00633DC9">
        <w:rPr>
          <w:rFonts w:ascii="Verdana" w:hAnsi="Verdana"/>
          <w:spacing w:val="-2"/>
          <w:sz w:val="20"/>
          <w:szCs w:val="20"/>
          <w:lang w:val="es-CR"/>
        </w:rPr>
        <w:t xml:space="preserve"> posee un interés </w:t>
      </w:r>
      <w:r w:rsidR="00E74F1C" w:rsidRPr="00633DC9">
        <w:rPr>
          <w:rFonts w:ascii="Verdana" w:hAnsi="Verdana"/>
          <w:spacing w:val="-2"/>
          <w:sz w:val="20"/>
          <w:szCs w:val="20"/>
          <w:lang w:val="es-CR"/>
        </w:rPr>
        <w:t>público. En un</w:t>
      </w:r>
      <w:r w:rsidR="007E39F5" w:rsidRPr="00633DC9">
        <w:rPr>
          <w:rFonts w:ascii="Verdana" w:hAnsi="Verdana"/>
          <w:spacing w:val="-2"/>
          <w:sz w:val="20"/>
          <w:szCs w:val="20"/>
          <w:lang w:val="es-CR"/>
        </w:rPr>
        <w:t xml:space="preserve"> primer término</w:t>
      </w:r>
      <w:r w:rsidR="00E74F1C" w:rsidRPr="00633DC9">
        <w:rPr>
          <w:rFonts w:ascii="Verdana" w:hAnsi="Verdana"/>
          <w:spacing w:val="-2"/>
          <w:sz w:val="20"/>
          <w:szCs w:val="20"/>
          <w:lang w:val="es-CR"/>
        </w:rPr>
        <w:t>,</w:t>
      </w:r>
      <w:r w:rsidRPr="00633DC9">
        <w:rPr>
          <w:rFonts w:ascii="Verdana" w:hAnsi="Verdana"/>
          <w:spacing w:val="-2"/>
          <w:sz w:val="20"/>
          <w:szCs w:val="20"/>
          <w:lang w:val="es-CR"/>
        </w:rPr>
        <w:t xml:space="preserve"> </w:t>
      </w:r>
      <w:r w:rsidR="007E39F5" w:rsidRPr="00633DC9">
        <w:rPr>
          <w:rFonts w:ascii="Verdana" w:hAnsi="Verdana"/>
          <w:spacing w:val="-2"/>
          <w:sz w:val="20"/>
          <w:szCs w:val="20"/>
          <w:lang w:val="es-CR"/>
        </w:rPr>
        <w:t>deriva en</w:t>
      </w:r>
      <w:r w:rsidR="00180F30" w:rsidRPr="00633DC9">
        <w:rPr>
          <w:rFonts w:ascii="Verdana" w:hAnsi="Verdana"/>
          <w:spacing w:val="-2"/>
          <w:sz w:val="20"/>
          <w:szCs w:val="20"/>
          <w:lang w:val="es-CR"/>
        </w:rPr>
        <w:t xml:space="preserve"> un interés </w:t>
      </w:r>
      <w:r w:rsidR="00E74F1C" w:rsidRPr="00633DC9">
        <w:rPr>
          <w:rFonts w:ascii="Verdana" w:hAnsi="Verdana"/>
          <w:spacing w:val="-2"/>
          <w:sz w:val="20"/>
          <w:szCs w:val="20"/>
          <w:lang w:val="es-CR"/>
        </w:rPr>
        <w:t>colectiv</w:t>
      </w:r>
      <w:r w:rsidR="00180F30" w:rsidRPr="00633DC9">
        <w:rPr>
          <w:rFonts w:ascii="Verdana" w:hAnsi="Verdana"/>
          <w:spacing w:val="-2"/>
          <w:sz w:val="20"/>
          <w:szCs w:val="20"/>
          <w:lang w:val="es-CR"/>
        </w:rPr>
        <w:t>o</w:t>
      </w:r>
      <w:r w:rsidR="00E74F1C" w:rsidRPr="00633DC9">
        <w:rPr>
          <w:rFonts w:ascii="Verdana" w:hAnsi="Verdana"/>
          <w:spacing w:val="-2"/>
          <w:sz w:val="20"/>
          <w:szCs w:val="20"/>
          <w:lang w:val="es-CR"/>
        </w:rPr>
        <w:t xml:space="preserve"> </w:t>
      </w:r>
      <w:r w:rsidRPr="00633DC9">
        <w:rPr>
          <w:rFonts w:ascii="Verdana" w:hAnsi="Verdana"/>
          <w:spacing w:val="-2"/>
          <w:sz w:val="20"/>
          <w:szCs w:val="20"/>
          <w:lang w:val="es-CR"/>
        </w:rPr>
        <w:t xml:space="preserve">para los </w:t>
      </w:r>
      <w:r w:rsidR="00E74F1C" w:rsidRPr="00633DC9">
        <w:rPr>
          <w:rFonts w:ascii="Verdana" w:hAnsi="Verdana"/>
          <w:spacing w:val="-2"/>
          <w:sz w:val="20"/>
          <w:szCs w:val="20"/>
          <w:lang w:val="es-CR"/>
        </w:rPr>
        <w:t>trabajadores correspondientes</w:t>
      </w:r>
      <w:r w:rsidRPr="00633DC9">
        <w:rPr>
          <w:rFonts w:ascii="Verdana" w:hAnsi="Verdana"/>
          <w:spacing w:val="-2"/>
          <w:sz w:val="20"/>
          <w:szCs w:val="20"/>
          <w:lang w:val="es-CR"/>
        </w:rPr>
        <w:t xml:space="preserve">, y </w:t>
      </w:r>
      <w:r w:rsidR="00633DC9" w:rsidRPr="00EB5530">
        <w:rPr>
          <w:rFonts w:ascii="Verdana" w:hAnsi="Verdana"/>
          <w:spacing w:val="-2"/>
          <w:sz w:val="20"/>
          <w:szCs w:val="20"/>
          <w:lang w:val="es-CR"/>
        </w:rPr>
        <w:t xml:space="preserve">con un alcance </w:t>
      </w:r>
      <w:r w:rsidR="007E39F5" w:rsidRPr="00633DC9">
        <w:rPr>
          <w:rFonts w:ascii="Verdana" w:hAnsi="Verdana"/>
          <w:spacing w:val="-2"/>
          <w:sz w:val="20"/>
          <w:szCs w:val="20"/>
          <w:lang w:val="es-CR"/>
        </w:rPr>
        <w:t xml:space="preserve">especialmente </w:t>
      </w:r>
      <w:r w:rsidR="00E74F1C" w:rsidRPr="00633DC9">
        <w:rPr>
          <w:rFonts w:ascii="Verdana" w:hAnsi="Verdana"/>
          <w:spacing w:val="-2"/>
          <w:sz w:val="20"/>
          <w:szCs w:val="20"/>
          <w:lang w:val="es-CR"/>
        </w:rPr>
        <w:t xml:space="preserve">general </w:t>
      </w:r>
      <w:r w:rsidRPr="00633DC9">
        <w:rPr>
          <w:rFonts w:ascii="Verdana" w:hAnsi="Verdana"/>
          <w:spacing w:val="-2"/>
          <w:sz w:val="20"/>
          <w:szCs w:val="20"/>
          <w:lang w:val="es-CR"/>
        </w:rPr>
        <w:t xml:space="preserve">cuando atiende </w:t>
      </w:r>
      <w:r w:rsidR="00180F30" w:rsidRPr="00633DC9">
        <w:rPr>
          <w:rFonts w:ascii="Verdana" w:hAnsi="Verdana"/>
          <w:spacing w:val="-2"/>
          <w:sz w:val="20"/>
          <w:szCs w:val="20"/>
          <w:lang w:val="es-CR"/>
        </w:rPr>
        <w:t>aspectos relevantes</w:t>
      </w:r>
      <w:r w:rsidR="00E74F1C" w:rsidRPr="00EB5530">
        <w:rPr>
          <w:rFonts w:ascii="Verdana" w:hAnsi="Verdana"/>
          <w:spacing w:val="-2"/>
          <w:sz w:val="20"/>
          <w:szCs w:val="20"/>
          <w:lang w:val="es-CR"/>
        </w:rPr>
        <w:t>,</w:t>
      </w:r>
      <w:r w:rsidRPr="00EB5530">
        <w:rPr>
          <w:rFonts w:ascii="Verdana" w:hAnsi="Verdana"/>
          <w:spacing w:val="-2"/>
          <w:sz w:val="20"/>
          <w:szCs w:val="20"/>
          <w:lang w:val="es-CR"/>
        </w:rPr>
        <w:t xml:space="preserve"> </w:t>
      </w:r>
      <w:r w:rsidR="00E74F1C" w:rsidRPr="00EB5530">
        <w:rPr>
          <w:rFonts w:ascii="Verdana" w:hAnsi="Verdana"/>
          <w:spacing w:val="-2"/>
          <w:sz w:val="20"/>
          <w:szCs w:val="20"/>
          <w:lang w:val="es-CR"/>
        </w:rPr>
        <w:t xml:space="preserve">por ejemplo, respecto de un </w:t>
      </w:r>
      <w:r w:rsidRPr="00EB5530">
        <w:rPr>
          <w:rFonts w:ascii="Verdana" w:hAnsi="Verdana"/>
          <w:spacing w:val="-2"/>
          <w:sz w:val="20"/>
          <w:szCs w:val="20"/>
          <w:lang w:val="es-CR"/>
        </w:rPr>
        <w:t>gremio determinado</w:t>
      </w:r>
      <w:r w:rsidRPr="00EB5530">
        <w:rPr>
          <w:rFonts w:ascii="Verdana" w:hAnsi="Verdana"/>
          <w:spacing w:val="-2"/>
          <w:sz w:val="20"/>
          <w:szCs w:val="20"/>
          <w:vertAlign w:val="superscript"/>
          <w:lang w:val="es-CR"/>
        </w:rPr>
        <w:footnoteReference w:id="145"/>
      </w:r>
      <w:r w:rsidR="00180F30" w:rsidRPr="00EB5530">
        <w:rPr>
          <w:rFonts w:ascii="Verdana" w:hAnsi="Verdana"/>
          <w:spacing w:val="-2"/>
          <w:sz w:val="20"/>
          <w:szCs w:val="20"/>
          <w:lang w:val="es-CR"/>
        </w:rPr>
        <w:t>, y m</w:t>
      </w:r>
      <w:r w:rsidRPr="00EB5530">
        <w:rPr>
          <w:rFonts w:ascii="Verdana" w:hAnsi="Verdana"/>
          <w:spacing w:val="-2"/>
          <w:sz w:val="20"/>
          <w:szCs w:val="20"/>
          <w:lang w:val="es-CR"/>
        </w:rPr>
        <w:t>ás aún</w:t>
      </w:r>
      <w:r w:rsidR="00E74F1C" w:rsidRPr="00EB5530">
        <w:rPr>
          <w:rFonts w:ascii="Verdana" w:hAnsi="Verdana"/>
          <w:spacing w:val="-2"/>
          <w:sz w:val="20"/>
          <w:szCs w:val="20"/>
          <w:lang w:val="es-CR"/>
        </w:rPr>
        <w:t>,</w:t>
      </w:r>
      <w:r w:rsidRPr="00EB5530">
        <w:rPr>
          <w:rFonts w:ascii="Verdana" w:hAnsi="Verdana"/>
          <w:spacing w:val="-2"/>
          <w:sz w:val="20"/>
          <w:szCs w:val="20"/>
          <w:lang w:val="es-CR"/>
        </w:rPr>
        <w:t xml:space="preserve"> cuando las opiniones trascienden al ámbito de un modelo de organización del Estado o sus instituciones en una sociedad democrática</w:t>
      </w:r>
      <w:r w:rsidRPr="00EB5530">
        <w:rPr>
          <w:rFonts w:ascii="Verdana" w:hAnsi="Verdana"/>
          <w:spacing w:val="-2"/>
          <w:sz w:val="20"/>
          <w:szCs w:val="20"/>
          <w:vertAlign w:val="superscript"/>
          <w:lang w:val="es-CR"/>
        </w:rPr>
        <w:footnoteReference w:id="146"/>
      </w:r>
      <w:r w:rsidRPr="00EB5530">
        <w:rPr>
          <w:rFonts w:ascii="Verdana" w:hAnsi="Verdana"/>
          <w:spacing w:val="-2"/>
          <w:sz w:val="20"/>
          <w:szCs w:val="20"/>
          <w:lang w:val="es-CR"/>
        </w:rPr>
        <w:t xml:space="preserve">. </w:t>
      </w:r>
    </w:p>
    <w:p w14:paraId="6A7D1958" w14:textId="77777777" w:rsidR="007A21DE" w:rsidRPr="00C01305" w:rsidRDefault="007A21DE" w:rsidP="007A21DE">
      <w:pPr>
        <w:contextualSpacing/>
        <w:rPr>
          <w:rFonts w:ascii="Verdana" w:hAnsi="Verdana"/>
          <w:sz w:val="20"/>
          <w:szCs w:val="20"/>
          <w:highlight w:val="yellow"/>
        </w:rPr>
      </w:pPr>
    </w:p>
    <w:p w14:paraId="5C423223" w14:textId="7706216C" w:rsidR="007A21DE" w:rsidRPr="00C01305" w:rsidRDefault="00E74F1C" w:rsidP="00E66DD7">
      <w:pPr>
        <w:numPr>
          <w:ilvl w:val="0"/>
          <w:numId w:val="1"/>
        </w:numPr>
        <w:ind w:left="0" w:firstLine="0"/>
        <w:contextualSpacing/>
        <w:jc w:val="both"/>
        <w:rPr>
          <w:rFonts w:ascii="Verdana" w:hAnsi="Verdana"/>
          <w:sz w:val="20"/>
          <w:szCs w:val="20"/>
        </w:rPr>
      </w:pPr>
      <w:r>
        <w:rPr>
          <w:rFonts w:ascii="Verdana" w:hAnsi="Verdana"/>
          <w:sz w:val="20"/>
          <w:szCs w:val="20"/>
        </w:rPr>
        <w:t>Respecto del interés público</w:t>
      </w:r>
      <w:r w:rsidR="007A21DE">
        <w:rPr>
          <w:rFonts w:ascii="Verdana" w:hAnsi="Verdana"/>
          <w:sz w:val="20"/>
          <w:szCs w:val="20"/>
        </w:rPr>
        <w:t xml:space="preserve">, el perito Damián </w:t>
      </w:r>
      <w:proofErr w:type="spellStart"/>
      <w:r w:rsidR="007A21DE">
        <w:rPr>
          <w:rFonts w:ascii="Verdana" w:hAnsi="Verdana"/>
          <w:sz w:val="20"/>
          <w:szCs w:val="20"/>
        </w:rPr>
        <w:t>Loreti</w:t>
      </w:r>
      <w:proofErr w:type="spellEnd"/>
      <w:r w:rsidR="007A21DE" w:rsidRPr="00C01305">
        <w:rPr>
          <w:rFonts w:ascii="Verdana" w:hAnsi="Verdana"/>
          <w:sz w:val="20"/>
          <w:szCs w:val="20"/>
        </w:rPr>
        <w:t xml:space="preserve"> señaló en audiencia ante la Corte que: </w:t>
      </w:r>
    </w:p>
    <w:p w14:paraId="728A5B81" w14:textId="77777777" w:rsidR="007A21DE" w:rsidRPr="00C01305" w:rsidRDefault="007A21DE" w:rsidP="007A21DE">
      <w:pPr>
        <w:ind w:left="567"/>
        <w:contextualSpacing/>
        <w:jc w:val="both"/>
        <w:rPr>
          <w:rFonts w:ascii="Verdana" w:hAnsi="Verdana"/>
          <w:sz w:val="18"/>
          <w:szCs w:val="20"/>
          <w:highlight w:val="yellow"/>
        </w:rPr>
      </w:pPr>
    </w:p>
    <w:p w14:paraId="40E54831" w14:textId="3EF1CA8F" w:rsidR="007A21DE" w:rsidRDefault="007A21DE" w:rsidP="007A21DE">
      <w:pPr>
        <w:ind w:left="567"/>
        <w:contextualSpacing/>
        <w:jc w:val="both"/>
        <w:rPr>
          <w:rFonts w:ascii="Verdana" w:hAnsi="Verdana"/>
          <w:sz w:val="18"/>
          <w:szCs w:val="20"/>
          <w:lang w:val="es-CR"/>
        </w:rPr>
      </w:pPr>
      <w:r w:rsidRPr="00C01305">
        <w:rPr>
          <w:rFonts w:ascii="Verdana" w:hAnsi="Verdana"/>
          <w:sz w:val="18"/>
          <w:szCs w:val="20"/>
        </w:rPr>
        <w:t xml:space="preserve">[Por </w:t>
      </w:r>
      <w:r>
        <w:rPr>
          <w:rFonts w:ascii="Verdana" w:hAnsi="Verdana"/>
          <w:sz w:val="18"/>
          <w:szCs w:val="20"/>
        </w:rPr>
        <w:t>un lado</w:t>
      </w:r>
      <w:r w:rsidRPr="00C01305">
        <w:rPr>
          <w:rFonts w:ascii="Verdana" w:hAnsi="Verdana"/>
          <w:sz w:val="18"/>
          <w:szCs w:val="20"/>
        </w:rPr>
        <w:t>], a la hor</w:t>
      </w:r>
      <w:r w:rsidR="00E74F1C">
        <w:rPr>
          <w:rFonts w:ascii="Verdana" w:hAnsi="Verdana"/>
          <w:sz w:val="18"/>
          <w:szCs w:val="20"/>
        </w:rPr>
        <w:t>a de contextualizar el análisis</w:t>
      </w:r>
      <w:r w:rsidRPr="00C01305">
        <w:rPr>
          <w:rFonts w:ascii="Verdana" w:hAnsi="Verdana"/>
          <w:sz w:val="18"/>
          <w:szCs w:val="20"/>
        </w:rPr>
        <w:t xml:space="preserve"> [</w:t>
      </w:r>
      <w:r w:rsidR="00E74F1C">
        <w:rPr>
          <w:rFonts w:ascii="Verdana" w:hAnsi="Verdana"/>
          <w:sz w:val="18"/>
          <w:szCs w:val="20"/>
        </w:rPr>
        <w:t>… del interés público</w:t>
      </w:r>
      <w:r w:rsidRPr="00C01305">
        <w:rPr>
          <w:rFonts w:ascii="Verdana" w:hAnsi="Verdana"/>
          <w:sz w:val="18"/>
          <w:szCs w:val="20"/>
        </w:rPr>
        <w:t xml:space="preserve">] se debe de tomar en cuenta: el contenido de la opinión a la publicación si contribuye al debate o a los intereses de actividades del sindicato o de la clase de los trabajadores. El medio utilizado, el contexto social incluido la oportunidad. La naturaleza de la posición del empleado si es o no representantes. El tipo de compañía de que se trate </w:t>
      </w:r>
      <w:r w:rsidRPr="00C01305">
        <w:rPr>
          <w:rFonts w:ascii="Verdana" w:hAnsi="Verdana"/>
          <w:sz w:val="18"/>
          <w:szCs w:val="20"/>
          <w:lang w:val="es-CR"/>
        </w:rPr>
        <w:t>[…] el contenido de la opinión o publicación que contribuye al debate o a la defensa de lo</w:t>
      </w:r>
      <w:r w:rsidR="00E74F1C">
        <w:rPr>
          <w:rFonts w:ascii="Verdana" w:hAnsi="Verdana"/>
          <w:sz w:val="18"/>
          <w:szCs w:val="20"/>
          <w:lang w:val="es-CR"/>
        </w:rPr>
        <w:t>s intereses, el medio utilizado. E</w:t>
      </w:r>
      <w:r w:rsidRPr="00C01305">
        <w:rPr>
          <w:rFonts w:ascii="Verdana" w:hAnsi="Verdana"/>
          <w:sz w:val="18"/>
          <w:szCs w:val="20"/>
          <w:lang w:val="es-CR"/>
        </w:rPr>
        <w:t>l contexto incluye la oportunidad, la naturaleza, la posición del empleado</w:t>
      </w:r>
      <w:r w:rsidR="00E74F1C">
        <w:rPr>
          <w:rFonts w:ascii="Verdana" w:hAnsi="Verdana"/>
          <w:sz w:val="18"/>
          <w:szCs w:val="20"/>
          <w:lang w:val="es-CR"/>
        </w:rPr>
        <w:t>;</w:t>
      </w:r>
      <w:r w:rsidRPr="00C01305">
        <w:rPr>
          <w:rFonts w:ascii="Verdana" w:hAnsi="Verdana"/>
          <w:sz w:val="18"/>
          <w:szCs w:val="20"/>
          <w:lang w:val="es-CR"/>
        </w:rPr>
        <w:t xml:space="preserve"> es decir</w:t>
      </w:r>
      <w:r w:rsidR="00E74F1C">
        <w:rPr>
          <w:rFonts w:ascii="Verdana" w:hAnsi="Verdana"/>
          <w:sz w:val="18"/>
          <w:szCs w:val="20"/>
          <w:lang w:val="es-CR"/>
        </w:rPr>
        <w:t>,</w:t>
      </w:r>
      <w:r w:rsidRPr="00C01305">
        <w:rPr>
          <w:rFonts w:ascii="Verdana" w:hAnsi="Verdana"/>
          <w:sz w:val="18"/>
          <w:szCs w:val="20"/>
          <w:lang w:val="es-CR"/>
        </w:rPr>
        <w:t xml:space="preserve"> si lo hace en defensa de otros o de sí mismo, la naturaleza de la compañía</w:t>
      </w:r>
      <w:r w:rsidR="00E74F1C">
        <w:rPr>
          <w:rFonts w:ascii="Verdana" w:hAnsi="Verdana"/>
          <w:sz w:val="18"/>
          <w:szCs w:val="20"/>
          <w:lang w:val="es-CR"/>
        </w:rPr>
        <w:t>,</w:t>
      </w:r>
      <w:r w:rsidRPr="00C01305">
        <w:rPr>
          <w:rFonts w:ascii="Verdana" w:hAnsi="Verdana"/>
          <w:sz w:val="18"/>
          <w:szCs w:val="20"/>
          <w:lang w:val="es-CR"/>
        </w:rPr>
        <w:t xml:space="preserve"> si es públi</w:t>
      </w:r>
      <w:r w:rsidR="00E74F1C">
        <w:rPr>
          <w:rFonts w:ascii="Verdana" w:hAnsi="Verdana"/>
          <w:sz w:val="18"/>
          <w:szCs w:val="20"/>
          <w:lang w:val="es-CR"/>
        </w:rPr>
        <w:t>ca o privada;</w:t>
      </w:r>
      <w:r w:rsidRPr="00C01305">
        <w:rPr>
          <w:rFonts w:ascii="Verdana" w:hAnsi="Verdana"/>
          <w:sz w:val="18"/>
          <w:szCs w:val="20"/>
          <w:lang w:val="es-CR"/>
        </w:rPr>
        <w:t xml:space="preserve"> la manera en que la crítica fue </w:t>
      </w:r>
      <w:r w:rsidR="00E74F1C">
        <w:rPr>
          <w:rFonts w:ascii="Verdana" w:hAnsi="Verdana"/>
          <w:sz w:val="18"/>
          <w:szCs w:val="20"/>
          <w:lang w:val="es-CR"/>
        </w:rPr>
        <w:t>expresada, si es espontaneo, cuá</w:t>
      </w:r>
      <w:r w:rsidRPr="00C01305">
        <w:rPr>
          <w:rFonts w:ascii="Verdana" w:hAnsi="Verdana"/>
          <w:sz w:val="18"/>
          <w:szCs w:val="20"/>
          <w:lang w:val="es-CR"/>
        </w:rPr>
        <w:t xml:space="preserve">les son las intenciones, si hay base fáctica y si hay conductas previas del empleado y del empleador que </w:t>
      </w:r>
      <w:r w:rsidR="00E74F1C">
        <w:rPr>
          <w:rFonts w:ascii="Verdana" w:hAnsi="Verdana"/>
          <w:sz w:val="18"/>
          <w:szCs w:val="20"/>
          <w:lang w:val="es-CR"/>
        </w:rPr>
        <w:t>justifique o no las expresiones</w:t>
      </w:r>
      <w:r w:rsidR="004868B2">
        <w:rPr>
          <w:rFonts w:ascii="Verdana" w:hAnsi="Verdana"/>
          <w:sz w:val="18"/>
          <w:szCs w:val="20"/>
          <w:lang w:val="es-CR"/>
        </w:rPr>
        <w:t>.</w:t>
      </w:r>
    </w:p>
    <w:p w14:paraId="370F6208" w14:textId="77777777" w:rsidR="007A21DE" w:rsidRPr="00C01305" w:rsidRDefault="007A21DE" w:rsidP="007A21DE">
      <w:pPr>
        <w:ind w:left="567"/>
        <w:contextualSpacing/>
        <w:jc w:val="both"/>
        <w:rPr>
          <w:rFonts w:ascii="Verdana" w:hAnsi="Verdana"/>
          <w:sz w:val="18"/>
          <w:szCs w:val="20"/>
        </w:rPr>
      </w:pPr>
    </w:p>
    <w:p w14:paraId="6430ABC3" w14:textId="7CE256DD" w:rsidR="007A21DE" w:rsidRPr="00C01305" w:rsidRDefault="007A21DE" w:rsidP="007A21DE">
      <w:pPr>
        <w:ind w:left="567"/>
        <w:contextualSpacing/>
        <w:jc w:val="both"/>
        <w:rPr>
          <w:rFonts w:ascii="Verdana" w:hAnsi="Verdana"/>
          <w:sz w:val="18"/>
          <w:szCs w:val="20"/>
        </w:rPr>
      </w:pPr>
      <w:r w:rsidRPr="00C01305">
        <w:rPr>
          <w:rFonts w:ascii="Verdana" w:hAnsi="Verdana"/>
          <w:sz w:val="18"/>
          <w:szCs w:val="20"/>
        </w:rPr>
        <w:t xml:space="preserve"> </w:t>
      </w:r>
      <w:r>
        <w:rPr>
          <w:rFonts w:ascii="Verdana" w:hAnsi="Verdana"/>
          <w:sz w:val="18"/>
          <w:szCs w:val="20"/>
        </w:rPr>
        <w:t>[Por otro</w:t>
      </w:r>
      <w:r w:rsidRPr="00C01305">
        <w:rPr>
          <w:rFonts w:ascii="Verdana" w:hAnsi="Verdana"/>
          <w:sz w:val="18"/>
          <w:szCs w:val="20"/>
        </w:rPr>
        <w:t xml:space="preserve"> lado], se puede</w:t>
      </w:r>
      <w:r w:rsidR="00E74F1C">
        <w:rPr>
          <w:rFonts w:ascii="Verdana" w:hAnsi="Verdana"/>
          <w:sz w:val="18"/>
          <w:szCs w:val="20"/>
        </w:rPr>
        <w:t>n</w:t>
      </w:r>
      <w:r w:rsidRPr="00C01305">
        <w:rPr>
          <w:rFonts w:ascii="Verdana" w:hAnsi="Verdana"/>
          <w:sz w:val="18"/>
          <w:szCs w:val="20"/>
        </w:rPr>
        <w:t xml:space="preserve"> sistematizar los casos en los que las expresiones […] no son de interés público, [por ejemplo] cuando se hace referencia y se afecta al producto ofrecido por la empresa, […] hablar mal de la calidad del servicio cuando no hay interés </w:t>
      </w:r>
      <w:r w:rsidR="00180F30">
        <w:rPr>
          <w:rFonts w:ascii="Verdana" w:hAnsi="Verdana"/>
          <w:sz w:val="18"/>
          <w:szCs w:val="20"/>
        </w:rPr>
        <w:t>[general]</w:t>
      </w:r>
      <w:r w:rsidR="00180F30" w:rsidRPr="00C01305">
        <w:rPr>
          <w:rFonts w:ascii="Verdana" w:hAnsi="Verdana"/>
          <w:sz w:val="18"/>
          <w:szCs w:val="20"/>
        </w:rPr>
        <w:t xml:space="preserve"> </w:t>
      </w:r>
      <w:r w:rsidRPr="00C01305">
        <w:rPr>
          <w:rFonts w:ascii="Verdana" w:hAnsi="Verdana"/>
          <w:sz w:val="18"/>
          <w:szCs w:val="20"/>
        </w:rPr>
        <w:t xml:space="preserve">que lo justifique o no sean servicios públicos </w:t>
      </w:r>
      <w:r w:rsidR="00E74F1C">
        <w:rPr>
          <w:rFonts w:ascii="Verdana" w:hAnsi="Verdana"/>
          <w:sz w:val="18"/>
          <w:szCs w:val="20"/>
        </w:rPr>
        <w:t>[…]</w:t>
      </w:r>
      <w:r w:rsidRPr="00C01305">
        <w:rPr>
          <w:rFonts w:ascii="Verdana" w:hAnsi="Verdana"/>
          <w:sz w:val="18"/>
          <w:szCs w:val="20"/>
        </w:rPr>
        <w:t>, o cuando haya una afectación de la vida privada sin que justifique e</w:t>
      </w:r>
      <w:r w:rsidR="00180F30">
        <w:rPr>
          <w:rFonts w:ascii="Verdana" w:hAnsi="Verdana"/>
          <w:sz w:val="18"/>
          <w:szCs w:val="20"/>
        </w:rPr>
        <w:t>[</w:t>
      </w:r>
      <w:proofErr w:type="spellStart"/>
      <w:r w:rsidR="00180F30">
        <w:rPr>
          <w:rFonts w:ascii="Verdana" w:hAnsi="Verdana"/>
          <w:sz w:val="18"/>
          <w:szCs w:val="20"/>
        </w:rPr>
        <w:t>ste</w:t>
      </w:r>
      <w:proofErr w:type="spellEnd"/>
      <w:r w:rsidR="00180F30">
        <w:rPr>
          <w:rFonts w:ascii="Verdana" w:hAnsi="Verdana"/>
          <w:sz w:val="18"/>
          <w:szCs w:val="20"/>
        </w:rPr>
        <w:t>]</w:t>
      </w:r>
      <w:r w:rsidRPr="00C01305">
        <w:rPr>
          <w:rFonts w:ascii="Verdana" w:hAnsi="Verdana"/>
          <w:sz w:val="18"/>
          <w:szCs w:val="20"/>
        </w:rPr>
        <w:t xml:space="preserve"> interés </w:t>
      </w:r>
      <w:r w:rsidR="00180F30">
        <w:rPr>
          <w:rFonts w:ascii="Verdana" w:hAnsi="Verdana"/>
          <w:sz w:val="18"/>
          <w:szCs w:val="20"/>
        </w:rPr>
        <w:t>[…]</w:t>
      </w:r>
      <w:r w:rsidRPr="00C01305">
        <w:rPr>
          <w:rFonts w:ascii="Verdana" w:hAnsi="Verdana"/>
          <w:sz w:val="18"/>
          <w:szCs w:val="20"/>
        </w:rPr>
        <w:t>, la colaboración con la competencia, la ruptura de la obliga</w:t>
      </w:r>
      <w:r w:rsidR="00E74F1C">
        <w:rPr>
          <w:rFonts w:ascii="Verdana" w:hAnsi="Verdana"/>
          <w:sz w:val="18"/>
          <w:szCs w:val="20"/>
        </w:rPr>
        <w:t>ción de sigilo […] con sus matices</w:t>
      </w:r>
      <w:r w:rsidRPr="00C01305">
        <w:rPr>
          <w:rFonts w:ascii="Verdana" w:hAnsi="Verdana"/>
          <w:sz w:val="18"/>
          <w:szCs w:val="20"/>
        </w:rPr>
        <w:t xml:space="preserve">. La existencia de </w:t>
      </w:r>
      <w:r w:rsidR="007C6623">
        <w:rPr>
          <w:rFonts w:ascii="Verdana" w:hAnsi="Verdana"/>
          <w:sz w:val="18"/>
          <w:szCs w:val="20"/>
        </w:rPr>
        <w:t>[…]</w:t>
      </w:r>
      <w:r w:rsidRPr="00C01305">
        <w:rPr>
          <w:rFonts w:ascii="Verdana" w:hAnsi="Verdana"/>
          <w:sz w:val="18"/>
          <w:szCs w:val="20"/>
        </w:rPr>
        <w:t xml:space="preserve"> informaciones denigrantes que no se justifiquen respecto de compañeros de trabajos superiores, que alteren la convivenc</w:t>
      </w:r>
      <w:r w:rsidR="007C6623">
        <w:rPr>
          <w:rFonts w:ascii="Verdana" w:hAnsi="Verdana"/>
          <w:sz w:val="18"/>
          <w:szCs w:val="20"/>
        </w:rPr>
        <w:t>ia normal del ámbito de trabajo q</w:t>
      </w:r>
      <w:r w:rsidRPr="00C01305">
        <w:rPr>
          <w:rFonts w:ascii="Verdana" w:hAnsi="Verdana"/>
          <w:sz w:val="18"/>
          <w:szCs w:val="20"/>
        </w:rPr>
        <w:t>ue las expresiones no sean necesarias ni apliquen para defender a los intereses de los trabajadores o que n</w:t>
      </w:r>
      <w:r w:rsidR="007C6623">
        <w:rPr>
          <w:rFonts w:ascii="Verdana" w:hAnsi="Verdana"/>
          <w:sz w:val="18"/>
          <w:szCs w:val="20"/>
        </w:rPr>
        <w:t>o exista base fáctica</w:t>
      </w:r>
      <w:r w:rsidR="000023EA">
        <w:rPr>
          <w:rFonts w:ascii="Verdana" w:hAnsi="Verdana"/>
          <w:sz w:val="18"/>
          <w:szCs w:val="20"/>
        </w:rPr>
        <w:t xml:space="preserve"> </w:t>
      </w:r>
      <w:r w:rsidRPr="00C01305">
        <w:rPr>
          <w:rFonts w:ascii="Verdana" w:hAnsi="Verdana"/>
          <w:sz w:val="18"/>
          <w:szCs w:val="20"/>
        </w:rPr>
        <w:t>[…]</w:t>
      </w:r>
      <w:r w:rsidR="007C6623">
        <w:rPr>
          <w:rFonts w:ascii="Verdana" w:hAnsi="Verdana"/>
          <w:sz w:val="18"/>
          <w:szCs w:val="20"/>
        </w:rPr>
        <w:t>.</w:t>
      </w:r>
    </w:p>
    <w:p w14:paraId="3A3A5665" w14:textId="77777777" w:rsidR="007A21DE" w:rsidRPr="00C01305" w:rsidRDefault="007A21DE" w:rsidP="007A21DE">
      <w:pPr>
        <w:ind w:left="567"/>
        <w:contextualSpacing/>
        <w:jc w:val="both"/>
        <w:rPr>
          <w:rFonts w:ascii="Verdana" w:hAnsi="Verdana"/>
          <w:sz w:val="18"/>
          <w:szCs w:val="20"/>
        </w:rPr>
      </w:pPr>
    </w:p>
    <w:p w14:paraId="03034DAD" w14:textId="51DE1B1F" w:rsidR="007C6623" w:rsidRPr="00C01305" w:rsidRDefault="007C6623" w:rsidP="00E66DD7">
      <w:pPr>
        <w:numPr>
          <w:ilvl w:val="0"/>
          <w:numId w:val="1"/>
        </w:numPr>
        <w:ind w:left="0" w:firstLine="0"/>
        <w:contextualSpacing/>
        <w:jc w:val="both"/>
        <w:rPr>
          <w:rFonts w:ascii="Verdana" w:hAnsi="Verdana"/>
          <w:sz w:val="20"/>
          <w:szCs w:val="20"/>
          <w:lang w:val="es-CR"/>
        </w:rPr>
      </w:pPr>
      <w:r w:rsidRPr="00C01305">
        <w:rPr>
          <w:rFonts w:ascii="Verdana" w:hAnsi="Verdana"/>
          <w:sz w:val="20"/>
          <w:szCs w:val="20"/>
        </w:rPr>
        <w:t xml:space="preserve">La Corte estima que, en principio, las manifestaciones orientadas a promover el correcto funcionamiento y mejoramiento de las condiciones de trabajo o reivindicación de los trabajadores, representa en sí mismo un </w:t>
      </w:r>
      <w:r w:rsidR="00180F30">
        <w:rPr>
          <w:rFonts w:ascii="Verdana" w:hAnsi="Verdana"/>
          <w:sz w:val="20"/>
          <w:szCs w:val="20"/>
        </w:rPr>
        <w:t>objetivo</w:t>
      </w:r>
      <w:r w:rsidR="00180F30" w:rsidRPr="00C01305">
        <w:rPr>
          <w:rFonts w:ascii="Verdana" w:hAnsi="Verdana"/>
          <w:sz w:val="20"/>
          <w:szCs w:val="20"/>
        </w:rPr>
        <w:t xml:space="preserve"> </w:t>
      </w:r>
      <w:r w:rsidRPr="00C01305">
        <w:rPr>
          <w:rFonts w:ascii="Verdana" w:hAnsi="Verdana"/>
          <w:sz w:val="20"/>
          <w:szCs w:val="20"/>
        </w:rPr>
        <w:t>legítimo y coherente en el marco de las organizaciones de trabajadores</w:t>
      </w:r>
      <w:r w:rsidRPr="00C01305">
        <w:rPr>
          <w:rFonts w:ascii="Verdana" w:hAnsi="Verdana"/>
          <w:sz w:val="20"/>
          <w:szCs w:val="20"/>
          <w:vertAlign w:val="superscript"/>
          <w:lang w:val="es-CR"/>
        </w:rPr>
        <w:footnoteReference w:id="147"/>
      </w:r>
      <w:r w:rsidRPr="00C01305">
        <w:rPr>
          <w:rFonts w:ascii="Verdana" w:hAnsi="Verdana"/>
          <w:sz w:val="20"/>
          <w:szCs w:val="20"/>
        </w:rPr>
        <w:t xml:space="preserve">. Asimismo, las declaraciones vertidas en </w:t>
      </w:r>
      <w:r>
        <w:rPr>
          <w:rFonts w:ascii="Verdana" w:hAnsi="Verdana"/>
          <w:sz w:val="20"/>
          <w:szCs w:val="20"/>
        </w:rPr>
        <w:t xml:space="preserve">el marco de un proceso de elección interna </w:t>
      </w:r>
      <w:r w:rsidRPr="00C01305">
        <w:rPr>
          <w:rFonts w:ascii="Verdana" w:hAnsi="Verdana"/>
          <w:sz w:val="20"/>
          <w:szCs w:val="20"/>
        </w:rPr>
        <w:t xml:space="preserve">contribuyen al debate durante el proceso como herramienta esencial del interés </w:t>
      </w:r>
      <w:r>
        <w:rPr>
          <w:rFonts w:ascii="Verdana" w:hAnsi="Verdana"/>
          <w:sz w:val="20"/>
          <w:szCs w:val="20"/>
        </w:rPr>
        <w:t>colectivo y de sus</w:t>
      </w:r>
      <w:r w:rsidRPr="00C01305">
        <w:rPr>
          <w:rFonts w:ascii="Verdana" w:hAnsi="Verdana"/>
          <w:sz w:val="20"/>
          <w:szCs w:val="20"/>
        </w:rPr>
        <w:t xml:space="preserve"> electores.</w:t>
      </w:r>
    </w:p>
    <w:p w14:paraId="173E4361" w14:textId="77777777" w:rsidR="007C6623" w:rsidRPr="00753933" w:rsidRDefault="007C6623" w:rsidP="00557859">
      <w:pPr>
        <w:contextualSpacing/>
        <w:jc w:val="both"/>
        <w:rPr>
          <w:rFonts w:ascii="Verdana" w:hAnsi="Verdana"/>
          <w:sz w:val="20"/>
          <w:szCs w:val="20"/>
        </w:rPr>
      </w:pPr>
    </w:p>
    <w:p w14:paraId="13FAFB77" w14:textId="79D6048C" w:rsidR="00227C33" w:rsidRPr="00801513" w:rsidRDefault="00227C33" w:rsidP="00E66DD7">
      <w:pPr>
        <w:numPr>
          <w:ilvl w:val="0"/>
          <w:numId w:val="1"/>
        </w:numPr>
        <w:ind w:left="0" w:firstLine="0"/>
        <w:contextualSpacing/>
        <w:jc w:val="both"/>
        <w:rPr>
          <w:rFonts w:ascii="Verdana" w:hAnsi="Verdana"/>
          <w:sz w:val="20"/>
          <w:szCs w:val="20"/>
        </w:rPr>
      </w:pPr>
      <w:r w:rsidRPr="00801513">
        <w:rPr>
          <w:rFonts w:ascii="Verdana" w:hAnsi="Verdana"/>
          <w:sz w:val="20"/>
          <w:szCs w:val="20"/>
        </w:rPr>
        <w:t xml:space="preserve">En </w:t>
      </w:r>
      <w:r w:rsidR="004150B7" w:rsidRPr="00801513">
        <w:rPr>
          <w:rFonts w:ascii="Verdana" w:hAnsi="Verdana"/>
          <w:sz w:val="20"/>
          <w:szCs w:val="20"/>
        </w:rPr>
        <w:t>este</w:t>
      </w:r>
      <w:r w:rsidRPr="00801513">
        <w:rPr>
          <w:rFonts w:ascii="Verdana" w:hAnsi="Verdana"/>
          <w:sz w:val="20"/>
          <w:szCs w:val="20"/>
        </w:rPr>
        <w:t xml:space="preserve"> sentido, </w:t>
      </w:r>
      <w:r w:rsidR="004150B7" w:rsidRPr="00801513">
        <w:rPr>
          <w:rFonts w:ascii="Verdana" w:hAnsi="Verdana"/>
          <w:sz w:val="20"/>
          <w:szCs w:val="20"/>
        </w:rPr>
        <w:t>e</w:t>
      </w:r>
      <w:r w:rsidRPr="00801513">
        <w:rPr>
          <w:rFonts w:ascii="Verdana" w:hAnsi="Verdana"/>
          <w:sz w:val="20"/>
          <w:szCs w:val="20"/>
        </w:rPr>
        <w:t xml:space="preserve">l Tribunal Europeo de Derechos Humanos ha reconocido ciertas manifestaciones de trabajadores en determinados contextos </w:t>
      </w:r>
      <w:r w:rsidR="004150B7" w:rsidRPr="00801513">
        <w:rPr>
          <w:rFonts w:ascii="Verdana" w:hAnsi="Verdana"/>
          <w:sz w:val="20"/>
          <w:szCs w:val="20"/>
        </w:rPr>
        <w:t xml:space="preserve">del ámbito privado </w:t>
      </w:r>
      <w:r w:rsidRPr="00801513">
        <w:rPr>
          <w:rFonts w:ascii="Verdana" w:hAnsi="Verdana"/>
          <w:sz w:val="20"/>
          <w:szCs w:val="20"/>
        </w:rPr>
        <w:t>como de interés público a la luz del derecho a la libertad de expresión del Convenio Europeo</w:t>
      </w:r>
      <w:r w:rsidR="00115071" w:rsidRPr="00801513">
        <w:rPr>
          <w:rStyle w:val="FootnoteReference"/>
          <w:szCs w:val="20"/>
        </w:rPr>
        <w:footnoteReference w:id="148"/>
      </w:r>
      <w:r w:rsidRPr="00801513">
        <w:rPr>
          <w:rFonts w:ascii="Verdana" w:hAnsi="Verdana"/>
          <w:sz w:val="20"/>
          <w:szCs w:val="20"/>
        </w:rPr>
        <w:t xml:space="preserve">. </w:t>
      </w:r>
    </w:p>
    <w:p w14:paraId="4F94492E" w14:textId="77777777" w:rsidR="00227C33" w:rsidRDefault="00227C33" w:rsidP="00557859">
      <w:pPr>
        <w:contextualSpacing/>
        <w:jc w:val="both"/>
        <w:rPr>
          <w:rFonts w:ascii="Verdana" w:hAnsi="Verdana"/>
          <w:sz w:val="20"/>
          <w:szCs w:val="20"/>
        </w:rPr>
      </w:pPr>
    </w:p>
    <w:p w14:paraId="0DCBB2EB" w14:textId="5CF4A5D1" w:rsidR="007A21DE" w:rsidRPr="007C6623" w:rsidRDefault="007A21DE" w:rsidP="00E66DD7">
      <w:pPr>
        <w:numPr>
          <w:ilvl w:val="0"/>
          <w:numId w:val="1"/>
        </w:numPr>
        <w:ind w:left="0" w:firstLine="0"/>
        <w:contextualSpacing/>
        <w:jc w:val="both"/>
        <w:rPr>
          <w:rFonts w:ascii="Verdana" w:hAnsi="Verdana"/>
          <w:sz w:val="20"/>
          <w:szCs w:val="20"/>
        </w:rPr>
      </w:pPr>
      <w:r w:rsidRPr="00C01305">
        <w:rPr>
          <w:rFonts w:ascii="Verdana" w:hAnsi="Verdana"/>
          <w:sz w:val="20"/>
          <w:szCs w:val="20"/>
        </w:rPr>
        <w:t xml:space="preserve">A fin de valorar el interés público en el caso en concreto, la Corte encuentra los siguientes elementos a considerar: i) el artículo </w:t>
      </w:r>
      <w:r w:rsidR="00DF7914">
        <w:rPr>
          <w:rFonts w:ascii="Verdana" w:hAnsi="Verdana"/>
          <w:sz w:val="20"/>
          <w:szCs w:val="20"/>
        </w:rPr>
        <w:t xml:space="preserve">en comento </w:t>
      </w:r>
      <w:r w:rsidRPr="00C01305">
        <w:rPr>
          <w:rFonts w:ascii="Verdana" w:hAnsi="Verdana"/>
          <w:sz w:val="20"/>
          <w:szCs w:val="20"/>
        </w:rPr>
        <w:t xml:space="preserve">fue publicado en el marco de un conflicto laboral </w:t>
      </w:r>
      <w:r>
        <w:rPr>
          <w:rFonts w:ascii="Verdana" w:hAnsi="Verdana"/>
          <w:sz w:val="20"/>
          <w:szCs w:val="20"/>
        </w:rPr>
        <w:t xml:space="preserve">de carácter </w:t>
      </w:r>
      <w:r w:rsidRPr="00C01305">
        <w:rPr>
          <w:rFonts w:ascii="Verdana" w:hAnsi="Verdana"/>
          <w:sz w:val="20"/>
          <w:szCs w:val="20"/>
        </w:rPr>
        <w:t xml:space="preserve">interno con motivo de presuntas irregularidades en </w:t>
      </w:r>
      <w:r w:rsidR="00F80ADC">
        <w:rPr>
          <w:rFonts w:ascii="Verdana" w:hAnsi="Verdana"/>
          <w:sz w:val="20"/>
          <w:szCs w:val="20"/>
        </w:rPr>
        <w:t xml:space="preserve">el proceso </w:t>
      </w:r>
      <w:r w:rsidRPr="00C01305">
        <w:rPr>
          <w:rFonts w:ascii="Verdana" w:hAnsi="Verdana"/>
          <w:sz w:val="20"/>
          <w:szCs w:val="20"/>
        </w:rPr>
        <w:t>elec</w:t>
      </w:r>
      <w:r w:rsidR="00F80ADC">
        <w:rPr>
          <w:rFonts w:ascii="Verdana" w:hAnsi="Verdana"/>
          <w:sz w:val="20"/>
          <w:szCs w:val="20"/>
        </w:rPr>
        <w:t>toral</w:t>
      </w:r>
      <w:r w:rsidRPr="00C01305">
        <w:rPr>
          <w:rFonts w:ascii="Verdana" w:hAnsi="Verdana"/>
          <w:sz w:val="20"/>
          <w:szCs w:val="20"/>
        </w:rPr>
        <w:t xml:space="preserve">, que con anterioridad a la </w:t>
      </w:r>
      <w:r>
        <w:rPr>
          <w:rFonts w:ascii="Verdana" w:hAnsi="Verdana"/>
          <w:sz w:val="20"/>
          <w:szCs w:val="20"/>
        </w:rPr>
        <w:t xml:space="preserve">difusión </w:t>
      </w:r>
      <w:r w:rsidRPr="00C01305">
        <w:rPr>
          <w:rFonts w:ascii="Verdana" w:hAnsi="Verdana"/>
          <w:sz w:val="20"/>
          <w:szCs w:val="20"/>
        </w:rPr>
        <w:t xml:space="preserve">del </w:t>
      </w:r>
      <w:r w:rsidR="00DF7914">
        <w:rPr>
          <w:rFonts w:ascii="Verdana" w:hAnsi="Verdana"/>
          <w:sz w:val="20"/>
          <w:szCs w:val="20"/>
        </w:rPr>
        <w:t>mismo</w:t>
      </w:r>
      <w:r w:rsidRPr="00C01305">
        <w:rPr>
          <w:rFonts w:ascii="Verdana" w:hAnsi="Verdana"/>
          <w:sz w:val="20"/>
          <w:szCs w:val="20"/>
        </w:rPr>
        <w:t xml:space="preserve">, </w:t>
      </w:r>
      <w:r w:rsidRPr="00CB5A95">
        <w:rPr>
          <w:rFonts w:ascii="Verdana" w:hAnsi="Verdana"/>
          <w:sz w:val="20"/>
        </w:rPr>
        <w:t xml:space="preserve">se </w:t>
      </w:r>
      <w:r w:rsidRPr="00CB5A95">
        <w:rPr>
          <w:rFonts w:ascii="Verdana" w:hAnsi="Verdana"/>
          <w:sz w:val="20"/>
          <w:szCs w:val="20"/>
        </w:rPr>
        <w:t>habría</w:t>
      </w:r>
      <w:r w:rsidR="00F80ADC" w:rsidRPr="00CB5A95">
        <w:rPr>
          <w:rFonts w:ascii="Verdana" w:hAnsi="Verdana"/>
          <w:sz w:val="20"/>
          <w:szCs w:val="20"/>
        </w:rPr>
        <w:t>n</w:t>
      </w:r>
      <w:r w:rsidRPr="00CB5A95">
        <w:rPr>
          <w:rFonts w:ascii="Verdana" w:hAnsi="Verdana"/>
          <w:sz w:val="20"/>
        </w:rPr>
        <w:t xml:space="preserve"> puesto en conocimiento de la autoridad</w:t>
      </w:r>
      <w:r w:rsidR="002F59B2" w:rsidRPr="00CB5A95">
        <w:rPr>
          <w:rFonts w:ascii="Verdana" w:hAnsi="Verdana"/>
          <w:sz w:val="20"/>
        </w:rPr>
        <w:t xml:space="preserve"> competente</w:t>
      </w:r>
      <w:r w:rsidR="004E38FB">
        <w:rPr>
          <w:rFonts w:ascii="Verdana" w:hAnsi="Verdana"/>
          <w:sz w:val="20"/>
        </w:rPr>
        <w:t>;</w:t>
      </w:r>
      <w:r w:rsidRPr="00C01305">
        <w:rPr>
          <w:rFonts w:ascii="Verdana" w:hAnsi="Verdana"/>
          <w:sz w:val="20"/>
          <w:szCs w:val="20"/>
        </w:rPr>
        <w:t xml:space="preserve"> ii) el señor Lagos del Campo </w:t>
      </w:r>
      <w:r w:rsidR="00180F30">
        <w:rPr>
          <w:rFonts w:ascii="Verdana" w:hAnsi="Verdana"/>
          <w:sz w:val="20"/>
          <w:szCs w:val="20"/>
        </w:rPr>
        <w:t>señaló</w:t>
      </w:r>
      <w:r w:rsidR="00180F30" w:rsidRPr="00C01305">
        <w:rPr>
          <w:rFonts w:ascii="Verdana" w:hAnsi="Verdana"/>
          <w:sz w:val="20"/>
          <w:szCs w:val="20"/>
        </w:rPr>
        <w:t xml:space="preserve"> </w:t>
      </w:r>
      <w:r w:rsidRPr="00C01305">
        <w:rPr>
          <w:rFonts w:ascii="Verdana" w:hAnsi="Verdana"/>
          <w:sz w:val="20"/>
          <w:szCs w:val="20"/>
        </w:rPr>
        <w:t xml:space="preserve">en </w:t>
      </w:r>
      <w:r w:rsidR="00DF7914">
        <w:rPr>
          <w:rFonts w:ascii="Verdana" w:hAnsi="Verdana"/>
          <w:sz w:val="20"/>
          <w:szCs w:val="20"/>
        </w:rPr>
        <w:t>la</w:t>
      </w:r>
      <w:r w:rsidR="00DF7914" w:rsidRPr="00C01305">
        <w:rPr>
          <w:rFonts w:ascii="Verdana" w:hAnsi="Verdana"/>
          <w:sz w:val="20"/>
          <w:szCs w:val="20"/>
        </w:rPr>
        <w:t xml:space="preserve"> </w:t>
      </w:r>
      <w:r w:rsidRPr="00C01305">
        <w:rPr>
          <w:rFonts w:ascii="Verdana" w:hAnsi="Verdana"/>
          <w:sz w:val="20"/>
          <w:szCs w:val="20"/>
        </w:rPr>
        <w:t xml:space="preserve">entrevista </w:t>
      </w:r>
      <w:r w:rsidR="00DF7914">
        <w:rPr>
          <w:rFonts w:ascii="Verdana" w:hAnsi="Verdana"/>
          <w:sz w:val="20"/>
          <w:szCs w:val="20"/>
        </w:rPr>
        <w:t xml:space="preserve">publicada </w:t>
      </w:r>
      <w:r w:rsidRPr="00C01305">
        <w:rPr>
          <w:rFonts w:ascii="Verdana" w:hAnsi="Verdana"/>
          <w:sz w:val="20"/>
          <w:szCs w:val="20"/>
        </w:rPr>
        <w:t xml:space="preserve">que </w:t>
      </w:r>
      <w:r w:rsidR="0034509C">
        <w:rPr>
          <w:rFonts w:ascii="Verdana" w:hAnsi="Verdana"/>
          <w:sz w:val="20"/>
          <w:szCs w:val="20"/>
        </w:rPr>
        <w:t>“</w:t>
      </w:r>
      <w:r w:rsidRPr="00C01305">
        <w:rPr>
          <w:rFonts w:ascii="Verdana" w:hAnsi="Verdana"/>
          <w:i/>
          <w:sz w:val="20"/>
          <w:szCs w:val="20"/>
        </w:rPr>
        <w:t xml:space="preserve">continuaría luchando por esas denuncias y hacía un llamado a los trabajadores a cerrar filas y hacer respetar sus derechos y obligaciones que les confería la ley. </w:t>
      </w:r>
      <w:r w:rsidR="0034509C">
        <w:rPr>
          <w:rFonts w:ascii="Verdana" w:hAnsi="Verdana"/>
          <w:i/>
          <w:sz w:val="20"/>
          <w:szCs w:val="20"/>
        </w:rPr>
        <w:t>[</w:t>
      </w:r>
      <w:r w:rsidRPr="00C01305">
        <w:rPr>
          <w:rFonts w:ascii="Verdana" w:hAnsi="Verdana"/>
          <w:i/>
          <w:sz w:val="20"/>
          <w:szCs w:val="20"/>
        </w:rPr>
        <w:t>Asimismo, pidió</w:t>
      </w:r>
      <w:r w:rsidR="0034509C">
        <w:rPr>
          <w:rFonts w:ascii="Verdana" w:hAnsi="Verdana"/>
          <w:i/>
          <w:sz w:val="20"/>
          <w:szCs w:val="20"/>
        </w:rPr>
        <w:t>]</w:t>
      </w:r>
      <w:r w:rsidRPr="00C01305">
        <w:rPr>
          <w:rFonts w:ascii="Verdana" w:hAnsi="Verdana"/>
          <w:i/>
          <w:sz w:val="20"/>
          <w:szCs w:val="20"/>
        </w:rPr>
        <w:t xml:space="preserve"> la solidaridad de todas las organizaciones comuneras y laborales del país a expresar su rechazo </w:t>
      </w:r>
      <w:proofErr w:type="spellStart"/>
      <w:r w:rsidRPr="00C01305">
        <w:rPr>
          <w:rFonts w:ascii="Verdana" w:hAnsi="Verdana"/>
          <w:i/>
          <w:sz w:val="20"/>
          <w:szCs w:val="20"/>
        </w:rPr>
        <w:t>liquidacioni</w:t>
      </w:r>
      <w:r w:rsidR="005D72FB">
        <w:rPr>
          <w:rFonts w:ascii="Verdana" w:hAnsi="Verdana"/>
          <w:i/>
          <w:sz w:val="20"/>
          <w:szCs w:val="20"/>
        </w:rPr>
        <w:t>s</w:t>
      </w:r>
      <w:r w:rsidRPr="00C01305">
        <w:rPr>
          <w:rFonts w:ascii="Verdana" w:hAnsi="Verdana"/>
          <w:i/>
          <w:sz w:val="20"/>
          <w:szCs w:val="20"/>
        </w:rPr>
        <w:t>ta</w:t>
      </w:r>
      <w:proofErr w:type="spellEnd"/>
      <w:r w:rsidRPr="00C01305">
        <w:rPr>
          <w:rFonts w:ascii="Verdana" w:hAnsi="Verdana"/>
          <w:i/>
          <w:sz w:val="20"/>
          <w:szCs w:val="20"/>
        </w:rPr>
        <w:t xml:space="preserve"> de las comunidades industriales”</w:t>
      </w:r>
      <w:r w:rsidR="00180F30">
        <w:rPr>
          <w:rFonts w:ascii="Verdana" w:hAnsi="Verdana"/>
          <w:i/>
          <w:sz w:val="20"/>
          <w:szCs w:val="20"/>
        </w:rPr>
        <w:t xml:space="preserve">, </w:t>
      </w:r>
      <w:r w:rsidR="00180F30" w:rsidRPr="005D0F69">
        <w:rPr>
          <w:rFonts w:ascii="Verdana" w:hAnsi="Verdana"/>
          <w:sz w:val="20"/>
          <w:szCs w:val="20"/>
        </w:rPr>
        <w:t xml:space="preserve">de lo cual se desprende </w:t>
      </w:r>
      <w:r w:rsidR="00180F30" w:rsidRPr="00180F30">
        <w:rPr>
          <w:rFonts w:ascii="Verdana" w:hAnsi="Verdana"/>
          <w:sz w:val="20"/>
          <w:szCs w:val="20"/>
        </w:rPr>
        <w:t>el carácter colectivo de sus manifestaciones</w:t>
      </w:r>
      <w:r w:rsidRPr="00C01305">
        <w:rPr>
          <w:rFonts w:ascii="Verdana" w:hAnsi="Verdana"/>
          <w:sz w:val="20"/>
          <w:szCs w:val="20"/>
        </w:rPr>
        <w:t xml:space="preserve">; iii) las Comunidades Industriales en el Perú, tenían como objetivo, entre otros, promover la participación de los trabajadores en el patrimonio de la empresa, así como la adecuada distribución de los beneficios; </w:t>
      </w:r>
      <w:r w:rsidR="007A568E" w:rsidRPr="00801513">
        <w:rPr>
          <w:rFonts w:ascii="Verdana" w:hAnsi="Verdana"/>
          <w:sz w:val="20"/>
          <w:szCs w:val="20"/>
        </w:rPr>
        <w:t>iv) dentro de las manifestaciones</w:t>
      </w:r>
      <w:r w:rsidR="003904DE" w:rsidRPr="00801513">
        <w:rPr>
          <w:rFonts w:ascii="Verdana" w:hAnsi="Verdana"/>
          <w:sz w:val="20"/>
          <w:szCs w:val="20"/>
        </w:rPr>
        <w:t xml:space="preserve"> se hizo </w:t>
      </w:r>
      <w:r w:rsidR="007A568E" w:rsidRPr="00801513">
        <w:rPr>
          <w:rFonts w:ascii="Verdana" w:hAnsi="Verdana"/>
          <w:sz w:val="20"/>
          <w:szCs w:val="20"/>
        </w:rPr>
        <w:t>alusión la intervención de la Dirección General de Participación del Ministerio de Industria;</w:t>
      </w:r>
      <w:r w:rsidR="007A568E">
        <w:rPr>
          <w:rFonts w:ascii="Verdana" w:hAnsi="Verdana"/>
          <w:b/>
          <w:sz w:val="20"/>
          <w:szCs w:val="20"/>
        </w:rPr>
        <w:t xml:space="preserve"> </w:t>
      </w:r>
      <w:r w:rsidRPr="00C01305">
        <w:rPr>
          <w:rFonts w:ascii="Verdana" w:hAnsi="Verdana"/>
          <w:sz w:val="20"/>
          <w:szCs w:val="20"/>
        </w:rPr>
        <w:t>iv) el medio de comunicación buscó entrevista</w:t>
      </w:r>
      <w:r>
        <w:rPr>
          <w:rFonts w:ascii="Verdana" w:hAnsi="Verdana"/>
          <w:sz w:val="20"/>
          <w:szCs w:val="20"/>
        </w:rPr>
        <w:t>r</w:t>
      </w:r>
      <w:r w:rsidRPr="00C01305">
        <w:rPr>
          <w:rFonts w:ascii="Verdana" w:hAnsi="Verdana"/>
          <w:sz w:val="20"/>
          <w:szCs w:val="20"/>
        </w:rPr>
        <w:t xml:space="preserve"> al señor Lagos del Campo y difundió la entrevista en un medio de comunicación escrita, al considerar que atendía cu</w:t>
      </w:r>
      <w:r>
        <w:rPr>
          <w:rFonts w:ascii="Verdana" w:hAnsi="Verdana"/>
          <w:sz w:val="20"/>
          <w:szCs w:val="20"/>
        </w:rPr>
        <w:t>estiones de relevancia para</w:t>
      </w:r>
      <w:r w:rsidRPr="00C01305">
        <w:rPr>
          <w:rFonts w:ascii="Verdana" w:hAnsi="Verdana"/>
          <w:sz w:val="20"/>
          <w:szCs w:val="20"/>
        </w:rPr>
        <w:t xml:space="preserve"> la sociedad</w:t>
      </w:r>
      <w:r>
        <w:rPr>
          <w:rFonts w:ascii="Verdana" w:hAnsi="Verdana"/>
          <w:sz w:val="20"/>
          <w:szCs w:val="20"/>
        </w:rPr>
        <w:t xml:space="preserve"> interesada</w:t>
      </w:r>
      <w:r w:rsidR="007C6623">
        <w:rPr>
          <w:rFonts w:ascii="Verdana" w:hAnsi="Verdana"/>
          <w:sz w:val="20"/>
          <w:szCs w:val="20"/>
        </w:rPr>
        <w:t xml:space="preserve"> </w:t>
      </w:r>
      <w:r w:rsidR="008E18C3">
        <w:rPr>
          <w:rFonts w:ascii="Verdana" w:hAnsi="Verdana"/>
          <w:sz w:val="20"/>
          <w:szCs w:val="20"/>
        </w:rPr>
        <w:t>(</w:t>
      </w:r>
      <w:r w:rsidR="004868B2">
        <w:rPr>
          <w:rFonts w:ascii="Verdana" w:hAnsi="Verdana"/>
          <w:sz w:val="20"/>
          <w:szCs w:val="20"/>
        </w:rPr>
        <w:t xml:space="preserve">el </w:t>
      </w:r>
      <w:r w:rsidR="008E18C3">
        <w:rPr>
          <w:rFonts w:ascii="Verdana" w:hAnsi="Verdana"/>
          <w:sz w:val="20"/>
          <w:szCs w:val="20"/>
        </w:rPr>
        <w:t xml:space="preserve">gremio) </w:t>
      </w:r>
      <w:r w:rsidR="007C6623">
        <w:rPr>
          <w:rFonts w:ascii="Verdana" w:hAnsi="Verdana"/>
          <w:sz w:val="20"/>
          <w:szCs w:val="20"/>
        </w:rPr>
        <w:t>(</w:t>
      </w:r>
      <w:r w:rsidR="00224537" w:rsidRPr="00224537">
        <w:rPr>
          <w:rFonts w:ascii="Verdana" w:hAnsi="Verdana"/>
          <w:i/>
          <w:sz w:val="20"/>
          <w:szCs w:val="20"/>
        </w:rPr>
        <w:t>supra</w:t>
      </w:r>
      <w:r w:rsidR="007C6623">
        <w:rPr>
          <w:rFonts w:ascii="Verdana" w:hAnsi="Verdana"/>
          <w:sz w:val="20"/>
          <w:szCs w:val="20"/>
        </w:rPr>
        <w:t>, párr.</w:t>
      </w:r>
      <w:r w:rsidR="002F31BD">
        <w:rPr>
          <w:rFonts w:ascii="Verdana" w:hAnsi="Verdana"/>
          <w:sz w:val="20"/>
          <w:szCs w:val="20"/>
        </w:rPr>
        <w:t xml:space="preserve"> </w:t>
      </w:r>
      <w:r w:rsidR="006F2EA3">
        <w:rPr>
          <w:rFonts w:ascii="Verdana" w:hAnsi="Verdana"/>
          <w:sz w:val="20"/>
          <w:szCs w:val="20"/>
        </w:rPr>
        <w:t>11</w:t>
      </w:r>
      <w:r w:rsidR="000023EA">
        <w:rPr>
          <w:rFonts w:ascii="Verdana" w:hAnsi="Verdana"/>
          <w:sz w:val="20"/>
          <w:szCs w:val="20"/>
        </w:rPr>
        <w:t>1</w:t>
      </w:r>
      <w:r w:rsidR="007C6623">
        <w:rPr>
          <w:rFonts w:ascii="Verdana" w:hAnsi="Verdana"/>
          <w:sz w:val="20"/>
          <w:szCs w:val="20"/>
        </w:rPr>
        <w:t>)</w:t>
      </w:r>
      <w:r w:rsidRPr="00C01305">
        <w:rPr>
          <w:rFonts w:ascii="Verdana" w:hAnsi="Verdana"/>
          <w:sz w:val="20"/>
          <w:szCs w:val="20"/>
        </w:rPr>
        <w:t xml:space="preserve">. </w:t>
      </w:r>
    </w:p>
    <w:p w14:paraId="2072FA6F" w14:textId="77777777" w:rsidR="007A21DE" w:rsidRPr="00C01305" w:rsidRDefault="007A21DE" w:rsidP="007A21DE">
      <w:pPr>
        <w:contextualSpacing/>
        <w:jc w:val="both"/>
        <w:rPr>
          <w:rFonts w:ascii="Verdana" w:hAnsi="Verdana"/>
          <w:sz w:val="20"/>
          <w:szCs w:val="20"/>
          <w:lang w:val="es-CR"/>
        </w:rPr>
      </w:pPr>
    </w:p>
    <w:p w14:paraId="7DACC65E" w14:textId="6F303E5A" w:rsidR="007A21DE" w:rsidRPr="007C6623" w:rsidRDefault="007A21DE" w:rsidP="00E66DD7">
      <w:pPr>
        <w:numPr>
          <w:ilvl w:val="0"/>
          <w:numId w:val="1"/>
        </w:numPr>
        <w:ind w:left="0" w:firstLine="0"/>
        <w:contextualSpacing/>
        <w:jc w:val="both"/>
        <w:rPr>
          <w:rFonts w:ascii="Verdana" w:hAnsi="Verdana"/>
          <w:sz w:val="20"/>
          <w:szCs w:val="20"/>
          <w:lang w:val="es-CR"/>
        </w:rPr>
      </w:pPr>
      <w:r w:rsidRPr="00C01305">
        <w:rPr>
          <w:rFonts w:ascii="Verdana" w:hAnsi="Verdana"/>
          <w:sz w:val="20"/>
          <w:szCs w:val="20"/>
          <w:lang w:val="es-CR"/>
        </w:rPr>
        <w:t xml:space="preserve">Por ende, la Corte nota que, </w:t>
      </w:r>
      <w:r w:rsidRPr="00C01305">
        <w:rPr>
          <w:rFonts w:ascii="Verdana" w:hAnsi="Verdana"/>
          <w:sz w:val="20"/>
          <w:szCs w:val="20"/>
        </w:rPr>
        <w:t xml:space="preserve">en el contexto de dicho proceso electoral </w:t>
      </w:r>
      <w:r w:rsidRPr="00C01305">
        <w:rPr>
          <w:rFonts w:ascii="Verdana" w:hAnsi="Verdana"/>
          <w:sz w:val="20"/>
          <w:szCs w:val="20"/>
          <w:lang w:val="es-CR"/>
        </w:rPr>
        <w:t xml:space="preserve">las manifestaciones del señor Lagos del Campo, </w:t>
      </w:r>
      <w:r w:rsidRPr="00C01305">
        <w:rPr>
          <w:rFonts w:ascii="Verdana" w:hAnsi="Verdana"/>
          <w:sz w:val="20"/>
          <w:szCs w:val="20"/>
        </w:rPr>
        <w:t xml:space="preserve">como representante de los trabajadores, </w:t>
      </w:r>
      <w:r w:rsidRPr="00C01305">
        <w:rPr>
          <w:rFonts w:ascii="Verdana" w:hAnsi="Verdana"/>
          <w:sz w:val="20"/>
          <w:szCs w:val="20"/>
          <w:lang w:val="es-CR"/>
        </w:rPr>
        <w:t xml:space="preserve">además de rebasar el ámbito privado, tenían una relevancia o impacto tal como para trascender </w:t>
      </w:r>
      <w:r w:rsidRPr="00C01305">
        <w:rPr>
          <w:rFonts w:ascii="Verdana" w:hAnsi="Verdana"/>
          <w:sz w:val="20"/>
          <w:szCs w:val="20"/>
        </w:rPr>
        <w:t xml:space="preserve">no sólo el interés </w:t>
      </w:r>
      <w:r w:rsidR="005467CF">
        <w:rPr>
          <w:rFonts w:ascii="Verdana" w:hAnsi="Verdana"/>
          <w:sz w:val="20"/>
          <w:szCs w:val="20"/>
        </w:rPr>
        <w:t xml:space="preserve">colectivo </w:t>
      </w:r>
      <w:r w:rsidRPr="00C01305">
        <w:rPr>
          <w:rFonts w:ascii="Verdana" w:hAnsi="Verdana"/>
          <w:sz w:val="20"/>
          <w:szCs w:val="20"/>
        </w:rPr>
        <w:t>de los trabajadores de la empresa</w:t>
      </w:r>
      <w:r w:rsidRPr="00C01305">
        <w:rPr>
          <w:rFonts w:ascii="Verdana" w:hAnsi="Verdana"/>
          <w:sz w:val="20"/>
          <w:szCs w:val="20"/>
          <w:vertAlign w:val="superscript"/>
          <w:lang w:val="es-CR"/>
        </w:rPr>
        <w:footnoteReference w:id="149"/>
      </w:r>
      <w:r w:rsidRPr="00C01305">
        <w:rPr>
          <w:rFonts w:ascii="Verdana" w:hAnsi="Verdana"/>
          <w:sz w:val="20"/>
          <w:szCs w:val="20"/>
        </w:rPr>
        <w:t xml:space="preserve"> sino del gremio (de comuneros) relacionado con las Comunidades Industriales en general</w:t>
      </w:r>
      <w:r w:rsidRPr="00C01305">
        <w:rPr>
          <w:rFonts w:ascii="Verdana" w:hAnsi="Verdana"/>
          <w:sz w:val="20"/>
          <w:szCs w:val="20"/>
          <w:lang w:val="es-CR"/>
        </w:rPr>
        <w:t xml:space="preserve">. </w:t>
      </w:r>
      <w:r w:rsidR="007C6623" w:rsidRPr="007C6623">
        <w:rPr>
          <w:rFonts w:ascii="Verdana" w:hAnsi="Verdana"/>
          <w:sz w:val="20"/>
          <w:szCs w:val="20"/>
          <w:lang w:val="es-CR"/>
        </w:rPr>
        <w:t>Por tanto, d</w:t>
      </w:r>
      <w:r w:rsidRPr="007C6623">
        <w:rPr>
          <w:rFonts w:ascii="Verdana" w:hAnsi="Verdana"/>
          <w:sz w:val="20"/>
          <w:szCs w:val="20"/>
          <w:lang w:val="es-CR"/>
        </w:rPr>
        <w:t xml:space="preserve">e los hechos del presente caso se desprende que la información contenida en las declaraciones del señor Lagos del Campo eran de interés </w:t>
      </w:r>
      <w:r w:rsidR="007C6623">
        <w:rPr>
          <w:rFonts w:ascii="Verdana" w:hAnsi="Verdana"/>
          <w:sz w:val="20"/>
          <w:szCs w:val="20"/>
          <w:lang w:val="es-CR"/>
        </w:rPr>
        <w:t>público</w:t>
      </w:r>
      <w:r w:rsidRPr="007C6623">
        <w:rPr>
          <w:rFonts w:ascii="Verdana" w:hAnsi="Verdana"/>
          <w:sz w:val="20"/>
          <w:szCs w:val="20"/>
          <w:lang w:val="es-CR"/>
        </w:rPr>
        <w:t xml:space="preserve"> y por ende contaban con un nivel reforzado de protecció</w:t>
      </w:r>
      <w:r w:rsidR="000023EA">
        <w:rPr>
          <w:rFonts w:ascii="Verdana" w:hAnsi="Verdana"/>
          <w:sz w:val="20"/>
          <w:szCs w:val="20"/>
          <w:lang w:val="es-CR"/>
        </w:rPr>
        <w:t>n.</w:t>
      </w:r>
    </w:p>
    <w:p w14:paraId="6842EEB2" w14:textId="77777777" w:rsidR="007A21DE" w:rsidRPr="00C01305" w:rsidRDefault="007A21DE" w:rsidP="007A21DE">
      <w:pPr>
        <w:contextualSpacing/>
        <w:rPr>
          <w:rFonts w:ascii="Verdana" w:hAnsi="Verdana"/>
          <w:sz w:val="20"/>
          <w:szCs w:val="20"/>
          <w:lang w:val="es-CR"/>
        </w:rPr>
      </w:pPr>
    </w:p>
    <w:p w14:paraId="6ACC07BD" w14:textId="28D4E4C7" w:rsidR="007A21DE" w:rsidRPr="00EB5530" w:rsidRDefault="007A21DE" w:rsidP="00E66DD7">
      <w:pPr>
        <w:numPr>
          <w:ilvl w:val="0"/>
          <w:numId w:val="1"/>
        </w:numPr>
        <w:ind w:left="0" w:firstLine="0"/>
        <w:contextualSpacing/>
        <w:jc w:val="both"/>
        <w:rPr>
          <w:rFonts w:ascii="Verdana" w:hAnsi="Verdana"/>
          <w:sz w:val="20"/>
          <w:szCs w:val="20"/>
          <w:lang w:val="es-CR"/>
        </w:rPr>
      </w:pPr>
      <w:r w:rsidRPr="00C01305">
        <w:rPr>
          <w:rFonts w:ascii="Verdana" w:hAnsi="Verdana"/>
          <w:sz w:val="20"/>
          <w:szCs w:val="20"/>
          <w:lang w:val="es-CR"/>
        </w:rPr>
        <w:t xml:space="preserve">En tercer lugar, respecto </w:t>
      </w:r>
      <w:r w:rsidR="005467CF">
        <w:rPr>
          <w:rFonts w:ascii="Verdana" w:hAnsi="Verdana"/>
          <w:sz w:val="20"/>
          <w:szCs w:val="20"/>
          <w:lang w:val="es-CR"/>
        </w:rPr>
        <w:t>de la</w:t>
      </w:r>
      <w:r w:rsidR="007C6623">
        <w:rPr>
          <w:rFonts w:ascii="Verdana" w:hAnsi="Verdana"/>
          <w:sz w:val="20"/>
          <w:szCs w:val="20"/>
          <w:lang w:val="es-CR"/>
        </w:rPr>
        <w:t xml:space="preserve"> entidad </w:t>
      </w:r>
      <w:r w:rsidRPr="00C01305">
        <w:rPr>
          <w:rFonts w:ascii="Verdana" w:hAnsi="Verdana"/>
          <w:sz w:val="20"/>
          <w:szCs w:val="20"/>
          <w:lang w:val="es-CR"/>
        </w:rPr>
        <w:t>de las declaraciones publicadas</w:t>
      </w:r>
      <w:r w:rsidR="007C6623">
        <w:rPr>
          <w:rFonts w:ascii="Verdana" w:hAnsi="Verdana"/>
          <w:sz w:val="20"/>
          <w:szCs w:val="20"/>
          <w:lang w:val="es-CR"/>
        </w:rPr>
        <w:t xml:space="preserve"> en la revista </w:t>
      </w:r>
      <w:r w:rsidR="00060E86">
        <w:rPr>
          <w:rFonts w:ascii="Verdana" w:hAnsi="Verdana"/>
          <w:sz w:val="20"/>
          <w:szCs w:val="20"/>
          <w:lang w:val="es-CR"/>
        </w:rPr>
        <w:t>L</w:t>
      </w:r>
      <w:r w:rsidR="007C6623">
        <w:rPr>
          <w:rFonts w:ascii="Verdana" w:hAnsi="Verdana"/>
          <w:sz w:val="20"/>
          <w:szCs w:val="20"/>
          <w:lang w:val="es-CR"/>
        </w:rPr>
        <w:t>a Razón</w:t>
      </w:r>
      <w:r w:rsidRPr="00C01305">
        <w:rPr>
          <w:rFonts w:ascii="Verdana" w:hAnsi="Verdana"/>
          <w:sz w:val="20"/>
          <w:szCs w:val="20"/>
          <w:lang w:val="es-CR"/>
        </w:rPr>
        <w:t xml:space="preserve">, la Corte recuerda que </w:t>
      </w:r>
      <w:r w:rsidRPr="00C01305">
        <w:rPr>
          <w:rFonts w:ascii="Verdana" w:hAnsi="Verdana"/>
          <w:sz w:val="20"/>
          <w:szCs w:val="20"/>
          <w:lang w:val="es-MX"/>
        </w:rPr>
        <w:t>l</w:t>
      </w:r>
      <w:r w:rsidRPr="00C01305">
        <w:rPr>
          <w:rFonts w:ascii="Verdana" w:hAnsi="Verdana"/>
          <w:sz w:val="20"/>
          <w:szCs w:val="20"/>
        </w:rPr>
        <w:t>a libertad de expresión, particularmente en asuntos de interés público, “es una piedra angular en la existencia misma de una sociedad democrática”</w:t>
      </w:r>
      <w:r w:rsidRPr="00C01305">
        <w:rPr>
          <w:rFonts w:ascii="Verdana" w:hAnsi="Verdana"/>
          <w:sz w:val="20"/>
          <w:szCs w:val="20"/>
          <w:vertAlign w:val="superscript"/>
        </w:rPr>
        <w:footnoteReference w:id="150"/>
      </w:r>
      <w:r w:rsidRPr="00C01305">
        <w:rPr>
          <w:rFonts w:ascii="Verdana" w:hAnsi="Verdana"/>
          <w:sz w:val="20"/>
          <w:szCs w:val="20"/>
        </w:rPr>
        <w:t>. […] No sólo debe garantizarse en lo que respecta a la difusión de información o ideas que son recibidas favorablemente o consideradas como inofensivas o indiferentes</w:t>
      </w:r>
      <w:r w:rsidRPr="00B06027">
        <w:rPr>
          <w:rFonts w:ascii="Verdana" w:hAnsi="Verdana"/>
          <w:sz w:val="20"/>
          <w:szCs w:val="20"/>
        </w:rPr>
        <w:t>, sino también en lo que toca a las que resultan ingratas para el Estado o cualquier sector de la población</w:t>
      </w:r>
      <w:r w:rsidRPr="00C01305">
        <w:rPr>
          <w:rFonts w:ascii="Verdana" w:hAnsi="Verdana"/>
          <w:sz w:val="20"/>
          <w:szCs w:val="20"/>
          <w:vertAlign w:val="superscript"/>
        </w:rPr>
        <w:footnoteReference w:id="151"/>
      </w:r>
      <w:r w:rsidRPr="00FF5791">
        <w:rPr>
          <w:rFonts w:ascii="Verdana" w:hAnsi="Verdana"/>
          <w:sz w:val="20"/>
          <w:szCs w:val="20"/>
        </w:rPr>
        <w:t>.</w:t>
      </w:r>
      <w:r w:rsidRPr="00C01305">
        <w:rPr>
          <w:rFonts w:ascii="Verdana" w:hAnsi="Verdana"/>
          <w:sz w:val="20"/>
          <w:szCs w:val="20"/>
        </w:rPr>
        <w:t xml:space="preserve"> </w:t>
      </w:r>
      <w:r w:rsidRPr="00C01305">
        <w:rPr>
          <w:rFonts w:ascii="Verdana" w:hAnsi="Verdana"/>
          <w:sz w:val="20"/>
          <w:szCs w:val="20"/>
          <w:lang w:val="es-CR"/>
        </w:rPr>
        <w:t xml:space="preserve">Adicionalmente, en lo pertinente, ha sostenido que </w:t>
      </w:r>
      <w:r w:rsidRPr="00C01305">
        <w:rPr>
          <w:rFonts w:ascii="Verdana" w:hAnsi="Verdana"/>
          <w:sz w:val="20"/>
          <w:szCs w:val="20"/>
          <w:lang w:val="es-VE"/>
        </w:rPr>
        <w:t>“[e]</w:t>
      </w:r>
      <w:r w:rsidRPr="00C01305">
        <w:rPr>
          <w:rFonts w:ascii="Verdana" w:hAnsi="Verdana" w:cs="Arial"/>
          <w:sz w:val="20"/>
          <w:szCs w:val="20"/>
        </w:rPr>
        <w:t>n la arena del debate sobre temas de alto interés público, no sólo se protege la emisión de expresiones inofensivas o bien recibidas por la opinión pública, sino también la de aquellas que chocan, irritan o inquietan a los funcionarios públicos o a un sector cualquiera de la población</w:t>
      </w:r>
      <w:r w:rsidRPr="00C01305">
        <w:rPr>
          <w:rFonts w:ascii="Verdana" w:hAnsi="Verdana"/>
          <w:sz w:val="20"/>
          <w:szCs w:val="20"/>
          <w:vertAlign w:val="superscript"/>
        </w:rPr>
        <w:footnoteReference w:id="152"/>
      </w:r>
      <w:r w:rsidRPr="00C01305">
        <w:rPr>
          <w:rFonts w:ascii="Verdana" w:hAnsi="Verdana" w:cs="Arial"/>
          <w:sz w:val="20"/>
          <w:szCs w:val="20"/>
        </w:rPr>
        <w:t xml:space="preserve">. </w:t>
      </w:r>
      <w:r w:rsidRPr="00C01305">
        <w:rPr>
          <w:rFonts w:ascii="Verdana" w:hAnsi="Verdana"/>
          <w:sz w:val="20"/>
          <w:szCs w:val="20"/>
        </w:rPr>
        <w:t xml:space="preserve">En una sociedad democrática, la prensa debe informar </w:t>
      </w:r>
      <w:r w:rsidRPr="002E7463">
        <w:rPr>
          <w:rFonts w:ascii="Verdana" w:hAnsi="Verdana"/>
          <w:sz w:val="20"/>
          <w:szCs w:val="20"/>
        </w:rPr>
        <w:t>ampliamente sobre cuestiones de interés público, que afectan bienes sociales […]”</w:t>
      </w:r>
      <w:r w:rsidRPr="002E7463">
        <w:rPr>
          <w:rFonts w:ascii="Verdana" w:hAnsi="Verdana"/>
          <w:sz w:val="20"/>
          <w:szCs w:val="20"/>
          <w:vertAlign w:val="superscript"/>
        </w:rPr>
        <w:footnoteReference w:id="153"/>
      </w:r>
      <w:r w:rsidRPr="002E7463">
        <w:rPr>
          <w:rFonts w:ascii="Verdana" w:hAnsi="Verdana"/>
          <w:sz w:val="20"/>
          <w:szCs w:val="20"/>
        </w:rPr>
        <w:t xml:space="preserve">. Sin perjuicio de lo anterior, no pasa inadvertido </w:t>
      </w:r>
      <w:r w:rsidR="00B22068" w:rsidRPr="00EB5530">
        <w:rPr>
          <w:rFonts w:ascii="Verdana" w:hAnsi="Verdana"/>
          <w:sz w:val="20"/>
          <w:szCs w:val="20"/>
        </w:rPr>
        <w:t xml:space="preserve">por la Corte </w:t>
      </w:r>
      <w:r w:rsidRPr="00EB5530">
        <w:rPr>
          <w:rFonts w:ascii="Verdana" w:hAnsi="Verdana"/>
          <w:sz w:val="20"/>
          <w:szCs w:val="20"/>
        </w:rPr>
        <w:t>que los límites de la crítica admisible son menos amplios respecto de los particulares, en lo general, que respecto de los políticos y los funcionarios en el ejercicio de sus funciones</w:t>
      </w:r>
      <w:r w:rsidRPr="00EB5530">
        <w:rPr>
          <w:rFonts w:ascii="Verdana" w:hAnsi="Verdana"/>
          <w:sz w:val="20"/>
          <w:szCs w:val="20"/>
          <w:vertAlign w:val="superscript"/>
        </w:rPr>
        <w:footnoteReference w:id="154"/>
      </w:r>
      <w:r w:rsidRPr="00EB5530">
        <w:rPr>
          <w:rFonts w:ascii="Verdana" w:hAnsi="Verdana"/>
          <w:sz w:val="20"/>
          <w:szCs w:val="20"/>
        </w:rPr>
        <w:t xml:space="preserve">. </w:t>
      </w:r>
    </w:p>
    <w:p w14:paraId="3051DF23" w14:textId="77777777" w:rsidR="007A21DE" w:rsidRPr="00EB5530" w:rsidRDefault="007A21DE" w:rsidP="007A21DE">
      <w:pPr>
        <w:contextualSpacing/>
        <w:jc w:val="both"/>
        <w:rPr>
          <w:rFonts w:ascii="Verdana" w:hAnsi="Verdana"/>
          <w:sz w:val="20"/>
          <w:szCs w:val="20"/>
          <w:lang w:val="es-CR"/>
        </w:rPr>
      </w:pPr>
    </w:p>
    <w:p w14:paraId="1E90D8E0" w14:textId="25423949" w:rsidR="00FF5791" w:rsidRPr="00EB5530" w:rsidRDefault="007A21DE" w:rsidP="00E66DD7">
      <w:pPr>
        <w:numPr>
          <w:ilvl w:val="0"/>
          <w:numId w:val="1"/>
        </w:numPr>
        <w:ind w:left="0" w:firstLine="0"/>
        <w:contextualSpacing/>
        <w:jc w:val="both"/>
        <w:rPr>
          <w:rFonts w:ascii="Verdana" w:hAnsi="Verdana"/>
          <w:sz w:val="20"/>
          <w:szCs w:val="20"/>
          <w:lang w:val="es-CR"/>
        </w:rPr>
      </w:pPr>
      <w:r w:rsidRPr="00EB5530">
        <w:rPr>
          <w:rFonts w:ascii="Verdana" w:hAnsi="Verdana"/>
          <w:sz w:val="20"/>
          <w:szCs w:val="20"/>
          <w:lang w:val="es-CR"/>
        </w:rPr>
        <w:t xml:space="preserve">De las manifestaciones publicadas en la entrevista, el Tribunal estima que, en lo general, se desprende </w:t>
      </w:r>
      <w:r w:rsidR="00DF7914" w:rsidRPr="00EB5530">
        <w:rPr>
          <w:rFonts w:ascii="Verdana" w:hAnsi="Verdana"/>
          <w:sz w:val="20"/>
          <w:szCs w:val="20"/>
          <w:lang w:val="es-CR"/>
        </w:rPr>
        <w:t xml:space="preserve">que </w:t>
      </w:r>
      <w:r w:rsidR="009B6CB7" w:rsidRPr="00EB5530">
        <w:rPr>
          <w:rFonts w:ascii="Verdana" w:hAnsi="Verdana"/>
          <w:sz w:val="20"/>
          <w:szCs w:val="20"/>
          <w:lang w:val="es-CR"/>
        </w:rPr>
        <w:t>el objetivo</w:t>
      </w:r>
      <w:r w:rsidRPr="00EB5530">
        <w:rPr>
          <w:rFonts w:ascii="Verdana" w:hAnsi="Verdana"/>
          <w:sz w:val="20"/>
          <w:szCs w:val="20"/>
          <w:lang w:val="es-CR"/>
        </w:rPr>
        <w:t xml:space="preserve"> </w:t>
      </w:r>
      <w:r w:rsidR="00B22068" w:rsidRPr="00EB5530">
        <w:rPr>
          <w:rFonts w:ascii="Verdana" w:hAnsi="Verdana"/>
          <w:sz w:val="20"/>
          <w:szCs w:val="20"/>
          <w:lang w:val="es-CR"/>
        </w:rPr>
        <w:t>de</w:t>
      </w:r>
      <w:r w:rsidR="009B6CB7" w:rsidRPr="00EB5530">
        <w:rPr>
          <w:rFonts w:ascii="Verdana" w:hAnsi="Verdana"/>
          <w:sz w:val="20"/>
          <w:szCs w:val="20"/>
          <w:lang w:val="es-CR"/>
        </w:rPr>
        <w:t>l señor</w:t>
      </w:r>
      <w:r w:rsidR="00B22068" w:rsidRPr="00EB5530">
        <w:rPr>
          <w:rFonts w:ascii="Verdana" w:hAnsi="Verdana"/>
          <w:sz w:val="20"/>
          <w:szCs w:val="20"/>
          <w:lang w:val="es-CR"/>
        </w:rPr>
        <w:t xml:space="preserve"> Lagos del Campo </w:t>
      </w:r>
      <w:r w:rsidR="00DF7914" w:rsidRPr="00EB5530">
        <w:rPr>
          <w:rFonts w:ascii="Verdana" w:hAnsi="Verdana"/>
          <w:sz w:val="20"/>
          <w:szCs w:val="20"/>
          <w:lang w:val="es-CR"/>
        </w:rPr>
        <w:t xml:space="preserve">era </w:t>
      </w:r>
      <w:r w:rsidRPr="00EB5530">
        <w:rPr>
          <w:rFonts w:ascii="Verdana" w:hAnsi="Verdana"/>
          <w:sz w:val="20"/>
          <w:szCs w:val="20"/>
          <w:lang w:val="es-CR"/>
        </w:rPr>
        <w:t xml:space="preserve">denunciar las alegadas irregularidades, es decir, de informar sobre una situación, que a criterio de </w:t>
      </w:r>
      <w:r w:rsidR="00B22068" w:rsidRPr="00EB5530">
        <w:rPr>
          <w:rFonts w:ascii="Verdana" w:hAnsi="Verdana"/>
          <w:sz w:val="20"/>
          <w:szCs w:val="20"/>
          <w:lang w:val="es-CR"/>
        </w:rPr>
        <w:t>éste</w:t>
      </w:r>
      <w:r w:rsidRPr="00EB5530">
        <w:rPr>
          <w:rFonts w:ascii="Verdana" w:hAnsi="Verdana"/>
          <w:sz w:val="20"/>
          <w:szCs w:val="20"/>
          <w:lang w:val="es-CR"/>
        </w:rPr>
        <w:t xml:space="preserve"> vulneraba los intereses que él representaba</w:t>
      </w:r>
      <w:r w:rsidRPr="00EB5530">
        <w:rPr>
          <w:rFonts w:ascii="Verdana" w:hAnsi="Verdana"/>
          <w:sz w:val="20"/>
          <w:szCs w:val="20"/>
          <w:vertAlign w:val="superscript"/>
          <w:lang w:val="es-CR"/>
        </w:rPr>
        <w:footnoteReference w:id="155"/>
      </w:r>
      <w:r w:rsidRPr="00EB5530">
        <w:rPr>
          <w:rFonts w:ascii="Verdana" w:hAnsi="Verdana"/>
          <w:sz w:val="20"/>
          <w:szCs w:val="20"/>
          <w:lang w:val="es-CR"/>
        </w:rPr>
        <w:t xml:space="preserve">, </w:t>
      </w:r>
      <w:r w:rsidR="009B6CB7" w:rsidRPr="00EB5530">
        <w:rPr>
          <w:rFonts w:ascii="Verdana" w:hAnsi="Verdana"/>
          <w:sz w:val="20"/>
          <w:szCs w:val="20"/>
          <w:lang w:val="es-CR"/>
        </w:rPr>
        <w:t xml:space="preserve">acompañados quizás de </w:t>
      </w:r>
      <w:r w:rsidRPr="00EB5530">
        <w:rPr>
          <w:rFonts w:ascii="Verdana" w:hAnsi="Verdana"/>
          <w:sz w:val="20"/>
          <w:szCs w:val="20"/>
          <w:lang w:val="es-CR"/>
        </w:rPr>
        <w:t>comentarios críticos u opiniones</w:t>
      </w:r>
      <w:r w:rsidR="00FF5791" w:rsidRPr="00EB5530">
        <w:rPr>
          <w:rFonts w:ascii="Verdana" w:hAnsi="Verdana"/>
          <w:sz w:val="20"/>
          <w:szCs w:val="20"/>
          <w:lang w:val="es-CR"/>
        </w:rPr>
        <w:t xml:space="preserve">. Por el contrario, </w:t>
      </w:r>
      <w:r w:rsidR="00915ACA" w:rsidRPr="00EB5530">
        <w:rPr>
          <w:rFonts w:ascii="Verdana" w:hAnsi="Verdana"/>
          <w:sz w:val="20"/>
          <w:szCs w:val="20"/>
          <w:lang w:val="es-CR"/>
        </w:rPr>
        <w:t>d</w:t>
      </w:r>
      <w:r w:rsidR="00FF5791" w:rsidRPr="00EB5530">
        <w:rPr>
          <w:rFonts w:ascii="Verdana" w:hAnsi="Verdana"/>
          <w:sz w:val="20"/>
          <w:szCs w:val="20"/>
          <w:lang w:val="es-CR"/>
        </w:rPr>
        <w:t xml:space="preserve">el contenido de tales expresiones en el presente contexto no </w:t>
      </w:r>
      <w:r w:rsidR="00915ACA" w:rsidRPr="00EB5530">
        <w:rPr>
          <w:rFonts w:ascii="Verdana" w:hAnsi="Verdana"/>
          <w:sz w:val="20"/>
          <w:szCs w:val="20"/>
          <w:lang w:val="es-CR"/>
        </w:rPr>
        <w:t>se denota</w:t>
      </w:r>
      <w:r w:rsidR="00FF5791" w:rsidRPr="00EB5530">
        <w:rPr>
          <w:rFonts w:ascii="Verdana" w:hAnsi="Verdana"/>
          <w:sz w:val="20"/>
          <w:szCs w:val="20"/>
          <w:lang w:val="es-CR"/>
        </w:rPr>
        <w:t xml:space="preserve"> que tuvieran un manifiesto ánimo injurioso, difamatorio, vejatorio o doloso en contra de alguna persona en particular</w:t>
      </w:r>
      <w:r w:rsidR="00915ACA" w:rsidRPr="00EB5530">
        <w:rPr>
          <w:rFonts w:ascii="Verdana" w:hAnsi="Verdana"/>
          <w:sz w:val="20"/>
          <w:szCs w:val="20"/>
          <w:lang w:val="es-CR"/>
        </w:rPr>
        <w:t xml:space="preserve"> o</w:t>
      </w:r>
      <w:r w:rsidR="00CA4720">
        <w:rPr>
          <w:rFonts w:ascii="Verdana" w:hAnsi="Verdana"/>
          <w:sz w:val="20"/>
          <w:szCs w:val="20"/>
          <w:lang w:val="es-CR"/>
        </w:rPr>
        <w:t xml:space="preserve"> que</w:t>
      </w:r>
      <w:r w:rsidR="00915ACA" w:rsidRPr="00EB5530">
        <w:rPr>
          <w:rFonts w:ascii="Verdana" w:hAnsi="Verdana"/>
          <w:sz w:val="20"/>
          <w:szCs w:val="20"/>
          <w:lang w:val="es-CR"/>
        </w:rPr>
        <w:t xml:space="preserve"> tendieran</w:t>
      </w:r>
      <w:r w:rsidR="00CA4720">
        <w:rPr>
          <w:rFonts w:ascii="Verdana" w:hAnsi="Verdana"/>
          <w:sz w:val="20"/>
          <w:szCs w:val="20"/>
          <w:lang w:val="es-CR"/>
        </w:rPr>
        <w:t xml:space="preserve"> a</w:t>
      </w:r>
      <w:r w:rsidR="00915ACA" w:rsidRPr="00EB5530">
        <w:rPr>
          <w:rFonts w:ascii="Verdana" w:hAnsi="Verdana"/>
          <w:sz w:val="20"/>
          <w:szCs w:val="20"/>
          <w:lang w:val="es-CR"/>
        </w:rPr>
        <w:t xml:space="preserve"> afectar el producto de la empresa</w:t>
      </w:r>
      <w:r w:rsidR="00FF5791" w:rsidRPr="00EB5530">
        <w:rPr>
          <w:rFonts w:ascii="Verdana" w:hAnsi="Verdana"/>
          <w:sz w:val="20"/>
          <w:szCs w:val="20"/>
          <w:lang w:val="es-CR"/>
        </w:rPr>
        <w:t xml:space="preserve"> (</w:t>
      </w:r>
      <w:r w:rsidR="00224537" w:rsidRPr="00EB5530">
        <w:rPr>
          <w:rFonts w:ascii="Verdana" w:hAnsi="Verdana"/>
          <w:i/>
          <w:sz w:val="20"/>
          <w:szCs w:val="20"/>
          <w:lang w:val="es-CR"/>
        </w:rPr>
        <w:t>supra</w:t>
      </w:r>
      <w:r w:rsidR="00FF5791" w:rsidRPr="00EB5530">
        <w:rPr>
          <w:rFonts w:ascii="Verdana" w:hAnsi="Verdana"/>
          <w:sz w:val="20"/>
          <w:szCs w:val="20"/>
          <w:lang w:val="es-CR"/>
        </w:rPr>
        <w:t xml:space="preserve"> </w:t>
      </w:r>
      <w:r w:rsidR="00CA4720">
        <w:rPr>
          <w:rFonts w:ascii="Verdana" w:hAnsi="Verdana"/>
          <w:sz w:val="20"/>
          <w:szCs w:val="20"/>
          <w:lang w:val="es-CR"/>
        </w:rPr>
        <w:t>párr. 11</w:t>
      </w:r>
      <w:r w:rsidR="000023EA">
        <w:rPr>
          <w:rFonts w:ascii="Verdana" w:hAnsi="Verdana"/>
          <w:sz w:val="20"/>
          <w:szCs w:val="20"/>
          <w:lang w:val="es-CR"/>
        </w:rPr>
        <w:t>2</w:t>
      </w:r>
      <w:r w:rsidR="00FF5791" w:rsidRPr="00EB5530">
        <w:rPr>
          <w:rFonts w:ascii="Verdana" w:hAnsi="Verdana"/>
          <w:sz w:val="20"/>
          <w:szCs w:val="20"/>
          <w:lang w:val="es-CR"/>
        </w:rPr>
        <w:t>).</w:t>
      </w:r>
      <w:r w:rsidR="009B6CB7" w:rsidRPr="00EB5530">
        <w:rPr>
          <w:rFonts w:ascii="Verdana" w:hAnsi="Verdana"/>
          <w:sz w:val="20"/>
          <w:szCs w:val="20"/>
          <w:lang w:val="es-CR"/>
        </w:rPr>
        <w:t xml:space="preserve"> Si bien la publicación contenía particulares expresiones altisonantes sobre la situación denunciada, estas no </w:t>
      </w:r>
      <w:r w:rsidR="00DF7914" w:rsidRPr="00EB5530">
        <w:rPr>
          <w:rFonts w:ascii="Verdana" w:hAnsi="Verdana"/>
          <w:sz w:val="20"/>
          <w:szCs w:val="20"/>
          <w:lang w:val="es-CR"/>
        </w:rPr>
        <w:t>revestían</w:t>
      </w:r>
      <w:r w:rsidR="009B6CB7" w:rsidRPr="00EB5530">
        <w:rPr>
          <w:rFonts w:ascii="Verdana" w:hAnsi="Verdana"/>
          <w:sz w:val="20"/>
          <w:szCs w:val="20"/>
          <w:lang w:val="es-CR"/>
        </w:rPr>
        <w:t xml:space="preserve"> una entidad tal que traspas</w:t>
      </w:r>
      <w:r w:rsidR="00DF7914" w:rsidRPr="00EB5530">
        <w:rPr>
          <w:rFonts w:ascii="Verdana" w:hAnsi="Verdana"/>
          <w:sz w:val="20"/>
          <w:szCs w:val="20"/>
          <w:lang w:val="es-CR"/>
        </w:rPr>
        <w:t>ara</w:t>
      </w:r>
      <w:r w:rsidR="009B6CB7" w:rsidRPr="00EB5530">
        <w:rPr>
          <w:rFonts w:ascii="Verdana" w:hAnsi="Verdana"/>
          <w:sz w:val="20"/>
          <w:szCs w:val="20"/>
          <w:lang w:val="es-CR"/>
        </w:rPr>
        <w:t xml:space="preserve"> el umbral de especial protección </w:t>
      </w:r>
      <w:r w:rsidR="00DF7914" w:rsidRPr="00EB5530">
        <w:rPr>
          <w:rFonts w:ascii="Verdana" w:hAnsi="Verdana"/>
          <w:sz w:val="20"/>
          <w:szCs w:val="20"/>
          <w:lang w:val="es-CR"/>
        </w:rPr>
        <w:t>de</w:t>
      </w:r>
      <w:r w:rsidR="00915ACA" w:rsidRPr="00EB5530">
        <w:rPr>
          <w:rFonts w:ascii="Verdana" w:hAnsi="Verdana"/>
          <w:sz w:val="20"/>
          <w:szCs w:val="20"/>
          <w:lang w:val="es-CR"/>
        </w:rPr>
        <w:t>l carácter de</w:t>
      </w:r>
      <w:r w:rsidR="00DF7914" w:rsidRPr="00EB5530">
        <w:rPr>
          <w:rFonts w:ascii="Verdana" w:hAnsi="Verdana"/>
          <w:sz w:val="20"/>
          <w:szCs w:val="20"/>
          <w:lang w:val="es-CR"/>
        </w:rPr>
        <w:t xml:space="preserve"> las denuncias expuestas</w:t>
      </w:r>
      <w:r w:rsidR="009B6CB7" w:rsidRPr="00EB5530">
        <w:rPr>
          <w:rFonts w:ascii="Verdana" w:hAnsi="Verdana"/>
          <w:sz w:val="20"/>
          <w:szCs w:val="20"/>
          <w:lang w:val="es-CR"/>
        </w:rPr>
        <w:t xml:space="preserve"> en el marco del referido contexto</w:t>
      </w:r>
      <w:r w:rsidR="009B6CB7" w:rsidRPr="00EB5530">
        <w:rPr>
          <w:rFonts w:ascii="Verdana" w:hAnsi="Verdana"/>
          <w:sz w:val="20"/>
          <w:szCs w:val="20"/>
          <w:vertAlign w:val="superscript"/>
          <w:lang w:val="es-CR"/>
        </w:rPr>
        <w:footnoteReference w:id="156"/>
      </w:r>
      <w:r w:rsidR="00EF57BA" w:rsidRPr="00EB5530">
        <w:rPr>
          <w:rFonts w:ascii="Verdana" w:hAnsi="Verdana"/>
          <w:sz w:val="20"/>
          <w:szCs w:val="20"/>
          <w:lang w:val="es-CR"/>
        </w:rPr>
        <w:t>.</w:t>
      </w:r>
    </w:p>
    <w:p w14:paraId="57C95F0E" w14:textId="77777777" w:rsidR="00C92868" w:rsidRPr="00EB5530" w:rsidRDefault="00C92868" w:rsidP="005D0F69">
      <w:pPr>
        <w:contextualSpacing/>
        <w:rPr>
          <w:rFonts w:ascii="Verdana" w:hAnsi="Verdana"/>
          <w:sz w:val="20"/>
          <w:szCs w:val="20"/>
          <w:lang w:val="es-CR"/>
        </w:rPr>
      </w:pPr>
    </w:p>
    <w:p w14:paraId="7502E8BE" w14:textId="77E0C231" w:rsidR="00C01305" w:rsidRPr="00897912" w:rsidRDefault="00897912" w:rsidP="005B3D37">
      <w:pPr>
        <w:pStyle w:val="Heading3"/>
        <w:ind w:left="360"/>
        <w:rPr>
          <w:i/>
          <w:lang w:val="es-MX"/>
        </w:rPr>
      </w:pPr>
      <w:bookmarkStart w:id="47" w:name="_Toc498333504"/>
      <w:r w:rsidRPr="00EB5530">
        <w:rPr>
          <w:i/>
          <w:lang w:val="es-MX"/>
        </w:rPr>
        <w:t xml:space="preserve">1.2.2. </w:t>
      </w:r>
      <w:r w:rsidR="00C01305" w:rsidRPr="00EB5530">
        <w:rPr>
          <w:i/>
          <w:lang w:val="es-MX"/>
        </w:rPr>
        <w:t>Legalidad y finalidad</w:t>
      </w:r>
      <w:bookmarkEnd w:id="47"/>
    </w:p>
    <w:p w14:paraId="0BA7B371" w14:textId="42263B6F" w:rsidR="00C01305" w:rsidRPr="00C01305" w:rsidRDefault="00C01305" w:rsidP="00C01305">
      <w:pPr>
        <w:ind w:left="1440"/>
        <w:contextualSpacing/>
        <w:rPr>
          <w:rFonts w:ascii="Verdana" w:hAnsi="Verdana"/>
          <w:sz w:val="20"/>
          <w:szCs w:val="20"/>
          <w:lang w:val="es-CR"/>
        </w:rPr>
      </w:pPr>
    </w:p>
    <w:p w14:paraId="450851B1" w14:textId="1FD542C5" w:rsidR="00C464D5" w:rsidRPr="00E677C5" w:rsidRDefault="00EF57BA" w:rsidP="00E66DD7">
      <w:pPr>
        <w:pStyle w:val="ListParagraph"/>
        <w:numPr>
          <w:ilvl w:val="0"/>
          <w:numId w:val="1"/>
        </w:numPr>
        <w:ind w:left="0" w:firstLine="0"/>
        <w:jc w:val="both"/>
        <w:rPr>
          <w:rFonts w:ascii="Verdana" w:hAnsi="Verdana"/>
          <w:b/>
          <w:sz w:val="20"/>
          <w:szCs w:val="20"/>
        </w:rPr>
      </w:pPr>
      <w:r w:rsidRPr="0054602A">
        <w:rPr>
          <w:rFonts w:ascii="Verdana" w:hAnsi="Verdana"/>
          <w:sz w:val="20"/>
          <w:szCs w:val="20"/>
          <w:lang w:val="es-MX"/>
        </w:rPr>
        <w:t xml:space="preserve">De conformidad con el artículo 13.2, a fin de </w:t>
      </w:r>
      <w:r w:rsidR="00FF1171" w:rsidRPr="00E677C5">
        <w:rPr>
          <w:rFonts w:ascii="Verdana" w:hAnsi="Verdana"/>
          <w:sz w:val="20"/>
          <w:szCs w:val="20"/>
          <w:lang w:val="es-MX"/>
        </w:rPr>
        <w:t>evaluar si una restricción a un derecho establecido en la Convención Americana es permitida a la luz de dicho tratado consiste en examinar si la medida limitativa cumple con el requisito de legalidad. Ello significa que las condiciones y circunstancias generales que autorizan las restricciones a un derecho humano deben estar claramente establecidas en la ley, entendida esta tanto en su sentido formal como material</w:t>
      </w:r>
      <w:r w:rsidR="00FF1171" w:rsidRPr="00E677C5">
        <w:rPr>
          <w:rStyle w:val="FootnoteReference"/>
          <w:szCs w:val="20"/>
          <w:lang w:val="es-MX"/>
        </w:rPr>
        <w:footnoteReference w:id="157"/>
      </w:r>
      <w:r w:rsidR="00FF1171" w:rsidRPr="00E677C5">
        <w:rPr>
          <w:rFonts w:ascii="Verdana" w:hAnsi="Verdana"/>
          <w:sz w:val="20"/>
          <w:szCs w:val="20"/>
          <w:lang w:val="es-MX"/>
        </w:rPr>
        <w:t xml:space="preserve">. </w:t>
      </w:r>
    </w:p>
    <w:p w14:paraId="3FAF4880" w14:textId="77777777" w:rsidR="00C464D5" w:rsidRPr="00CB5A95" w:rsidRDefault="00C464D5" w:rsidP="00CB5A95">
      <w:pPr>
        <w:pStyle w:val="ListParagraph"/>
        <w:ind w:left="0"/>
        <w:jc w:val="both"/>
        <w:rPr>
          <w:rFonts w:ascii="Verdana" w:hAnsi="Verdana"/>
          <w:b/>
          <w:sz w:val="20"/>
          <w:szCs w:val="20"/>
        </w:rPr>
      </w:pPr>
    </w:p>
    <w:p w14:paraId="3F168DEE" w14:textId="227959C9" w:rsidR="00FF1171" w:rsidRPr="00907618" w:rsidRDefault="00FF1171" w:rsidP="00E66DD7">
      <w:pPr>
        <w:pStyle w:val="ListParagraph"/>
        <w:numPr>
          <w:ilvl w:val="0"/>
          <w:numId w:val="1"/>
        </w:numPr>
        <w:ind w:left="0" w:firstLine="0"/>
        <w:jc w:val="both"/>
        <w:rPr>
          <w:rFonts w:ascii="Verdana" w:hAnsi="Verdana"/>
          <w:b/>
          <w:sz w:val="20"/>
          <w:szCs w:val="20"/>
        </w:rPr>
      </w:pPr>
      <w:r w:rsidRPr="00CB5A95">
        <w:rPr>
          <w:rFonts w:ascii="Verdana" w:hAnsi="Verdana"/>
          <w:sz w:val="20"/>
        </w:rPr>
        <w:t xml:space="preserve">En </w:t>
      </w:r>
      <w:r w:rsidRPr="00907618">
        <w:rPr>
          <w:rFonts w:ascii="Verdana" w:hAnsi="Verdana"/>
          <w:sz w:val="20"/>
          <w:szCs w:val="20"/>
        </w:rPr>
        <w:t>materia de limitaciones de orden penal, este Tribunal ha establecido que es preciso observar los estrictos requerimientos característicos de la tipificación penal para satisfacer el principio de legalidad</w:t>
      </w:r>
      <w:r w:rsidRPr="00A532BE">
        <w:rPr>
          <w:rFonts w:ascii="Verdana" w:hAnsi="Verdana"/>
          <w:sz w:val="20"/>
          <w:szCs w:val="20"/>
          <w:vertAlign w:val="superscript"/>
        </w:rPr>
        <w:footnoteReference w:id="158"/>
      </w:r>
      <w:r w:rsidRPr="00907618">
        <w:rPr>
          <w:rFonts w:ascii="Verdana" w:hAnsi="Verdana"/>
          <w:sz w:val="20"/>
          <w:szCs w:val="20"/>
        </w:rPr>
        <w:t xml:space="preserve">. </w:t>
      </w:r>
      <w:r>
        <w:rPr>
          <w:rFonts w:ascii="Verdana" w:hAnsi="Verdana"/>
          <w:sz w:val="20"/>
          <w:szCs w:val="20"/>
        </w:rPr>
        <w:t>Sin embargo</w:t>
      </w:r>
      <w:r w:rsidRPr="00907618">
        <w:rPr>
          <w:rFonts w:ascii="Verdana" w:hAnsi="Verdana"/>
          <w:sz w:val="20"/>
          <w:szCs w:val="20"/>
        </w:rPr>
        <w:t>, la Corte advierte que la norma aplicada como fundamento para el despido del señor Lagos del Campo no era de naturaleza penal, sino laboral, y por lo tanto considera que el cumplimiento del requisito de legalidad no es susceptible de una evaluación análoga a la realizada en casos que involucren la afectación de bienes protegidos por el orden penal. Lo</w:t>
      </w:r>
      <w:r w:rsidRPr="00CB5A95">
        <w:rPr>
          <w:rFonts w:ascii="Verdana" w:hAnsi="Verdana"/>
          <w:sz w:val="20"/>
        </w:rPr>
        <w:t xml:space="preserve"> anterior </w:t>
      </w:r>
      <w:r w:rsidR="001B481A" w:rsidRPr="00333304">
        <w:rPr>
          <w:rFonts w:ascii="Verdana" w:hAnsi="Verdana"/>
          <w:sz w:val="20"/>
          <w:szCs w:val="20"/>
        </w:rPr>
        <w:t>puesto</w:t>
      </w:r>
      <w:r w:rsidR="001B481A" w:rsidRPr="00907618">
        <w:rPr>
          <w:rFonts w:ascii="Verdana" w:hAnsi="Verdana"/>
          <w:sz w:val="20"/>
          <w:szCs w:val="20"/>
        </w:rPr>
        <w:t xml:space="preserve"> </w:t>
      </w:r>
      <w:r w:rsidRPr="00907618">
        <w:rPr>
          <w:rFonts w:ascii="Verdana" w:hAnsi="Verdana"/>
          <w:sz w:val="20"/>
          <w:szCs w:val="20"/>
        </w:rPr>
        <w:t>que, tal y como lo ha sostenido este Tribunal al evaluar el cumplimiento del requisito de legalidad en casos que no involucran cuestiones penales, “el grado de precisión requerido a la legislación interna depende considerablemente de la materia”</w:t>
      </w:r>
      <w:r w:rsidRPr="00CF7C15">
        <w:rPr>
          <w:rFonts w:ascii="Verdana" w:hAnsi="Verdana"/>
          <w:sz w:val="20"/>
          <w:szCs w:val="20"/>
          <w:vertAlign w:val="superscript"/>
        </w:rPr>
        <w:footnoteReference w:id="159"/>
      </w:r>
      <w:r w:rsidRPr="00907618">
        <w:rPr>
          <w:rFonts w:ascii="Verdana" w:hAnsi="Verdana"/>
          <w:sz w:val="20"/>
          <w:szCs w:val="20"/>
        </w:rPr>
        <w:t>. De esta forma, no es exigible un nivel homogéneo de precisión para todas las normas de un ordenamiento jurídico que prevean restricciones a un derecho protegido por la Convención, pues:</w:t>
      </w:r>
    </w:p>
    <w:p w14:paraId="5F4FB881" w14:textId="77777777" w:rsidR="00FF1171" w:rsidRPr="00CF7C15" w:rsidRDefault="00FF1171" w:rsidP="00FF1171">
      <w:pPr>
        <w:contextualSpacing/>
        <w:jc w:val="both"/>
        <w:rPr>
          <w:rFonts w:ascii="Verdana" w:hAnsi="Verdana"/>
          <w:b/>
          <w:sz w:val="20"/>
          <w:szCs w:val="20"/>
        </w:rPr>
      </w:pPr>
    </w:p>
    <w:p w14:paraId="10660CED" w14:textId="2D840207" w:rsidR="00FF1171" w:rsidRPr="00261A99" w:rsidRDefault="00FF1171" w:rsidP="00CB5A95">
      <w:pPr>
        <w:ind w:left="720" w:right="714"/>
        <w:jc w:val="both"/>
        <w:rPr>
          <w:rFonts w:ascii="Verdana" w:hAnsi="Verdana"/>
          <w:sz w:val="18"/>
          <w:szCs w:val="20"/>
        </w:rPr>
      </w:pPr>
      <w:r w:rsidRPr="00557859">
        <w:rPr>
          <w:rFonts w:ascii="Verdana" w:hAnsi="Verdana"/>
          <w:sz w:val="20"/>
          <w:szCs w:val="20"/>
        </w:rPr>
        <w:t>[</w:t>
      </w:r>
      <w:r w:rsidRPr="00557859">
        <w:rPr>
          <w:rFonts w:ascii="Verdana" w:hAnsi="Verdana"/>
          <w:sz w:val="18"/>
          <w:szCs w:val="20"/>
        </w:rPr>
        <w:t xml:space="preserve">L]a ley debe estar formulada con precisión suficiente para permitir a las personas regular su conducta, de manera de ser capaces de prever con un grado que sea razonable, de acuerdo a las circunstancias, las consecuencias que una acción determinada puede conllevar. Como ha sido señalado, si bien la certeza en la ley es altamente deseable, ello puede traer una rigidez excesiva. Por otra parte, la ley debe ser capaz de mantenerse </w:t>
      </w:r>
      <w:r w:rsidRPr="00261A99">
        <w:rPr>
          <w:rFonts w:ascii="Verdana" w:hAnsi="Verdana"/>
          <w:sz w:val="18"/>
          <w:szCs w:val="20"/>
        </w:rPr>
        <w:t>vigente a pesar de las circunstancias cambiantes. En consecuencia, muchas leyes están formuladas en términos que, en mayor o menor medida, son vagos y cuya interpretación y aplicación son cuestiones de práctica</w:t>
      </w:r>
      <w:r w:rsidRPr="00261A99">
        <w:rPr>
          <w:rFonts w:ascii="Verdana" w:hAnsi="Verdana"/>
          <w:sz w:val="18"/>
          <w:szCs w:val="20"/>
          <w:vertAlign w:val="superscript"/>
        </w:rPr>
        <w:footnoteReference w:id="160"/>
      </w:r>
      <w:r w:rsidRPr="00261A99">
        <w:rPr>
          <w:rFonts w:ascii="Verdana" w:hAnsi="Verdana"/>
          <w:sz w:val="18"/>
          <w:szCs w:val="20"/>
        </w:rPr>
        <w:t>.</w:t>
      </w:r>
    </w:p>
    <w:p w14:paraId="4E030920" w14:textId="77777777" w:rsidR="00FF1171" w:rsidRPr="00DF7914" w:rsidRDefault="00FF1171" w:rsidP="00CB5A95">
      <w:pPr>
        <w:pStyle w:val="ListParagraph"/>
        <w:ind w:left="0"/>
        <w:jc w:val="both"/>
      </w:pPr>
    </w:p>
    <w:p w14:paraId="1FCD0BAD" w14:textId="6500F75B" w:rsidR="00D74FDD" w:rsidRPr="005D0F69" w:rsidRDefault="00D74FDD" w:rsidP="00E66DD7">
      <w:pPr>
        <w:numPr>
          <w:ilvl w:val="0"/>
          <w:numId w:val="1"/>
        </w:numPr>
        <w:ind w:left="0" w:firstLine="0"/>
        <w:contextualSpacing/>
        <w:jc w:val="both"/>
        <w:rPr>
          <w:rFonts w:ascii="Verdana" w:hAnsi="Verdana"/>
          <w:b/>
          <w:sz w:val="20"/>
          <w:szCs w:val="20"/>
        </w:rPr>
      </w:pPr>
      <w:r w:rsidRPr="00261A99">
        <w:rPr>
          <w:rFonts w:ascii="Verdana" w:hAnsi="Verdana"/>
          <w:sz w:val="20"/>
          <w:szCs w:val="20"/>
        </w:rPr>
        <w:t>Por otro lado, la Corte constata que la norma bajo análisis estaba destinada a proteger un fin legítimo y compatible con la Convención, como lo es la protección de la honra y la dignidad de los empleadores y de otros trabajadores que laboraran en la empresa o en el centro de trabajo. En este sentido, esta Corte considera que el hecho de que el inciso h) del artículo 5 de la Ley 24514 no previera expresamente una delimitación a su aplicación para proteger discursos de interés público, o aquellos discursos pronunciados por representantes de trabajadores en ejercicio de sus funciones</w:t>
      </w:r>
      <w:r w:rsidRPr="002E7463">
        <w:rPr>
          <w:rFonts w:ascii="Verdana" w:hAnsi="Verdana"/>
          <w:sz w:val="20"/>
          <w:szCs w:val="20"/>
        </w:rPr>
        <w:t xml:space="preserve">, no resulta </w:t>
      </w:r>
      <w:r w:rsidRPr="002E7463">
        <w:rPr>
          <w:rFonts w:ascii="Verdana" w:hAnsi="Verdana"/>
          <w:i/>
          <w:sz w:val="20"/>
          <w:szCs w:val="20"/>
        </w:rPr>
        <w:t>per se</w:t>
      </w:r>
      <w:r w:rsidRPr="00EB5530">
        <w:rPr>
          <w:rFonts w:ascii="Verdana" w:hAnsi="Verdana"/>
          <w:i/>
          <w:sz w:val="20"/>
          <w:szCs w:val="20"/>
        </w:rPr>
        <w:t xml:space="preserve"> </w:t>
      </w:r>
      <w:r w:rsidRPr="00EB5530">
        <w:rPr>
          <w:rFonts w:ascii="Verdana" w:hAnsi="Verdana"/>
          <w:sz w:val="20"/>
          <w:szCs w:val="20"/>
        </w:rPr>
        <w:t>incompatible con la Convención.</w:t>
      </w:r>
      <w:r w:rsidRPr="00261A99">
        <w:rPr>
          <w:rFonts w:ascii="Verdana" w:hAnsi="Verdana"/>
          <w:sz w:val="20"/>
          <w:szCs w:val="20"/>
        </w:rPr>
        <w:t xml:space="preserve"> </w:t>
      </w:r>
      <w:r w:rsidR="00DF7914">
        <w:rPr>
          <w:rFonts w:ascii="Verdana" w:hAnsi="Verdana"/>
          <w:sz w:val="20"/>
          <w:szCs w:val="20"/>
        </w:rPr>
        <w:t xml:space="preserve">Lo anterior, </w:t>
      </w:r>
      <w:r w:rsidR="00753933" w:rsidRPr="00333304">
        <w:rPr>
          <w:rFonts w:ascii="Verdana" w:hAnsi="Verdana"/>
          <w:sz w:val="20"/>
          <w:szCs w:val="20"/>
        </w:rPr>
        <w:t>debido a</w:t>
      </w:r>
      <w:r w:rsidR="001B481A" w:rsidRPr="00AA5FCF">
        <w:rPr>
          <w:rFonts w:ascii="Verdana" w:hAnsi="Verdana"/>
          <w:sz w:val="20"/>
          <w:szCs w:val="20"/>
        </w:rPr>
        <w:t xml:space="preserve"> </w:t>
      </w:r>
      <w:r w:rsidR="00DF7914">
        <w:rPr>
          <w:rFonts w:ascii="Verdana" w:hAnsi="Verdana"/>
          <w:sz w:val="20"/>
          <w:szCs w:val="20"/>
        </w:rPr>
        <w:t>que</w:t>
      </w:r>
      <w:r w:rsidRPr="00DF7914">
        <w:rPr>
          <w:rFonts w:ascii="Verdana" w:hAnsi="Verdana"/>
          <w:sz w:val="20"/>
          <w:szCs w:val="20"/>
        </w:rPr>
        <w:t xml:space="preserve"> el Estado no está obligado a determinar de manera taxativa en la ley aquellos discursos que requieren una protección especial, sino que serán las autoridades encargadas de su aplicación las que deberán velar por la protección a otros derechos que se </w:t>
      </w:r>
      <w:r w:rsidRPr="00DF7914">
        <w:rPr>
          <w:rFonts w:ascii="Verdana" w:hAnsi="Verdana"/>
          <w:sz w:val="20"/>
          <w:szCs w:val="20"/>
        </w:rPr>
        <w:lastRenderedPageBreak/>
        <w:t>encuentren en juego, en atención a los fines legítimos que persigue la norma, mediante un adecuado control de legalidad.</w:t>
      </w:r>
    </w:p>
    <w:p w14:paraId="343C0AE2" w14:textId="010D3BC8" w:rsidR="00FF1171" w:rsidRPr="00261A99" w:rsidRDefault="00FF1171" w:rsidP="005D0F69">
      <w:pPr>
        <w:contextualSpacing/>
        <w:jc w:val="both"/>
        <w:rPr>
          <w:rFonts w:ascii="Verdana" w:hAnsi="Verdana"/>
          <w:b/>
          <w:sz w:val="20"/>
          <w:szCs w:val="20"/>
        </w:rPr>
      </w:pPr>
    </w:p>
    <w:p w14:paraId="181D8924" w14:textId="24E05457" w:rsidR="00D74FDD" w:rsidRPr="00D74FDD" w:rsidRDefault="00FF1171" w:rsidP="00E66DD7">
      <w:pPr>
        <w:pStyle w:val="ListParagraph"/>
        <w:numPr>
          <w:ilvl w:val="0"/>
          <w:numId w:val="1"/>
        </w:numPr>
        <w:ind w:left="0" w:firstLine="0"/>
        <w:jc w:val="both"/>
        <w:rPr>
          <w:rFonts w:ascii="Verdana" w:hAnsi="Verdana"/>
          <w:sz w:val="20"/>
        </w:rPr>
      </w:pPr>
      <w:r w:rsidRPr="00261A99">
        <w:rPr>
          <w:rFonts w:ascii="Verdana" w:hAnsi="Verdana"/>
          <w:sz w:val="20"/>
          <w:szCs w:val="20"/>
        </w:rPr>
        <w:t>En relación con lo anterior, la Corte recuerda que, en virtud del artículo 2 de la Convención, los Estados</w:t>
      </w:r>
      <w:r w:rsidRPr="00557859">
        <w:rPr>
          <w:rFonts w:ascii="Verdana" w:hAnsi="Verdana"/>
          <w:sz w:val="20"/>
          <w:szCs w:val="20"/>
        </w:rPr>
        <w:t xml:space="preserve"> tienen el deber de desarrollar prácticas conducentes a la efectiva observancia de los derechos protegidos por la Convención, pues la existencia de una norma no garantiza por si misma su aplicación adecuada. Por esta razón, la Corte ha sostenido que es menester que la aplicación de las normas o su interpretación, en tanto prácticas jurisdiccionales y manifestación del orden público estatal, se encuentren ajustadas al mismo fin que persigue el artículo 2 de la Convención</w:t>
      </w:r>
      <w:r w:rsidRPr="00557859">
        <w:rPr>
          <w:rFonts w:ascii="Verdana" w:hAnsi="Verdana"/>
          <w:sz w:val="20"/>
          <w:szCs w:val="20"/>
          <w:vertAlign w:val="superscript"/>
        </w:rPr>
        <w:footnoteReference w:id="161"/>
      </w:r>
      <w:r w:rsidRPr="00557859">
        <w:rPr>
          <w:rFonts w:ascii="Verdana" w:hAnsi="Verdana"/>
          <w:sz w:val="20"/>
          <w:szCs w:val="20"/>
        </w:rPr>
        <w:t xml:space="preserve">. En consecuencia, aun cuando la Corte encuentra </w:t>
      </w:r>
      <w:r w:rsidR="00CC31D1">
        <w:rPr>
          <w:rFonts w:ascii="Verdana" w:hAnsi="Verdana"/>
          <w:sz w:val="20"/>
          <w:szCs w:val="20"/>
        </w:rPr>
        <w:t xml:space="preserve">que </w:t>
      </w:r>
      <w:r w:rsidRPr="00557859">
        <w:rPr>
          <w:rFonts w:ascii="Verdana" w:hAnsi="Verdana"/>
          <w:sz w:val="20"/>
          <w:szCs w:val="20"/>
        </w:rPr>
        <w:t xml:space="preserve">el inciso h) del artículo 5 de la Ley 24514 no era </w:t>
      </w:r>
      <w:r w:rsidRPr="00557859">
        <w:rPr>
          <w:rFonts w:ascii="Verdana" w:hAnsi="Verdana"/>
          <w:i/>
          <w:sz w:val="20"/>
          <w:szCs w:val="20"/>
        </w:rPr>
        <w:t xml:space="preserve">per se </w:t>
      </w:r>
      <w:r w:rsidRPr="00557859">
        <w:rPr>
          <w:rFonts w:ascii="Verdana" w:hAnsi="Verdana"/>
          <w:sz w:val="20"/>
          <w:szCs w:val="20"/>
        </w:rPr>
        <w:t xml:space="preserve">una norma </w:t>
      </w:r>
      <w:r w:rsidR="007E0EA8">
        <w:rPr>
          <w:rFonts w:ascii="Verdana" w:hAnsi="Verdana"/>
          <w:sz w:val="20"/>
          <w:szCs w:val="20"/>
        </w:rPr>
        <w:t>que contraviniera</w:t>
      </w:r>
      <w:r w:rsidR="007E0EA8" w:rsidRPr="00557859">
        <w:rPr>
          <w:rFonts w:ascii="Verdana" w:hAnsi="Verdana"/>
          <w:sz w:val="20"/>
          <w:szCs w:val="20"/>
        </w:rPr>
        <w:t xml:space="preserve"> </w:t>
      </w:r>
      <w:r w:rsidR="00CC31D1">
        <w:rPr>
          <w:rFonts w:ascii="Verdana" w:hAnsi="Verdana"/>
          <w:sz w:val="20"/>
          <w:szCs w:val="20"/>
        </w:rPr>
        <w:t xml:space="preserve">el artículo 13.2 de </w:t>
      </w:r>
      <w:r w:rsidRPr="00557859">
        <w:rPr>
          <w:rFonts w:ascii="Verdana" w:hAnsi="Verdana"/>
          <w:sz w:val="20"/>
          <w:szCs w:val="20"/>
        </w:rPr>
        <w:t>la Convención Americana, esto no exim</w:t>
      </w:r>
      <w:r w:rsidR="00CC31D1">
        <w:rPr>
          <w:rFonts w:ascii="Verdana" w:hAnsi="Verdana"/>
          <w:sz w:val="20"/>
          <w:szCs w:val="20"/>
        </w:rPr>
        <w:t>ía</w:t>
      </w:r>
      <w:r w:rsidRPr="00557859">
        <w:rPr>
          <w:rFonts w:ascii="Verdana" w:hAnsi="Verdana"/>
          <w:sz w:val="20"/>
          <w:szCs w:val="20"/>
        </w:rPr>
        <w:t xml:space="preserve"> a las autoridades de que la aplicación de dicha norma </w:t>
      </w:r>
      <w:r w:rsidR="00CC31D1">
        <w:rPr>
          <w:rFonts w:ascii="Verdana" w:hAnsi="Verdana"/>
          <w:sz w:val="20"/>
          <w:szCs w:val="20"/>
        </w:rPr>
        <w:t>fuera</w:t>
      </w:r>
      <w:r w:rsidRPr="00557859">
        <w:rPr>
          <w:rFonts w:ascii="Verdana" w:hAnsi="Verdana"/>
          <w:sz w:val="20"/>
          <w:szCs w:val="20"/>
        </w:rPr>
        <w:t xml:space="preserve"> reali</w:t>
      </w:r>
      <w:r w:rsidR="00CC31D1">
        <w:rPr>
          <w:rFonts w:ascii="Verdana" w:hAnsi="Verdana"/>
          <w:sz w:val="20"/>
          <w:szCs w:val="20"/>
        </w:rPr>
        <w:t>zada</w:t>
      </w:r>
      <w:r w:rsidRPr="00557859">
        <w:rPr>
          <w:rFonts w:ascii="Verdana" w:hAnsi="Verdana"/>
          <w:sz w:val="20"/>
          <w:szCs w:val="20"/>
        </w:rPr>
        <w:t xml:space="preserve"> con </w:t>
      </w:r>
      <w:r w:rsidR="00CC31D1">
        <w:rPr>
          <w:rFonts w:ascii="Verdana" w:hAnsi="Verdana"/>
          <w:sz w:val="20"/>
          <w:szCs w:val="20"/>
        </w:rPr>
        <w:t xml:space="preserve">la </w:t>
      </w:r>
      <w:r w:rsidRPr="00557859">
        <w:rPr>
          <w:rFonts w:ascii="Verdana" w:hAnsi="Verdana"/>
          <w:sz w:val="20"/>
          <w:szCs w:val="20"/>
        </w:rPr>
        <w:t xml:space="preserve">debida consideración a los </w:t>
      </w:r>
      <w:r w:rsidR="007E0EA8">
        <w:rPr>
          <w:rFonts w:ascii="Verdana" w:hAnsi="Verdana"/>
          <w:sz w:val="20"/>
          <w:szCs w:val="20"/>
        </w:rPr>
        <w:t xml:space="preserve">demás </w:t>
      </w:r>
      <w:r w:rsidRPr="00557859">
        <w:rPr>
          <w:rFonts w:ascii="Verdana" w:hAnsi="Verdana"/>
          <w:sz w:val="20"/>
          <w:szCs w:val="20"/>
        </w:rPr>
        <w:t xml:space="preserve">derechos </w:t>
      </w:r>
      <w:r w:rsidR="007E0EA8">
        <w:rPr>
          <w:rFonts w:ascii="Verdana" w:hAnsi="Verdana"/>
          <w:sz w:val="20"/>
          <w:szCs w:val="20"/>
        </w:rPr>
        <w:t xml:space="preserve">constitucionales y convencionales </w:t>
      </w:r>
      <w:r w:rsidRPr="00557859">
        <w:rPr>
          <w:rFonts w:ascii="Verdana" w:hAnsi="Verdana"/>
          <w:sz w:val="20"/>
          <w:szCs w:val="20"/>
        </w:rPr>
        <w:t>de los trabajadores y de sus representantes</w:t>
      </w:r>
      <w:r w:rsidR="00CC31D1">
        <w:rPr>
          <w:rFonts w:ascii="Verdana" w:hAnsi="Verdana"/>
          <w:sz w:val="20"/>
          <w:szCs w:val="20"/>
        </w:rPr>
        <w:t xml:space="preserve"> (</w:t>
      </w:r>
      <w:r w:rsidR="00CC31D1" w:rsidRPr="00CB5A95">
        <w:rPr>
          <w:rFonts w:ascii="Verdana" w:hAnsi="Verdana"/>
          <w:i/>
          <w:sz w:val="20"/>
          <w:szCs w:val="20"/>
        </w:rPr>
        <w:t>infra</w:t>
      </w:r>
      <w:r w:rsidR="00CC31D1">
        <w:rPr>
          <w:rFonts w:ascii="Verdana" w:hAnsi="Verdana"/>
          <w:sz w:val="20"/>
          <w:szCs w:val="20"/>
        </w:rPr>
        <w:t xml:space="preserve">, párr. </w:t>
      </w:r>
      <w:r w:rsidR="0010653B">
        <w:rPr>
          <w:rFonts w:ascii="Verdana" w:hAnsi="Verdana"/>
          <w:sz w:val="20"/>
          <w:szCs w:val="20"/>
        </w:rPr>
        <w:t>12</w:t>
      </w:r>
      <w:r w:rsidR="000023EA">
        <w:rPr>
          <w:rFonts w:ascii="Verdana" w:hAnsi="Verdana"/>
          <w:sz w:val="20"/>
          <w:szCs w:val="20"/>
        </w:rPr>
        <w:t>9</w:t>
      </w:r>
      <w:r w:rsidR="00CC31D1">
        <w:rPr>
          <w:rFonts w:ascii="Verdana" w:hAnsi="Verdana"/>
          <w:sz w:val="20"/>
          <w:szCs w:val="20"/>
        </w:rPr>
        <w:t>).</w:t>
      </w:r>
    </w:p>
    <w:p w14:paraId="30BCC8FB" w14:textId="77777777" w:rsidR="00D74FDD" w:rsidRPr="00D74FDD" w:rsidRDefault="00D74FDD" w:rsidP="005D0F69">
      <w:pPr>
        <w:pStyle w:val="ListParagraph"/>
        <w:ind w:left="0"/>
        <w:jc w:val="both"/>
        <w:rPr>
          <w:rFonts w:ascii="Verdana" w:hAnsi="Verdana"/>
          <w:sz w:val="20"/>
        </w:rPr>
      </w:pPr>
    </w:p>
    <w:p w14:paraId="3708E1F0" w14:textId="15B765B7" w:rsidR="00290945" w:rsidRPr="00625FAD" w:rsidRDefault="00D74FDD" w:rsidP="00E66DD7">
      <w:pPr>
        <w:pStyle w:val="ListParagraph"/>
        <w:numPr>
          <w:ilvl w:val="0"/>
          <w:numId w:val="1"/>
        </w:numPr>
        <w:ind w:left="0" w:firstLine="0"/>
        <w:jc w:val="both"/>
        <w:rPr>
          <w:rFonts w:ascii="Verdana" w:hAnsi="Verdana"/>
          <w:sz w:val="20"/>
        </w:rPr>
      </w:pPr>
      <w:r w:rsidRPr="005115F2">
        <w:rPr>
          <w:rFonts w:ascii="Verdana" w:hAnsi="Verdana"/>
          <w:sz w:val="20"/>
          <w:szCs w:val="20"/>
        </w:rPr>
        <w:t>En consecuencia, la Corte considera que el inciso h)</w:t>
      </w:r>
      <w:r w:rsidRPr="006E6185">
        <w:rPr>
          <w:rFonts w:ascii="Verdana" w:hAnsi="Verdana"/>
          <w:sz w:val="20"/>
          <w:szCs w:val="20"/>
        </w:rPr>
        <w:t xml:space="preserve"> del artículo 5 de la Ley 24514</w:t>
      </w:r>
      <w:r w:rsidRPr="005115F2">
        <w:rPr>
          <w:rFonts w:ascii="Verdana" w:hAnsi="Verdana"/>
          <w:sz w:val="20"/>
          <w:szCs w:val="20"/>
        </w:rPr>
        <w:t xml:space="preserve"> no </w:t>
      </w:r>
      <w:r w:rsidR="00915ACA">
        <w:rPr>
          <w:rFonts w:ascii="Verdana" w:hAnsi="Verdana"/>
          <w:sz w:val="20"/>
          <w:szCs w:val="20"/>
        </w:rPr>
        <w:t>contravenía</w:t>
      </w:r>
      <w:r w:rsidR="00261A99">
        <w:rPr>
          <w:rFonts w:ascii="Verdana" w:hAnsi="Verdana"/>
          <w:sz w:val="20"/>
          <w:szCs w:val="20"/>
        </w:rPr>
        <w:t xml:space="preserve"> </w:t>
      </w:r>
      <w:r w:rsidRPr="005115F2">
        <w:rPr>
          <w:rFonts w:ascii="Verdana" w:hAnsi="Verdana"/>
          <w:i/>
          <w:sz w:val="20"/>
          <w:szCs w:val="20"/>
        </w:rPr>
        <w:t xml:space="preserve">per se </w:t>
      </w:r>
      <w:r w:rsidR="00261A99" w:rsidRPr="005D0F69">
        <w:rPr>
          <w:rFonts w:ascii="Verdana" w:hAnsi="Verdana"/>
          <w:sz w:val="20"/>
          <w:szCs w:val="20"/>
        </w:rPr>
        <w:t>el artículo 13.2</w:t>
      </w:r>
      <w:r w:rsidR="00261A99">
        <w:rPr>
          <w:rFonts w:ascii="Verdana" w:hAnsi="Verdana"/>
          <w:i/>
          <w:sz w:val="20"/>
          <w:szCs w:val="20"/>
        </w:rPr>
        <w:t xml:space="preserve"> </w:t>
      </w:r>
      <w:r w:rsidR="00261A99">
        <w:rPr>
          <w:rFonts w:ascii="Verdana" w:hAnsi="Verdana"/>
          <w:sz w:val="20"/>
          <w:szCs w:val="20"/>
        </w:rPr>
        <w:t>de</w:t>
      </w:r>
      <w:r w:rsidR="00261A99">
        <w:rPr>
          <w:rFonts w:ascii="Verdana" w:hAnsi="Verdana"/>
          <w:i/>
          <w:sz w:val="20"/>
          <w:szCs w:val="20"/>
        </w:rPr>
        <w:t xml:space="preserve"> </w:t>
      </w:r>
      <w:r w:rsidRPr="005115F2">
        <w:rPr>
          <w:rFonts w:ascii="Verdana" w:hAnsi="Verdana"/>
          <w:sz w:val="20"/>
          <w:szCs w:val="20"/>
        </w:rPr>
        <w:t xml:space="preserve">la Convención Americana, y que por lo tanto </w:t>
      </w:r>
      <w:r w:rsidR="00DF7914">
        <w:rPr>
          <w:rFonts w:ascii="Verdana" w:hAnsi="Verdana"/>
          <w:sz w:val="20"/>
          <w:szCs w:val="20"/>
        </w:rPr>
        <w:t>el inciso</w:t>
      </w:r>
      <w:r w:rsidR="00261A99">
        <w:rPr>
          <w:rFonts w:ascii="Verdana" w:hAnsi="Verdana"/>
          <w:sz w:val="20"/>
          <w:szCs w:val="20"/>
        </w:rPr>
        <w:t xml:space="preserve"> materia de análisis </w:t>
      </w:r>
      <w:r w:rsidR="00DF7914">
        <w:rPr>
          <w:rFonts w:ascii="Verdana" w:hAnsi="Verdana"/>
          <w:sz w:val="20"/>
          <w:szCs w:val="20"/>
        </w:rPr>
        <w:t>dispuesto</w:t>
      </w:r>
      <w:r w:rsidR="00261A99">
        <w:rPr>
          <w:rFonts w:ascii="Verdana" w:hAnsi="Verdana"/>
          <w:sz w:val="20"/>
          <w:szCs w:val="20"/>
        </w:rPr>
        <w:t xml:space="preserve"> en dicha normativa </w:t>
      </w:r>
      <w:r w:rsidRPr="005115F2">
        <w:rPr>
          <w:rFonts w:ascii="Verdana" w:hAnsi="Verdana"/>
          <w:sz w:val="20"/>
          <w:szCs w:val="20"/>
        </w:rPr>
        <w:t>cumpl</w:t>
      </w:r>
      <w:r w:rsidR="00DF7914">
        <w:rPr>
          <w:rFonts w:ascii="Verdana" w:hAnsi="Verdana"/>
          <w:sz w:val="20"/>
          <w:szCs w:val="20"/>
        </w:rPr>
        <w:t>ía</w:t>
      </w:r>
      <w:r w:rsidRPr="005115F2">
        <w:rPr>
          <w:rFonts w:ascii="Verdana" w:hAnsi="Verdana"/>
          <w:sz w:val="20"/>
          <w:szCs w:val="20"/>
        </w:rPr>
        <w:t xml:space="preserve"> con </w:t>
      </w:r>
      <w:r w:rsidR="00261A99">
        <w:rPr>
          <w:rFonts w:ascii="Verdana" w:hAnsi="Verdana"/>
          <w:sz w:val="20"/>
          <w:szCs w:val="20"/>
        </w:rPr>
        <w:t>una finalidad validad a la luz de la Convención</w:t>
      </w:r>
      <w:r w:rsidR="00DF7914">
        <w:rPr>
          <w:rFonts w:ascii="Verdana" w:hAnsi="Verdana"/>
          <w:sz w:val="20"/>
          <w:szCs w:val="20"/>
        </w:rPr>
        <w:t xml:space="preserve"> y por tanto no vulneraba el requisito de legalidad</w:t>
      </w:r>
      <w:r w:rsidR="00261A99">
        <w:rPr>
          <w:rFonts w:ascii="Verdana" w:hAnsi="Verdana"/>
          <w:sz w:val="20"/>
          <w:szCs w:val="20"/>
        </w:rPr>
        <w:t>.</w:t>
      </w:r>
    </w:p>
    <w:p w14:paraId="3B9BB79D" w14:textId="07F363D1" w:rsidR="00C01305" w:rsidRPr="00CB5A95" w:rsidRDefault="00C01305" w:rsidP="00CB5A95">
      <w:pPr>
        <w:pStyle w:val="ListParagraph"/>
        <w:ind w:left="0"/>
        <w:jc w:val="both"/>
        <w:rPr>
          <w:rFonts w:ascii="Verdana" w:hAnsi="Verdana"/>
          <w:sz w:val="20"/>
        </w:rPr>
      </w:pPr>
    </w:p>
    <w:p w14:paraId="4949392E" w14:textId="56F2DC8A" w:rsidR="00C01305" w:rsidRPr="00897912" w:rsidRDefault="00897912" w:rsidP="005B3D37">
      <w:pPr>
        <w:pStyle w:val="Heading3"/>
        <w:ind w:left="360"/>
        <w:rPr>
          <w:i/>
          <w:lang w:val="es-MX"/>
        </w:rPr>
      </w:pPr>
      <w:bookmarkStart w:id="48" w:name="_Toc498333505"/>
      <w:r>
        <w:rPr>
          <w:i/>
          <w:lang w:val="es-MX"/>
        </w:rPr>
        <w:t xml:space="preserve">1.2.3. </w:t>
      </w:r>
      <w:r w:rsidR="00C01305" w:rsidRPr="00897912">
        <w:rPr>
          <w:i/>
          <w:lang w:val="es-MX"/>
        </w:rPr>
        <w:t xml:space="preserve">Necesidad </w:t>
      </w:r>
      <w:r w:rsidR="00B86291" w:rsidRPr="00897912">
        <w:rPr>
          <w:i/>
          <w:lang w:val="es-MX"/>
        </w:rPr>
        <w:t>de la restricción</w:t>
      </w:r>
      <w:r w:rsidR="001C2604" w:rsidRPr="00897912">
        <w:rPr>
          <w:i/>
          <w:lang w:val="es-MX"/>
        </w:rPr>
        <w:t xml:space="preserve"> y debida motivación</w:t>
      </w:r>
      <w:bookmarkEnd w:id="48"/>
    </w:p>
    <w:p w14:paraId="1923828A" w14:textId="77777777" w:rsidR="00C01305" w:rsidRPr="007A36B4" w:rsidRDefault="00C01305" w:rsidP="00C01305">
      <w:pPr>
        <w:ind w:left="1440"/>
        <w:contextualSpacing/>
        <w:jc w:val="both"/>
        <w:rPr>
          <w:rFonts w:ascii="Verdana" w:hAnsi="Verdana"/>
          <w:i/>
          <w:sz w:val="20"/>
          <w:szCs w:val="20"/>
          <w:lang w:val="es-MX"/>
        </w:rPr>
      </w:pPr>
    </w:p>
    <w:p w14:paraId="5D2F19B6" w14:textId="6F593FDD" w:rsidR="00C01305" w:rsidRPr="00473B78" w:rsidRDefault="007E0EA8" w:rsidP="00E66DD7">
      <w:pPr>
        <w:numPr>
          <w:ilvl w:val="0"/>
          <w:numId w:val="1"/>
        </w:numPr>
        <w:ind w:left="0" w:firstLine="0"/>
        <w:contextualSpacing/>
        <w:jc w:val="both"/>
        <w:rPr>
          <w:szCs w:val="20"/>
        </w:rPr>
      </w:pPr>
      <w:r>
        <w:rPr>
          <w:rFonts w:ascii="Verdana" w:hAnsi="Verdana"/>
          <w:sz w:val="20"/>
          <w:szCs w:val="20"/>
        </w:rPr>
        <w:t>E</w:t>
      </w:r>
      <w:r w:rsidR="00C01305" w:rsidRPr="005967AA">
        <w:rPr>
          <w:rFonts w:ascii="Verdana" w:hAnsi="Verdana"/>
          <w:sz w:val="20"/>
          <w:szCs w:val="20"/>
        </w:rPr>
        <w:t xml:space="preserve">l Tribunal </w:t>
      </w:r>
      <w:r w:rsidR="002F5C4C" w:rsidRPr="005967AA">
        <w:rPr>
          <w:rFonts w:ascii="Verdana" w:hAnsi="Verdana"/>
          <w:sz w:val="20"/>
          <w:szCs w:val="20"/>
        </w:rPr>
        <w:t>ha sostenido</w:t>
      </w:r>
      <w:r w:rsidR="00C01305" w:rsidRPr="005967AA">
        <w:rPr>
          <w:rFonts w:ascii="Verdana" w:hAnsi="Verdana"/>
          <w:sz w:val="20"/>
          <w:szCs w:val="20"/>
        </w:rPr>
        <w:t xml:space="preserve"> el criterio que </w:t>
      </w:r>
      <w:r w:rsidR="002F5C4C" w:rsidRPr="005967AA">
        <w:rPr>
          <w:rFonts w:ascii="Verdana" w:hAnsi="Verdana"/>
          <w:sz w:val="20"/>
          <w:szCs w:val="20"/>
        </w:rPr>
        <w:t>“</w:t>
      </w:r>
      <w:r w:rsidR="00C01305" w:rsidRPr="005967AA">
        <w:rPr>
          <w:rFonts w:ascii="Verdana" w:hAnsi="Verdana"/>
          <w:sz w:val="20"/>
          <w:szCs w:val="20"/>
        </w:rPr>
        <w:t>para que una restricción a la libre expresión sea compatible con la Convención Americana, aquella debe ser necesaria en una socieda</w:t>
      </w:r>
      <w:r w:rsidR="002F5C4C" w:rsidRPr="005967AA">
        <w:rPr>
          <w:rFonts w:ascii="Verdana" w:hAnsi="Verdana"/>
          <w:sz w:val="20"/>
          <w:szCs w:val="20"/>
        </w:rPr>
        <w:t xml:space="preserve">d democrática, entendiendo por </w:t>
      </w:r>
      <w:r w:rsidR="00E358F5">
        <w:rPr>
          <w:rFonts w:ascii="Verdana" w:hAnsi="Verdana"/>
          <w:sz w:val="20"/>
          <w:szCs w:val="20"/>
        </w:rPr>
        <w:t>‘</w:t>
      </w:r>
      <w:r w:rsidR="002F5C4C" w:rsidRPr="005967AA">
        <w:rPr>
          <w:rFonts w:ascii="Verdana" w:hAnsi="Verdana"/>
          <w:sz w:val="20"/>
          <w:szCs w:val="20"/>
        </w:rPr>
        <w:t>necesaria</w:t>
      </w:r>
      <w:r w:rsidR="00EC3032">
        <w:rPr>
          <w:rFonts w:ascii="Verdana" w:hAnsi="Verdana"/>
          <w:sz w:val="20"/>
          <w:szCs w:val="20"/>
        </w:rPr>
        <w:t>’</w:t>
      </w:r>
      <w:r w:rsidR="00C01305" w:rsidRPr="005967AA">
        <w:rPr>
          <w:rFonts w:ascii="Verdana" w:hAnsi="Verdana"/>
          <w:sz w:val="20"/>
          <w:szCs w:val="20"/>
        </w:rPr>
        <w:t xml:space="preserve"> la existencia de una necesidad social imperiosa que justifique la restricción</w:t>
      </w:r>
      <w:r w:rsidR="00C01305" w:rsidRPr="00C01305">
        <w:rPr>
          <w:rFonts w:ascii="Verdana" w:hAnsi="Verdana"/>
          <w:sz w:val="20"/>
          <w:szCs w:val="20"/>
          <w:vertAlign w:val="superscript"/>
        </w:rPr>
        <w:footnoteReference w:id="162"/>
      </w:r>
      <w:r w:rsidR="00C01305" w:rsidRPr="005967AA">
        <w:rPr>
          <w:rFonts w:ascii="Verdana" w:hAnsi="Verdana"/>
          <w:sz w:val="20"/>
          <w:szCs w:val="20"/>
        </w:rPr>
        <w:t xml:space="preserve">. En concreto, </w:t>
      </w:r>
      <w:r w:rsidR="00473B78">
        <w:rPr>
          <w:rFonts w:ascii="Verdana" w:hAnsi="Verdana"/>
          <w:sz w:val="20"/>
          <w:szCs w:val="20"/>
          <w:lang w:val="es-CR"/>
        </w:rPr>
        <w:t xml:space="preserve">corresponde determinar </w:t>
      </w:r>
      <w:r w:rsidR="00473B78" w:rsidRPr="00CB5A95">
        <w:rPr>
          <w:rFonts w:ascii="Verdana" w:hAnsi="Verdana"/>
          <w:sz w:val="20"/>
          <w:szCs w:val="20"/>
        </w:rPr>
        <w:t>si a la luz del conjunto de circunstancias, la sanción impuesta a la presunta víctima guardó proporción con el fin legítimo perseguido</w:t>
      </w:r>
      <w:r w:rsidR="00473B78" w:rsidRPr="00CB5A95">
        <w:rPr>
          <w:rFonts w:ascii="Verdana" w:hAnsi="Verdana"/>
          <w:sz w:val="20"/>
          <w:szCs w:val="20"/>
          <w:vertAlign w:val="superscript"/>
        </w:rPr>
        <w:footnoteReference w:id="163"/>
      </w:r>
      <w:r w:rsidR="00473B78" w:rsidRPr="00CB5A95">
        <w:rPr>
          <w:rFonts w:ascii="Verdana" w:hAnsi="Verdana"/>
          <w:sz w:val="20"/>
          <w:szCs w:val="20"/>
        </w:rPr>
        <w:t>, y si las causas invocadas por las autoridades internas para justificarla fueron pertinentes y suficientes</w:t>
      </w:r>
      <w:r w:rsidR="00473B78" w:rsidRPr="00CB5A95">
        <w:rPr>
          <w:rStyle w:val="FootnoteReference"/>
          <w:szCs w:val="20"/>
        </w:rPr>
        <w:footnoteReference w:id="164"/>
      </w:r>
      <w:r w:rsidR="00473B78" w:rsidRPr="00CB5A95">
        <w:rPr>
          <w:rFonts w:ascii="Verdana" w:hAnsi="Verdana"/>
          <w:sz w:val="20"/>
          <w:szCs w:val="20"/>
        </w:rPr>
        <w:t>, mediante una debida motivación.</w:t>
      </w:r>
    </w:p>
    <w:p w14:paraId="0E4EB35F" w14:textId="77777777" w:rsidR="005967AA" w:rsidRPr="005967AA" w:rsidRDefault="005967AA" w:rsidP="005967AA">
      <w:pPr>
        <w:contextualSpacing/>
        <w:jc w:val="both"/>
        <w:rPr>
          <w:szCs w:val="20"/>
        </w:rPr>
      </w:pPr>
    </w:p>
    <w:p w14:paraId="370320A9" w14:textId="4D1052EA" w:rsidR="00AA54B8" w:rsidRPr="005D0F69" w:rsidRDefault="00C01305" w:rsidP="00E66DD7">
      <w:pPr>
        <w:numPr>
          <w:ilvl w:val="0"/>
          <w:numId w:val="1"/>
        </w:numPr>
        <w:ind w:left="0" w:firstLine="0"/>
        <w:contextualSpacing/>
        <w:jc w:val="both"/>
        <w:rPr>
          <w:rFonts w:ascii="Verdana" w:hAnsi="Verdana"/>
          <w:sz w:val="20"/>
          <w:szCs w:val="20"/>
        </w:rPr>
      </w:pPr>
      <w:r w:rsidRPr="00C01305">
        <w:rPr>
          <w:rFonts w:ascii="Verdana" w:hAnsi="Verdana"/>
          <w:sz w:val="20"/>
          <w:szCs w:val="20"/>
        </w:rPr>
        <w:t xml:space="preserve">En este sentido, la Corte entiende que </w:t>
      </w:r>
      <w:r w:rsidRPr="00C01305">
        <w:rPr>
          <w:rFonts w:ascii="Verdana" w:hAnsi="Verdana"/>
          <w:sz w:val="20"/>
          <w:szCs w:val="20"/>
          <w:lang w:val="es-CR"/>
        </w:rPr>
        <w:t xml:space="preserve">el despido puede constituir la máxima sanción de </w:t>
      </w:r>
      <w:r w:rsidR="00A528A6">
        <w:rPr>
          <w:rFonts w:ascii="Verdana" w:hAnsi="Verdana"/>
          <w:sz w:val="20"/>
          <w:szCs w:val="20"/>
          <w:lang w:val="es-CR"/>
        </w:rPr>
        <w:t xml:space="preserve">la relación </w:t>
      </w:r>
      <w:r w:rsidR="000D589F">
        <w:rPr>
          <w:rFonts w:ascii="Verdana" w:hAnsi="Verdana"/>
          <w:sz w:val="20"/>
          <w:szCs w:val="20"/>
          <w:lang w:val="es-CR"/>
        </w:rPr>
        <w:t>laboral</w:t>
      </w:r>
      <w:r w:rsidRPr="00C01305">
        <w:rPr>
          <w:rFonts w:ascii="Verdana" w:hAnsi="Verdana"/>
          <w:sz w:val="20"/>
          <w:szCs w:val="20"/>
          <w:vertAlign w:val="superscript"/>
          <w:lang w:val="es-CR"/>
        </w:rPr>
        <w:footnoteReference w:id="165"/>
      </w:r>
      <w:r w:rsidRPr="00C01305">
        <w:rPr>
          <w:rFonts w:ascii="Verdana" w:hAnsi="Verdana"/>
          <w:sz w:val="20"/>
          <w:szCs w:val="20"/>
          <w:lang w:val="es-CR"/>
        </w:rPr>
        <w:t>, por lo que es fundamental que la misma revista de una necesidad imperiosa frente a la libertad de expresión y que tal sanción esté debidamente justificada (“despido justificado”)</w:t>
      </w:r>
      <w:r w:rsidRPr="00C01305">
        <w:rPr>
          <w:rFonts w:ascii="Verdana" w:hAnsi="Verdana"/>
          <w:sz w:val="20"/>
          <w:szCs w:val="20"/>
          <w:vertAlign w:val="superscript"/>
          <w:lang w:val="es-CR"/>
        </w:rPr>
        <w:footnoteReference w:id="166"/>
      </w:r>
      <w:r w:rsidRPr="00C01305">
        <w:rPr>
          <w:rFonts w:ascii="Verdana" w:hAnsi="Verdana"/>
          <w:sz w:val="20"/>
          <w:szCs w:val="20"/>
          <w:lang w:val="es-CR"/>
        </w:rPr>
        <w:t xml:space="preserve">. </w:t>
      </w:r>
    </w:p>
    <w:p w14:paraId="2538095C" w14:textId="0649B586" w:rsidR="00A528A6" w:rsidRPr="00C01305" w:rsidRDefault="00A528A6" w:rsidP="005D0F69">
      <w:pPr>
        <w:contextualSpacing/>
        <w:jc w:val="both"/>
        <w:rPr>
          <w:rFonts w:ascii="Verdana" w:hAnsi="Verdana"/>
          <w:sz w:val="20"/>
          <w:szCs w:val="20"/>
        </w:rPr>
      </w:pPr>
    </w:p>
    <w:p w14:paraId="16363821" w14:textId="5D50BAFB" w:rsidR="00C01305" w:rsidRPr="00915ACA" w:rsidRDefault="00C01305" w:rsidP="00E66DD7">
      <w:pPr>
        <w:numPr>
          <w:ilvl w:val="0"/>
          <w:numId w:val="1"/>
        </w:numPr>
        <w:ind w:left="0" w:firstLine="0"/>
        <w:contextualSpacing/>
        <w:jc w:val="both"/>
        <w:rPr>
          <w:rFonts w:ascii="Verdana" w:hAnsi="Verdana"/>
          <w:sz w:val="20"/>
          <w:szCs w:val="20"/>
        </w:rPr>
      </w:pPr>
      <w:r w:rsidRPr="00915ACA">
        <w:rPr>
          <w:rFonts w:ascii="Verdana" w:hAnsi="Verdana"/>
          <w:sz w:val="20"/>
          <w:szCs w:val="20"/>
        </w:rPr>
        <w:lastRenderedPageBreak/>
        <w:t xml:space="preserve">Al respecto, resulta relevante la </w:t>
      </w:r>
      <w:r w:rsidR="00B86291" w:rsidRPr="00915ACA">
        <w:rPr>
          <w:rFonts w:ascii="Verdana" w:hAnsi="Verdana"/>
          <w:sz w:val="20"/>
          <w:szCs w:val="20"/>
        </w:rPr>
        <w:t>R</w:t>
      </w:r>
      <w:r w:rsidRPr="00915ACA">
        <w:rPr>
          <w:rFonts w:ascii="Verdana" w:hAnsi="Verdana"/>
          <w:sz w:val="20"/>
          <w:szCs w:val="20"/>
        </w:rPr>
        <w:t xml:space="preserve">ecomendación No. 143 de la OIT sobre los representantes de los trabajadores, mediante la cual (en sus puntos 5 y 6) </w:t>
      </w:r>
      <w:r w:rsidR="008D7ED4" w:rsidRPr="00915ACA">
        <w:rPr>
          <w:rFonts w:ascii="Verdana" w:hAnsi="Verdana"/>
          <w:sz w:val="20"/>
          <w:szCs w:val="20"/>
        </w:rPr>
        <w:t xml:space="preserve">establece </w:t>
      </w:r>
      <w:r w:rsidRPr="00915ACA">
        <w:rPr>
          <w:rFonts w:ascii="Verdana" w:hAnsi="Verdana"/>
          <w:sz w:val="20"/>
          <w:szCs w:val="20"/>
        </w:rPr>
        <w:t xml:space="preserve">una </w:t>
      </w:r>
      <w:r w:rsidRPr="005D0F69">
        <w:rPr>
          <w:rFonts w:ascii="Verdana" w:hAnsi="Verdana"/>
          <w:sz w:val="20"/>
          <w:szCs w:val="20"/>
        </w:rPr>
        <w:t>protección especial</w:t>
      </w:r>
      <w:r w:rsidRPr="00915ACA">
        <w:rPr>
          <w:rFonts w:ascii="Verdana" w:hAnsi="Verdana"/>
          <w:sz w:val="20"/>
          <w:szCs w:val="20"/>
        </w:rPr>
        <w:t xml:space="preserve"> que deben tener los representantes de los trabajadores contra todo acto que pueda perjudicarlos, incluido el despido por razón de su condición de representantes de los trabajadores, entre otras,</w:t>
      </w:r>
      <w:r w:rsidRPr="00BB752A">
        <w:rPr>
          <w:rFonts w:ascii="Verdana" w:hAnsi="Verdana"/>
          <w:sz w:val="20"/>
          <w:szCs w:val="20"/>
        </w:rPr>
        <w:t xml:space="preserve"> siempre que dichos representantes actúen conforme a las leyes, contratos colectivos u otros acuerdos comunes en vigor</w:t>
      </w:r>
      <w:r w:rsidRPr="00915ACA">
        <w:rPr>
          <w:rFonts w:ascii="Verdana" w:hAnsi="Verdana"/>
          <w:sz w:val="20"/>
          <w:szCs w:val="20"/>
          <w:vertAlign w:val="superscript"/>
        </w:rPr>
        <w:footnoteReference w:id="167"/>
      </w:r>
      <w:r w:rsidRPr="00915ACA">
        <w:rPr>
          <w:rFonts w:ascii="Verdana" w:hAnsi="Verdana"/>
          <w:sz w:val="20"/>
          <w:szCs w:val="20"/>
        </w:rPr>
        <w:t xml:space="preserve">. </w:t>
      </w:r>
    </w:p>
    <w:p w14:paraId="3913FC57" w14:textId="77777777" w:rsidR="00C01305" w:rsidRPr="00C01305" w:rsidRDefault="00C01305" w:rsidP="00CA58EF">
      <w:pPr>
        <w:contextualSpacing/>
        <w:jc w:val="both"/>
        <w:rPr>
          <w:rFonts w:ascii="Verdana" w:hAnsi="Verdana"/>
          <w:sz w:val="20"/>
          <w:szCs w:val="20"/>
        </w:rPr>
      </w:pPr>
    </w:p>
    <w:p w14:paraId="4EC471D7" w14:textId="308A22E9" w:rsidR="00C01305" w:rsidRPr="00C01305" w:rsidRDefault="00AA54B8" w:rsidP="00E66DD7">
      <w:pPr>
        <w:numPr>
          <w:ilvl w:val="0"/>
          <w:numId w:val="1"/>
        </w:numPr>
        <w:shd w:val="clear" w:color="auto" w:fill="FFFFFF"/>
        <w:ind w:left="0" w:firstLine="0"/>
        <w:contextualSpacing/>
        <w:jc w:val="both"/>
        <w:rPr>
          <w:rFonts w:ascii="Verdana" w:hAnsi="Verdana"/>
          <w:b/>
          <w:sz w:val="20"/>
          <w:szCs w:val="20"/>
        </w:rPr>
      </w:pPr>
      <w:r>
        <w:rPr>
          <w:rFonts w:ascii="Verdana" w:hAnsi="Verdana"/>
          <w:sz w:val="20"/>
          <w:szCs w:val="20"/>
          <w:lang w:val="es-CR"/>
        </w:rPr>
        <w:t>E</w:t>
      </w:r>
      <w:r w:rsidR="00C01305" w:rsidRPr="00C01305">
        <w:rPr>
          <w:rFonts w:ascii="Verdana" w:hAnsi="Verdana"/>
          <w:sz w:val="20"/>
          <w:szCs w:val="20"/>
          <w:lang w:val="es-CR"/>
        </w:rPr>
        <w:t xml:space="preserve">n primer término, </w:t>
      </w:r>
      <w:r>
        <w:rPr>
          <w:rFonts w:ascii="Verdana" w:hAnsi="Verdana"/>
          <w:sz w:val="20"/>
          <w:szCs w:val="20"/>
          <w:lang w:val="es-CR"/>
        </w:rPr>
        <w:t xml:space="preserve">en este caso, </w:t>
      </w:r>
      <w:r w:rsidR="00C01305" w:rsidRPr="00C01305">
        <w:rPr>
          <w:rFonts w:ascii="Verdana" w:hAnsi="Verdana"/>
          <w:sz w:val="20"/>
          <w:szCs w:val="20"/>
          <w:lang w:val="es-CR"/>
        </w:rPr>
        <w:t xml:space="preserve">mediante carta de </w:t>
      </w:r>
      <w:r w:rsidR="00C01305" w:rsidRPr="00C01305">
        <w:rPr>
          <w:rFonts w:ascii="Verdana" w:hAnsi="Verdana"/>
          <w:sz w:val="20"/>
          <w:szCs w:val="20"/>
        </w:rPr>
        <w:t>despido</w:t>
      </w:r>
      <w:r w:rsidR="00C01305" w:rsidRPr="00C01305">
        <w:rPr>
          <w:rFonts w:ascii="Verdana" w:hAnsi="Verdana"/>
          <w:sz w:val="20"/>
          <w:szCs w:val="20"/>
          <w:lang w:val="es-CR"/>
        </w:rPr>
        <w:t xml:space="preserve"> el empleador consideró que el señor Lagos del Ca</w:t>
      </w:r>
      <w:r w:rsidR="002F5C4C">
        <w:rPr>
          <w:rFonts w:ascii="Verdana" w:hAnsi="Verdana"/>
          <w:sz w:val="20"/>
          <w:szCs w:val="20"/>
          <w:lang w:val="es-CR"/>
        </w:rPr>
        <w:t>mpo no había logrado desvirtuar</w:t>
      </w:r>
      <w:r w:rsidR="00C01305" w:rsidRPr="00C01305">
        <w:rPr>
          <w:rFonts w:ascii="Verdana" w:hAnsi="Verdana"/>
          <w:sz w:val="20"/>
          <w:szCs w:val="20"/>
          <w:lang w:val="es-CR"/>
        </w:rPr>
        <w:t xml:space="preserve"> los cargos en su contra</w:t>
      </w:r>
      <w:r w:rsidR="000023EA">
        <w:rPr>
          <w:rFonts w:ascii="Verdana" w:hAnsi="Verdana"/>
          <w:sz w:val="20"/>
          <w:szCs w:val="20"/>
          <w:lang w:val="es-CR"/>
        </w:rPr>
        <w:t>,</w:t>
      </w:r>
      <w:r w:rsidR="00C01305" w:rsidRPr="00C01305">
        <w:rPr>
          <w:rFonts w:ascii="Verdana" w:hAnsi="Verdana"/>
          <w:sz w:val="20"/>
          <w:szCs w:val="20"/>
          <w:lang w:val="es-CR"/>
        </w:rPr>
        <w:t xml:space="preserve"> por lo que procedió a sancionarlo a través del despido, conforme al procedimiento dispuesto en el artículo 6º del Decreto-Ley (</w:t>
      </w:r>
      <w:r w:rsidR="00224537" w:rsidRPr="00224537">
        <w:rPr>
          <w:rFonts w:ascii="Verdana" w:hAnsi="Verdana"/>
          <w:i/>
          <w:sz w:val="20"/>
          <w:szCs w:val="20"/>
          <w:lang w:val="es-CR"/>
        </w:rPr>
        <w:t>supra</w:t>
      </w:r>
      <w:r w:rsidR="00C01305" w:rsidRPr="00C01305">
        <w:rPr>
          <w:rFonts w:ascii="Verdana" w:hAnsi="Verdana"/>
          <w:sz w:val="20"/>
          <w:szCs w:val="20"/>
          <w:lang w:val="es-CR"/>
        </w:rPr>
        <w:t xml:space="preserve">, </w:t>
      </w:r>
      <w:r w:rsidR="00C01305" w:rsidRPr="00333304">
        <w:rPr>
          <w:rFonts w:ascii="Verdana" w:hAnsi="Verdana"/>
          <w:sz w:val="20"/>
          <w:szCs w:val="20"/>
          <w:lang w:val="es-CR"/>
        </w:rPr>
        <w:t>párr.</w:t>
      </w:r>
      <w:r w:rsidR="00C01305" w:rsidRPr="00C01305">
        <w:rPr>
          <w:rFonts w:ascii="Verdana" w:hAnsi="Verdana"/>
          <w:sz w:val="20"/>
          <w:szCs w:val="20"/>
          <w:lang w:val="es-CR"/>
        </w:rPr>
        <w:t xml:space="preserve"> </w:t>
      </w:r>
      <w:r w:rsidR="00332EE5">
        <w:rPr>
          <w:rFonts w:ascii="Verdana" w:hAnsi="Verdana"/>
          <w:sz w:val="20"/>
          <w:szCs w:val="20"/>
          <w:lang w:val="es-CR"/>
        </w:rPr>
        <w:t>55</w:t>
      </w:r>
      <w:r w:rsidR="00C01305" w:rsidRPr="00C01305">
        <w:rPr>
          <w:rFonts w:ascii="Verdana" w:hAnsi="Verdana"/>
          <w:sz w:val="20"/>
          <w:szCs w:val="20"/>
          <w:lang w:val="es-CR"/>
        </w:rPr>
        <w:t>), dando aviso a la autoridad administrativa del trabajo, y con las consecuencias correspondientes (</w:t>
      </w:r>
      <w:r w:rsidR="004868B2">
        <w:rPr>
          <w:rFonts w:ascii="Verdana" w:hAnsi="Verdana"/>
          <w:i/>
          <w:sz w:val="20"/>
          <w:szCs w:val="20"/>
          <w:lang w:val="es-CR"/>
        </w:rPr>
        <w:t>supra</w:t>
      </w:r>
      <w:r w:rsidR="00C01305" w:rsidRPr="00C01305">
        <w:rPr>
          <w:rFonts w:ascii="Verdana" w:hAnsi="Verdana"/>
          <w:sz w:val="20"/>
          <w:szCs w:val="20"/>
          <w:lang w:val="es-CR"/>
        </w:rPr>
        <w:t xml:space="preserve">, párr. </w:t>
      </w:r>
      <w:r w:rsidR="00332EE5">
        <w:rPr>
          <w:rFonts w:ascii="Verdana" w:hAnsi="Verdana"/>
          <w:sz w:val="20"/>
          <w:szCs w:val="20"/>
          <w:lang w:val="es-CR"/>
        </w:rPr>
        <w:t>57</w:t>
      </w:r>
      <w:r w:rsidR="00C01305" w:rsidRPr="00C01305">
        <w:rPr>
          <w:rFonts w:ascii="Verdana" w:hAnsi="Verdana"/>
          <w:sz w:val="20"/>
          <w:szCs w:val="20"/>
          <w:lang w:val="es-CR"/>
        </w:rPr>
        <w:t xml:space="preserve">). </w:t>
      </w:r>
    </w:p>
    <w:p w14:paraId="615035F2" w14:textId="77777777" w:rsidR="00C01305" w:rsidRPr="00C01305" w:rsidRDefault="00C01305" w:rsidP="00CA58EF">
      <w:pPr>
        <w:contextualSpacing/>
        <w:rPr>
          <w:rFonts w:ascii="Verdana" w:hAnsi="Verdana"/>
          <w:b/>
          <w:sz w:val="20"/>
          <w:szCs w:val="20"/>
        </w:rPr>
      </w:pPr>
    </w:p>
    <w:p w14:paraId="5D3273E2" w14:textId="482E93E5" w:rsidR="00C01305" w:rsidRDefault="00C01305" w:rsidP="00E66DD7">
      <w:pPr>
        <w:numPr>
          <w:ilvl w:val="0"/>
          <w:numId w:val="1"/>
        </w:numPr>
        <w:shd w:val="clear" w:color="auto" w:fill="FFFFFF"/>
        <w:ind w:left="0" w:firstLine="0"/>
        <w:contextualSpacing/>
        <w:jc w:val="both"/>
        <w:rPr>
          <w:rFonts w:ascii="Verdana" w:hAnsi="Verdana"/>
          <w:sz w:val="20"/>
          <w:szCs w:val="20"/>
        </w:rPr>
      </w:pPr>
      <w:r w:rsidRPr="00C01305">
        <w:rPr>
          <w:rFonts w:ascii="Verdana" w:hAnsi="Verdana"/>
          <w:sz w:val="20"/>
          <w:szCs w:val="20"/>
        </w:rPr>
        <w:t xml:space="preserve">Mediante </w:t>
      </w:r>
      <w:r w:rsidR="002F5C4C">
        <w:rPr>
          <w:rFonts w:ascii="Verdana" w:hAnsi="Verdana"/>
          <w:sz w:val="20"/>
          <w:szCs w:val="20"/>
        </w:rPr>
        <w:t xml:space="preserve">demanda de 26 de julio de 1989 </w:t>
      </w:r>
      <w:r w:rsidRPr="00C01305">
        <w:rPr>
          <w:rFonts w:ascii="Verdana" w:hAnsi="Verdana"/>
          <w:sz w:val="20"/>
          <w:szCs w:val="20"/>
        </w:rPr>
        <w:t xml:space="preserve">el señor Lagos del Campo objetó el despido “injustificado e improcedente”, por lo que la </w:t>
      </w:r>
      <w:r w:rsidRPr="00EB5530">
        <w:rPr>
          <w:rFonts w:ascii="Verdana" w:hAnsi="Verdana"/>
          <w:sz w:val="20"/>
          <w:szCs w:val="20"/>
        </w:rPr>
        <w:t>justicia laboral del Perú estuvo llamada a valorar la necesidad de la restricción impuesta</w:t>
      </w:r>
      <w:r w:rsidRPr="004E38FB">
        <w:rPr>
          <w:rFonts w:ascii="Verdana" w:hAnsi="Verdana"/>
          <w:sz w:val="20"/>
          <w:szCs w:val="20"/>
        </w:rPr>
        <w:t>,</w:t>
      </w:r>
      <w:r w:rsidRPr="00C01305">
        <w:rPr>
          <w:rFonts w:ascii="Verdana" w:hAnsi="Verdana"/>
          <w:sz w:val="20"/>
          <w:szCs w:val="20"/>
        </w:rPr>
        <w:t xml:space="preserve"> solicitando expresamente </w:t>
      </w:r>
      <w:r w:rsidR="00AA54B8">
        <w:rPr>
          <w:rFonts w:ascii="Verdana" w:hAnsi="Verdana"/>
          <w:sz w:val="20"/>
          <w:szCs w:val="20"/>
        </w:rPr>
        <w:t>evaluar la necesidad de aplicar la sanción</w:t>
      </w:r>
      <w:r w:rsidRPr="00C01305">
        <w:rPr>
          <w:rFonts w:ascii="Verdana" w:hAnsi="Verdana"/>
          <w:sz w:val="20"/>
          <w:szCs w:val="20"/>
        </w:rPr>
        <w:t xml:space="preserve"> (</w:t>
      </w:r>
      <w:r w:rsidR="00224537" w:rsidRPr="00224537">
        <w:rPr>
          <w:rFonts w:ascii="Verdana" w:hAnsi="Verdana"/>
          <w:i/>
          <w:sz w:val="20"/>
          <w:szCs w:val="20"/>
        </w:rPr>
        <w:t>supra</w:t>
      </w:r>
      <w:r w:rsidRPr="00C01305">
        <w:rPr>
          <w:rFonts w:ascii="Verdana" w:hAnsi="Verdana"/>
          <w:sz w:val="20"/>
          <w:szCs w:val="20"/>
        </w:rPr>
        <w:t xml:space="preserve">, párr. </w:t>
      </w:r>
      <w:r w:rsidR="000023EA">
        <w:rPr>
          <w:rFonts w:ascii="Verdana" w:hAnsi="Verdana"/>
          <w:sz w:val="20"/>
          <w:szCs w:val="20"/>
        </w:rPr>
        <w:t>58</w:t>
      </w:r>
      <w:r w:rsidRPr="00C01305">
        <w:rPr>
          <w:rFonts w:ascii="Verdana" w:hAnsi="Verdana"/>
          <w:sz w:val="20"/>
          <w:szCs w:val="20"/>
        </w:rPr>
        <w:t xml:space="preserve">). </w:t>
      </w:r>
    </w:p>
    <w:p w14:paraId="3042D1F6" w14:textId="77777777" w:rsidR="00625FAD" w:rsidRDefault="00625FAD" w:rsidP="00CB5A95">
      <w:pPr>
        <w:pStyle w:val="ListParagraph"/>
        <w:rPr>
          <w:rFonts w:ascii="Verdana" w:hAnsi="Verdana"/>
          <w:sz w:val="20"/>
          <w:szCs w:val="20"/>
        </w:rPr>
      </w:pPr>
    </w:p>
    <w:p w14:paraId="110EFEB0" w14:textId="37891874" w:rsidR="00625FAD" w:rsidRPr="00CB5A95" w:rsidRDefault="00625FAD" w:rsidP="00E66DD7">
      <w:pPr>
        <w:numPr>
          <w:ilvl w:val="0"/>
          <w:numId w:val="1"/>
        </w:numPr>
        <w:shd w:val="clear" w:color="auto" w:fill="FFFFFF"/>
        <w:ind w:left="0" w:firstLine="0"/>
        <w:contextualSpacing/>
        <w:jc w:val="both"/>
        <w:rPr>
          <w:rFonts w:ascii="Verdana" w:hAnsi="Verdana"/>
          <w:sz w:val="20"/>
          <w:szCs w:val="20"/>
        </w:rPr>
      </w:pPr>
      <w:r>
        <w:rPr>
          <w:rFonts w:ascii="Verdana" w:hAnsi="Verdana"/>
          <w:kern w:val="1"/>
          <w:sz w:val="20"/>
          <w:szCs w:val="20"/>
          <w:lang w:val="es-CR"/>
        </w:rPr>
        <w:t>Frente a ello</w:t>
      </w:r>
      <w:r w:rsidRPr="00CB5A95">
        <w:rPr>
          <w:rFonts w:ascii="Verdana" w:hAnsi="Verdana"/>
          <w:kern w:val="1"/>
          <w:sz w:val="20"/>
          <w:szCs w:val="20"/>
          <w:lang w:val="es-CR"/>
        </w:rPr>
        <w:t xml:space="preserve">, el </w:t>
      </w:r>
      <w:r w:rsidRPr="00CB5A95">
        <w:rPr>
          <w:rFonts w:ascii="Verdana" w:hAnsi="Verdana"/>
          <w:sz w:val="20"/>
          <w:szCs w:val="20"/>
        </w:rPr>
        <w:t xml:space="preserve">Segundo Tribunal de Trabajo </w:t>
      </w:r>
      <w:r w:rsidR="00473B78">
        <w:rPr>
          <w:rFonts w:ascii="Verdana" w:hAnsi="Verdana"/>
          <w:sz w:val="20"/>
          <w:szCs w:val="20"/>
        </w:rPr>
        <w:t xml:space="preserve">que avaló el despido </w:t>
      </w:r>
      <w:r w:rsidRPr="00CB5A95">
        <w:rPr>
          <w:rFonts w:ascii="Verdana" w:hAnsi="Verdana"/>
          <w:sz w:val="20"/>
          <w:szCs w:val="20"/>
        </w:rPr>
        <w:t xml:space="preserve">señaló que </w:t>
      </w:r>
      <w:r w:rsidRPr="00CB5A95">
        <w:rPr>
          <w:rFonts w:ascii="Verdana" w:hAnsi="Verdana"/>
          <w:kern w:val="1"/>
          <w:sz w:val="20"/>
          <w:szCs w:val="20"/>
          <w:lang w:val="es-CR"/>
        </w:rPr>
        <w:t>“en reiteradas ejecutorias de es[e] Tribunal […] se ha</w:t>
      </w:r>
      <w:r>
        <w:rPr>
          <w:rFonts w:ascii="Verdana" w:hAnsi="Verdana"/>
          <w:kern w:val="1"/>
          <w:sz w:val="20"/>
          <w:szCs w:val="20"/>
          <w:lang w:val="es-CR"/>
        </w:rPr>
        <w:t>[</w:t>
      </w:r>
      <w:proofErr w:type="spellStart"/>
      <w:r>
        <w:rPr>
          <w:rFonts w:ascii="Verdana" w:hAnsi="Verdana"/>
          <w:kern w:val="1"/>
          <w:sz w:val="20"/>
          <w:szCs w:val="20"/>
          <w:lang w:val="es-CR"/>
        </w:rPr>
        <w:t>bía</w:t>
      </w:r>
      <w:proofErr w:type="spellEnd"/>
      <w:r>
        <w:rPr>
          <w:rFonts w:ascii="Verdana" w:hAnsi="Verdana"/>
          <w:kern w:val="1"/>
          <w:sz w:val="20"/>
          <w:szCs w:val="20"/>
          <w:lang w:val="es-CR"/>
        </w:rPr>
        <w:t>]</w:t>
      </w:r>
      <w:r w:rsidRPr="00CB5A95">
        <w:rPr>
          <w:rFonts w:ascii="Verdana" w:hAnsi="Verdana"/>
          <w:kern w:val="1"/>
          <w:sz w:val="20"/>
          <w:szCs w:val="20"/>
          <w:lang w:val="es-CR"/>
        </w:rPr>
        <w:t xml:space="preserve"> establecido que constituye falta grave contemplada en los incisos a) y h) del artículo 5° de la Ley 24514, el trabajador que hace declaraciones o publicaciones periodísticas que agravian el honor e imagen del empleador”. Asimismo, después de citar de forma textual algunas líneas de la entrevista controvertida concluyó que “los términos agraviantes señalados en el considerando anterior </w:t>
      </w:r>
      <w:proofErr w:type="spellStart"/>
      <w:proofErr w:type="gramStart"/>
      <w:r w:rsidRPr="00CB5A95">
        <w:rPr>
          <w:rFonts w:ascii="Verdana" w:hAnsi="Verdana"/>
          <w:kern w:val="1"/>
          <w:sz w:val="20"/>
          <w:szCs w:val="20"/>
          <w:lang w:val="es-CR"/>
        </w:rPr>
        <w:t>constitu</w:t>
      </w:r>
      <w:proofErr w:type="spellEnd"/>
      <w:r w:rsidRPr="00CB5A95">
        <w:rPr>
          <w:rFonts w:ascii="Verdana" w:hAnsi="Verdana"/>
          <w:kern w:val="1"/>
          <w:sz w:val="20"/>
          <w:szCs w:val="20"/>
          <w:lang w:val="es-CR"/>
        </w:rPr>
        <w:t>[</w:t>
      </w:r>
      <w:proofErr w:type="spellStart"/>
      <w:proofErr w:type="gramEnd"/>
      <w:r w:rsidRPr="00CB5A95">
        <w:rPr>
          <w:rFonts w:ascii="Verdana" w:hAnsi="Verdana"/>
          <w:kern w:val="1"/>
          <w:sz w:val="20"/>
          <w:szCs w:val="20"/>
          <w:lang w:val="es-CR"/>
        </w:rPr>
        <w:t>ían</w:t>
      </w:r>
      <w:proofErr w:type="spellEnd"/>
      <w:r w:rsidRPr="00CB5A95">
        <w:rPr>
          <w:rFonts w:ascii="Verdana" w:hAnsi="Verdana"/>
          <w:kern w:val="1"/>
          <w:sz w:val="20"/>
          <w:szCs w:val="20"/>
          <w:lang w:val="es-CR"/>
        </w:rPr>
        <w:t xml:space="preserve">] grave indisciplina o </w:t>
      </w:r>
      <w:proofErr w:type="spellStart"/>
      <w:r w:rsidRPr="00CB5A95">
        <w:rPr>
          <w:rFonts w:ascii="Verdana" w:hAnsi="Verdana"/>
          <w:kern w:val="1"/>
          <w:sz w:val="20"/>
          <w:szCs w:val="20"/>
          <w:lang w:val="es-CR"/>
        </w:rPr>
        <w:t>faltamiento</w:t>
      </w:r>
      <w:proofErr w:type="spellEnd"/>
      <w:r w:rsidRPr="00CB5A95">
        <w:rPr>
          <w:rFonts w:ascii="Verdana" w:hAnsi="Verdana"/>
          <w:kern w:val="1"/>
          <w:sz w:val="20"/>
          <w:szCs w:val="20"/>
          <w:lang w:val="es-CR"/>
        </w:rPr>
        <w:t xml:space="preserve"> grave de palabra en agravio del empleador, de sus representantes y compañeros de labor, cuyas declaraciones periodísticas del actor </w:t>
      </w:r>
      <w:r w:rsidR="00730D77" w:rsidRPr="00CB5A95">
        <w:rPr>
          <w:rFonts w:ascii="Verdana" w:hAnsi="Verdana"/>
          <w:kern w:val="1"/>
          <w:sz w:val="20"/>
          <w:szCs w:val="20"/>
          <w:lang w:val="es-CR"/>
        </w:rPr>
        <w:t>esta</w:t>
      </w:r>
      <w:r w:rsidR="00730D77">
        <w:rPr>
          <w:rFonts w:ascii="Verdana" w:hAnsi="Verdana"/>
          <w:kern w:val="1"/>
          <w:sz w:val="20"/>
          <w:szCs w:val="20"/>
          <w:lang w:val="es-CR"/>
        </w:rPr>
        <w:t>ban</w:t>
      </w:r>
      <w:r w:rsidRPr="00CB5A95">
        <w:rPr>
          <w:rFonts w:ascii="Verdana" w:hAnsi="Verdana"/>
          <w:kern w:val="1"/>
          <w:sz w:val="20"/>
          <w:szCs w:val="20"/>
          <w:lang w:val="es-CR"/>
        </w:rPr>
        <w:t xml:space="preserve"> referidas a los miembros del Directorio de la Gerencia y compañeros de su centro de trabajo</w:t>
      </w:r>
      <w:r w:rsidRPr="00CB5A95">
        <w:rPr>
          <w:rFonts w:ascii="Verdana" w:hAnsi="Verdana"/>
          <w:sz w:val="20"/>
          <w:szCs w:val="20"/>
        </w:rPr>
        <w:t>"</w:t>
      </w:r>
      <w:r w:rsidRPr="00CB5A95">
        <w:rPr>
          <w:rFonts w:ascii="Verdana" w:hAnsi="Verdana"/>
          <w:sz w:val="20"/>
          <w:szCs w:val="20"/>
          <w:vertAlign w:val="superscript"/>
        </w:rPr>
        <w:footnoteReference w:id="168"/>
      </w:r>
      <w:r w:rsidRPr="00CB5A95">
        <w:rPr>
          <w:rFonts w:ascii="Verdana" w:hAnsi="Verdana"/>
          <w:sz w:val="20"/>
          <w:szCs w:val="20"/>
        </w:rPr>
        <w:t>.</w:t>
      </w:r>
      <w:r>
        <w:rPr>
          <w:rFonts w:ascii="Verdana" w:hAnsi="Verdana"/>
          <w:sz w:val="20"/>
          <w:szCs w:val="20"/>
        </w:rPr>
        <w:t xml:space="preserve"> </w:t>
      </w:r>
      <w:r w:rsidR="00473B78">
        <w:rPr>
          <w:rFonts w:ascii="Verdana" w:hAnsi="Verdana"/>
          <w:sz w:val="20"/>
          <w:szCs w:val="20"/>
        </w:rPr>
        <w:t xml:space="preserve">Además, </w:t>
      </w:r>
      <w:r w:rsidR="00473B78">
        <w:rPr>
          <w:rFonts w:ascii="Verdana" w:hAnsi="Verdana"/>
          <w:kern w:val="1"/>
          <w:sz w:val="20"/>
          <w:szCs w:val="20"/>
          <w:lang w:val="es-CR"/>
        </w:rPr>
        <w:t>e</w:t>
      </w:r>
      <w:r w:rsidRPr="00CB5A95">
        <w:rPr>
          <w:rFonts w:ascii="Verdana" w:hAnsi="Verdana"/>
          <w:kern w:val="1"/>
          <w:sz w:val="20"/>
          <w:szCs w:val="20"/>
          <w:lang w:val="es-CR"/>
        </w:rPr>
        <w:t>n una línea se señaló que “la Constitución política garantizaba la libertad de expresión, pero no para agraviar el honor y la dignidad del personal jerárquico de la empresa empleadora”.</w:t>
      </w:r>
      <w:r w:rsidR="00473B78">
        <w:rPr>
          <w:rFonts w:ascii="Verdana" w:hAnsi="Verdana"/>
          <w:kern w:val="1"/>
          <w:sz w:val="20"/>
          <w:szCs w:val="20"/>
          <w:lang w:val="es-CR"/>
        </w:rPr>
        <w:t xml:space="preserve"> </w:t>
      </w:r>
    </w:p>
    <w:p w14:paraId="73947F50" w14:textId="77777777" w:rsidR="00C01305" w:rsidRPr="00C01305" w:rsidRDefault="00C01305" w:rsidP="00CA58EF">
      <w:pPr>
        <w:shd w:val="clear" w:color="auto" w:fill="FFFFFF"/>
        <w:contextualSpacing/>
        <w:jc w:val="both"/>
        <w:rPr>
          <w:rFonts w:ascii="Verdana" w:hAnsi="Verdana"/>
          <w:b/>
          <w:sz w:val="20"/>
          <w:szCs w:val="20"/>
        </w:rPr>
      </w:pPr>
    </w:p>
    <w:p w14:paraId="507AC225" w14:textId="4F3B715E" w:rsidR="00E6716F" w:rsidRDefault="00C01305" w:rsidP="00E66DD7">
      <w:pPr>
        <w:numPr>
          <w:ilvl w:val="0"/>
          <w:numId w:val="1"/>
        </w:numPr>
        <w:shd w:val="clear" w:color="auto" w:fill="FFFFFF"/>
        <w:ind w:left="0" w:firstLine="0"/>
        <w:contextualSpacing/>
        <w:jc w:val="both"/>
        <w:rPr>
          <w:rFonts w:ascii="Verdana" w:hAnsi="Verdana"/>
          <w:sz w:val="20"/>
          <w:szCs w:val="20"/>
          <w:lang w:val="es-CR"/>
        </w:rPr>
      </w:pPr>
      <w:r w:rsidRPr="00C01305">
        <w:rPr>
          <w:rFonts w:ascii="Verdana" w:hAnsi="Verdana"/>
          <w:sz w:val="20"/>
          <w:szCs w:val="20"/>
          <w:lang w:val="es-CR"/>
        </w:rPr>
        <w:t xml:space="preserve">Respecto de la sanción impuesta en relación con el requisito de necesidad, la Corte nota que </w:t>
      </w:r>
      <w:r w:rsidRPr="00C01305">
        <w:rPr>
          <w:rFonts w:ascii="Verdana" w:hAnsi="Verdana"/>
          <w:sz w:val="20"/>
          <w:szCs w:val="20"/>
        </w:rPr>
        <w:t>el Estado, a través del Segundo Tribunal de Trabajo, de quien derivó la decisión definitiva, no consideró los siguientes elementos fundamentales para su análisis: i) el señor Lagos</w:t>
      </w:r>
      <w:r w:rsidR="004E38FB">
        <w:rPr>
          <w:rFonts w:ascii="Verdana" w:hAnsi="Verdana"/>
          <w:sz w:val="20"/>
          <w:szCs w:val="20"/>
        </w:rPr>
        <w:t xml:space="preserve"> del Campo</w:t>
      </w:r>
      <w:r w:rsidRPr="00C01305">
        <w:rPr>
          <w:rFonts w:ascii="Verdana" w:hAnsi="Verdana"/>
          <w:sz w:val="20"/>
          <w:szCs w:val="20"/>
        </w:rPr>
        <w:t xml:space="preserve"> era un representante electo por los trabajadores y se encontraba en ejercicio de su mandato (</w:t>
      </w:r>
      <w:r w:rsidR="00224537" w:rsidRPr="00224537">
        <w:rPr>
          <w:rFonts w:ascii="Verdana" w:hAnsi="Verdana"/>
          <w:i/>
          <w:sz w:val="20"/>
          <w:szCs w:val="20"/>
        </w:rPr>
        <w:t>supra</w:t>
      </w:r>
      <w:r w:rsidR="00FC6BA5">
        <w:rPr>
          <w:rFonts w:ascii="Verdana" w:hAnsi="Verdana"/>
          <w:i/>
          <w:sz w:val="20"/>
          <w:szCs w:val="20"/>
        </w:rPr>
        <w:t xml:space="preserve"> </w:t>
      </w:r>
      <w:r w:rsidR="00FC6BA5" w:rsidRPr="00333304">
        <w:rPr>
          <w:rFonts w:ascii="Verdana" w:hAnsi="Verdana"/>
          <w:sz w:val="20"/>
          <w:szCs w:val="20"/>
        </w:rPr>
        <w:t>párr.</w:t>
      </w:r>
      <w:r w:rsidRPr="000023EA">
        <w:rPr>
          <w:rFonts w:ascii="Verdana" w:hAnsi="Verdana"/>
          <w:sz w:val="20"/>
          <w:szCs w:val="20"/>
        </w:rPr>
        <w:t xml:space="preserve"> </w:t>
      </w:r>
      <w:r w:rsidR="00050C63" w:rsidRPr="000023EA">
        <w:rPr>
          <w:rFonts w:ascii="Verdana" w:hAnsi="Verdana"/>
          <w:sz w:val="20"/>
          <w:szCs w:val="20"/>
        </w:rPr>
        <w:t>10</w:t>
      </w:r>
      <w:r w:rsidR="000023EA" w:rsidRPr="000023EA">
        <w:rPr>
          <w:rFonts w:ascii="Verdana" w:hAnsi="Verdana"/>
          <w:sz w:val="20"/>
          <w:szCs w:val="20"/>
        </w:rPr>
        <w:t>8</w:t>
      </w:r>
      <w:r w:rsidRPr="00C01305">
        <w:rPr>
          <w:rFonts w:ascii="Verdana" w:hAnsi="Verdana"/>
          <w:sz w:val="20"/>
          <w:szCs w:val="20"/>
        </w:rPr>
        <w:t xml:space="preserve">); ii) su manifestaciones se realizaron en el marco de sus funciones y un contexto de debate electoral y por ende tenían un interés </w:t>
      </w:r>
      <w:r w:rsidR="00CD0F88">
        <w:rPr>
          <w:rFonts w:ascii="Verdana" w:hAnsi="Verdana"/>
          <w:sz w:val="20"/>
          <w:szCs w:val="20"/>
        </w:rPr>
        <w:t>público</w:t>
      </w:r>
      <w:r w:rsidR="00CD0F88" w:rsidRPr="00C01305">
        <w:rPr>
          <w:rFonts w:ascii="Verdana" w:hAnsi="Verdana"/>
          <w:sz w:val="20"/>
          <w:szCs w:val="20"/>
        </w:rPr>
        <w:t xml:space="preserve"> </w:t>
      </w:r>
      <w:r w:rsidRPr="00C01305">
        <w:rPr>
          <w:rFonts w:ascii="Verdana" w:hAnsi="Verdana"/>
          <w:sz w:val="20"/>
          <w:szCs w:val="20"/>
        </w:rPr>
        <w:t>y colectivo; iii) sus declaraciones contaban con una protección reforzada en el ejercicio de sus funciones</w:t>
      </w:r>
      <w:r w:rsidR="00915ACA">
        <w:rPr>
          <w:rFonts w:ascii="Verdana" w:hAnsi="Verdana"/>
          <w:sz w:val="20"/>
          <w:szCs w:val="20"/>
        </w:rPr>
        <w:t>;</w:t>
      </w:r>
      <w:r w:rsidRPr="00C01305">
        <w:rPr>
          <w:rFonts w:ascii="Verdana" w:hAnsi="Verdana"/>
          <w:sz w:val="20"/>
          <w:szCs w:val="20"/>
        </w:rPr>
        <w:t xml:space="preserve"> iv) las mismas no fuer</w:t>
      </w:r>
      <w:r w:rsidR="00CD0F88">
        <w:rPr>
          <w:rFonts w:ascii="Verdana" w:hAnsi="Verdana"/>
          <w:sz w:val="20"/>
          <w:szCs w:val="20"/>
        </w:rPr>
        <w:t>on</w:t>
      </w:r>
      <w:r w:rsidRPr="00C01305">
        <w:rPr>
          <w:rFonts w:ascii="Verdana" w:hAnsi="Verdana"/>
          <w:sz w:val="20"/>
          <w:szCs w:val="20"/>
        </w:rPr>
        <w:t xml:space="preserve"> </w:t>
      </w:r>
      <w:r w:rsidR="008D7ED4">
        <w:rPr>
          <w:rFonts w:ascii="Verdana" w:hAnsi="Verdana"/>
          <w:sz w:val="20"/>
          <w:szCs w:val="20"/>
        </w:rPr>
        <w:t>de mayor entidad que</w:t>
      </w:r>
      <w:r w:rsidRPr="00C01305">
        <w:rPr>
          <w:rFonts w:ascii="Verdana" w:hAnsi="Verdana"/>
          <w:sz w:val="20"/>
          <w:szCs w:val="20"/>
        </w:rPr>
        <w:t xml:space="preserve"> traspasaran el umbral de protección en aras del contexto electoral y laboral</w:t>
      </w:r>
      <w:r w:rsidR="00DF7914">
        <w:rPr>
          <w:rFonts w:ascii="Verdana" w:hAnsi="Verdana"/>
          <w:sz w:val="20"/>
          <w:szCs w:val="20"/>
        </w:rPr>
        <w:t>, y v) tampoco se habría demostrado una necesidad imperiosa para proteger los derechos a la reputación y la honra</w:t>
      </w:r>
      <w:r w:rsidR="00915ACA">
        <w:rPr>
          <w:rFonts w:ascii="Verdana" w:hAnsi="Verdana"/>
          <w:sz w:val="20"/>
          <w:szCs w:val="20"/>
        </w:rPr>
        <w:t xml:space="preserve"> en el caso particular</w:t>
      </w:r>
      <w:r w:rsidRPr="00C01305">
        <w:rPr>
          <w:rFonts w:ascii="Verdana" w:hAnsi="Verdana"/>
          <w:sz w:val="20"/>
          <w:szCs w:val="20"/>
        </w:rPr>
        <w:t xml:space="preserve">. </w:t>
      </w:r>
      <w:r w:rsidR="00473B78" w:rsidRPr="00DB35CB">
        <w:rPr>
          <w:rFonts w:ascii="Verdana" w:hAnsi="Verdana"/>
          <w:kern w:val="1"/>
          <w:sz w:val="20"/>
          <w:szCs w:val="20"/>
          <w:lang w:val="es-CR"/>
        </w:rPr>
        <w:t xml:space="preserve">Si bien se </w:t>
      </w:r>
      <w:r w:rsidR="00915ACA">
        <w:rPr>
          <w:rFonts w:ascii="Verdana" w:hAnsi="Verdana"/>
          <w:kern w:val="1"/>
          <w:sz w:val="20"/>
          <w:szCs w:val="20"/>
          <w:lang w:val="es-CR"/>
        </w:rPr>
        <w:t xml:space="preserve">hizo alusión </w:t>
      </w:r>
      <w:r w:rsidR="00473B78" w:rsidRPr="00DB35CB">
        <w:rPr>
          <w:rFonts w:ascii="Verdana" w:hAnsi="Verdana"/>
          <w:kern w:val="1"/>
          <w:sz w:val="20"/>
          <w:szCs w:val="20"/>
          <w:lang w:val="es-CR"/>
        </w:rPr>
        <w:t>expresa</w:t>
      </w:r>
      <w:r w:rsidR="00915ACA">
        <w:rPr>
          <w:rFonts w:ascii="Verdana" w:hAnsi="Verdana"/>
          <w:kern w:val="1"/>
          <w:sz w:val="20"/>
          <w:szCs w:val="20"/>
          <w:lang w:val="es-CR"/>
        </w:rPr>
        <w:t xml:space="preserve"> a</w:t>
      </w:r>
      <w:r w:rsidR="00473B78" w:rsidRPr="00DB35CB">
        <w:rPr>
          <w:rFonts w:ascii="Verdana" w:hAnsi="Verdana"/>
          <w:kern w:val="1"/>
          <w:sz w:val="20"/>
          <w:szCs w:val="20"/>
          <w:lang w:val="es-CR"/>
        </w:rPr>
        <w:t xml:space="preserve"> la libertad de expresión, no consta en el fallo que se hayan </w:t>
      </w:r>
      <w:r w:rsidR="00473B78">
        <w:rPr>
          <w:rFonts w:ascii="Verdana" w:hAnsi="Verdana"/>
          <w:kern w:val="1"/>
          <w:sz w:val="20"/>
          <w:szCs w:val="20"/>
          <w:lang w:val="es-CR"/>
        </w:rPr>
        <w:t>ponderado los</w:t>
      </w:r>
      <w:r w:rsidR="00473B78" w:rsidRPr="00DB35CB">
        <w:rPr>
          <w:rFonts w:ascii="Verdana" w:hAnsi="Verdana"/>
          <w:kern w:val="1"/>
          <w:sz w:val="20"/>
          <w:szCs w:val="20"/>
          <w:lang w:val="es-CR"/>
        </w:rPr>
        <w:t xml:space="preserve"> derechos </w:t>
      </w:r>
      <w:r w:rsidR="00473B78">
        <w:rPr>
          <w:rFonts w:ascii="Verdana" w:hAnsi="Verdana"/>
          <w:kern w:val="1"/>
          <w:sz w:val="20"/>
          <w:szCs w:val="20"/>
          <w:lang w:val="es-CR"/>
        </w:rPr>
        <w:t xml:space="preserve">en juego </w:t>
      </w:r>
      <w:r w:rsidR="00473B78" w:rsidRPr="00DB35CB">
        <w:rPr>
          <w:rFonts w:ascii="Verdana" w:hAnsi="Verdana"/>
          <w:kern w:val="1"/>
          <w:sz w:val="20"/>
          <w:szCs w:val="20"/>
          <w:lang w:val="es-CR"/>
        </w:rPr>
        <w:t>y/o sus consecuencias, a la luz del requisito de necesidad (</w:t>
      </w:r>
      <w:r w:rsidR="00224537" w:rsidRPr="00224537">
        <w:rPr>
          <w:rFonts w:ascii="Verdana" w:hAnsi="Verdana"/>
          <w:i/>
          <w:kern w:val="1"/>
          <w:sz w:val="20"/>
          <w:szCs w:val="20"/>
          <w:lang w:val="es-CR"/>
        </w:rPr>
        <w:t>supra</w:t>
      </w:r>
      <w:r w:rsidR="00473B78" w:rsidRPr="00DB35CB">
        <w:rPr>
          <w:rFonts w:ascii="Verdana" w:hAnsi="Verdana"/>
          <w:kern w:val="1"/>
          <w:sz w:val="20"/>
          <w:szCs w:val="20"/>
          <w:lang w:val="es-CR"/>
        </w:rPr>
        <w:t xml:space="preserve">, párr. </w:t>
      </w:r>
      <w:r w:rsidR="00050C63">
        <w:rPr>
          <w:rFonts w:ascii="Verdana" w:hAnsi="Verdana"/>
          <w:kern w:val="1"/>
          <w:sz w:val="20"/>
          <w:szCs w:val="20"/>
          <w:lang w:val="es-CR"/>
        </w:rPr>
        <w:t>1</w:t>
      </w:r>
      <w:r w:rsidR="000023EA">
        <w:rPr>
          <w:rFonts w:ascii="Verdana" w:hAnsi="Verdana"/>
          <w:kern w:val="1"/>
          <w:sz w:val="20"/>
          <w:szCs w:val="20"/>
          <w:lang w:val="es-CR"/>
        </w:rPr>
        <w:t>24</w:t>
      </w:r>
      <w:r w:rsidR="00473B78" w:rsidRPr="00DB35CB">
        <w:rPr>
          <w:rFonts w:ascii="Verdana" w:hAnsi="Verdana"/>
          <w:kern w:val="1"/>
          <w:sz w:val="20"/>
          <w:szCs w:val="20"/>
          <w:lang w:val="es-CR"/>
        </w:rPr>
        <w:t xml:space="preserve">) (expresamente dispuesto por el artículo 13.2 de la Convención Americana). Tampoco se </w:t>
      </w:r>
      <w:r w:rsidR="00473B78" w:rsidRPr="00DB35CB">
        <w:rPr>
          <w:rFonts w:ascii="Verdana" w:hAnsi="Verdana"/>
          <w:kern w:val="1"/>
          <w:sz w:val="20"/>
          <w:szCs w:val="20"/>
          <w:lang w:val="es-CR"/>
        </w:rPr>
        <w:lastRenderedPageBreak/>
        <w:t xml:space="preserve">desvirtuaron los argumentos que motivaron la decisión de primera instancia, a fin de que se hiciera </w:t>
      </w:r>
      <w:r w:rsidR="00915ACA">
        <w:rPr>
          <w:rFonts w:ascii="Verdana" w:hAnsi="Verdana"/>
          <w:kern w:val="1"/>
          <w:sz w:val="20"/>
          <w:szCs w:val="20"/>
          <w:lang w:val="es-CR"/>
        </w:rPr>
        <w:t>indispensable</w:t>
      </w:r>
      <w:r w:rsidR="00915ACA" w:rsidRPr="00DB35CB">
        <w:rPr>
          <w:rFonts w:ascii="Verdana" w:hAnsi="Verdana"/>
          <w:kern w:val="1"/>
          <w:sz w:val="20"/>
          <w:szCs w:val="20"/>
          <w:lang w:val="es-CR"/>
        </w:rPr>
        <w:t xml:space="preserve"> </w:t>
      </w:r>
      <w:r w:rsidR="00473B78" w:rsidRPr="00DB35CB">
        <w:rPr>
          <w:rFonts w:ascii="Verdana" w:hAnsi="Verdana"/>
          <w:kern w:val="1"/>
          <w:sz w:val="20"/>
          <w:szCs w:val="20"/>
          <w:lang w:val="es-CR"/>
        </w:rPr>
        <w:t>revocarla.</w:t>
      </w:r>
      <w:r w:rsidR="00CD0F88">
        <w:rPr>
          <w:rFonts w:ascii="Verdana" w:hAnsi="Verdana"/>
          <w:sz w:val="20"/>
          <w:szCs w:val="20"/>
          <w:lang w:val="es-CR"/>
        </w:rPr>
        <w:t xml:space="preserve"> </w:t>
      </w:r>
      <w:r w:rsidRPr="00C01305">
        <w:rPr>
          <w:rFonts w:ascii="Verdana" w:hAnsi="Verdana"/>
          <w:sz w:val="20"/>
          <w:szCs w:val="20"/>
          <w:lang w:val="es-CR"/>
        </w:rPr>
        <w:t xml:space="preserve">En vista de ello, la sanción gravosa del despido fue avalada por dicho tribunal, sin considerar tales elementos fundamentales de </w:t>
      </w:r>
      <w:r w:rsidR="00CD0F88">
        <w:rPr>
          <w:rFonts w:ascii="Verdana" w:hAnsi="Verdana"/>
          <w:sz w:val="20"/>
          <w:szCs w:val="20"/>
          <w:lang w:val="es-CR"/>
        </w:rPr>
        <w:t xml:space="preserve">especial </w:t>
      </w:r>
      <w:r w:rsidRPr="00C01305">
        <w:rPr>
          <w:rFonts w:ascii="Verdana" w:hAnsi="Verdana"/>
          <w:sz w:val="20"/>
          <w:szCs w:val="20"/>
          <w:lang w:val="es-CR"/>
        </w:rPr>
        <w:t>protección</w:t>
      </w:r>
      <w:r w:rsidR="00CD0F88">
        <w:rPr>
          <w:rFonts w:ascii="Verdana" w:hAnsi="Verdana"/>
          <w:sz w:val="20"/>
          <w:szCs w:val="20"/>
          <w:lang w:val="es-CR"/>
        </w:rPr>
        <w:t xml:space="preserve"> (</w:t>
      </w:r>
      <w:r w:rsidR="00224537" w:rsidRPr="00224537">
        <w:rPr>
          <w:rFonts w:ascii="Verdana" w:hAnsi="Verdana"/>
          <w:i/>
          <w:sz w:val="20"/>
          <w:szCs w:val="20"/>
          <w:lang w:val="es-CR"/>
        </w:rPr>
        <w:t>supra</w:t>
      </w:r>
      <w:r w:rsidR="00CD0F88">
        <w:rPr>
          <w:rFonts w:ascii="Verdana" w:hAnsi="Verdana"/>
          <w:sz w:val="20"/>
          <w:szCs w:val="20"/>
          <w:lang w:val="es-CR"/>
        </w:rPr>
        <w:t xml:space="preserve"> </w:t>
      </w:r>
      <w:proofErr w:type="spellStart"/>
      <w:r w:rsidR="00CD0F88">
        <w:rPr>
          <w:rFonts w:ascii="Verdana" w:hAnsi="Verdana"/>
          <w:sz w:val="20"/>
          <w:szCs w:val="20"/>
          <w:lang w:val="es-CR"/>
        </w:rPr>
        <w:t>párr</w:t>
      </w:r>
      <w:r w:rsidR="000023EA">
        <w:rPr>
          <w:rFonts w:ascii="Verdana" w:hAnsi="Verdana"/>
          <w:sz w:val="20"/>
          <w:szCs w:val="20"/>
          <w:lang w:val="es-CR"/>
        </w:rPr>
        <w:t>s</w:t>
      </w:r>
      <w:proofErr w:type="spellEnd"/>
      <w:r w:rsidR="00CD0F88">
        <w:rPr>
          <w:rFonts w:ascii="Verdana" w:hAnsi="Verdana"/>
          <w:sz w:val="20"/>
          <w:szCs w:val="20"/>
          <w:lang w:val="es-CR"/>
        </w:rPr>
        <w:t xml:space="preserve">. </w:t>
      </w:r>
      <w:r w:rsidR="00050C63">
        <w:rPr>
          <w:rFonts w:ascii="Verdana" w:hAnsi="Verdana"/>
          <w:sz w:val="20"/>
          <w:szCs w:val="20"/>
          <w:lang w:val="es-CR"/>
        </w:rPr>
        <w:t>1</w:t>
      </w:r>
      <w:r w:rsidR="00587B73">
        <w:rPr>
          <w:rFonts w:ascii="Verdana" w:hAnsi="Verdana"/>
          <w:sz w:val="20"/>
          <w:szCs w:val="20"/>
          <w:lang w:val="es-CR"/>
        </w:rPr>
        <w:t>08 y 116</w:t>
      </w:r>
      <w:r w:rsidR="00CD0F88">
        <w:rPr>
          <w:rFonts w:ascii="Verdana" w:hAnsi="Verdana"/>
          <w:sz w:val="20"/>
          <w:szCs w:val="20"/>
          <w:lang w:val="es-CR"/>
        </w:rPr>
        <w:t>)</w:t>
      </w:r>
      <w:r w:rsidR="00024BA4">
        <w:rPr>
          <w:rFonts w:ascii="Verdana" w:hAnsi="Verdana"/>
          <w:sz w:val="20"/>
          <w:szCs w:val="20"/>
          <w:lang w:val="es-CR"/>
        </w:rPr>
        <w:t>,</w:t>
      </w:r>
      <w:r w:rsidR="00197772">
        <w:rPr>
          <w:rFonts w:ascii="Verdana" w:hAnsi="Verdana"/>
          <w:sz w:val="20"/>
          <w:szCs w:val="20"/>
          <w:lang w:val="es-CR"/>
        </w:rPr>
        <w:t xml:space="preserve"> por lo que la sanción impuesta resultaba</w:t>
      </w:r>
      <w:r w:rsidR="00024BA4">
        <w:rPr>
          <w:rFonts w:ascii="Verdana" w:hAnsi="Verdana"/>
          <w:sz w:val="20"/>
          <w:szCs w:val="20"/>
          <w:lang w:val="es-CR"/>
        </w:rPr>
        <w:t xml:space="preserve"> innecesaria</w:t>
      </w:r>
      <w:r w:rsidR="00915ACA">
        <w:rPr>
          <w:rFonts w:ascii="Verdana" w:hAnsi="Verdana"/>
          <w:sz w:val="20"/>
          <w:szCs w:val="20"/>
          <w:lang w:val="es-CR"/>
        </w:rPr>
        <w:t xml:space="preserve"> en el caso concreto</w:t>
      </w:r>
      <w:r w:rsidR="00024BA4">
        <w:rPr>
          <w:rFonts w:ascii="Verdana" w:hAnsi="Verdana"/>
          <w:sz w:val="20"/>
          <w:szCs w:val="20"/>
          <w:lang w:val="es-CR"/>
        </w:rPr>
        <w:t xml:space="preserve">. </w:t>
      </w:r>
    </w:p>
    <w:p w14:paraId="14B85B96" w14:textId="77777777" w:rsidR="00197772" w:rsidRDefault="00197772" w:rsidP="005D0F69">
      <w:pPr>
        <w:shd w:val="clear" w:color="auto" w:fill="FFFFFF"/>
        <w:contextualSpacing/>
        <w:jc w:val="both"/>
        <w:rPr>
          <w:rFonts w:ascii="Verdana" w:hAnsi="Verdana"/>
          <w:sz w:val="20"/>
          <w:szCs w:val="20"/>
          <w:lang w:val="es-CR"/>
        </w:rPr>
      </w:pPr>
    </w:p>
    <w:p w14:paraId="4D57C80A" w14:textId="592F975C" w:rsidR="00197772" w:rsidRDefault="00BB752A" w:rsidP="00E66DD7">
      <w:pPr>
        <w:numPr>
          <w:ilvl w:val="0"/>
          <w:numId w:val="1"/>
        </w:numPr>
        <w:shd w:val="clear" w:color="auto" w:fill="FFFFFF"/>
        <w:ind w:left="0" w:firstLine="0"/>
        <w:contextualSpacing/>
        <w:jc w:val="both"/>
        <w:rPr>
          <w:rFonts w:ascii="Verdana" w:hAnsi="Verdana"/>
          <w:sz w:val="20"/>
          <w:szCs w:val="20"/>
          <w:lang w:val="es-CR"/>
        </w:rPr>
      </w:pPr>
      <w:r>
        <w:rPr>
          <w:rFonts w:ascii="Verdana" w:hAnsi="Verdana"/>
          <w:sz w:val="20"/>
          <w:szCs w:val="20"/>
          <w:lang w:val="es-CR"/>
        </w:rPr>
        <w:t>Ante ello</w:t>
      </w:r>
      <w:r w:rsidR="00197772" w:rsidRPr="00C464D5">
        <w:rPr>
          <w:rFonts w:ascii="Verdana" w:hAnsi="Verdana"/>
          <w:sz w:val="20"/>
          <w:szCs w:val="20"/>
          <w:lang w:val="es-CR"/>
        </w:rPr>
        <w:t>, la Corte estima que la sentencia del Segundo Tribunal de Trabajo careció de una debida motivación</w:t>
      </w:r>
      <w:r w:rsidR="00197772">
        <w:rPr>
          <w:rStyle w:val="FootnoteReference"/>
          <w:szCs w:val="20"/>
          <w:lang w:val="es-CR"/>
        </w:rPr>
        <w:footnoteReference w:id="169"/>
      </w:r>
      <w:r w:rsidR="00197772" w:rsidRPr="00C464D5">
        <w:rPr>
          <w:rFonts w:ascii="Verdana" w:hAnsi="Verdana"/>
          <w:sz w:val="20"/>
          <w:szCs w:val="20"/>
          <w:lang w:val="es-CR"/>
        </w:rPr>
        <w:t xml:space="preserve"> que analizara los derechos en juego a la luz de los elementos antes señalados, así como que valorara los argumentos de las partes y la decisión revocada, por lo que la falta de motivación tuvo un impacto directo en el debido proceso del trabajador, puesto que dejó de brindar las razones jurídicas por las cuales se acreditó el despido del señor Lagos del Campo en el contexto planteado</w:t>
      </w:r>
      <w:r w:rsidR="00197772" w:rsidRPr="003B277C">
        <w:rPr>
          <w:rFonts w:ascii="Verdana" w:hAnsi="Verdana"/>
          <w:sz w:val="20"/>
          <w:szCs w:val="20"/>
          <w:lang w:val="es-CR"/>
        </w:rPr>
        <w:t>.</w:t>
      </w:r>
    </w:p>
    <w:p w14:paraId="41EDB291" w14:textId="77777777" w:rsidR="00C01305" w:rsidRPr="00C464D5" w:rsidRDefault="00C01305" w:rsidP="00CA58EF">
      <w:pPr>
        <w:contextualSpacing/>
        <w:jc w:val="both"/>
        <w:rPr>
          <w:rFonts w:ascii="Verdana" w:hAnsi="Verdana"/>
          <w:sz w:val="20"/>
          <w:szCs w:val="20"/>
        </w:rPr>
      </w:pPr>
    </w:p>
    <w:p w14:paraId="753BCAF7" w14:textId="36D70924" w:rsidR="00365853" w:rsidRPr="00CB5A95" w:rsidRDefault="00C01305" w:rsidP="00E66DD7">
      <w:pPr>
        <w:numPr>
          <w:ilvl w:val="0"/>
          <w:numId w:val="1"/>
        </w:numPr>
        <w:ind w:left="0" w:hanging="11"/>
        <w:contextualSpacing/>
        <w:jc w:val="both"/>
        <w:rPr>
          <w:rFonts w:ascii="Verdana" w:hAnsi="Verdana"/>
          <w:sz w:val="20"/>
          <w:szCs w:val="20"/>
          <w:lang w:val="es-CR"/>
        </w:rPr>
      </w:pPr>
      <w:r w:rsidRPr="00C01305">
        <w:rPr>
          <w:rFonts w:ascii="Verdana" w:hAnsi="Verdana" w:cs="Arial"/>
          <w:snapToGrid w:val="0"/>
          <w:sz w:val="20"/>
          <w:szCs w:val="20"/>
          <w:lang w:val="es-ES" w:eastAsia="es-ES"/>
        </w:rPr>
        <w:t>En</w:t>
      </w:r>
      <w:r w:rsidRPr="00C01305">
        <w:rPr>
          <w:rFonts w:ascii="Verdana" w:hAnsi="Verdana"/>
          <w:sz w:val="20"/>
          <w:szCs w:val="20"/>
          <w:lang w:val="es-CR"/>
        </w:rPr>
        <w:t xml:space="preserve"> vista de lo anterior, </w:t>
      </w:r>
      <w:r w:rsidR="003F44BE" w:rsidRPr="00C01305">
        <w:rPr>
          <w:rFonts w:ascii="Verdana" w:hAnsi="Verdana"/>
          <w:sz w:val="20"/>
          <w:szCs w:val="20"/>
          <w:lang w:val="es-CR"/>
        </w:rPr>
        <w:t>la Corte concluye que</w:t>
      </w:r>
      <w:r w:rsidR="003F44BE" w:rsidRPr="00C01305">
        <w:rPr>
          <w:rFonts w:ascii="Verdana" w:hAnsi="Verdana"/>
          <w:sz w:val="20"/>
        </w:rPr>
        <w:t xml:space="preserve"> </w:t>
      </w:r>
      <w:r w:rsidR="003F44BE">
        <w:rPr>
          <w:rFonts w:ascii="Verdana" w:hAnsi="Verdana"/>
          <w:sz w:val="20"/>
        </w:rPr>
        <w:t>el Estado</w:t>
      </w:r>
      <w:r w:rsidR="005967AA" w:rsidRPr="00C01305">
        <w:rPr>
          <w:rFonts w:ascii="Verdana" w:hAnsi="Verdana"/>
          <w:sz w:val="20"/>
        </w:rPr>
        <w:t xml:space="preserve"> avaló </w:t>
      </w:r>
      <w:r w:rsidR="005967AA">
        <w:rPr>
          <w:rFonts w:ascii="Verdana" w:hAnsi="Verdana"/>
          <w:sz w:val="20"/>
        </w:rPr>
        <w:t>una</w:t>
      </w:r>
      <w:r w:rsidR="005967AA" w:rsidRPr="00C01305">
        <w:rPr>
          <w:rFonts w:ascii="Verdana" w:hAnsi="Verdana"/>
          <w:sz w:val="20"/>
        </w:rPr>
        <w:t xml:space="preserve"> </w:t>
      </w:r>
      <w:r w:rsidR="003F44BE" w:rsidRPr="00C01305">
        <w:rPr>
          <w:rFonts w:ascii="Verdana" w:hAnsi="Verdana"/>
          <w:color w:val="000000"/>
          <w:sz w:val="20"/>
        </w:rPr>
        <w:t>restricción al derecho a la libertad de pensamiento y de expresión del señor Lagos del Campo</w:t>
      </w:r>
      <w:r w:rsidR="005967AA" w:rsidRPr="00C01305">
        <w:rPr>
          <w:rFonts w:ascii="Verdana" w:hAnsi="Verdana"/>
          <w:sz w:val="20"/>
        </w:rPr>
        <w:t xml:space="preserve">, </w:t>
      </w:r>
      <w:r w:rsidR="00B86291">
        <w:rPr>
          <w:rFonts w:ascii="Verdana" w:hAnsi="Verdana"/>
          <w:sz w:val="20"/>
        </w:rPr>
        <w:t xml:space="preserve">a través de una </w:t>
      </w:r>
      <w:r w:rsidR="005967AA" w:rsidRPr="00C01305">
        <w:rPr>
          <w:rFonts w:ascii="Verdana" w:hAnsi="Verdana"/>
          <w:sz w:val="20"/>
        </w:rPr>
        <w:t xml:space="preserve">sanción </w:t>
      </w:r>
      <w:r w:rsidR="00637639">
        <w:rPr>
          <w:rFonts w:ascii="Verdana" w:hAnsi="Verdana"/>
          <w:sz w:val="20"/>
        </w:rPr>
        <w:t>innecesaria</w:t>
      </w:r>
      <w:r w:rsidR="00637639" w:rsidRPr="00C01305">
        <w:rPr>
          <w:rFonts w:ascii="Verdana" w:hAnsi="Verdana"/>
          <w:sz w:val="20"/>
        </w:rPr>
        <w:t xml:space="preserve"> </w:t>
      </w:r>
      <w:r w:rsidR="00637639">
        <w:rPr>
          <w:rFonts w:ascii="Verdana" w:hAnsi="Verdana"/>
          <w:sz w:val="20"/>
        </w:rPr>
        <w:t xml:space="preserve">en relación con </w:t>
      </w:r>
      <w:r w:rsidR="005967AA" w:rsidRPr="00C01305">
        <w:rPr>
          <w:rFonts w:ascii="Verdana" w:hAnsi="Verdana"/>
          <w:sz w:val="20"/>
        </w:rPr>
        <w:t>el fin perseguido</w:t>
      </w:r>
      <w:r w:rsidR="003F44BE">
        <w:rPr>
          <w:rFonts w:ascii="Verdana" w:hAnsi="Verdana"/>
          <w:sz w:val="20"/>
        </w:rPr>
        <w:t xml:space="preserve"> y</w:t>
      </w:r>
      <w:r w:rsidR="005967AA" w:rsidRPr="00C01305">
        <w:rPr>
          <w:rFonts w:ascii="Verdana" w:hAnsi="Verdana"/>
          <w:sz w:val="20"/>
        </w:rPr>
        <w:t xml:space="preserve"> sin una debida motivación. </w:t>
      </w:r>
      <w:r w:rsidR="003F44BE">
        <w:rPr>
          <w:rFonts w:ascii="Verdana" w:hAnsi="Verdana"/>
          <w:sz w:val="20"/>
        </w:rPr>
        <w:t>Lo anterior debido a que</w:t>
      </w:r>
      <w:r w:rsidRPr="00C01305">
        <w:rPr>
          <w:rFonts w:ascii="Verdana" w:hAnsi="Verdana"/>
          <w:sz w:val="20"/>
          <w:szCs w:val="20"/>
          <w:lang w:val="es-CR"/>
        </w:rPr>
        <w:t xml:space="preserve">, </w:t>
      </w:r>
      <w:r w:rsidRPr="00C01305">
        <w:rPr>
          <w:rFonts w:ascii="Verdana" w:hAnsi="Verdana"/>
          <w:sz w:val="20"/>
        </w:rPr>
        <w:t>de acuerdo con las circunstancias del presente caso, no existió un</w:t>
      </w:r>
      <w:r w:rsidR="00637639">
        <w:rPr>
          <w:rFonts w:ascii="Verdana" w:hAnsi="Verdana"/>
          <w:sz w:val="20"/>
        </w:rPr>
        <w:t xml:space="preserve">a necesidad </w:t>
      </w:r>
      <w:r w:rsidRPr="00C01305">
        <w:rPr>
          <w:rFonts w:ascii="Verdana" w:hAnsi="Verdana"/>
          <w:sz w:val="20"/>
        </w:rPr>
        <w:t>impera</w:t>
      </w:r>
      <w:r w:rsidR="00637639">
        <w:rPr>
          <w:rFonts w:ascii="Verdana" w:hAnsi="Verdana"/>
          <w:sz w:val="20"/>
        </w:rPr>
        <w:t>n</w:t>
      </w:r>
      <w:r w:rsidRPr="00C01305">
        <w:rPr>
          <w:rFonts w:ascii="Verdana" w:hAnsi="Verdana"/>
          <w:sz w:val="20"/>
        </w:rPr>
        <w:t>t</w:t>
      </w:r>
      <w:r w:rsidR="00637639">
        <w:rPr>
          <w:rFonts w:ascii="Verdana" w:hAnsi="Verdana"/>
          <w:sz w:val="20"/>
        </w:rPr>
        <w:t>e</w:t>
      </w:r>
      <w:r w:rsidRPr="00C01305">
        <w:rPr>
          <w:rFonts w:ascii="Verdana" w:hAnsi="Verdana"/>
          <w:sz w:val="20"/>
        </w:rPr>
        <w:t xml:space="preserve"> que justificara el despido del señor Lagos del Campo. En particular, </w:t>
      </w:r>
      <w:r w:rsidR="00637639">
        <w:rPr>
          <w:rFonts w:ascii="Verdana" w:hAnsi="Verdana"/>
          <w:sz w:val="20"/>
        </w:rPr>
        <w:t xml:space="preserve">se restringió su </w:t>
      </w:r>
      <w:r w:rsidRPr="00C01305">
        <w:rPr>
          <w:rFonts w:ascii="Verdana" w:hAnsi="Verdana"/>
          <w:sz w:val="20"/>
        </w:rPr>
        <w:t>libertad de expresión sin tomar en consideración que sus declaraciones se referían a cuestiones de interés público, en el marco de sus competencias</w:t>
      </w:r>
      <w:r w:rsidR="003D72A5">
        <w:rPr>
          <w:rFonts w:ascii="Verdana" w:hAnsi="Verdana"/>
          <w:sz w:val="20"/>
        </w:rPr>
        <w:t>, las cuales</w:t>
      </w:r>
      <w:r w:rsidRPr="00C01305">
        <w:rPr>
          <w:rFonts w:ascii="Verdana" w:hAnsi="Verdana"/>
          <w:sz w:val="20"/>
        </w:rPr>
        <w:t xml:space="preserve"> estaban protegidas además por su calidad de representante de los trabajadores como Presidente del Comité Electoral. </w:t>
      </w:r>
      <w:r w:rsidR="003F44BE">
        <w:rPr>
          <w:rFonts w:ascii="Verdana" w:hAnsi="Verdana"/>
          <w:sz w:val="20"/>
        </w:rPr>
        <w:t>Por tanto</w:t>
      </w:r>
      <w:r w:rsidR="00637639">
        <w:rPr>
          <w:rFonts w:ascii="Verdana" w:hAnsi="Verdana"/>
          <w:sz w:val="20"/>
        </w:rPr>
        <w:t>,</w:t>
      </w:r>
      <w:r w:rsidR="003F44BE">
        <w:rPr>
          <w:rFonts w:ascii="Verdana" w:hAnsi="Verdana"/>
          <w:sz w:val="20"/>
        </w:rPr>
        <w:t xml:space="preserve"> el Estado peruano </w:t>
      </w:r>
      <w:r w:rsidR="003F44BE">
        <w:rPr>
          <w:rFonts w:ascii="Verdana" w:hAnsi="Verdana"/>
          <w:color w:val="000000"/>
          <w:sz w:val="20"/>
        </w:rPr>
        <w:t xml:space="preserve">violó los </w:t>
      </w:r>
      <w:r w:rsidRPr="00C01305">
        <w:rPr>
          <w:rFonts w:ascii="Verdana" w:hAnsi="Verdana"/>
          <w:color w:val="000000"/>
          <w:sz w:val="20"/>
        </w:rPr>
        <w:t>artículos 13.2 y 8.2 de la Convención Americana</w:t>
      </w:r>
      <w:r w:rsidR="0050364F">
        <w:rPr>
          <w:rFonts w:ascii="Verdana" w:hAnsi="Verdana"/>
          <w:color w:val="000000"/>
          <w:sz w:val="20"/>
        </w:rPr>
        <w:t xml:space="preserve">, </w:t>
      </w:r>
      <w:r w:rsidRPr="00C01305">
        <w:rPr>
          <w:rFonts w:ascii="Verdana" w:hAnsi="Verdana"/>
          <w:color w:val="000000"/>
          <w:sz w:val="20"/>
        </w:rPr>
        <w:t>en perjuicio del señor Lagos del Campo.</w:t>
      </w:r>
    </w:p>
    <w:p w14:paraId="5960277C" w14:textId="77777777" w:rsidR="00365853" w:rsidRDefault="00365853" w:rsidP="00CB5A95">
      <w:pPr>
        <w:contextualSpacing/>
        <w:jc w:val="both"/>
        <w:rPr>
          <w:rFonts w:ascii="Verdana" w:hAnsi="Verdana"/>
          <w:color w:val="000000"/>
          <w:sz w:val="20"/>
        </w:rPr>
      </w:pPr>
    </w:p>
    <w:p w14:paraId="34B236BC" w14:textId="4FCBCC91" w:rsidR="0088700B" w:rsidRPr="00801513" w:rsidRDefault="00C82CC4" w:rsidP="00E66DD7">
      <w:pPr>
        <w:pStyle w:val="Heading3"/>
        <w:numPr>
          <w:ilvl w:val="0"/>
          <w:numId w:val="11"/>
        </w:numPr>
        <w:ind w:left="714" w:hanging="357"/>
        <w:rPr>
          <w:b w:val="0"/>
          <w:i/>
          <w:szCs w:val="20"/>
        </w:rPr>
      </w:pPr>
      <w:bookmarkStart w:id="49" w:name="_Toc498333506"/>
      <w:r w:rsidRPr="00801513">
        <w:rPr>
          <w:i/>
          <w:szCs w:val="20"/>
        </w:rPr>
        <w:t>Vulneración</w:t>
      </w:r>
      <w:r w:rsidR="0088700B" w:rsidRPr="00801513">
        <w:rPr>
          <w:i/>
          <w:szCs w:val="20"/>
        </w:rPr>
        <w:t xml:space="preserve"> a la estabilidad laboral</w:t>
      </w:r>
      <w:bookmarkEnd w:id="49"/>
      <w:r w:rsidR="0088700B" w:rsidRPr="00801513">
        <w:rPr>
          <w:i/>
          <w:szCs w:val="20"/>
        </w:rPr>
        <w:t xml:space="preserve"> </w:t>
      </w:r>
    </w:p>
    <w:p w14:paraId="33EA8E08" w14:textId="77777777" w:rsidR="0088700B" w:rsidRDefault="0088700B" w:rsidP="00801513">
      <w:pPr>
        <w:tabs>
          <w:tab w:val="left" w:pos="426"/>
        </w:tabs>
        <w:rPr>
          <w:rFonts w:ascii="Verdana" w:hAnsi="Verdana"/>
          <w:sz w:val="20"/>
          <w:szCs w:val="20"/>
        </w:rPr>
      </w:pPr>
    </w:p>
    <w:p w14:paraId="4857AA8A" w14:textId="77777777" w:rsidR="0088700B" w:rsidRPr="00423D89" w:rsidRDefault="0088700B" w:rsidP="00E66DD7">
      <w:pPr>
        <w:pStyle w:val="Heading3"/>
        <w:numPr>
          <w:ilvl w:val="1"/>
          <w:numId w:val="11"/>
        </w:numPr>
        <w:ind w:hanging="229"/>
        <w:rPr>
          <w:i/>
          <w:szCs w:val="20"/>
        </w:rPr>
      </w:pPr>
      <w:bookmarkStart w:id="50" w:name="_Toc498333507"/>
      <w:r w:rsidRPr="00423D89">
        <w:rPr>
          <w:i/>
          <w:color w:val="000000"/>
          <w:szCs w:val="20"/>
        </w:rPr>
        <w:t>Alegatos</w:t>
      </w:r>
      <w:r w:rsidRPr="00423D89">
        <w:rPr>
          <w:i/>
          <w:szCs w:val="20"/>
        </w:rPr>
        <w:t xml:space="preserve"> relativos a derechos laborales</w:t>
      </w:r>
      <w:bookmarkEnd w:id="50"/>
    </w:p>
    <w:p w14:paraId="66363D9B" w14:textId="77777777" w:rsidR="0088700B" w:rsidRPr="00113ABE" w:rsidRDefault="0088700B" w:rsidP="0088700B">
      <w:pPr>
        <w:ind w:left="1068"/>
        <w:contextualSpacing/>
        <w:jc w:val="both"/>
        <w:rPr>
          <w:rFonts w:ascii="Verdana" w:hAnsi="Verdana"/>
          <w:b/>
          <w:i/>
          <w:sz w:val="20"/>
          <w:szCs w:val="20"/>
        </w:rPr>
      </w:pPr>
    </w:p>
    <w:p w14:paraId="49E65C78" w14:textId="2745DF13" w:rsidR="0088700B" w:rsidRPr="002607D9" w:rsidRDefault="0088700B" w:rsidP="00E66DD7">
      <w:pPr>
        <w:numPr>
          <w:ilvl w:val="0"/>
          <w:numId w:val="1"/>
        </w:numPr>
        <w:ind w:left="0" w:firstLine="0"/>
        <w:contextualSpacing/>
        <w:jc w:val="both"/>
        <w:rPr>
          <w:rFonts w:ascii="Verdana" w:hAnsi="Verdana"/>
          <w:b/>
          <w:sz w:val="20"/>
          <w:szCs w:val="20"/>
        </w:rPr>
      </w:pPr>
      <w:r w:rsidRPr="002607D9">
        <w:rPr>
          <w:rFonts w:ascii="Verdana" w:hAnsi="Verdana"/>
          <w:sz w:val="20"/>
          <w:szCs w:val="20"/>
        </w:rPr>
        <w:t xml:space="preserve">En el presente caso, la Corte </w:t>
      </w:r>
      <w:r>
        <w:rPr>
          <w:rFonts w:ascii="Verdana" w:hAnsi="Verdana"/>
          <w:sz w:val="20"/>
          <w:szCs w:val="20"/>
        </w:rPr>
        <w:t>nota</w:t>
      </w:r>
      <w:r w:rsidRPr="002607D9">
        <w:rPr>
          <w:rFonts w:ascii="Verdana" w:hAnsi="Verdana"/>
          <w:sz w:val="20"/>
          <w:szCs w:val="20"/>
        </w:rPr>
        <w:t xml:space="preserve"> que en el litigio ante esta Corte, ni los representantes ni la Comisión hicieron alusión expresa a la presunta violación de los derechos laborales a la luz de la Convención Americana. Sin embargo, este Tribunal constató que la presunta víctima en todas las instancias</w:t>
      </w:r>
      <w:r w:rsidR="00E41369">
        <w:rPr>
          <w:rFonts w:ascii="Verdana" w:hAnsi="Verdana"/>
          <w:sz w:val="20"/>
          <w:szCs w:val="20"/>
        </w:rPr>
        <w:t>,</w:t>
      </w:r>
      <w:r w:rsidRPr="002607D9">
        <w:rPr>
          <w:rFonts w:ascii="Verdana" w:hAnsi="Verdana"/>
          <w:sz w:val="20"/>
          <w:szCs w:val="20"/>
        </w:rPr>
        <w:t xml:space="preserve"> tanto internas como ante la Comisión</w:t>
      </w:r>
      <w:r w:rsidR="00E41369">
        <w:rPr>
          <w:rFonts w:ascii="Verdana" w:hAnsi="Verdana"/>
          <w:sz w:val="20"/>
          <w:szCs w:val="20"/>
        </w:rPr>
        <w:t>,</w:t>
      </w:r>
      <w:r w:rsidRPr="002607D9">
        <w:rPr>
          <w:rFonts w:ascii="Verdana" w:hAnsi="Verdana"/>
          <w:sz w:val="20"/>
          <w:szCs w:val="20"/>
        </w:rPr>
        <w:t xml:space="preserve"> alegó reiteradamente la violación a sus derechos laborales, en particular a la estabilidad laboral, así como las consecuencias derivadas del despido. A saber</w:t>
      </w:r>
      <w:r w:rsidRPr="002607D9">
        <w:rPr>
          <w:rStyle w:val="FootnoteReference"/>
          <w:szCs w:val="20"/>
        </w:rPr>
        <w:footnoteReference w:id="170"/>
      </w:r>
      <w:r w:rsidRPr="002607D9">
        <w:rPr>
          <w:rFonts w:ascii="Verdana" w:hAnsi="Verdana"/>
          <w:sz w:val="20"/>
          <w:szCs w:val="20"/>
        </w:rPr>
        <w:t xml:space="preserve">: </w:t>
      </w:r>
    </w:p>
    <w:p w14:paraId="2576366C" w14:textId="77777777" w:rsidR="0088700B" w:rsidRPr="002607D9" w:rsidRDefault="0088700B" w:rsidP="0088700B">
      <w:pPr>
        <w:jc w:val="both"/>
        <w:rPr>
          <w:rFonts w:ascii="Verdana" w:hAnsi="Verdana"/>
          <w:sz w:val="18"/>
          <w:szCs w:val="20"/>
        </w:rPr>
      </w:pPr>
    </w:p>
    <w:p w14:paraId="43128402" w14:textId="2EBEBA1C" w:rsidR="0088700B" w:rsidRPr="002607D9" w:rsidRDefault="0088700B" w:rsidP="00E66DD7">
      <w:pPr>
        <w:pStyle w:val="ListParagraph"/>
        <w:numPr>
          <w:ilvl w:val="2"/>
          <w:numId w:val="21"/>
        </w:numPr>
        <w:ind w:left="851" w:firstLine="0"/>
        <w:jc w:val="both"/>
        <w:rPr>
          <w:rFonts w:ascii="Verdana" w:hAnsi="Verdana"/>
          <w:b/>
          <w:sz w:val="18"/>
          <w:szCs w:val="20"/>
        </w:rPr>
      </w:pPr>
      <w:r w:rsidRPr="002607D9">
        <w:rPr>
          <w:rFonts w:ascii="Verdana" w:hAnsi="Verdana"/>
          <w:sz w:val="18"/>
          <w:szCs w:val="20"/>
          <w:lang w:val="es-CR"/>
        </w:rPr>
        <w:t xml:space="preserve">Mediante escrito de 13 de octubre de 1993, dirigido al Presidente de la Comisión Interamericana, recibido en la oficina de la OEA en el Perú el 14 de octubre de 1993, el </w:t>
      </w:r>
      <w:r w:rsidR="008644E8">
        <w:rPr>
          <w:rFonts w:ascii="Verdana" w:hAnsi="Verdana"/>
          <w:sz w:val="18"/>
          <w:szCs w:val="20"/>
          <w:lang w:val="es-CR"/>
        </w:rPr>
        <w:t>s</w:t>
      </w:r>
      <w:r w:rsidR="00A31F26">
        <w:rPr>
          <w:rFonts w:ascii="Verdana" w:hAnsi="Verdana"/>
          <w:sz w:val="18"/>
          <w:szCs w:val="20"/>
          <w:lang w:val="es-CR"/>
        </w:rPr>
        <w:t>eñor</w:t>
      </w:r>
      <w:r w:rsidRPr="002607D9">
        <w:rPr>
          <w:rFonts w:ascii="Verdana" w:hAnsi="Verdana"/>
          <w:sz w:val="18"/>
          <w:szCs w:val="20"/>
          <w:lang w:val="es-CR"/>
        </w:rPr>
        <w:t xml:space="preserve"> Lagos del Campo afirmó que en la sentencia emitida por el Segundo Tribunal del Trabajo “[</w:t>
      </w:r>
      <w:r w:rsidR="00E41369">
        <w:rPr>
          <w:rFonts w:ascii="Verdana" w:hAnsi="Verdana"/>
          <w:sz w:val="18"/>
          <w:szCs w:val="20"/>
          <w:lang w:val="es-CR"/>
        </w:rPr>
        <w:t>h</w:t>
      </w:r>
      <w:r w:rsidRPr="002607D9">
        <w:rPr>
          <w:rFonts w:ascii="Verdana" w:hAnsi="Verdana"/>
          <w:sz w:val="18"/>
          <w:szCs w:val="20"/>
          <w:lang w:val="es-CR"/>
        </w:rPr>
        <w:t xml:space="preserve">ubo] vicios procesales que recortaron [su] tutela jurídica, violando de [esa] manera lo que establece la Constitución Política de [su] país, que garantiza a todo ciudadano peruano, </w:t>
      </w:r>
      <w:r w:rsidRPr="002607D9">
        <w:rPr>
          <w:rFonts w:ascii="Verdana" w:hAnsi="Verdana"/>
          <w:i/>
          <w:sz w:val="18"/>
          <w:szCs w:val="20"/>
          <w:lang w:val="es-CR"/>
        </w:rPr>
        <w:t xml:space="preserve">el derecho a un </w:t>
      </w:r>
      <w:r w:rsidRPr="002607D9">
        <w:rPr>
          <w:rFonts w:ascii="Verdana" w:hAnsi="Verdana"/>
          <w:i/>
          <w:sz w:val="18"/>
          <w:szCs w:val="20"/>
          <w:lang w:val="es-CR"/>
        </w:rPr>
        <w:lastRenderedPageBreak/>
        <w:t xml:space="preserve">debido proceso legal y el </w:t>
      </w:r>
      <w:r w:rsidRPr="006D5D16">
        <w:rPr>
          <w:rFonts w:ascii="Verdana" w:hAnsi="Verdana"/>
          <w:b/>
          <w:i/>
          <w:sz w:val="18"/>
          <w:szCs w:val="20"/>
          <w:lang w:val="es-CR"/>
        </w:rPr>
        <w:t>derecho al trabajo</w:t>
      </w:r>
      <w:r w:rsidRPr="002607D9">
        <w:rPr>
          <w:rFonts w:ascii="Verdana" w:hAnsi="Verdana"/>
          <w:sz w:val="18"/>
          <w:szCs w:val="20"/>
          <w:lang w:val="es-CR"/>
        </w:rPr>
        <w:t>”</w:t>
      </w:r>
      <w:r w:rsidR="008E18C3">
        <w:rPr>
          <w:rFonts w:ascii="Verdana" w:hAnsi="Verdana"/>
          <w:sz w:val="18"/>
          <w:szCs w:val="20"/>
          <w:lang w:val="es-CR"/>
        </w:rPr>
        <w:t>.</w:t>
      </w:r>
      <w:r w:rsidRPr="002607D9">
        <w:rPr>
          <w:rFonts w:ascii="Verdana" w:hAnsi="Verdana"/>
          <w:sz w:val="18"/>
          <w:szCs w:val="20"/>
          <w:lang w:val="es-CR"/>
        </w:rPr>
        <w:t xml:space="preserve"> En el anexo 1 de ese mismo escrito, el peticionario precisó, entre otros, que se había violado “[su] derecho a la </w:t>
      </w:r>
      <w:r w:rsidRPr="006D5D16">
        <w:rPr>
          <w:rFonts w:ascii="Verdana" w:hAnsi="Verdana"/>
          <w:b/>
          <w:i/>
          <w:sz w:val="18"/>
          <w:szCs w:val="20"/>
          <w:lang w:val="es-CR"/>
        </w:rPr>
        <w:t>estabilidad en el trabajo</w:t>
      </w:r>
      <w:r w:rsidRPr="002607D9">
        <w:rPr>
          <w:rFonts w:ascii="Verdana" w:hAnsi="Verdana"/>
          <w:sz w:val="18"/>
          <w:szCs w:val="20"/>
          <w:lang w:val="es-CR"/>
        </w:rPr>
        <w:t xml:space="preserve">, señalado en el </w:t>
      </w:r>
      <w:proofErr w:type="gramStart"/>
      <w:r w:rsidRPr="002607D9">
        <w:rPr>
          <w:rFonts w:ascii="Verdana" w:hAnsi="Verdana"/>
          <w:sz w:val="18"/>
          <w:szCs w:val="20"/>
          <w:lang w:val="es-CR"/>
        </w:rPr>
        <w:t>art[</w:t>
      </w:r>
      <w:proofErr w:type="spellStart"/>
      <w:proofErr w:type="gramEnd"/>
      <w:r w:rsidRPr="002607D9">
        <w:rPr>
          <w:rFonts w:ascii="Verdana" w:hAnsi="Verdana"/>
          <w:sz w:val="18"/>
          <w:szCs w:val="20"/>
          <w:lang w:val="es-CR"/>
        </w:rPr>
        <w:t>ículo</w:t>
      </w:r>
      <w:proofErr w:type="spellEnd"/>
      <w:r w:rsidRPr="002607D9">
        <w:rPr>
          <w:rFonts w:ascii="Verdana" w:hAnsi="Verdana"/>
          <w:sz w:val="18"/>
          <w:szCs w:val="20"/>
          <w:lang w:val="es-CR"/>
        </w:rPr>
        <w:t xml:space="preserve">] 48 de la Constitución y </w:t>
      </w:r>
      <w:r w:rsidR="00A31F26">
        <w:rPr>
          <w:rFonts w:ascii="Verdana" w:hAnsi="Verdana"/>
          <w:sz w:val="18"/>
          <w:szCs w:val="20"/>
          <w:lang w:val="es-CR"/>
        </w:rPr>
        <w:t xml:space="preserve">los </w:t>
      </w:r>
      <w:r w:rsidRPr="002607D9">
        <w:rPr>
          <w:rFonts w:ascii="Verdana" w:hAnsi="Verdana"/>
          <w:sz w:val="18"/>
          <w:szCs w:val="20"/>
          <w:lang w:val="es-CR"/>
        </w:rPr>
        <w:t>art[</w:t>
      </w:r>
      <w:proofErr w:type="spellStart"/>
      <w:r w:rsidRPr="002607D9">
        <w:rPr>
          <w:rFonts w:ascii="Verdana" w:hAnsi="Verdana"/>
          <w:sz w:val="18"/>
          <w:szCs w:val="20"/>
          <w:lang w:val="es-CR"/>
        </w:rPr>
        <w:t>ículos</w:t>
      </w:r>
      <w:proofErr w:type="spellEnd"/>
      <w:r w:rsidRPr="002607D9">
        <w:rPr>
          <w:rFonts w:ascii="Verdana" w:hAnsi="Verdana"/>
          <w:sz w:val="18"/>
          <w:szCs w:val="20"/>
          <w:lang w:val="es-CR"/>
        </w:rPr>
        <w:t>] 27 y 26 del nuevo proyecto”</w:t>
      </w:r>
      <w:r w:rsidRPr="002607D9">
        <w:rPr>
          <w:rStyle w:val="FootnoteReference"/>
          <w:sz w:val="18"/>
          <w:szCs w:val="20"/>
          <w:lang w:val="es-CR"/>
        </w:rPr>
        <w:footnoteReference w:id="171"/>
      </w:r>
      <w:r w:rsidRPr="002607D9">
        <w:rPr>
          <w:rFonts w:ascii="Verdana" w:hAnsi="Verdana"/>
          <w:sz w:val="18"/>
          <w:szCs w:val="20"/>
          <w:lang w:val="es-CR"/>
        </w:rPr>
        <w:t>.</w:t>
      </w:r>
    </w:p>
    <w:p w14:paraId="385F1219" w14:textId="77777777" w:rsidR="0088700B" w:rsidRPr="00E26F81" w:rsidRDefault="0088700B" w:rsidP="0088700B">
      <w:pPr>
        <w:pStyle w:val="ListParagraph"/>
        <w:ind w:left="851"/>
        <w:jc w:val="both"/>
        <w:rPr>
          <w:rFonts w:ascii="Verdana" w:hAnsi="Verdana"/>
          <w:b/>
          <w:sz w:val="18"/>
          <w:szCs w:val="20"/>
        </w:rPr>
      </w:pPr>
    </w:p>
    <w:p w14:paraId="32462CF6" w14:textId="65F6988A" w:rsidR="0088700B" w:rsidRPr="002607D9" w:rsidRDefault="0088700B" w:rsidP="00E66DD7">
      <w:pPr>
        <w:pStyle w:val="ListParagraph"/>
        <w:numPr>
          <w:ilvl w:val="2"/>
          <w:numId w:val="21"/>
        </w:numPr>
        <w:ind w:left="851" w:firstLine="0"/>
        <w:jc w:val="both"/>
        <w:rPr>
          <w:rFonts w:ascii="Verdana" w:hAnsi="Verdana"/>
          <w:b/>
          <w:sz w:val="18"/>
          <w:szCs w:val="20"/>
        </w:rPr>
      </w:pPr>
      <w:r w:rsidRPr="002607D9">
        <w:rPr>
          <w:rFonts w:ascii="Verdana" w:hAnsi="Verdana"/>
          <w:sz w:val="18"/>
          <w:szCs w:val="20"/>
          <w:lang w:val="es-CR"/>
        </w:rPr>
        <w:t xml:space="preserve">Mediante escrito dirigido a la Comisión Interamericana de 30 de septiembre de 1994, recibido por la Oficina de la OEA en el Perú el 4 de octubre de 1994, la parte actora expuso, “[que] la violación de [sus] derechos constitucionales y humanos, como son </w:t>
      </w:r>
      <w:r w:rsidRPr="002607D9">
        <w:rPr>
          <w:rFonts w:ascii="Verdana" w:hAnsi="Verdana"/>
          <w:i/>
          <w:sz w:val="18"/>
          <w:szCs w:val="20"/>
          <w:lang w:val="es-CR"/>
        </w:rPr>
        <w:t xml:space="preserve">el derecho a un juicio justo y el </w:t>
      </w:r>
      <w:r w:rsidRPr="006D5D16">
        <w:rPr>
          <w:rFonts w:ascii="Verdana" w:hAnsi="Verdana"/>
          <w:b/>
          <w:i/>
          <w:sz w:val="18"/>
          <w:szCs w:val="20"/>
          <w:lang w:val="es-CR"/>
        </w:rPr>
        <w:t>derecho al trabajo</w:t>
      </w:r>
      <w:r w:rsidRPr="002607D9">
        <w:rPr>
          <w:rFonts w:ascii="Verdana" w:hAnsi="Verdana"/>
          <w:sz w:val="18"/>
          <w:szCs w:val="20"/>
          <w:lang w:val="es-CR"/>
        </w:rPr>
        <w:t xml:space="preserve">, que [fueron] de conocimiento de las altas autoridades de [su] país, </w:t>
      </w:r>
      <w:r w:rsidR="00A31F26">
        <w:rPr>
          <w:rFonts w:ascii="Verdana" w:hAnsi="Verdana"/>
          <w:sz w:val="18"/>
          <w:szCs w:val="20"/>
          <w:lang w:val="es-CR"/>
        </w:rPr>
        <w:t xml:space="preserve">[y] </w:t>
      </w:r>
      <w:r w:rsidRPr="002607D9">
        <w:rPr>
          <w:rFonts w:ascii="Verdana" w:hAnsi="Verdana"/>
          <w:sz w:val="18"/>
          <w:szCs w:val="20"/>
          <w:lang w:val="es-CR"/>
        </w:rPr>
        <w:t>hasta [aquel] momento no media</w:t>
      </w:r>
      <w:r w:rsidR="00A31F26">
        <w:rPr>
          <w:rFonts w:ascii="Verdana" w:hAnsi="Verdana"/>
          <w:sz w:val="18"/>
          <w:szCs w:val="20"/>
          <w:lang w:val="es-CR"/>
        </w:rPr>
        <w:t>[</w:t>
      </w:r>
      <w:proofErr w:type="spellStart"/>
      <w:r w:rsidR="00A31F26">
        <w:rPr>
          <w:rFonts w:ascii="Verdana" w:hAnsi="Verdana"/>
          <w:sz w:val="18"/>
          <w:szCs w:val="20"/>
          <w:lang w:val="es-CR"/>
        </w:rPr>
        <w:t>ba</w:t>
      </w:r>
      <w:proofErr w:type="spellEnd"/>
      <w:r w:rsidR="00A31F26">
        <w:rPr>
          <w:rFonts w:ascii="Verdana" w:hAnsi="Verdana"/>
          <w:sz w:val="18"/>
          <w:szCs w:val="20"/>
          <w:lang w:val="es-CR"/>
        </w:rPr>
        <w:t>]</w:t>
      </w:r>
      <w:r w:rsidRPr="002607D9">
        <w:rPr>
          <w:rFonts w:ascii="Verdana" w:hAnsi="Verdana"/>
          <w:sz w:val="18"/>
          <w:szCs w:val="20"/>
          <w:lang w:val="es-CR"/>
        </w:rPr>
        <w:t>n ninguna acción o presencia de justicia […]”</w:t>
      </w:r>
      <w:r w:rsidRPr="002607D9">
        <w:rPr>
          <w:rStyle w:val="FootnoteReference"/>
          <w:sz w:val="18"/>
          <w:szCs w:val="20"/>
          <w:lang w:val="es-CR"/>
        </w:rPr>
        <w:footnoteReference w:id="172"/>
      </w:r>
      <w:r w:rsidR="00E41369">
        <w:rPr>
          <w:rFonts w:ascii="Verdana" w:hAnsi="Verdana"/>
          <w:sz w:val="18"/>
          <w:szCs w:val="20"/>
          <w:lang w:val="es-CR"/>
        </w:rPr>
        <w:t>.</w:t>
      </w:r>
    </w:p>
    <w:p w14:paraId="4937B814" w14:textId="77777777" w:rsidR="0088700B" w:rsidRPr="00932C8E" w:rsidRDefault="0088700B" w:rsidP="0088700B">
      <w:pPr>
        <w:ind w:left="851"/>
        <w:jc w:val="both"/>
        <w:rPr>
          <w:rFonts w:ascii="Verdana" w:hAnsi="Verdana"/>
          <w:b/>
          <w:sz w:val="18"/>
          <w:szCs w:val="20"/>
        </w:rPr>
      </w:pPr>
    </w:p>
    <w:p w14:paraId="799DA184" w14:textId="58887B5C" w:rsidR="0088700B" w:rsidRPr="00932C8E" w:rsidRDefault="0088700B" w:rsidP="00E66DD7">
      <w:pPr>
        <w:pStyle w:val="ListParagraph"/>
        <w:numPr>
          <w:ilvl w:val="2"/>
          <w:numId w:val="21"/>
        </w:numPr>
        <w:ind w:left="851" w:firstLine="0"/>
        <w:jc w:val="both"/>
        <w:rPr>
          <w:rFonts w:ascii="Verdana" w:hAnsi="Verdana"/>
          <w:b/>
          <w:sz w:val="18"/>
          <w:szCs w:val="20"/>
        </w:rPr>
      </w:pPr>
      <w:r>
        <w:rPr>
          <w:rFonts w:ascii="Verdana" w:hAnsi="Verdana"/>
          <w:sz w:val="18"/>
          <w:szCs w:val="20"/>
          <w:lang w:val="es-CR"/>
        </w:rPr>
        <w:t xml:space="preserve">Mediante </w:t>
      </w:r>
      <w:r w:rsidRPr="00932C8E">
        <w:rPr>
          <w:rFonts w:ascii="Verdana" w:hAnsi="Verdana"/>
          <w:sz w:val="18"/>
          <w:szCs w:val="20"/>
          <w:lang w:val="es-CR"/>
        </w:rPr>
        <w:t xml:space="preserve">escrito </w:t>
      </w:r>
      <w:r>
        <w:rPr>
          <w:rFonts w:ascii="Verdana" w:hAnsi="Verdana"/>
          <w:sz w:val="18"/>
          <w:szCs w:val="20"/>
          <w:lang w:val="es-CR"/>
        </w:rPr>
        <w:t xml:space="preserve">de </w:t>
      </w:r>
      <w:r w:rsidRPr="00932C8E">
        <w:rPr>
          <w:rFonts w:ascii="Verdana" w:hAnsi="Verdana"/>
          <w:sz w:val="18"/>
          <w:szCs w:val="20"/>
        </w:rPr>
        <w:t xml:space="preserve">la Federación de Trabajadores de la Industria Metalúrgica del Perú (FETIMP) en representación del </w:t>
      </w:r>
      <w:r w:rsidR="008644E8">
        <w:rPr>
          <w:rFonts w:ascii="Verdana" w:hAnsi="Verdana"/>
          <w:sz w:val="18"/>
          <w:szCs w:val="20"/>
        </w:rPr>
        <w:t>s</w:t>
      </w:r>
      <w:r w:rsidR="00D3263C">
        <w:rPr>
          <w:rFonts w:ascii="Verdana" w:hAnsi="Verdana"/>
          <w:sz w:val="18"/>
          <w:szCs w:val="20"/>
        </w:rPr>
        <w:t>eñor</w:t>
      </w:r>
      <w:r w:rsidRPr="00932C8E">
        <w:rPr>
          <w:rFonts w:ascii="Verdana" w:hAnsi="Verdana"/>
          <w:sz w:val="18"/>
          <w:szCs w:val="20"/>
        </w:rPr>
        <w:t xml:space="preserve"> Lagos del Campo, </w:t>
      </w:r>
      <w:r w:rsidRPr="00932C8E">
        <w:rPr>
          <w:rFonts w:ascii="Verdana" w:hAnsi="Verdana"/>
          <w:sz w:val="18"/>
          <w:szCs w:val="20"/>
          <w:lang w:val="es-CR"/>
        </w:rPr>
        <w:t>dirigido al Presidente de la Comisión Interamericana de 4 de junio de 1997 y recibid</w:t>
      </w:r>
      <w:r>
        <w:rPr>
          <w:rFonts w:ascii="Verdana" w:hAnsi="Verdana"/>
          <w:sz w:val="18"/>
          <w:szCs w:val="20"/>
          <w:lang w:val="es-CR"/>
        </w:rPr>
        <w:t>o</w:t>
      </w:r>
      <w:r w:rsidRPr="00932C8E">
        <w:rPr>
          <w:rFonts w:ascii="Verdana" w:hAnsi="Verdana"/>
          <w:sz w:val="18"/>
          <w:szCs w:val="20"/>
          <w:lang w:val="es-CR"/>
        </w:rPr>
        <w:t xml:space="preserve"> el 5 de agosto de 1998 en la </w:t>
      </w:r>
      <w:r>
        <w:rPr>
          <w:rFonts w:ascii="Verdana" w:hAnsi="Verdana"/>
          <w:sz w:val="18"/>
          <w:szCs w:val="20"/>
          <w:lang w:val="es-CR"/>
        </w:rPr>
        <w:t>Comisión,</w:t>
      </w:r>
      <w:r w:rsidRPr="00932C8E">
        <w:rPr>
          <w:rFonts w:ascii="Verdana" w:hAnsi="Verdana"/>
          <w:sz w:val="18"/>
          <w:szCs w:val="20"/>
          <w:lang w:val="es-CR"/>
        </w:rPr>
        <w:t xml:space="preserve"> “</w:t>
      </w:r>
      <w:proofErr w:type="spellStart"/>
      <w:r w:rsidRPr="00932C8E">
        <w:rPr>
          <w:rFonts w:ascii="Verdana" w:hAnsi="Verdana"/>
          <w:sz w:val="18"/>
          <w:szCs w:val="20"/>
          <w:lang w:val="es-CR"/>
        </w:rPr>
        <w:t>exp</w:t>
      </w:r>
      <w:proofErr w:type="spellEnd"/>
      <w:r>
        <w:rPr>
          <w:rFonts w:ascii="Verdana" w:hAnsi="Verdana"/>
          <w:sz w:val="18"/>
          <w:szCs w:val="20"/>
          <w:lang w:val="es-CR"/>
        </w:rPr>
        <w:t>[uso]</w:t>
      </w:r>
      <w:r w:rsidRPr="00932C8E">
        <w:rPr>
          <w:rFonts w:ascii="Verdana" w:hAnsi="Verdana"/>
          <w:sz w:val="18"/>
          <w:szCs w:val="20"/>
          <w:lang w:val="es-CR"/>
        </w:rPr>
        <w:t xml:space="preserve"> el caso del </w:t>
      </w:r>
      <w:r w:rsidR="00E41369">
        <w:rPr>
          <w:rFonts w:ascii="Verdana" w:hAnsi="Verdana"/>
          <w:sz w:val="18"/>
          <w:szCs w:val="20"/>
          <w:lang w:val="es-CR"/>
        </w:rPr>
        <w:t>[</w:t>
      </w:r>
      <w:r w:rsidRPr="00932C8E">
        <w:rPr>
          <w:rFonts w:ascii="Verdana" w:hAnsi="Verdana"/>
          <w:sz w:val="18"/>
          <w:szCs w:val="20"/>
          <w:lang w:val="es-CR"/>
        </w:rPr>
        <w:t>c</w:t>
      </w:r>
      <w:r w:rsidR="00E41369">
        <w:rPr>
          <w:rFonts w:ascii="Verdana" w:hAnsi="Verdana"/>
          <w:sz w:val="18"/>
          <w:szCs w:val="20"/>
          <w:lang w:val="es-CR"/>
        </w:rPr>
        <w:t>]</w:t>
      </w:r>
      <w:proofErr w:type="spellStart"/>
      <w:r w:rsidRPr="00932C8E">
        <w:rPr>
          <w:rFonts w:ascii="Verdana" w:hAnsi="Verdana"/>
          <w:sz w:val="18"/>
          <w:szCs w:val="20"/>
          <w:lang w:val="es-CR"/>
        </w:rPr>
        <w:t>iudadano</w:t>
      </w:r>
      <w:proofErr w:type="spellEnd"/>
      <w:r w:rsidRPr="00932C8E">
        <w:rPr>
          <w:rFonts w:ascii="Verdana" w:hAnsi="Verdana"/>
          <w:sz w:val="18"/>
          <w:szCs w:val="20"/>
          <w:lang w:val="es-CR"/>
        </w:rPr>
        <w:t xml:space="preserve"> </w:t>
      </w:r>
      <w:r w:rsidR="00E41369">
        <w:rPr>
          <w:rFonts w:ascii="Verdana" w:hAnsi="Verdana"/>
          <w:sz w:val="18"/>
          <w:szCs w:val="20"/>
          <w:lang w:val="es-CR"/>
        </w:rPr>
        <w:t>[</w:t>
      </w:r>
      <w:r w:rsidRPr="00932C8E">
        <w:rPr>
          <w:rFonts w:ascii="Verdana" w:hAnsi="Verdana"/>
          <w:sz w:val="18"/>
          <w:szCs w:val="20"/>
          <w:lang w:val="es-CR"/>
        </w:rPr>
        <w:t>p</w:t>
      </w:r>
      <w:r w:rsidR="00E41369">
        <w:rPr>
          <w:rFonts w:ascii="Verdana" w:hAnsi="Verdana"/>
          <w:sz w:val="18"/>
          <w:szCs w:val="20"/>
          <w:lang w:val="es-CR"/>
        </w:rPr>
        <w:t>]</w:t>
      </w:r>
      <w:proofErr w:type="spellStart"/>
      <w:r w:rsidRPr="00932C8E">
        <w:rPr>
          <w:rFonts w:ascii="Verdana" w:hAnsi="Verdana"/>
          <w:sz w:val="18"/>
          <w:szCs w:val="20"/>
          <w:lang w:val="es-CR"/>
        </w:rPr>
        <w:t>eruano</w:t>
      </w:r>
      <w:proofErr w:type="spellEnd"/>
      <w:r w:rsidRPr="00932C8E">
        <w:rPr>
          <w:rFonts w:ascii="Verdana" w:hAnsi="Verdana"/>
          <w:sz w:val="18"/>
          <w:szCs w:val="20"/>
          <w:lang w:val="es-CR"/>
        </w:rPr>
        <w:t xml:space="preserve"> y afiliado a [su] organización sindical, </w:t>
      </w:r>
      <w:r w:rsidR="008644E8">
        <w:rPr>
          <w:rFonts w:ascii="Verdana" w:hAnsi="Verdana"/>
          <w:sz w:val="18"/>
          <w:szCs w:val="20"/>
          <w:lang w:val="es-CR"/>
        </w:rPr>
        <w:t>s</w:t>
      </w:r>
      <w:r w:rsidR="00D3263C">
        <w:rPr>
          <w:rFonts w:ascii="Verdana" w:hAnsi="Verdana"/>
          <w:sz w:val="18"/>
          <w:szCs w:val="20"/>
          <w:lang w:val="es-CR"/>
        </w:rPr>
        <w:t>eñor</w:t>
      </w:r>
      <w:r w:rsidRPr="00932C8E">
        <w:rPr>
          <w:rFonts w:ascii="Verdana" w:hAnsi="Verdana"/>
          <w:sz w:val="18"/>
          <w:szCs w:val="20"/>
          <w:lang w:val="es-CR"/>
        </w:rPr>
        <w:t xml:space="preserve"> Lagos del Campo, quien fue</w:t>
      </w:r>
      <w:r w:rsidR="00E41369">
        <w:rPr>
          <w:rFonts w:ascii="Verdana" w:hAnsi="Verdana"/>
          <w:sz w:val="18"/>
          <w:szCs w:val="20"/>
          <w:lang w:val="es-CR"/>
        </w:rPr>
        <w:t xml:space="preserve"> […]</w:t>
      </w:r>
      <w:r w:rsidRPr="00932C8E">
        <w:rPr>
          <w:rFonts w:ascii="Verdana" w:hAnsi="Verdana"/>
          <w:sz w:val="18"/>
          <w:szCs w:val="20"/>
          <w:lang w:val="es-CR"/>
        </w:rPr>
        <w:t xml:space="preserve"> </w:t>
      </w:r>
      <w:r w:rsidRPr="008E104E">
        <w:rPr>
          <w:rFonts w:ascii="Verdana" w:hAnsi="Verdana"/>
          <w:i/>
          <w:sz w:val="18"/>
          <w:szCs w:val="20"/>
          <w:lang w:val="es-CR"/>
        </w:rPr>
        <w:t>injustamente despedido de su centro de labores</w:t>
      </w:r>
      <w:r w:rsidRPr="00932C8E">
        <w:rPr>
          <w:rFonts w:ascii="Verdana" w:hAnsi="Verdana"/>
          <w:sz w:val="18"/>
          <w:szCs w:val="20"/>
          <w:lang w:val="es-CR"/>
        </w:rPr>
        <w:t xml:space="preserve"> </w:t>
      </w:r>
      <w:r>
        <w:rPr>
          <w:rFonts w:ascii="Verdana" w:hAnsi="Verdana"/>
          <w:sz w:val="18"/>
          <w:szCs w:val="20"/>
          <w:lang w:val="es-CR"/>
        </w:rPr>
        <w:t>en la</w:t>
      </w:r>
      <w:r w:rsidRPr="00932C8E">
        <w:rPr>
          <w:rFonts w:ascii="Verdana" w:hAnsi="Verdana"/>
          <w:sz w:val="18"/>
          <w:szCs w:val="20"/>
          <w:lang w:val="es-CR"/>
        </w:rPr>
        <w:t xml:space="preserve"> empresa CEPER PIRELLI, S.A. el 26 de junio de 1989. Habiendo acudido a los tribunales nacionales fue víctima de la mala administración de justicia y hasta la fecha clama por una respuesta a la acción de amparo </w:t>
      </w:r>
      <w:proofErr w:type="gramStart"/>
      <w:r w:rsidRPr="00932C8E">
        <w:rPr>
          <w:rFonts w:ascii="Verdana" w:hAnsi="Verdana"/>
          <w:sz w:val="18"/>
          <w:szCs w:val="20"/>
          <w:lang w:val="es-CR"/>
        </w:rPr>
        <w:t>n[</w:t>
      </w:r>
      <w:proofErr w:type="spellStart"/>
      <w:proofErr w:type="gramEnd"/>
      <w:r w:rsidRPr="00932C8E">
        <w:rPr>
          <w:rFonts w:ascii="Verdana" w:hAnsi="Verdana"/>
          <w:sz w:val="18"/>
          <w:szCs w:val="20"/>
          <w:lang w:val="es-CR"/>
        </w:rPr>
        <w:t>úmero</w:t>
      </w:r>
      <w:proofErr w:type="spellEnd"/>
      <w:r w:rsidRPr="00932C8E">
        <w:rPr>
          <w:rFonts w:ascii="Verdana" w:hAnsi="Verdana"/>
          <w:sz w:val="18"/>
          <w:szCs w:val="20"/>
          <w:lang w:val="es-CR"/>
        </w:rPr>
        <w:t>] 2651-91”. Además se mencionó que a la fecha no habían recibido respuesta de la carta que se envió a la C</w:t>
      </w:r>
      <w:r>
        <w:rPr>
          <w:rFonts w:ascii="Verdana" w:hAnsi="Verdana"/>
          <w:sz w:val="18"/>
          <w:szCs w:val="20"/>
          <w:lang w:val="es-CR"/>
        </w:rPr>
        <w:t>omisión</w:t>
      </w:r>
      <w:r w:rsidRPr="00932C8E">
        <w:rPr>
          <w:rFonts w:ascii="Verdana" w:hAnsi="Verdana"/>
          <w:sz w:val="18"/>
          <w:szCs w:val="20"/>
          <w:lang w:val="es-CR"/>
        </w:rPr>
        <w:t xml:space="preserve"> </w:t>
      </w:r>
      <w:r>
        <w:rPr>
          <w:rFonts w:ascii="Verdana" w:hAnsi="Verdana"/>
          <w:sz w:val="18"/>
          <w:szCs w:val="20"/>
          <w:lang w:val="es-CR"/>
        </w:rPr>
        <w:t>el</w:t>
      </w:r>
      <w:r w:rsidRPr="00932C8E">
        <w:rPr>
          <w:rFonts w:ascii="Verdana" w:hAnsi="Verdana"/>
          <w:sz w:val="18"/>
          <w:szCs w:val="20"/>
          <w:lang w:val="es-CR"/>
        </w:rPr>
        <w:t xml:space="preserve"> 14 de octubre de 1993, tramitada por la oficina de la OEA en Lima</w:t>
      </w:r>
      <w:r w:rsidRPr="00932C8E">
        <w:rPr>
          <w:rStyle w:val="FootnoteReference"/>
          <w:sz w:val="18"/>
          <w:szCs w:val="20"/>
          <w:lang w:val="es-CR"/>
        </w:rPr>
        <w:footnoteReference w:id="173"/>
      </w:r>
      <w:r w:rsidR="00E41369">
        <w:rPr>
          <w:rFonts w:ascii="Verdana" w:hAnsi="Verdana"/>
          <w:sz w:val="18"/>
          <w:szCs w:val="20"/>
          <w:lang w:val="es-CR"/>
        </w:rPr>
        <w:t>.</w:t>
      </w:r>
    </w:p>
    <w:p w14:paraId="2F4A4562" w14:textId="77777777" w:rsidR="0088700B" w:rsidRPr="00932C8E" w:rsidRDefault="0088700B" w:rsidP="0088700B">
      <w:pPr>
        <w:ind w:left="851"/>
        <w:jc w:val="both"/>
        <w:rPr>
          <w:rFonts w:ascii="Verdana" w:hAnsi="Verdana"/>
          <w:b/>
          <w:sz w:val="18"/>
          <w:szCs w:val="20"/>
        </w:rPr>
      </w:pPr>
    </w:p>
    <w:p w14:paraId="4F5480D1" w14:textId="067DD3C5" w:rsidR="0088700B" w:rsidRPr="00932C8E" w:rsidRDefault="0088700B" w:rsidP="00E66DD7">
      <w:pPr>
        <w:pStyle w:val="ListParagraph"/>
        <w:numPr>
          <w:ilvl w:val="2"/>
          <w:numId w:val="21"/>
        </w:numPr>
        <w:ind w:left="851" w:firstLine="0"/>
        <w:jc w:val="both"/>
        <w:rPr>
          <w:rFonts w:ascii="Verdana" w:hAnsi="Verdana"/>
          <w:b/>
          <w:sz w:val="18"/>
          <w:szCs w:val="20"/>
        </w:rPr>
      </w:pPr>
      <w:r>
        <w:rPr>
          <w:rFonts w:ascii="Verdana" w:hAnsi="Verdana"/>
          <w:sz w:val="18"/>
          <w:szCs w:val="20"/>
        </w:rPr>
        <w:t>Mediante p</w:t>
      </w:r>
      <w:r w:rsidRPr="00932C8E">
        <w:rPr>
          <w:rFonts w:ascii="Verdana" w:hAnsi="Verdana"/>
          <w:sz w:val="18"/>
          <w:szCs w:val="20"/>
        </w:rPr>
        <w:t xml:space="preserve">etición dirigida a la Comisión de 30 de </w:t>
      </w:r>
      <w:r w:rsidR="00E41369">
        <w:rPr>
          <w:rFonts w:ascii="Verdana" w:hAnsi="Verdana"/>
          <w:sz w:val="18"/>
          <w:szCs w:val="20"/>
        </w:rPr>
        <w:t>j</w:t>
      </w:r>
      <w:r w:rsidRPr="00932C8E">
        <w:rPr>
          <w:rFonts w:ascii="Verdana" w:hAnsi="Verdana"/>
          <w:sz w:val="18"/>
          <w:szCs w:val="20"/>
        </w:rPr>
        <w:t xml:space="preserve">ulio de 1997, el </w:t>
      </w:r>
      <w:r w:rsidR="008644E8">
        <w:rPr>
          <w:rFonts w:ascii="Verdana" w:hAnsi="Verdana"/>
          <w:sz w:val="18"/>
          <w:szCs w:val="20"/>
        </w:rPr>
        <w:t>s</w:t>
      </w:r>
      <w:r w:rsidR="00D3263C">
        <w:rPr>
          <w:rFonts w:ascii="Verdana" w:hAnsi="Verdana"/>
          <w:sz w:val="18"/>
          <w:szCs w:val="20"/>
        </w:rPr>
        <w:t>eñor</w:t>
      </w:r>
      <w:r w:rsidRPr="00932C8E">
        <w:rPr>
          <w:rFonts w:ascii="Verdana" w:hAnsi="Verdana"/>
          <w:sz w:val="18"/>
          <w:szCs w:val="20"/>
        </w:rPr>
        <w:t xml:space="preserve"> Lagos del Campo “</w:t>
      </w:r>
      <w:proofErr w:type="spellStart"/>
      <w:proofErr w:type="gramStart"/>
      <w:r w:rsidRPr="00932C8E">
        <w:rPr>
          <w:rFonts w:ascii="Verdana" w:hAnsi="Verdana"/>
          <w:sz w:val="18"/>
          <w:szCs w:val="20"/>
        </w:rPr>
        <w:t>interp</w:t>
      </w:r>
      <w:proofErr w:type="spellEnd"/>
      <w:r w:rsidRPr="00932C8E">
        <w:rPr>
          <w:rFonts w:ascii="Verdana" w:hAnsi="Verdana"/>
          <w:sz w:val="18"/>
          <w:szCs w:val="20"/>
          <w:lang w:val="es-CR"/>
        </w:rPr>
        <w:t>[</w:t>
      </w:r>
      <w:proofErr w:type="gramEnd"/>
      <w:r w:rsidRPr="00932C8E">
        <w:rPr>
          <w:rFonts w:ascii="Verdana" w:hAnsi="Verdana"/>
          <w:sz w:val="18"/>
          <w:szCs w:val="20"/>
          <w:lang w:val="es-CR"/>
        </w:rPr>
        <w:t xml:space="preserve">uso] denuncia de violación de derecho humano, en contra del gobierno peruano por haber violado el </w:t>
      </w:r>
      <w:r w:rsidRPr="00932C8E">
        <w:rPr>
          <w:rFonts w:ascii="Verdana" w:hAnsi="Verdana"/>
          <w:i/>
          <w:sz w:val="18"/>
          <w:szCs w:val="20"/>
          <w:lang w:val="es-CR"/>
        </w:rPr>
        <w:t>derecho a la igualdad y protección de la ley (</w:t>
      </w:r>
      <w:r w:rsidR="00E41369">
        <w:rPr>
          <w:rFonts w:ascii="Verdana" w:hAnsi="Verdana"/>
          <w:i/>
          <w:sz w:val="18"/>
          <w:szCs w:val="20"/>
          <w:lang w:val="es-CR"/>
        </w:rPr>
        <w:t>[</w:t>
      </w:r>
      <w:r w:rsidRPr="00932C8E">
        <w:rPr>
          <w:rFonts w:ascii="Verdana" w:hAnsi="Verdana"/>
          <w:i/>
          <w:sz w:val="18"/>
          <w:szCs w:val="20"/>
          <w:lang w:val="es-CR"/>
        </w:rPr>
        <w:t>a</w:t>
      </w:r>
      <w:r w:rsidR="00E41369">
        <w:rPr>
          <w:rFonts w:ascii="Verdana" w:hAnsi="Verdana"/>
          <w:i/>
          <w:sz w:val="18"/>
          <w:szCs w:val="20"/>
          <w:lang w:val="es-CR"/>
        </w:rPr>
        <w:t>]</w:t>
      </w:r>
      <w:proofErr w:type="spellStart"/>
      <w:r w:rsidRPr="00932C8E">
        <w:rPr>
          <w:rFonts w:ascii="Verdana" w:hAnsi="Verdana"/>
          <w:i/>
          <w:sz w:val="18"/>
          <w:szCs w:val="20"/>
          <w:lang w:val="es-CR"/>
        </w:rPr>
        <w:t>rt</w:t>
      </w:r>
      <w:proofErr w:type="spellEnd"/>
      <w:r w:rsidRPr="00932C8E">
        <w:rPr>
          <w:rFonts w:ascii="Verdana" w:hAnsi="Verdana"/>
          <w:i/>
          <w:sz w:val="18"/>
          <w:szCs w:val="20"/>
          <w:lang w:val="es-CR"/>
        </w:rPr>
        <w:t>[</w:t>
      </w:r>
      <w:proofErr w:type="spellStart"/>
      <w:r w:rsidRPr="00932C8E">
        <w:rPr>
          <w:rFonts w:ascii="Verdana" w:hAnsi="Verdana"/>
          <w:i/>
          <w:sz w:val="18"/>
          <w:szCs w:val="20"/>
          <w:lang w:val="es-CR"/>
        </w:rPr>
        <w:t>ículo</w:t>
      </w:r>
      <w:proofErr w:type="spellEnd"/>
      <w:r w:rsidRPr="00932C8E">
        <w:rPr>
          <w:rFonts w:ascii="Verdana" w:hAnsi="Verdana"/>
          <w:i/>
          <w:sz w:val="18"/>
          <w:szCs w:val="20"/>
          <w:lang w:val="es-CR"/>
        </w:rPr>
        <w:t>] 22) y así mismo el derecho a la protección judicial contra violaciones de derechos fundamentales (</w:t>
      </w:r>
      <w:r w:rsidR="00E41369">
        <w:rPr>
          <w:rFonts w:ascii="Verdana" w:hAnsi="Verdana"/>
          <w:i/>
          <w:sz w:val="18"/>
          <w:szCs w:val="20"/>
          <w:lang w:val="es-CR"/>
        </w:rPr>
        <w:t>[</w:t>
      </w:r>
      <w:r w:rsidRPr="00932C8E">
        <w:rPr>
          <w:rFonts w:ascii="Verdana" w:hAnsi="Verdana"/>
          <w:i/>
          <w:sz w:val="18"/>
          <w:szCs w:val="20"/>
          <w:lang w:val="es-CR"/>
        </w:rPr>
        <w:t>a</w:t>
      </w:r>
      <w:r w:rsidR="00E41369">
        <w:rPr>
          <w:rFonts w:ascii="Verdana" w:hAnsi="Verdana"/>
          <w:i/>
          <w:sz w:val="18"/>
          <w:szCs w:val="20"/>
          <w:lang w:val="es-CR"/>
        </w:rPr>
        <w:t>]</w:t>
      </w:r>
      <w:proofErr w:type="spellStart"/>
      <w:r w:rsidRPr="00932C8E">
        <w:rPr>
          <w:rFonts w:ascii="Verdana" w:hAnsi="Verdana"/>
          <w:i/>
          <w:sz w:val="18"/>
          <w:szCs w:val="20"/>
          <w:lang w:val="es-CR"/>
        </w:rPr>
        <w:t>rt</w:t>
      </w:r>
      <w:proofErr w:type="spellEnd"/>
      <w:r w:rsidRPr="00932C8E">
        <w:rPr>
          <w:rFonts w:ascii="Verdana" w:hAnsi="Verdana"/>
          <w:i/>
          <w:sz w:val="18"/>
          <w:szCs w:val="20"/>
          <w:lang w:val="es-CR"/>
        </w:rPr>
        <w:t>[</w:t>
      </w:r>
      <w:proofErr w:type="spellStart"/>
      <w:r w:rsidRPr="00932C8E">
        <w:rPr>
          <w:rFonts w:ascii="Verdana" w:hAnsi="Verdana"/>
          <w:i/>
          <w:sz w:val="18"/>
          <w:szCs w:val="20"/>
          <w:lang w:val="es-CR"/>
        </w:rPr>
        <w:t>ículo</w:t>
      </w:r>
      <w:proofErr w:type="spellEnd"/>
      <w:r w:rsidRPr="00932C8E">
        <w:rPr>
          <w:rFonts w:ascii="Verdana" w:hAnsi="Verdana"/>
          <w:i/>
          <w:sz w:val="18"/>
          <w:szCs w:val="20"/>
          <w:lang w:val="es-CR"/>
        </w:rPr>
        <w:t>] 23) […]”.</w:t>
      </w:r>
      <w:r w:rsidRPr="00932C8E">
        <w:rPr>
          <w:rFonts w:ascii="Verdana" w:hAnsi="Verdana"/>
          <w:sz w:val="18"/>
          <w:szCs w:val="20"/>
          <w:lang w:val="es-CR"/>
        </w:rPr>
        <w:t xml:space="preserve"> En ese mismo escrito se pido que la petición fuera admitida y tramitada “</w:t>
      </w:r>
      <w:r w:rsidRPr="006D5D16">
        <w:rPr>
          <w:rFonts w:ascii="Verdana" w:hAnsi="Verdana"/>
          <w:b/>
          <w:sz w:val="18"/>
          <w:szCs w:val="20"/>
          <w:lang w:val="es-CR"/>
        </w:rPr>
        <w:t xml:space="preserve">para lograr restablecer [sus] </w:t>
      </w:r>
      <w:r w:rsidRPr="006D5D16">
        <w:rPr>
          <w:rFonts w:ascii="Verdana" w:hAnsi="Verdana"/>
          <w:b/>
          <w:i/>
          <w:sz w:val="18"/>
          <w:szCs w:val="20"/>
          <w:lang w:val="es-CR"/>
        </w:rPr>
        <w:t>derechos a la igualdad ante la ley, la del debido proceso y del derecho al trabajo</w:t>
      </w:r>
      <w:r w:rsidRPr="00932C8E">
        <w:rPr>
          <w:rFonts w:ascii="Verdana" w:hAnsi="Verdana"/>
          <w:i/>
          <w:sz w:val="18"/>
          <w:szCs w:val="20"/>
          <w:lang w:val="es-CR"/>
        </w:rPr>
        <w:t>,</w:t>
      </w:r>
      <w:r w:rsidRPr="00932C8E">
        <w:rPr>
          <w:rFonts w:ascii="Verdana" w:hAnsi="Verdana"/>
          <w:sz w:val="18"/>
          <w:szCs w:val="20"/>
          <w:lang w:val="es-CR"/>
        </w:rPr>
        <w:t xml:space="preserve"> que </w:t>
      </w:r>
      <w:proofErr w:type="gramStart"/>
      <w:r w:rsidRPr="00932C8E">
        <w:rPr>
          <w:rFonts w:ascii="Verdana" w:hAnsi="Verdana"/>
          <w:sz w:val="18"/>
          <w:szCs w:val="20"/>
          <w:lang w:val="es-CR"/>
        </w:rPr>
        <w:t>fue[</w:t>
      </w:r>
      <w:proofErr w:type="gramEnd"/>
      <w:r w:rsidRPr="00932C8E">
        <w:rPr>
          <w:rFonts w:ascii="Verdana" w:hAnsi="Verdana"/>
          <w:sz w:val="18"/>
          <w:szCs w:val="20"/>
          <w:lang w:val="es-CR"/>
        </w:rPr>
        <w:t>ron] violado[s] por el Segundo Tribunal de Trabajo y CC.LL., con la sentencia nacida de un proceso irregular</w:t>
      </w:r>
      <w:r>
        <w:rPr>
          <w:rFonts w:ascii="Verdana" w:hAnsi="Verdana"/>
          <w:sz w:val="18"/>
          <w:szCs w:val="20"/>
          <w:lang w:val="es-CR"/>
        </w:rPr>
        <w:t xml:space="preserve"> [</w:t>
      </w:r>
      <w:r w:rsidRPr="00932C8E">
        <w:rPr>
          <w:rFonts w:ascii="Verdana" w:hAnsi="Verdana"/>
          <w:sz w:val="18"/>
          <w:szCs w:val="20"/>
          <w:lang w:val="es-CR"/>
        </w:rPr>
        <w:t>…</w:t>
      </w:r>
      <w:r>
        <w:rPr>
          <w:rFonts w:ascii="Verdana" w:hAnsi="Verdana"/>
          <w:sz w:val="18"/>
          <w:szCs w:val="20"/>
          <w:lang w:val="es-CR"/>
        </w:rPr>
        <w:t>]</w:t>
      </w:r>
      <w:r w:rsidRPr="00932C8E">
        <w:rPr>
          <w:rFonts w:ascii="Verdana" w:hAnsi="Verdana"/>
          <w:sz w:val="18"/>
          <w:szCs w:val="20"/>
          <w:lang w:val="es-CR"/>
        </w:rPr>
        <w:t>”</w:t>
      </w:r>
      <w:r w:rsidRPr="00932C8E">
        <w:rPr>
          <w:rStyle w:val="FootnoteReference"/>
          <w:sz w:val="18"/>
          <w:szCs w:val="20"/>
          <w:lang w:val="es-CR"/>
        </w:rPr>
        <w:footnoteReference w:id="174"/>
      </w:r>
      <w:r w:rsidR="00E41369">
        <w:rPr>
          <w:rFonts w:ascii="Verdana" w:hAnsi="Verdana"/>
          <w:sz w:val="18"/>
          <w:szCs w:val="20"/>
          <w:lang w:val="es-CR"/>
        </w:rPr>
        <w:t>.</w:t>
      </w:r>
    </w:p>
    <w:p w14:paraId="77DE9EF3" w14:textId="77777777" w:rsidR="0088700B" w:rsidRPr="00932C8E" w:rsidRDefault="0088700B" w:rsidP="0088700B">
      <w:pPr>
        <w:ind w:left="851"/>
        <w:jc w:val="both"/>
        <w:rPr>
          <w:rFonts w:ascii="Verdana" w:hAnsi="Verdana"/>
          <w:b/>
          <w:sz w:val="18"/>
          <w:szCs w:val="20"/>
        </w:rPr>
      </w:pPr>
    </w:p>
    <w:p w14:paraId="3284C5FE" w14:textId="7DCFCA14" w:rsidR="0088700B" w:rsidRPr="00932C8E" w:rsidRDefault="0088700B" w:rsidP="00E66DD7">
      <w:pPr>
        <w:pStyle w:val="ListParagraph"/>
        <w:numPr>
          <w:ilvl w:val="2"/>
          <w:numId w:val="21"/>
        </w:numPr>
        <w:ind w:left="851" w:firstLine="0"/>
        <w:jc w:val="both"/>
        <w:rPr>
          <w:rFonts w:ascii="Verdana" w:hAnsi="Verdana"/>
          <w:b/>
          <w:sz w:val="18"/>
          <w:szCs w:val="20"/>
        </w:rPr>
      </w:pPr>
      <w:r>
        <w:rPr>
          <w:rFonts w:ascii="Verdana" w:hAnsi="Verdana"/>
          <w:sz w:val="18"/>
          <w:szCs w:val="20"/>
        </w:rPr>
        <w:t>Al respecto, l</w:t>
      </w:r>
      <w:r w:rsidRPr="00932C8E">
        <w:rPr>
          <w:rFonts w:ascii="Verdana" w:hAnsi="Verdana"/>
          <w:sz w:val="18"/>
          <w:szCs w:val="20"/>
        </w:rPr>
        <w:t>a C</w:t>
      </w:r>
      <w:r>
        <w:rPr>
          <w:rFonts w:ascii="Verdana" w:hAnsi="Verdana"/>
          <w:sz w:val="18"/>
          <w:szCs w:val="20"/>
        </w:rPr>
        <w:t xml:space="preserve">omisión respondió </w:t>
      </w:r>
      <w:r w:rsidRPr="00932C8E">
        <w:rPr>
          <w:rFonts w:ascii="Verdana" w:hAnsi="Verdana"/>
          <w:sz w:val="18"/>
          <w:szCs w:val="20"/>
        </w:rPr>
        <w:t xml:space="preserve">al </w:t>
      </w:r>
      <w:r w:rsidR="008644E8">
        <w:rPr>
          <w:rFonts w:ascii="Verdana" w:hAnsi="Verdana"/>
          <w:sz w:val="18"/>
          <w:szCs w:val="20"/>
        </w:rPr>
        <w:t>s</w:t>
      </w:r>
      <w:r w:rsidR="00D3263C">
        <w:rPr>
          <w:rFonts w:ascii="Verdana" w:hAnsi="Verdana"/>
          <w:sz w:val="18"/>
          <w:szCs w:val="20"/>
        </w:rPr>
        <w:t>eñor</w:t>
      </w:r>
      <w:r w:rsidRPr="00932C8E">
        <w:rPr>
          <w:rFonts w:ascii="Verdana" w:hAnsi="Verdana"/>
          <w:sz w:val="18"/>
          <w:szCs w:val="20"/>
        </w:rPr>
        <w:t xml:space="preserve"> Lagos del Campo </w:t>
      </w:r>
      <w:r w:rsidR="00E41369">
        <w:rPr>
          <w:rFonts w:ascii="Verdana" w:hAnsi="Verdana"/>
          <w:sz w:val="18"/>
          <w:szCs w:val="20"/>
        </w:rPr>
        <w:t xml:space="preserve">mediante escrito de </w:t>
      </w:r>
      <w:r w:rsidRPr="00932C8E">
        <w:rPr>
          <w:rFonts w:ascii="Verdana" w:hAnsi="Verdana"/>
          <w:sz w:val="18"/>
          <w:szCs w:val="20"/>
        </w:rPr>
        <w:t>2 de septiembre de 1997</w:t>
      </w:r>
      <w:r w:rsidR="00E41369">
        <w:rPr>
          <w:rFonts w:ascii="Verdana" w:hAnsi="Verdana"/>
          <w:sz w:val="18"/>
          <w:szCs w:val="20"/>
        </w:rPr>
        <w:t>,</w:t>
      </w:r>
      <w:r w:rsidRPr="00932C8E">
        <w:rPr>
          <w:rFonts w:ascii="Verdana" w:hAnsi="Verdana"/>
          <w:sz w:val="18"/>
          <w:szCs w:val="20"/>
        </w:rPr>
        <w:t xml:space="preserve"> recibid</w:t>
      </w:r>
      <w:r>
        <w:rPr>
          <w:rFonts w:ascii="Verdana" w:hAnsi="Verdana"/>
          <w:sz w:val="18"/>
          <w:szCs w:val="20"/>
        </w:rPr>
        <w:t>o</w:t>
      </w:r>
      <w:r w:rsidRPr="00932C8E">
        <w:rPr>
          <w:rFonts w:ascii="Verdana" w:hAnsi="Verdana"/>
          <w:sz w:val="18"/>
          <w:szCs w:val="20"/>
        </w:rPr>
        <w:t xml:space="preserve"> el 24 de septiembre de 1997 por la FETIMP</w:t>
      </w:r>
      <w:r w:rsidR="008E18C3">
        <w:rPr>
          <w:rFonts w:ascii="Verdana" w:hAnsi="Verdana"/>
          <w:sz w:val="18"/>
          <w:szCs w:val="20"/>
        </w:rPr>
        <w:t xml:space="preserve">, </w:t>
      </w:r>
      <w:r w:rsidR="00E41369">
        <w:rPr>
          <w:rFonts w:ascii="Verdana" w:hAnsi="Verdana"/>
          <w:sz w:val="18"/>
          <w:szCs w:val="20"/>
        </w:rPr>
        <w:t xml:space="preserve">y </w:t>
      </w:r>
      <w:r w:rsidR="008E18C3">
        <w:rPr>
          <w:rFonts w:ascii="Verdana" w:hAnsi="Verdana"/>
          <w:sz w:val="18"/>
          <w:szCs w:val="20"/>
        </w:rPr>
        <w:t>m</w:t>
      </w:r>
      <w:r>
        <w:rPr>
          <w:rFonts w:ascii="Verdana" w:hAnsi="Verdana"/>
          <w:sz w:val="18"/>
          <w:szCs w:val="20"/>
        </w:rPr>
        <w:t xml:space="preserve">ediante el cual, la Comisión </w:t>
      </w:r>
      <w:r w:rsidRPr="00932C8E">
        <w:rPr>
          <w:rFonts w:ascii="Verdana" w:hAnsi="Verdana"/>
          <w:sz w:val="18"/>
          <w:szCs w:val="20"/>
        </w:rPr>
        <w:t>di</w:t>
      </w:r>
      <w:r>
        <w:rPr>
          <w:rFonts w:ascii="Verdana" w:hAnsi="Verdana"/>
          <w:sz w:val="18"/>
          <w:szCs w:val="20"/>
        </w:rPr>
        <w:t>o</w:t>
      </w:r>
      <w:r w:rsidRPr="00932C8E">
        <w:rPr>
          <w:rFonts w:ascii="Verdana" w:hAnsi="Verdana"/>
          <w:sz w:val="18"/>
          <w:szCs w:val="20"/>
        </w:rPr>
        <w:t xml:space="preserve"> a conocer al demandante que “no </w:t>
      </w:r>
      <w:proofErr w:type="spellStart"/>
      <w:proofErr w:type="gramStart"/>
      <w:r w:rsidRPr="00932C8E">
        <w:rPr>
          <w:rFonts w:ascii="Verdana" w:hAnsi="Verdana"/>
          <w:sz w:val="18"/>
          <w:szCs w:val="20"/>
        </w:rPr>
        <w:t>satisfac</w:t>
      </w:r>
      <w:proofErr w:type="spellEnd"/>
      <w:r>
        <w:rPr>
          <w:rFonts w:ascii="Verdana" w:hAnsi="Verdana"/>
          <w:sz w:val="18"/>
          <w:szCs w:val="20"/>
        </w:rPr>
        <w:t>[</w:t>
      </w:r>
      <w:proofErr w:type="spellStart"/>
      <w:proofErr w:type="gramEnd"/>
      <w:r>
        <w:rPr>
          <w:rFonts w:ascii="Verdana" w:hAnsi="Verdana"/>
          <w:sz w:val="18"/>
          <w:szCs w:val="20"/>
        </w:rPr>
        <w:t>ían</w:t>
      </w:r>
      <w:proofErr w:type="spellEnd"/>
      <w:r>
        <w:rPr>
          <w:rFonts w:ascii="Verdana" w:hAnsi="Verdana"/>
          <w:sz w:val="18"/>
          <w:szCs w:val="20"/>
        </w:rPr>
        <w:t>]</w:t>
      </w:r>
      <w:r w:rsidRPr="00932C8E">
        <w:rPr>
          <w:rFonts w:ascii="Verdana" w:hAnsi="Verdana"/>
          <w:sz w:val="18"/>
          <w:szCs w:val="20"/>
        </w:rPr>
        <w:t xml:space="preserve"> los requisitos establecidos en el Reglamento de la </w:t>
      </w:r>
      <w:r w:rsidR="008E18C3">
        <w:rPr>
          <w:rFonts w:ascii="Verdana" w:hAnsi="Verdana"/>
          <w:sz w:val="18"/>
          <w:szCs w:val="20"/>
        </w:rPr>
        <w:t>[CIDH]</w:t>
      </w:r>
      <w:r w:rsidRPr="00932C8E">
        <w:rPr>
          <w:rFonts w:ascii="Verdana" w:hAnsi="Verdana"/>
          <w:sz w:val="18"/>
          <w:szCs w:val="20"/>
        </w:rPr>
        <w:t>, en es</w:t>
      </w:r>
      <w:r w:rsidR="00E41369">
        <w:rPr>
          <w:rFonts w:ascii="Verdana" w:hAnsi="Verdana"/>
          <w:sz w:val="18"/>
          <w:szCs w:val="20"/>
        </w:rPr>
        <w:t>p</w:t>
      </w:r>
      <w:r w:rsidRPr="00932C8E">
        <w:rPr>
          <w:rFonts w:ascii="Verdana" w:hAnsi="Verdana"/>
          <w:sz w:val="18"/>
          <w:szCs w:val="20"/>
        </w:rPr>
        <w:t>ecial</w:t>
      </w:r>
      <w:r w:rsidR="00E41369">
        <w:rPr>
          <w:rFonts w:ascii="Verdana" w:hAnsi="Verdana"/>
          <w:sz w:val="18"/>
          <w:szCs w:val="20"/>
        </w:rPr>
        <w:t>,</w:t>
      </w:r>
      <w:r w:rsidRPr="00932C8E">
        <w:rPr>
          <w:rFonts w:ascii="Verdana" w:hAnsi="Verdana"/>
          <w:sz w:val="18"/>
          <w:szCs w:val="20"/>
        </w:rPr>
        <w:t xml:space="preserve"> </w:t>
      </w:r>
      <w:r w:rsidR="00E41369">
        <w:rPr>
          <w:rFonts w:ascii="Verdana" w:hAnsi="Verdana"/>
          <w:sz w:val="18"/>
          <w:szCs w:val="20"/>
        </w:rPr>
        <w:t>e</w:t>
      </w:r>
      <w:r w:rsidRPr="00932C8E">
        <w:rPr>
          <w:rFonts w:ascii="Verdana" w:hAnsi="Verdana"/>
          <w:sz w:val="18"/>
          <w:szCs w:val="20"/>
        </w:rPr>
        <w:t>n los artículos 32, 33, 34 y 37</w:t>
      </w:r>
      <w:r w:rsidR="00E41369">
        <w:rPr>
          <w:rFonts w:ascii="Verdana" w:hAnsi="Verdana"/>
          <w:sz w:val="18"/>
          <w:szCs w:val="20"/>
        </w:rPr>
        <w:t xml:space="preserve"> [</w:t>
      </w:r>
      <w:r w:rsidRPr="00932C8E">
        <w:rPr>
          <w:rFonts w:ascii="Verdana" w:hAnsi="Verdana"/>
          <w:sz w:val="18"/>
          <w:szCs w:val="20"/>
        </w:rPr>
        <w:t>…</w:t>
      </w:r>
      <w:r w:rsidR="00E41369">
        <w:rPr>
          <w:rFonts w:ascii="Verdana" w:hAnsi="Verdana"/>
          <w:sz w:val="18"/>
          <w:szCs w:val="20"/>
        </w:rPr>
        <w:t>]</w:t>
      </w:r>
      <w:r w:rsidRPr="00932C8E">
        <w:rPr>
          <w:rFonts w:ascii="Verdana" w:hAnsi="Verdana"/>
          <w:sz w:val="18"/>
          <w:szCs w:val="20"/>
        </w:rPr>
        <w:t>”</w:t>
      </w:r>
      <w:r w:rsidR="00E41369">
        <w:rPr>
          <w:rFonts w:ascii="Verdana" w:hAnsi="Verdana"/>
          <w:sz w:val="18"/>
          <w:szCs w:val="20"/>
        </w:rPr>
        <w:t>.</w:t>
      </w:r>
      <w:r w:rsidRPr="00932C8E">
        <w:rPr>
          <w:rFonts w:ascii="Verdana" w:hAnsi="Verdana"/>
          <w:sz w:val="18"/>
          <w:szCs w:val="20"/>
        </w:rPr>
        <w:t xml:space="preserve"> Además, en dicho escrito se le pidió a la parte actora que le enviaran los hechos y artículos que consideraba violatorios a la Convención y la sentencia definitiva de la jurisdicción interna</w:t>
      </w:r>
      <w:r w:rsidRPr="00932C8E">
        <w:rPr>
          <w:rStyle w:val="FootnoteReference"/>
          <w:sz w:val="18"/>
          <w:szCs w:val="20"/>
        </w:rPr>
        <w:footnoteReference w:id="175"/>
      </w:r>
      <w:r w:rsidRPr="00932C8E">
        <w:rPr>
          <w:rFonts w:ascii="Verdana" w:hAnsi="Verdana"/>
          <w:sz w:val="18"/>
          <w:szCs w:val="20"/>
        </w:rPr>
        <w:t>.</w:t>
      </w:r>
    </w:p>
    <w:p w14:paraId="2AAC628A" w14:textId="77777777" w:rsidR="0088700B" w:rsidRPr="00932C8E" w:rsidRDefault="0088700B" w:rsidP="0088700B">
      <w:pPr>
        <w:ind w:left="851"/>
        <w:jc w:val="both"/>
        <w:rPr>
          <w:rFonts w:ascii="Verdana" w:hAnsi="Verdana"/>
          <w:b/>
          <w:sz w:val="18"/>
          <w:szCs w:val="20"/>
        </w:rPr>
      </w:pPr>
    </w:p>
    <w:p w14:paraId="324D03A1" w14:textId="14D73043" w:rsidR="0088700B" w:rsidRPr="00932C8E" w:rsidRDefault="0088700B" w:rsidP="00E66DD7">
      <w:pPr>
        <w:pStyle w:val="ListParagraph"/>
        <w:numPr>
          <w:ilvl w:val="2"/>
          <w:numId w:val="21"/>
        </w:numPr>
        <w:ind w:left="851" w:firstLine="0"/>
        <w:jc w:val="both"/>
        <w:rPr>
          <w:rFonts w:ascii="Verdana" w:hAnsi="Verdana"/>
          <w:b/>
          <w:sz w:val="18"/>
          <w:szCs w:val="20"/>
        </w:rPr>
      </w:pPr>
      <w:r>
        <w:rPr>
          <w:rFonts w:ascii="Verdana" w:hAnsi="Verdana"/>
          <w:sz w:val="18"/>
          <w:szCs w:val="20"/>
          <w:lang w:val="es-CR"/>
        </w:rPr>
        <w:t>Mediante petición “</w:t>
      </w:r>
      <w:r w:rsidRPr="00932C8E">
        <w:rPr>
          <w:rFonts w:ascii="Verdana" w:hAnsi="Verdana"/>
          <w:sz w:val="18"/>
          <w:szCs w:val="20"/>
          <w:lang w:val="es-CR"/>
        </w:rPr>
        <w:t>actualizada y regularizada</w:t>
      </w:r>
      <w:r>
        <w:rPr>
          <w:rFonts w:ascii="Verdana" w:hAnsi="Verdana"/>
          <w:sz w:val="18"/>
          <w:szCs w:val="20"/>
          <w:lang w:val="es-CR"/>
        </w:rPr>
        <w:t>”</w:t>
      </w:r>
      <w:r w:rsidRPr="00932C8E">
        <w:rPr>
          <w:rFonts w:ascii="Verdana" w:hAnsi="Verdana"/>
          <w:sz w:val="18"/>
          <w:szCs w:val="20"/>
          <w:lang w:val="es-CR"/>
        </w:rPr>
        <w:t xml:space="preserve"> de 22 de </w:t>
      </w:r>
      <w:r w:rsidR="00E41369">
        <w:rPr>
          <w:rFonts w:ascii="Verdana" w:hAnsi="Verdana"/>
          <w:sz w:val="18"/>
          <w:szCs w:val="20"/>
          <w:lang w:val="es-CR"/>
        </w:rPr>
        <w:t>j</w:t>
      </w:r>
      <w:r w:rsidRPr="00932C8E">
        <w:rPr>
          <w:rFonts w:ascii="Verdana" w:hAnsi="Verdana"/>
          <w:sz w:val="18"/>
          <w:szCs w:val="20"/>
          <w:lang w:val="es-CR"/>
        </w:rPr>
        <w:t>ulio de 1998 dirigida al Presidente de la Comisión Interamericana</w:t>
      </w:r>
      <w:r>
        <w:rPr>
          <w:rFonts w:ascii="Verdana" w:hAnsi="Verdana"/>
          <w:sz w:val="18"/>
          <w:szCs w:val="20"/>
          <w:lang w:val="es-CR"/>
        </w:rPr>
        <w:t xml:space="preserve"> (</w:t>
      </w:r>
      <w:r w:rsidRPr="008E104E">
        <w:rPr>
          <w:rFonts w:ascii="Verdana" w:hAnsi="Verdana"/>
          <w:sz w:val="18"/>
          <w:szCs w:val="20"/>
          <w:lang w:val="es-CR"/>
        </w:rPr>
        <w:t>sin fecha de recibido</w:t>
      </w:r>
      <w:r>
        <w:rPr>
          <w:rFonts w:ascii="Verdana" w:hAnsi="Verdana"/>
          <w:sz w:val="18"/>
          <w:szCs w:val="20"/>
          <w:lang w:val="es-CR"/>
        </w:rPr>
        <w:t>)</w:t>
      </w:r>
      <w:r w:rsidRPr="00932C8E">
        <w:rPr>
          <w:rFonts w:ascii="Verdana" w:hAnsi="Verdana"/>
          <w:sz w:val="18"/>
          <w:szCs w:val="20"/>
          <w:lang w:val="es-CR"/>
        </w:rPr>
        <w:t xml:space="preserve">, el </w:t>
      </w:r>
      <w:r w:rsidR="008644E8">
        <w:rPr>
          <w:rFonts w:ascii="Verdana" w:hAnsi="Verdana"/>
          <w:sz w:val="18"/>
          <w:szCs w:val="20"/>
          <w:lang w:val="es-CR"/>
        </w:rPr>
        <w:t>s</w:t>
      </w:r>
      <w:r w:rsidR="00D3263C">
        <w:rPr>
          <w:rFonts w:ascii="Verdana" w:hAnsi="Verdana"/>
          <w:sz w:val="18"/>
          <w:szCs w:val="20"/>
          <w:lang w:val="es-CR"/>
        </w:rPr>
        <w:t>eñor</w:t>
      </w:r>
      <w:r w:rsidRPr="00932C8E">
        <w:rPr>
          <w:rFonts w:ascii="Verdana" w:hAnsi="Verdana"/>
          <w:sz w:val="18"/>
          <w:szCs w:val="20"/>
          <w:lang w:val="es-CR"/>
        </w:rPr>
        <w:t xml:space="preserve"> Lagos del Campo exp</w:t>
      </w:r>
      <w:r>
        <w:rPr>
          <w:rFonts w:ascii="Verdana" w:hAnsi="Verdana"/>
          <w:sz w:val="18"/>
          <w:szCs w:val="20"/>
          <w:lang w:val="es-CR"/>
        </w:rPr>
        <w:t>uso</w:t>
      </w:r>
      <w:r w:rsidRPr="00932C8E">
        <w:rPr>
          <w:rFonts w:ascii="Verdana" w:hAnsi="Verdana"/>
          <w:sz w:val="18"/>
          <w:szCs w:val="20"/>
          <w:lang w:val="es-CR"/>
        </w:rPr>
        <w:t xml:space="preserve"> “</w:t>
      </w:r>
      <w:r w:rsidR="00E41369">
        <w:rPr>
          <w:rFonts w:ascii="Verdana" w:hAnsi="Verdana"/>
          <w:sz w:val="18"/>
          <w:szCs w:val="20"/>
          <w:lang w:val="es-CR"/>
        </w:rPr>
        <w:t>[q]</w:t>
      </w:r>
      <w:proofErr w:type="spellStart"/>
      <w:r w:rsidRPr="00932C8E">
        <w:rPr>
          <w:rFonts w:ascii="Verdana" w:hAnsi="Verdana"/>
          <w:sz w:val="18"/>
          <w:szCs w:val="20"/>
          <w:lang w:val="es-CR"/>
        </w:rPr>
        <w:t>ue</w:t>
      </w:r>
      <w:proofErr w:type="spellEnd"/>
      <w:r w:rsidRPr="00932C8E">
        <w:rPr>
          <w:rFonts w:ascii="Verdana" w:hAnsi="Verdana"/>
          <w:sz w:val="18"/>
          <w:szCs w:val="20"/>
          <w:lang w:val="es-CR"/>
        </w:rPr>
        <w:t xml:space="preserve"> de conformidad con lo señalado por la Convención Americana de Derechos Humanos que suscribió [su] </w:t>
      </w:r>
      <w:r w:rsidR="00E41369">
        <w:rPr>
          <w:rFonts w:ascii="Verdana" w:hAnsi="Verdana"/>
          <w:sz w:val="18"/>
          <w:szCs w:val="20"/>
          <w:lang w:val="es-CR"/>
        </w:rPr>
        <w:t>[</w:t>
      </w:r>
      <w:r w:rsidRPr="00932C8E">
        <w:rPr>
          <w:rFonts w:ascii="Verdana" w:hAnsi="Verdana"/>
          <w:sz w:val="18"/>
          <w:szCs w:val="20"/>
          <w:lang w:val="es-CR"/>
        </w:rPr>
        <w:t>p</w:t>
      </w:r>
      <w:r w:rsidR="00E41369">
        <w:rPr>
          <w:rFonts w:ascii="Verdana" w:hAnsi="Verdana"/>
          <w:sz w:val="18"/>
          <w:szCs w:val="20"/>
          <w:lang w:val="es-CR"/>
        </w:rPr>
        <w:t>]</w:t>
      </w:r>
      <w:proofErr w:type="spellStart"/>
      <w:r w:rsidRPr="00932C8E">
        <w:rPr>
          <w:rFonts w:ascii="Verdana" w:hAnsi="Verdana"/>
          <w:sz w:val="18"/>
          <w:szCs w:val="20"/>
          <w:lang w:val="es-CR"/>
        </w:rPr>
        <w:t>aís</w:t>
      </w:r>
      <w:proofErr w:type="spellEnd"/>
      <w:r w:rsidRPr="00932C8E">
        <w:rPr>
          <w:rFonts w:ascii="Verdana" w:hAnsi="Verdana"/>
          <w:sz w:val="18"/>
          <w:szCs w:val="20"/>
          <w:lang w:val="es-CR"/>
        </w:rPr>
        <w:t xml:space="preserve">, </w:t>
      </w:r>
      <w:proofErr w:type="spellStart"/>
      <w:r w:rsidRPr="00932C8E">
        <w:rPr>
          <w:rFonts w:ascii="Verdana" w:hAnsi="Verdana"/>
          <w:sz w:val="18"/>
          <w:szCs w:val="20"/>
          <w:lang w:val="es-CR"/>
        </w:rPr>
        <w:t>interp</w:t>
      </w:r>
      <w:proofErr w:type="spellEnd"/>
      <w:r w:rsidRPr="00932C8E">
        <w:rPr>
          <w:rFonts w:ascii="Verdana" w:hAnsi="Verdana"/>
          <w:sz w:val="18"/>
          <w:szCs w:val="20"/>
          <w:lang w:val="es-CR"/>
        </w:rPr>
        <w:t xml:space="preserve">[uso] denuncia de violación de derecho humano, en contra del gobierno peruano por haber violado el </w:t>
      </w:r>
      <w:r w:rsidR="00E41369">
        <w:rPr>
          <w:rFonts w:ascii="Verdana" w:hAnsi="Verdana"/>
          <w:sz w:val="18"/>
          <w:szCs w:val="20"/>
          <w:lang w:val="es-CR"/>
        </w:rPr>
        <w:t>`</w:t>
      </w:r>
      <w:r w:rsidRPr="00932C8E">
        <w:rPr>
          <w:rFonts w:ascii="Verdana" w:hAnsi="Verdana"/>
          <w:i/>
          <w:sz w:val="18"/>
          <w:szCs w:val="20"/>
          <w:lang w:val="es-CR"/>
        </w:rPr>
        <w:t>derecho a la igualdad y protección de la ley</w:t>
      </w:r>
      <w:r w:rsidR="00F6453B">
        <w:rPr>
          <w:rFonts w:ascii="Verdana" w:hAnsi="Verdana"/>
          <w:i/>
          <w:sz w:val="18"/>
          <w:szCs w:val="20"/>
          <w:lang w:val="es-CR"/>
        </w:rPr>
        <w:t>´</w:t>
      </w:r>
      <w:r w:rsidRPr="00932C8E">
        <w:rPr>
          <w:rFonts w:ascii="Verdana" w:hAnsi="Verdana"/>
          <w:i/>
          <w:sz w:val="18"/>
          <w:szCs w:val="20"/>
          <w:lang w:val="es-CR"/>
        </w:rPr>
        <w:t xml:space="preserve"> (</w:t>
      </w:r>
      <w:r w:rsidR="00F6453B">
        <w:rPr>
          <w:rFonts w:ascii="Verdana" w:hAnsi="Verdana"/>
          <w:i/>
          <w:sz w:val="18"/>
          <w:szCs w:val="20"/>
          <w:lang w:val="es-CR"/>
        </w:rPr>
        <w:t>[</w:t>
      </w:r>
      <w:r w:rsidRPr="00932C8E">
        <w:rPr>
          <w:rFonts w:ascii="Verdana" w:hAnsi="Verdana"/>
          <w:i/>
          <w:sz w:val="18"/>
          <w:szCs w:val="20"/>
          <w:lang w:val="es-CR"/>
        </w:rPr>
        <w:t>a</w:t>
      </w:r>
      <w:r w:rsidR="00F6453B">
        <w:rPr>
          <w:rFonts w:ascii="Verdana" w:hAnsi="Verdana"/>
          <w:i/>
          <w:sz w:val="18"/>
          <w:szCs w:val="20"/>
          <w:lang w:val="es-CR"/>
        </w:rPr>
        <w:t>]</w:t>
      </w:r>
      <w:proofErr w:type="spellStart"/>
      <w:r w:rsidRPr="00932C8E">
        <w:rPr>
          <w:rFonts w:ascii="Verdana" w:hAnsi="Verdana"/>
          <w:i/>
          <w:sz w:val="18"/>
          <w:szCs w:val="20"/>
          <w:lang w:val="es-CR"/>
        </w:rPr>
        <w:t>rt</w:t>
      </w:r>
      <w:proofErr w:type="spellEnd"/>
      <w:r w:rsidRPr="00932C8E">
        <w:rPr>
          <w:rFonts w:ascii="Verdana" w:hAnsi="Verdana"/>
          <w:i/>
          <w:sz w:val="18"/>
          <w:szCs w:val="20"/>
          <w:lang w:val="es-CR"/>
        </w:rPr>
        <w:t>[</w:t>
      </w:r>
      <w:proofErr w:type="spellStart"/>
      <w:r w:rsidRPr="00932C8E">
        <w:rPr>
          <w:rFonts w:ascii="Verdana" w:hAnsi="Verdana"/>
          <w:i/>
          <w:sz w:val="18"/>
          <w:szCs w:val="20"/>
          <w:lang w:val="es-CR"/>
        </w:rPr>
        <w:t>ículo</w:t>
      </w:r>
      <w:proofErr w:type="spellEnd"/>
      <w:r w:rsidRPr="00932C8E">
        <w:rPr>
          <w:rFonts w:ascii="Verdana" w:hAnsi="Verdana"/>
          <w:i/>
          <w:sz w:val="18"/>
          <w:szCs w:val="20"/>
          <w:lang w:val="es-CR"/>
        </w:rPr>
        <w:t>] 2</w:t>
      </w:r>
      <w:r w:rsidR="00F6453B">
        <w:rPr>
          <w:rFonts w:ascii="Verdana" w:hAnsi="Verdana"/>
          <w:i/>
          <w:sz w:val="18"/>
          <w:szCs w:val="20"/>
          <w:lang w:val="es-CR"/>
        </w:rPr>
        <w:t>2</w:t>
      </w:r>
      <w:r w:rsidRPr="00932C8E">
        <w:rPr>
          <w:rFonts w:ascii="Verdana" w:hAnsi="Verdana"/>
          <w:i/>
          <w:sz w:val="18"/>
          <w:szCs w:val="20"/>
          <w:lang w:val="es-CR"/>
        </w:rPr>
        <w:t xml:space="preserve">) y así mismo el </w:t>
      </w:r>
      <w:r w:rsidR="00F6453B">
        <w:rPr>
          <w:rFonts w:ascii="Verdana" w:hAnsi="Verdana"/>
          <w:i/>
          <w:sz w:val="18"/>
          <w:szCs w:val="20"/>
          <w:lang w:val="es-CR"/>
        </w:rPr>
        <w:t>`</w:t>
      </w:r>
      <w:r w:rsidRPr="00932C8E">
        <w:rPr>
          <w:rFonts w:ascii="Verdana" w:hAnsi="Verdana"/>
          <w:i/>
          <w:sz w:val="18"/>
          <w:szCs w:val="20"/>
          <w:lang w:val="es-CR"/>
        </w:rPr>
        <w:t>derecho a la protección judicial contra violaciones de derechos fundamentales</w:t>
      </w:r>
      <w:r w:rsidR="00F6453B">
        <w:rPr>
          <w:rFonts w:ascii="Verdana" w:hAnsi="Verdana"/>
          <w:i/>
          <w:sz w:val="18"/>
          <w:szCs w:val="20"/>
          <w:lang w:val="es-CR"/>
        </w:rPr>
        <w:t>´</w:t>
      </w:r>
      <w:r w:rsidRPr="00932C8E">
        <w:rPr>
          <w:rFonts w:ascii="Verdana" w:hAnsi="Verdana"/>
          <w:i/>
          <w:sz w:val="18"/>
          <w:szCs w:val="20"/>
          <w:lang w:val="es-CR"/>
        </w:rPr>
        <w:t xml:space="preserve"> (art[</w:t>
      </w:r>
      <w:proofErr w:type="spellStart"/>
      <w:r w:rsidRPr="00932C8E">
        <w:rPr>
          <w:rFonts w:ascii="Verdana" w:hAnsi="Verdana"/>
          <w:i/>
          <w:sz w:val="18"/>
          <w:szCs w:val="20"/>
          <w:lang w:val="es-CR"/>
        </w:rPr>
        <w:t>ículo</w:t>
      </w:r>
      <w:proofErr w:type="spellEnd"/>
      <w:r w:rsidRPr="00932C8E">
        <w:rPr>
          <w:rFonts w:ascii="Verdana" w:hAnsi="Verdana"/>
          <w:i/>
          <w:sz w:val="18"/>
          <w:szCs w:val="20"/>
          <w:lang w:val="es-CR"/>
        </w:rPr>
        <w:t>] 2</w:t>
      </w:r>
      <w:r w:rsidR="00F6453B">
        <w:rPr>
          <w:rFonts w:ascii="Verdana" w:hAnsi="Verdana"/>
          <w:i/>
          <w:sz w:val="18"/>
          <w:szCs w:val="20"/>
          <w:lang w:val="es-CR"/>
        </w:rPr>
        <w:t>3</w:t>
      </w:r>
      <w:r w:rsidRPr="00932C8E">
        <w:rPr>
          <w:rFonts w:ascii="Verdana" w:hAnsi="Verdana"/>
          <w:i/>
          <w:sz w:val="18"/>
          <w:szCs w:val="20"/>
          <w:lang w:val="es-CR"/>
        </w:rPr>
        <w:t>) […]</w:t>
      </w:r>
      <w:r w:rsidRPr="00932C8E">
        <w:rPr>
          <w:rFonts w:ascii="Verdana" w:hAnsi="Verdana"/>
          <w:sz w:val="18"/>
          <w:szCs w:val="20"/>
          <w:lang w:val="es-CR"/>
        </w:rPr>
        <w:t>”. En el mismo documento, el demandante pidió que la petición presentada fuera admitida y tramitada “</w:t>
      </w:r>
      <w:r w:rsidRPr="00932C8E">
        <w:rPr>
          <w:rFonts w:ascii="Verdana" w:hAnsi="Verdana"/>
          <w:i/>
          <w:sz w:val="18"/>
          <w:szCs w:val="20"/>
          <w:lang w:val="es-CR"/>
        </w:rPr>
        <w:t xml:space="preserve">para lograr restablecer [sus] derechos a la igualdad ante la ley, </w:t>
      </w:r>
      <w:r w:rsidR="00D3263C">
        <w:rPr>
          <w:rFonts w:ascii="Verdana" w:hAnsi="Verdana"/>
          <w:i/>
          <w:sz w:val="18"/>
          <w:szCs w:val="20"/>
          <w:lang w:val="es-CR"/>
        </w:rPr>
        <w:t>a</w:t>
      </w:r>
      <w:r w:rsidRPr="00932C8E">
        <w:rPr>
          <w:rFonts w:ascii="Verdana" w:hAnsi="Verdana"/>
          <w:i/>
          <w:sz w:val="18"/>
          <w:szCs w:val="20"/>
          <w:lang w:val="es-CR"/>
        </w:rPr>
        <w:t>l debido proceso</w:t>
      </w:r>
      <w:r w:rsidR="00F6453B">
        <w:rPr>
          <w:rFonts w:ascii="Verdana" w:hAnsi="Verdana"/>
          <w:i/>
          <w:sz w:val="18"/>
          <w:szCs w:val="20"/>
          <w:lang w:val="es-CR"/>
        </w:rPr>
        <w:t>,</w:t>
      </w:r>
      <w:r w:rsidRPr="00932C8E">
        <w:rPr>
          <w:rFonts w:ascii="Verdana" w:hAnsi="Verdana"/>
          <w:i/>
          <w:sz w:val="18"/>
          <w:szCs w:val="20"/>
          <w:lang w:val="es-CR"/>
        </w:rPr>
        <w:t xml:space="preserve"> y del </w:t>
      </w:r>
      <w:r w:rsidRPr="006D5D16">
        <w:rPr>
          <w:rFonts w:ascii="Verdana" w:hAnsi="Verdana"/>
          <w:b/>
          <w:i/>
          <w:sz w:val="18"/>
          <w:szCs w:val="20"/>
          <w:lang w:val="es-CR"/>
        </w:rPr>
        <w:t>derecho al trabajo</w:t>
      </w:r>
      <w:r w:rsidRPr="00932C8E">
        <w:rPr>
          <w:rFonts w:ascii="Verdana" w:hAnsi="Verdana"/>
          <w:sz w:val="18"/>
          <w:szCs w:val="20"/>
          <w:lang w:val="es-CR"/>
        </w:rPr>
        <w:t xml:space="preserve">, que </w:t>
      </w:r>
      <w:proofErr w:type="gramStart"/>
      <w:r w:rsidRPr="00932C8E">
        <w:rPr>
          <w:rFonts w:ascii="Verdana" w:hAnsi="Verdana"/>
          <w:sz w:val="18"/>
          <w:szCs w:val="20"/>
          <w:lang w:val="es-CR"/>
        </w:rPr>
        <w:t>fue[</w:t>
      </w:r>
      <w:proofErr w:type="gramEnd"/>
      <w:r w:rsidRPr="00932C8E">
        <w:rPr>
          <w:rFonts w:ascii="Verdana" w:hAnsi="Verdana"/>
          <w:sz w:val="18"/>
          <w:szCs w:val="20"/>
          <w:lang w:val="es-CR"/>
        </w:rPr>
        <w:t>ron] violado[s] por el Segundo Tribunal del Trabajo y CC.LL., con la sentencia nacida de un proceso irregular […]”</w:t>
      </w:r>
      <w:r w:rsidRPr="00932C8E">
        <w:rPr>
          <w:rStyle w:val="FootnoteReference"/>
          <w:sz w:val="18"/>
          <w:szCs w:val="20"/>
          <w:lang w:val="es-CR"/>
        </w:rPr>
        <w:footnoteReference w:id="176"/>
      </w:r>
      <w:r w:rsidRPr="00932C8E">
        <w:rPr>
          <w:rFonts w:ascii="Verdana" w:hAnsi="Verdana"/>
          <w:sz w:val="18"/>
          <w:szCs w:val="20"/>
          <w:lang w:val="es-CR"/>
        </w:rPr>
        <w:t>.</w:t>
      </w:r>
    </w:p>
    <w:p w14:paraId="4F90F381" w14:textId="77777777" w:rsidR="0088700B" w:rsidRPr="00932C8E" w:rsidRDefault="0088700B" w:rsidP="0088700B">
      <w:pPr>
        <w:ind w:left="851"/>
        <w:jc w:val="both"/>
        <w:rPr>
          <w:rFonts w:ascii="Verdana" w:hAnsi="Verdana"/>
          <w:b/>
          <w:sz w:val="18"/>
          <w:szCs w:val="20"/>
        </w:rPr>
      </w:pPr>
    </w:p>
    <w:p w14:paraId="06DA88AA" w14:textId="1E6336F6" w:rsidR="0088700B" w:rsidRPr="00932C8E" w:rsidRDefault="0088700B" w:rsidP="00E66DD7">
      <w:pPr>
        <w:pStyle w:val="ListParagraph"/>
        <w:numPr>
          <w:ilvl w:val="2"/>
          <w:numId w:val="21"/>
        </w:numPr>
        <w:ind w:left="851" w:firstLine="0"/>
        <w:jc w:val="both"/>
        <w:rPr>
          <w:rFonts w:ascii="Verdana" w:hAnsi="Verdana"/>
          <w:b/>
          <w:sz w:val="18"/>
          <w:szCs w:val="20"/>
        </w:rPr>
      </w:pPr>
      <w:r w:rsidRPr="00932C8E">
        <w:rPr>
          <w:rFonts w:ascii="Verdana" w:hAnsi="Verdana"/>
          <w:sz w:val="18"/>
          <w:szCs w:val="20"/>
          <w:lang w:val="es-CR"/>
        </w:rPr>
        <w:lastRenderedPageBreak/>
        <w:t xml:space="preserve">En la petición dirigida al Secretario Ejecutivo de la Comisión </w:t>
      </w:r>
      <w:r>
        <w:rPr>
          <w:rFonts w:ascii="Verdana" w:hAnsi="Verdana"/>
          <w:sz w:val="18"/>
          <w:szCs w:val="20"/>
          <w:lang w:val="es-CR"/>
        </w:rPr>
        <w:t>de</w:t>
      </w:r>
      <w:r w:rsidRPr="00932C8E">
        <w:rPr>
          <w:rFonts w:ascii="Verdana" w:hAnsi="Verdana"/>
          <w:sz w:val="18"/>
          <w:szCs w:val="20"/>
          <w:lang w:val="es-CR"/>
        </w:rPr>
        <w:t xml:space="preserve"> 21 de enero de 2002, recibida </w:t>
      </w:r>
      <w:r w:rsidR="00FF7414">
        <w:rPr>
          <w:rFonts w:ascii="Verdana" w:hAnsi="Verdana"/>
          <w:sz w:val="18"/>
          <w:szCs w:val="20"/>
          <w:lang w:val="es-CR"/>
        </w:rPr>
        <w:t>en esa misma fecha</w:t>
      </w:r>
      <w:r w:rsidRPr="00932C8E">
        <w:rPr>
          <w:rFonts w:ascii="Verdana" w:hAnsi="Verdana"/>
          <w:sz w:val="18"/>
          <w:szCs w:val="20"/>
          <w:lang w:val="es-CR"/>
        </w:rPr>
        <w:t xml:space="preserve"> por la </w:t>
      </w:r>
      <w:r>
        <w:rPr>
          <w:rFonts w:ascii="Verdana" w:hAnsi="Verdana"/>
          <w:sz w:val="18"/>
          <w:szCs w:val="20"/>
          <w:lang w:val="es-CR"/>
        </w:rPr>
        <w:t>Comisión</w:t>
      </w:r>
      <w:r w:rsidRPr="00932C8E">
        <w:rPr>
          <w:rFonts w:ascii="Verdana" w:hAnsi="Verdana"/>
          <w:sz w:val="18"/>
          <w:szCs w:val="20"/>
          <w:lang w:val="es-CR"/>
        </w:rPr>
        <w:t xml:space="preserve">, el </w:t>
      </w:r>
      <w:r>
        <w:rPr>
          <w:rFonts w:ascii="Verdana" w:hAnsi="Verdana"/>
          <w:sz w:val="18"/>
          <w:szCs w:val="20"/>
          <w:lang w:val="es-CR"/>
        </w:rPr>
        <w:t>peticionario</w:t>
      </w:r>
      <w:r w:rsidRPr="00932C8E">
        <w:rPr>
          <w:rFonts w:ascii="Verdana" w:hAnsi="Verdana"/>
          <w:sz w:val="18"/>
          <w:szCs w:val="20"/>
          <w:lang w:val="es-CR"/>
        </w:rPr>
        <w:t xml:space="preserve"> expuso que “la violación de [sus] derechos </w:t>
      </w:r>
      <w:r w:rsidR="00FF7414">
        <w:rPr>
          <w:rFonts w:ascii="Verdana" w:hAnsi="Verdana"/>
          <w:sz w:val="18"/>
          <w:szCs w:val="20"/>
          <w:lang w:val="es-CR"/>
        </w:rPr>
        <w:t>[</w:t>
      </w:r>
      <w:r w:rsidRPr="00932C8E">
        <w:rPr>
          <w:rFonts w:ascii="Verdana" w:hAnsi="Verdana"/>
          <w:sz w:val="18"/>
          <w:szCs w:val="20"/>
          <w:lang w:val="es-CR"/>
        </w:rPr>
        <w:t>c</w:t>
      </w:r>
      <w:r w:rsidR="00FF7414">
        <w:rPr>
          <w:rFonts w:ascii="Verdana" w:hAnsi="Verdana"/>
          <w:sz w:val="18"/>
          <w:szCs w:val="20"/>
          <w:lang w:val="es-CR"/>
        </w:rPr>
        <w:t>]</w:t>
      </w:r>
      <w:proofErr w:type="spellStart"/>
      <w:r w:rsidRPr="00932C8E">
        <w:rPr>
          <w:rFonts w:ascii="Verdana" w:hAnsi="Verdana"/>
          <w:sz w:val="18"/>
          <w:szCs w:val="20"/>
          <w:lang w:val="es-CR"/>
        </w:rPr>
        <w:t>onstitucionales</w:t>
      </w:r>
      <w:proofErr w:type="spellEnd"/>
      <w:r w:rsidRPr="00932C8E">
        <w:rPr>
          <w:rFonts w:ascii="Verdana" w:hAnsi="Verdana"/>
          <w:sz w:val="18"/>
          <w:szCs w:val="20"/>
          <w:lang w:val="es-CR"/>
        </w:rPr>
        <w:t xml:space="preserve"> y </w:t>
      </w:r>
      <w:r w:rsidR="00FF7414">
        <w:rPr>
          <w:rFonts w:ascii="Verdana" w:hAnsi="Verdana"/>
          <w:sz w:val="18"/>
          <w:szCs w:val="20"/>
          <w:lang w:val="es-CR"/>
        </w:rPr>
        <w:t>[</w:t>
      </w:r>
      <w:r w:rsidRPr="00932C8E">
        <w:rPr>
          <w:rFonts w:ascii="Verdana" w:hAnsi="Verdana"/>
          <w:sz w:val="18"/>
          <w:szCs w:val="20"/>
          <w:lang w:val="es-CR"/>
        </w:rPr>
        <w:t>h</w:t>
      </w:r>
      <w:r w:rsidR="00FF7414">
        <w:rPr>
          <w:rFonts w:ascii="Verdana" w:hAnsi="Verdana"/>
          <w:sz w:val="18"/>
          <w:szCs w:val="20"/>
          <w:lang w:val="es-CR"/>
        </w:rPr>
        <w:t>]</w:t>
      </w:r>
      <w:proofErr w:type="spellStart"/>
      <w:r w:rsidRPr="00932C8E">
        <w:rPr>
          <w:rFonts w:ascii="Verdana" w:hAnsi="Verdana"/>
          <w:sz w:val="18"/>
          <w:szCs w:val="20"/>
          <w:lang w:val="es-CR"/>
        </w:rPr>
        <w:t>umanos</w:t>
      </w:r>
      <w:proofErr w:type="spellEnd"/>
      <w:r w:rsidRPr="00932C8E">
        <w:rPr>
          <w:rFonts w:ascii="Verdana" w:hAnsi="Verdana"/>
          <w:sz w:val="18"/>
          <w:szCs w:val="20"/>
          <w:lang w:val="es-CR"/>
        </w:rPr>
        <w:t xml:space="preserve">, como son: </w:t>
      </w:r>
      <w:r w:rsidRPr="00932C8E">
        <w:rPr>
          <w:rFonts w:ascii="Verdana" w:hAnsi="Verdana"/>
          <w:i/>
          <w:sz w:val="18"/>
          <w:szCs w:val="20"/>
          <w:lang w:val="es-CR"/>
        </w:rPr>
        <w:t xml:space="preserve">el derecho a un juicio justo y el </w:t>
      </w:r>
      <w:r w:rsidRPr="006D5D16">
        <w:rPr>
          <w:rFonts w:ascii="Verdana" w:hAnsi="Verdana"/>
          <w:b/>
          <w:i/>
          <w:sz w:val="18"/>
          <w:szCs w:val="20"/>
          <w:lang w:val="es-CR"/>
        </w:rPr>
        <w:t>derecho al trabajo</w:t>
      </w:r>
      <w:r w:rsidRPr="00932C8E">
        <w:rPr>
          <w:rFonts w:ascii="Verdana" w:hAnsi="Verdana"/>
          <w:i/>
          <w:sz w:val="18"/>
          <w:szCs w:val="20"/>
          <w:lang w:val="es-CR"/>
        </w:rPr>
        <w:t xml:space="preserve"> </w:t>
      </w:r>
      <w:r w:rsidRPr="00932C8E">
        <w:rPr>
          <w:rFonts w:ascii="Verdana" w:hAnsi="Verdana"/>
          <w:sz w:val="18"/>
          <w:szCs w:val="20"/>
          <w:lang w:val="es-CR"/>
        </w:rPr>
        <w:t>ha[n] sido y [fueron] de conocimiento de las autoridades competentes y opinión pública en general”</w:t>
      </w:r>
      <w:r w:rsidRPr="00932C8E">
        <w:rPr>
          <w:rStyle w:val="FootnoteReference"/>
          <w:sz w:val="18"/>
          <w:szCs w:val="20"/>
          <w:lang w:val="es-CR"/>
        </w:rPr>
        <w:footnoteReference w:id="177"/>
      </w:r>
      <w:r w:rsidRPr="00932C8E">
        <w:rPr>
          <w:rFonts w:ascii="Verdana" w:hAnsi="Verdana"/>
          <w:sz w:val="18"/>
          <w:szCs w:val="20"/>
          <w:lang w:val="es-CR"/>
        </w:rPr>
        <w:t xml:space="preserve">. </w:t>
      </w:r>
    </w:p>
    <w:p w14:paraId="08B98B59" w14:textId="77777777" w:rsidR="0088700B" w:rsidRPr="00932C8E" w:rsidRDefault="0088700B" w:rsidP="0088700B">
      <w:pPr>
        <w:ind w:left="851"/>
        <w:jc w:val="both"/>
        <w:rPr>
          <w:rFonts w:ascii="Verdana" w:hAnsi="Verdana"/>
          <w:b/>
          <w:sz w:val="18"/>
          <w:szCs w:val="20"/>
        </w:rPr>
      </w:pPr>
    </w:p>
    <w:p w14:paraId="5123818A" w14:textId="1A2ED72C" w:rsidR="0088700B" w:rsidRDefault="00D3263C" w:rsidP="00E66DD7">
      <w:pPr>
        <w:pStyle w:val="ListParagraph"/>
        <w:numPr>
          <w:ilvl w:val="2"/>
          <w:numId w:val="21"/>
        </w:numPr>
        <w:ind w:left="851" w:firstLine="0"/>
        <w:jc w:val="both"/>
        <w:rPr>
          <w:rFonts w:ascii="Verdana" w:hAnsi="Verdana"/>
          <w:sz w:val="18"/>
          <w:szCs w:val="20"/>
          <w:lang w:val="es-CR"/>
        </w:rPr>
      </w:pPr>
      <w:r>
        <w:rPr>
          <w:rFonts w:ascii="Verdana" w:hAnsi="Verdana"/>
          <w:sz w:val="18"/>
          <w:szCs w:val="20"/>
        </w:rPr>
        <w:t>Mediante</w:t>
      </w:r>
      <w:r w:rsidR="0088700B" w:rsidRPr="00932C8E">
        <w:rPr>
          <w:rFonts w:ascii="Verdana" w:hAnsi="Verdana"/>
          <w:sz w:val="18"/>
          <w:szCs w:val="20"/>
          <w:lang w:val="es-CR"/>
        </w:rPr>
        <w:t xml:space="preserve"> escrito de 20 de </w:t>
      </w:r>
      <w:r w:rsidR="0088700B">
        <w:rPr>
          <w:rFonts w:ascii="Verdana" w:hAnsi="Verdana"/>
          <w:sz w:val="18"/>
          <w:szCs w:val="20"/>
          <w:lang w:val="es-CR"/>
        </w:rPr>
        <w:t>f</w:t>
      </w:r>
      <w:r w:rsidR="0088700B" w:rsidRPr="00932C8E">
        <w:rPr>
          <w:rFonts w:ascii="Verdana" w:hAnsi="Verdana"/>
          <w:sz w:val="18"/>
          <w:szCs w:val="20"/>
          <w:lang w:val="es-CR"/>
        </w:rPr>
        <w:t xml:space="preserve">ebrero del 2003 dirigido al Presidente de la Comisión, recibido el 26 de febrero de 2003, </w:t>
      </w:r>
      <w:r>
        <w:rPr>
          <w:rFonts w:ascii="Verdana" w:hAnsi="Verdana"/>
          <w:sz w:val="18"/>
          <w:szCs w:val="20"/>
          <w:lang w:val="es-CR"/>
        </w:rPr>
        <w:t xml:space="preserve">el </w:t>
      </w:r>
      <w:r w:rsidR="00DD5817">
        <w:rPr>
          <w:rFonts w:ascii="Verdana" w:hAnsi="Verdana"/>
          <w:sz w:val="18"/>
          <w:szCs w:val="20"/>
          <w:lang w:val="es-CR"/>
        </w:rPr>
        <w:t>s</w:t>
      </w:r>
      <w:r>
        <w:rPr>
          <w:rFonts w:ascii="Verdana" w:hAnsi="Verdana"/>
          <w:sz w:val="18"/>
          <w:szCs w:val="20"/>
          <w:lang w:val="es-CR"/>
        </w:rPr>
        <w:t>eñor</w:t>
      </w:r>
      <w:r w:rsidR="00FF7414">
        <w:rPr>
          <w:rFonts w:ascii="Verdana" w:hAnsi="Verdana"/>
          <w:sz w:val="18"/>
          <w:szCs w:val="20"/>
          <w:lang w:val="es-CR"/>
        </w:rPr>
        <w:t xml:space="preserve"> </w:t>
      </w:r>
      <w:r w:rsidR="0088700B">
        <w:rPr>
          <w:rFonts w:ascii="Verdana" w:hAnsi="Verdana"/>
          <w:sz w:val="18"/>
          <w:szCs w:val="20"/>
          <w:lang w:val="es-CR"/>
        </w:rPr>
        <w:t>Lagos del Campo</w:t>
      </w:r>
      <w:r w:rsidR="0088700B" w:rsidRPr="00932C8E">
        <w:rPr>
          <w:rFonts w:ascii="Verdana" w:hAnsi="Verdana"/>
          <w:sz w:val="18"/>
          <w:szCs w:val="20"/>
          <w:lang w:val="es-CR"/>
        </w:rPr>
        <w:t xml:space="preserve"> manifestó que “como </w:t>
      </w:r>
      <w:proofErr w:type="spellStart"/>
      <w:r w:rsidR="0088700B" w:rsidRPr="00932C8E">
        <w:rPr>
          <w:rFonts w:ascii="Verdana" w:hAnsi="Verdana"/>
          <w:sz w:val="18"/>
          <w:szCs w:val="20"/>
          <w:lang w:val="es-CR"/>
        </w:rPr>
        <w:t>sustent</w:t>
      </w:r>
      <w:proofErr w:type="spellEnd"/>
      <w:r w:rsidR="0088700B" w:rsidRPr="00932C8E">
        <w:rPr>
          <w:rFonts w:ascii="Verdana" w:hAnsi="Verdana"/>
          <w:sz w:val="18"/>
          <w:szCs w:val="20"/>
          <w:lang w:val="es-CR"/>
        </w:rPr>
        <w:t>[</w:t>
      </w:r>
      <w:proofErr w:type="spellStart"/>
      <w:r w:rsidR="0088700B" w:rsidRPr="00932C8E">
        <w:rPr>
          <w:rFonts w:ascii="Verdana" w:hAnsi="Verdana"/>
          <w:sz w:val="18"/>
          <w:szCs w:val="20"/>
          <w:lang w:val="es-CR"/>
        </w:rPr>
        <w:t>ó</w:t>
      </w:r>
      <w:proofErr w:type="spellEnd"/>
      <w:r w:rsidR="0088700B" w:rsidRPr="00932C8E">
        <w:rPr>
          <w:rFonts w:ascii="Verdana" w:hAnsi="Verdana"/>
          <w:sz w:val="18"/>
          <w:szCs w:val="20"/>
          <w:lang w:val="es-CR"/>
        </w:rPr>
        <w:t xml:space="preserve">] oportunamente en la denuncia actualizada y regularizada de 23 de julio de 1998, ante la jurisdicción internacional de su acertada conducción, en forma flagrante en el Perú se han violado [sus] </w:t>
      </w:r>
      <w:r w:rsidR="00FF7414">
        <w:rPr>
          <w:rFonts w:ascii="Verdana" w:hAnsi="Verdana"/>
          <w:sz w:val="18"/>
          <w:szCs w:val="20"/>
          <w:lang w:val="es-CR"/>
        </w:rPr>
        <w:t>[</w:t>
      </w:r>
      <w:r w:rsidR="0088700B" w:rsidRPr="00932C8E">
        <w:rPr>
          <w:rFonts w:ascii="Verdana" w:hAnsi="Verdana"/>
          <w:sz w:val="18"/>
          <w:szCs w:val="20"/>
          <w:lang w:val="es-CR"/>
        </w:rPr>
        <w:t>d</w:t>
      </w:r>
      <w:r w:rsidR="00FF7414">
        <w:rPr>
          <w:rFonts w:ascii="Verdana" w:hAnsi="Verdana"/>
          <w:sz w:val="18"/>
          <w:szCs w:val="20"/>
          <w:lang w:val="es-CR"/>
        </w:rPr>
        <w:t>]</w:t>
      </w:r>
      <w:proofErr w:type="spellStart"/>
      <w:r w:rsidR="0088700B" w:rsidRPr="00932C8E">
        <w:rPr>
          <w:rFonts w:ascii="Verdana" w:hAnsi="Verdana"/>
          <w:sz w:val="18"/>
          <w:szCs w:val="20"/>
          <w:lang w:val="es-CR"/>
        </w:rPr>
        <w:t>erechos</w:t>
      </w:r>
      <w:proofErr w:type="spellEnd"/>
      <w:r w:rsidR="0088700B" w:rsidRPr="00932C8E">
        <w:rPr>
          <w:rFonts w:ascii="Verdana" w:hAnsi="Verdana"/>
          <w:sz w:val="18"/>
          <w:szCs w:val="20"/>
          <w:lang w:val="es-CR"/>
        </w:rPr>
        <w:t xml:space="preserve"> </w:t>
      </w:r>
      <w:r w:rsidR="00FF7414">
        <w:rPr>
          <w:rFonts w:ascii="Verdana" w:hAnsi="Verdana"/>
          <w:sz w:val="18"/>
          <w:szCs w:val="20"/>
          <w:lang w:val="es-CR"/>
        </w:rPr>
        <w:t>[</w:t>
      </w:r>
      <w:r w:rsidR="0088700B" w:rsidRPr="00932C8E">
        <w:rPr>
          <w:rFonts w:ascii="Verdana" w:hAnsi="Verdana"/>
          <w:sz w:val="18"/>
          <w:szCs w:val="20"/>
          <w:lang w:val="es-CR"/>
        </w:rPr>
        <w:t>h</w:t>
      </w:r>
      <w:r w:rsidR="00FF7414">
        <w:rPr>
          <w:rFonts w:ascii="Verdana" w:hAnsi="Verdana"/>
          <w:sz w:val="18"/>
          <w:szCs w:val="20"/>
          <w:lang w:val="es-CR"/>
        </w:rPr>
        <w:t>]</w:t>
      </w:r>
      <w:proofErr w:type="spellStart"/>
      <w:r w:rsidR="0088700B" w:rsidRPr="00932C8E">
        <w:rPr>
          <w:rFonts w:ascii="Verdana" w:hAnsi="Verdana"/>
          <w:sz w:val="18"/>
          <w:szCs w:val="20"/>
          <w:lang w:val="es-CR"/>
        </w:rPr>
        <w:t>umanos</w:t>
      </w:r>
      <w:proofErr w:type="spellEnd"/>
      <w:r w:rsidR="0088700B" w:rsidRPr="00932C8E">
        <w:rPr>
          <w:rFonts w:ascii="Verdana" w:hAnsi="Verdana"/>
          <w:sz w:val="18"/>
          <w:szCs w:val="20"/>
          <w:lang w:val="es-CR"/>
        </w:rPr>
        <w:t xml:space="preserve"> como son</w:t>
      </w:r>
      <w:r w:rsidR="00FF7414">
        <w:rPr>
          <w:rFonts w:ascii="Verdana" w:hAnsi="Verdana"/>
          <w:sz w:val="18"/>
          <w:szCs w:val="20"/>
          <w:lang w:val="es-CR"/>
        </w:rPr>
        <w:t>:</w:t>
      </w:r>
      <w:r w:rsidR="0088700B" w:rsidRPr="00932C8E">
        <w:rPr>
          <w:rFonts w:ascii="Verdana" w:hAnsi="Verdana"/>
          <w:sz w:val="18"/>
          <w:szCs w:val="20"/>
          <w:lang w:val="es-CR"/>
        </w:rPr>
        <w:t xml:space="preserve"> </w:t>
      </w:r>
      <w:r w:rsidR="0088700B" w:rsidRPr="00932C8E">
        <w:rPr>
          <w:rFonts w:ascii="Verdana" w:hAnsi="Verdana"/>
          <w:i/>
          <w:sz w:val="18"/>
          <w:szCs w:val="20"/>
          <w:lang w:val="es-CR"/>
        </w:rPr>
        <w:t xml:space="preserve">derecho a ser oído por un tribunal competente, derecho a igual protección de la ley, derecho a la protección de la familia, derecho a la protección judicial contra violaciones de los derechos fundamentales y </w:t>
      </w:r>
      <w:r w:rsidR="0088700B" w:rsidRPr="00333304">
        <w:rPr>
          <w:rFonts w:ascii="Verdana" w:hAnsi="Verdana"/>
          <w:b/>
          <w:i/>
          <w:sz w:val="18"/>
          <w:szCs w:val="20"/>
          <w:lang w:val="es-CR"/>
        </w:rPr>
        <w:t>derecho al trabajo</w:t>
      </w:r>
      <w:r w:rsidR="0088700B" w:rsidRPr="00932C8E">
        <w:rPr>
          <w:rFonts w:ascii="Verdana" w:hAnsi="Verdana"/>
          <w:sz w:val="18"/>
          <w:szCs w:val="20"/>
          <w:lang w:val="es-CR"/>
        </w:rPr>
        <w:t xml:space="preserve">. Estos derechos amparados por la Convención Americana sobre Derechos Humanos, </w:t>
      </w:r>
      <w:r w:rsidR="00FF7414">
        <w:rPr>
          <w:rFonts w:ascii="Verdana" w:hAnsi="Verdana"/>
          <w:sz w:val="18"/>
          <w:szCs w:val="20"/>
          <w:lang w:val="es-CR"/>
        </w:rPr>
        <w:t>P</w:t>
      </w:r>
      <w:r w:rsidR="0088700B" w:rsidRPr="00932C8E">
        <w:rPr>
          <w:rFonts w:ascii="Verdana" w:hAnsi="Verdana"/>
          <w:sz w:val="18"/>
          <w:szCs w:val="20"/>
          <w:lang w:val="es-CR"/>
        </w:rPr>
        <w:t xml:space="preserve">rotocolo </w:t>
      </w:r>
      <w:r w:rsidR="00FF7414">
        <w:rPr>
          <w:rFonts w:ascii="Verdana" w:hAnsi="Verdana"/>
          <w:sz w:val="18"/>
          <w:szCs w:val="20"/>
          <w:lang w:val="es-CR"/>
        </w:rPr>
        <w:t>A</w:t>
      </w:r>
      <w:r w:rsidR="0088700B" w:rsidRPr="00932C8E">
        <w:rPr>
          <w:rFonts w:ascii="Verdana" w:hAnsi="Verdana"/>
          <w:sz w:val="18"/>
          <w:szCs w:val="20"/>
          <w:lang w:val="es-CR"/>
        </w:rPr>
        <w:t>dicional a la Convención Americana sobre Derechos Humanos en materia de Derechos Económicos, Sociales y Culturales</w:t>
      </w:r>
      <w:r w:rsidR="008644E8">
        <w:rPr>
          <w:rFonts w:ascii="Verdana" w:hAnsi="Verdana"/>
          <w:sz w:val="18"/>
          <w:szCs w:val="20"/>
          <w:lang w:val="es-CR"/>
        </w:rPr>
        <w:t xml:space="preserve"> </w:t>
      </w:r>
      <w:r w:rsidR="00FF7414">
        <w:rPr>
          <w:rFonts w:ascii="Verdana" w:hAnsi="Verdana"/>
          <w:sz w:val="18"/>
          <w:szCs w:val="20"/>
          <w:lang w:val="es-CR"/>
        </w:rPr>
        <w:t>`</w:t>
      </w:r>
      <w:r w:rsidR="0088700B" w:rsidRPr="00932C8E">
        <w:rPr>
          <w:rFonts w:ascii="Verdana" w:hAnsi="Verdana"/>
          <w:sz w:val="18"/>
          <w:szCs w:val="20"/>
          <w:lang w:val="es-CR"/>
        </w:rPr>
        <w:t>Protocolo de San Salvador</w:t>
      </w:r>
      <w:r w:rsidR="00FF7414">
        <w:rPr>
          <w:rFonts w:ascii="Verdana" w:hAnsi="Verdana"/>
          <w:sz w:val="18"/>
          <w:szCs w:val="20"/>
          <w:lang w:val="es-CR"/>
        </w:rPr>
        <w:t>´</w:t>
      </w:r>
      <w:r w:rsidR="0088700B" w:rsidRPr="00932C8E">
        <w:rPr>
          <w:rFonts w:ascii="Verdana" w:hAnsi="Verdana"/>
          <w:sz w:val="18"/>
          <w:szCs w:val="20"/>
          <w:lang w:val="es-CR"/>
        </w:rPr>
        <w:t>, y otros instrumentos internacionales de Derechos Humanos”</w:t>
      </w:r>
      <w:r w:rsidR="0088700B" w:rsidRPr="00932C8E">
        <w:rPr>
          <w:rStyle w:val="FootnoteReference"/>
          <w:sz w:val="18"/>
          <w:szCs w:val="20"/>
          <w:lang w:val="es-CR"/>
        </w:rPr>
        <w:footnoteReference w:id="178"/>
      </w:r>
      <w:r w:rsidR="0088700B" w:rsidRPr="00932C8E">
        <w:rPr>
          <w:rFonts w:ascii="Verdana" w:hAnsi="Verdana"/>
          <w:sz w:val="18"/>
          <w:szCs w:val="20"/>
          <w:lang w:val="es-CR"/>
        </w:rPr>
        <w:t>.</w:t>
      </w:r>
    </w:p>
    <w:p w14:paraId="5A2D6B6A" w14:textId="77777777" w:rsidR="0088700B" w:rsidRPr="006D5D16" w:rsidRDefault="0088700B" w:rsidP="0088700B">
      <w:pPr>
        <w:jc w:val="both"/>
        <w:rPr>
          <w:rFonts w:ascii="Verdana" w:hAnsi="Verdana"/>
          <w:sz w:val="18"/>
          <w:szCs w:val="20"/>
          <w:lang w:val="es-CR"/>
        </w:rPr>
      </w:pPr>
    </w:p>
    <w:p w14:paraId="1B7EAB02" w14:textId="12017034" w:rsidR="0088700B" w:rsidRPr="00D57FAE" w:rsidRDefault="0088700B" w:rsidP="00E66DD7">
      <w:pPr>
        <w:pStyle w:val="ListParagraph"/>
        <w:numPr>
          <w:ilvl w:val="2"/>
          <w:numId w:val="21"/>
        </w:numPr>
        <w:ind w:left="851" w:firstLine="0"/>
        <w:jc w:val="both"/>
        <w:rPr>
          <w:rFonts w:ascii="Verdana" w:hAnsi="Verdana"/>
          <w:sz w:val="18"/>
          <w:szCs w:val="20"/>
          <w:lang w:val="es-CR"/>
        </w:rPr>
      </w:pPr>
      <w:r w:rsidRPr="00D57FAE">
        <w:rPr>
          <w:rFonts w:ascii="Verdana" w:hAnsi="Verdana"/>
          <w:sz w:val="18"/>
          <w:szCs w:val="20"/>
          <w:lang w:val="es-CR"/>
        </w:rPr>
        <w:t xml:space="preserve">Mediante Informes No. </w:t>
      </w:r>
      <w:r w:rsidRPr="00D57FAE">
        <w:rPr>
          <w:rFonts w:ascii="Verdana" w:hAnsi="Verdana"/>
          <w:bCs/>
          <w:sz w:val="18"/>
          <w:szCs w:val="20"/>
          <w:lang w:val="es-ES"/>
        </w:rPr>
        <w:t xml:space="preserve">21 -2003-JUS/CNDH-SE y </w:t>
      </w:r>
      <w:r w:rsidRPr="00D57FAE">
        <w:rPr>
          <w:rFonts w:ascii="Verdana" w:hAnsi="Verdana"/>
          <w:sz w:val="18"/>
          <w:szCs w:val="20"/>
          <w:lang w:val="es-CR"/>
        </w:rPr>
        <w:t xml:space="preserve">No. 57-2007-JUS/CNDH/SE/CESAPI de </w:t>
      </w:r>
      <w:r w:rsidRPr="00D57FAE">
        <w:rPr>
          <w:rFonts w:ascii="Verdana" w:hAnsi="Verdana"/>
          <w:sz w:val="18"/>
          <w:szCs w:val="20"/>
          <w:lang w:val="es-ES"/>
        </w:rPr>
        <w:t>la Secretaría Ejecutiva del Consejo Nacional de Derechos Humanos</w:t>
      </w:r>
      <w:r w:rsidRPr="00D57FAE">
        <w:rPr>
          <w:rFonts w:ascii="Verdana" w:hAnsi="Verdana"/>
          <w:sz w:val="18"/>
          <w:szCs w:val="20"/>
          <w:lang w:val="es-CR"/>
        </w:rPr>
        <w:t xml:space="preserve"> de Perú </w:t>
      </w:r>
      <w:r w:rsidRPr="00333304">
        <w:rPr>
          <w:rFonts w:ascii="Verdana" w:hAnsi="Verdana"/>
          <w:sz w:val="18"/>
          <w:szCs w:val="20"/>
          <w:lang w:val="es-CR"/>
        </w:rPr>
        <w:t>(</w:t>
      </w:r>
      <w:r w:rsidR="00052EDE" w:rsidRPr="00333304">
        <w:rPr>
          <w:rFonts w:ascii="Verdana" w:hAnsi="Verdana"/>
          <w:sz w:val="18"/>
          <w:szCs w:val="20"/>
          <w:lang w:val="es-CR"/>
        </w:rPr>
        <w:t xml:space="preserve">el </w:t>
      </w:r>
      <w:r w:rsidRPr="00333304">
        <w:rPr>
          <w:rFonts w:ascii="Verdana" w:hAnsi="Verdana"/>
          <w:sz w:val="18"/>
          <w:szCs w:val="20"/>
          <w:lang w:val="es-CR"/>
        </w:rPr>
        <w:t>Estado)</w:t>
      </w:r>
      <w:r>
        <w:rPr>
          <w:rFonts w:ascii="Verdana" w:hAnsi="Verdana"/>
          <w:sz w:val="18"/>
          <w:szCs w:val="20"/>
          <w:lang w:val="es-CR"/>
        </w:rPr>
        <w:t xml:space="preserve"> </w:t>
      </w:r>
      <w:r w:rsidRPr="00D57FAE">
        <w:rPr>
          <w:rFonts w:ascii="Verdana" w:hAnsi="Verdana"/>
          <w:sz w:val="18"/>
          <w:szCs w:val="20"/>
          <w:lang w:val="es-CR"/>
        </w:rPr>
        <w:t>de 7 de marzo de 2003 y 15 de mayo de 2007</w:t>
      </w:r>
      <w:r w:rsidRPr="00D43A62">
        <w:rPr>
          <w:rFonts w:ascii="Verdana" w:hAnsi="Verdana"/>
          <w:sz w:val="18"/>
          <w:szCs w:val="20"/>
          <w:lang w:val="es-CR"/>
        </w:rPr>
        <w:t>, señaló</w:t>
      </w:r>
      <w:r>
        <w:rPr>
          <w:rFonts w:ascii="Verdana" w:hAnsi="Verdana"/>
          <w:sz w:val="18"/>
          <w:szCs w:val="20"/>
          <w:lang w:val="es-CR"/>
        </w:rPr>
        <w:t xml:space="preserve"> </w:t>
      </w:r>
      <w:r w:rsidRPr="00C33EE0">
        <w:rPr>
          <w:rFonts w:ascii="Verdana" w:hAnsi="Verdana"/>
          <w:sz w:val="18"/>
          <w:szCs w:val="20"/>
          <w:lang w:val="es-CR"/>
        </w:rPr>
        <w:t>en el apartado “</w:t>
      </w:r>
      <w:r w:rsidRPr="00C33EE0">
        <w:rPr>
          <w:rFonts w:ascii="Verdana" w:hAnsi="Verdana"/>
          <w:sz w:val="18"/>
          <w:szCs w:val="20"/>
          <w:lang w:val="es-ES"/>
        </w:rPr>
        <w:t>Motivos de la petición o derechos presuntamente violados”</w:t>
      </w:r>
      <w:r w:rsidRPr="00C33EE0">
        <w:rPr>
          <w:rFonts w:ascii="Verdana" w:hAnsi="Verdana"/>
          <w:sz w:val="18"/>
          <w:szCs w:val="20"/>
          <w:lang w:val="es-CR"/>
        </w:rPr>
        <w:t xml:space="preserve"> que el señor Lagos del Campo en su denuncia ante la CIDH solicitó “</w:t>
      </w:r>
      <w:r w:rsidRPr="00C33EE0">
        <w:rPr>
          <w:rFonts w:ascii="Verdana" w:hAnsi="Verdana"/>
          <w:sz w:val="18"/>
          <w:szCs w:val="20"/>
          <w:lang w:val="es-ES"/>
        </w:rPr>
        <w:t xml:space="preserve">su inmediata </w:t>
      </w:r>
      <w:r w:rsidRPr="00801513">
        <w:rPr>
          <w:rFonts w:ascii="Verdana" w:hAnsi="Verdana"/>
          <w:i/>
          <w:sz w:val="18"/>
          <w:szCs w:val="20"/>
          <w:lang w:val="es-ES"/>
        </w:rPr>
        <w:t>reposición a su puesto de trabajo</w:t>
      </w:r>
      <w:r w:rsidRPr="00C33EE0">
        <w:rPr>
          <w:rFonts w:ascii="Verdana" w:hAnsi="Verdana"/>
          <w:sz w:val="18"/>
          <w:szCs w:val="20"/>
          <w:lang w:val="es-ES"/>
        </w:rPr>
        <w:t xml:space="preserve"> en la empresa CEPER-PIRELLI, </w:t>
      </w:r>
      <w:r>
        <w:rPr>
          <w:rFonts w:ascii="Verdana" w:hAnsi="Verdana"/>
          <w:sz w:val="18"/>
          <w:szCs w:val="20"/>
          <w:lang w:val="es-ES"/>
        </w:rPr>
        <w:t>c</w:t>
      </w:r>
      <w:r w:rsidRPr="00C33EE0">
        <w:rPr>
          <w:rFonts w:ascii="Verdana" w:hAnsi="Verdana"/>
          <w:sz w:val="18"/>
          <w:szCs w:val="20"/>
          <w:lang w:val="es-ES"/>
        </w:rPr>
        <w:t>on el salario y los beneficios</w:t>
      </w:r>
      <w:r>
        <w:rPr>
          <w:rFonts w:ascii="Verdana" w:hAnsi="Verdana"/>
          <w:sz w:val="18"/>
          <w:szCs w:val="20"/>
          <w:lang w:val="es-ES"/>
        </w:rPr>
        <w:t xml:space="preserve"> correspondientes”</w:t>
      </w:r>
      <w:r>
        <w:rPr>
          <w:rStyle w:val="FootnoteReference"/>
          <w:lang w:val="es-ES"/>
        </w:rPr>
        <w:footnoteReference w:id="179"/>
      </w:r>
      <w:r w:rsidRPr="00C0211C">
        <w:rPr>
          <w:rFonts w:ascii="Verdana" w:hAnsi="Verdana"/>
          <w:sz w:val="18"/>
          <w:szCs w:val="20"/>
          <w:lang w:val="es-ES"/>
        </w:rPr>
        <w:t>.</w:t>
      </w:r>
    </w:p>
    <w:p w14:paraId="65733BF9" w14:textId="77777777" w:rsidR="0088700B" w:rsidRPr="00932C8E" w:rsidRDefault="0088700B" w:rsidP="0088700B">
      <w:pPr>
        <w:pStyle w:val="ListParagraph"/>
        <w:ind w:left="851"/>
        <w:rPr>
          <w:rFonts w:ascii="Verdana" w:hAnsi="Verdana"/>
          <w:sz w:val="18"/>
          <w:szCs w:val="20"/>
          <w:lang w:val="es-CR"/>
        </w:rPr>
      </w:pPr>
    </w:p>
    <w:p w14:paraId="10D0ADE8" w14:textId="3E6A1245" w:rsidR="0088700B" w:rsidRPr="00932C8E" w:rsidRDefault="0088700B" w:rsidP="00E66DD7">
      <w:pPr>
        <w:pStyle w:val="ListParagraph"/>
        <w:numPr>
          <w:ilvl w:val="2"/>
          <w:numId w:val="21"/>
        </w:numPr>
        <w:ind w:left="851" w:firstLine="0"/>
        <w:jc w:val="both"/>
        <w:rPr>
          <w:rFonts w:ascii="Verdana" w:hAnsi="Verdana"/>
          <w:sz w:val="18"/>
          <w:szCs w:val="20"/>
          <w:lang w:val="es-CR"/>
        </w:rPr>
      </w:pPr>
      <w:r>
        <w:rPr>
          <w:rFonts w:ascii="Verdana" w:hAnsi="Verdana"/>
          <w:sz w:val="18"/>
          <w:szCs w:val="20"/>
          <w:lang w:val="es-CR"/>
        </w:rPr>
        <w:t xml:space="preserve">Mediante </w:t>
      </w:r>
      <w:r w:rsidRPr="00932C8E">
        <w:rPr>
          <w:rFonts w:ascii="Verdana" w:hAnsi="Verdana"/>
          <w:sz w:val="18"/>
          <w:szCs w:val="20"/>
          <w:lang w:val="es-CR"/>
        </w:rPr>
        <w:t xml:space="preserve">comunicación </w:t>
      </w:r>
      <w:r>
        <w:rPr>
          <w:rFonts w:ascii="Verdana" w:hAnsi="Verdana"/>
          <w:sz w:val="18"/>
          <w:szCs w:val="20"/>
          <w:lang w:val="es-CR"/>
        </w:rPr>
        <w:t>de la Comisión d</w:t>
      </w:r>
      <w:r w:rsidRPr="00932C8E">
        <w:rPr>
          <w:rFonts w:ascii="Verdana" w:hAnsi="Verdana"/>
          <w:sz w:val="18"/>
          <w:szCs w:val="20"/>
          <w:lang w:val="es-CR"/>
        </w:rPr>
        <w:t>e 12 de noviembre de 2010 dirigid</w:t>
      </w:r>
      <w:r>
        <w:rPr>
          <w:rFonts w:ascii="Verdana" w:hAnsi="Verdana"/>
          <w:sz w:val="18"/>
          <w:szCs w:val="20"/>
          <w:lang w:val="es-CR"/>
        </w:rPr>
        <w:t>a</w:t>
      </w:r>
      <w:r w:rsidRPr="00932C8E">
        <w:rPr>
          <w:rFonts w:ascii="Verdana" w:hAnsi="Verdana"/>
          <w:sz w:val="18"/>
          <w:szCs w:val="20"/>
          <w:lang w:val="es-CR"/>
        </w:rPr>
        <w:t xml:space="preserve"> al Lagos del Campo se </w:t>
      </w:r>
      <w:r>
        <w:rPr>
          <w:rFonts w:ascii="Verdana" w:hAnsi="Verdana"/>
          <w:sz w:val="18"/>
          <w:szCs w:val="20"/>
          <w:lang w:val="es-CR"/>
        </w:rPr>
        <w:t>señaló</w:t>
      </w:r>
      <w:r w:rsidRPr="00932C8E">
        <w:rPr>
          <w:rFonts w:ascii="Verdana" w:hAnsi="Verdana"/>
          <w:sz w:val="18"/>
          <w:szCs w:val="20"/>
          <w:lang w:val="es-CR"/>
        </w:rPr>
        <w:t xml:space="preserve"> “que la Comisión </w:t>
      </w:r>
      <w:r>
        <w:rPr>
          <w:rFonts w:ascii="Verdana" w:hAnsi="Verdana"/>
          <w:sz w:val="18"/>
          <w:szCs w:val="20"/>
          <w:lang w:val="es-CR"/>
        </w:rPr>
        <w:t>[…]</w:t>
      </w:r>
      <w:r w:rsidR="008644E8">
        <w:rPr>
          <w:rFonts w:ascii="Verdana" w:hAnsi="Verdana"/>
          <w:sz w:val="18"/>
          <w:szCs w:val="20"/>
          <w:lang w:val="es-CR"/>
        </w:rPr>
        <w:t xml:space="preserve"> </w:t>
      </w:r>
      <w:r w:rsidRPr="00932C8E">
        <w:rPr>
          <w:rFonts w:ascii="Verdana" w:hAnsi="Verdana"/>
          <w:sz w:val="18"/>
          <w:szCs w:val="20"/>
          <w:lang w:val="es-CR"/>
        </w:rPr>
        <w:t xml:space="preserve">examinó la </w:t>
      </w:r>
      <w:r w:rsidR="00857C27">
        <w:rPr>
          <w:rFonts w:ascii="Verdana" w:hAnsi="Verdana"/>
          <w:sz w:val="18"/>
          <w:szCs w:val="20"/>
          <w:lang w:val="es-CR"/>
        </w:rPr>
        <w:t>[</w:t>
      </w:r>
      <w:r w:rsidRPr="00932C8E">
        <w:rPr>
          <w:rFonts w:ascii="Verdana" w:hAnsi="Verdana"/>
          <w:sz w:val="18"/>
          <w:szCs w:val="20"/>
          <w:lang w:val="es-CR"/>
        </w:rPr>
        <w:t>p</w:t>
      </w:r>
      <w:r w:rsidR="00857C27">
        <w:rPr>
          <w:rFonts w:ascii="Verdana" w:hAnsi="Verdana"/>
          <w:sz w:val="18"/>
          <w:szCs w:val="20"/>
          <w:lang w:val="es-CR"/>
        </w:rPr>
        <w:t>]</w:t>
      </w:r>
      <w:proofErr w:type="spellStart"/>
      <w:r w:rsidRPr="00932C8E">
        <w:rPr>
          <w:rFonts w:ascii="Verdana" w:hAnsi="Verdana"/>
          <w:sz w:val="18"/>
          <w:szCs w:val="20"/>
          <w:lang w:val="es-CR"/>
        </w:rPr>
        <w:t>etición</w:t>
      </w:r>
      <w:proofErr w:type="spellEnd"/>
      <w:r w:rsidRPr="00932C8E">
        <w:rPr>
          <w:rFonts w:ascii="Verdana" w:hAnsi="Verdana"/>
          <w:sz w:val="18"/>
          <w:szCs w:val="20"/>
          <w:lang w:val="es-CR"/>
        </w:rPr>
        <w:t xml:space="preserve"> </w:t>
      </w:r>
      <w:proofErr w:type="gramStart"/>
      <w:r w:rsidRPr="00932C8E">
        <w:rPr>
          <w:rFonts w:ascii="Verdana" w:hAnsi="Verdana"/>
          <w:sz w:val="18"/>
          <w:szCs w:val="20"/>
          <w:lang w:val="es-CR"/>
        </w:rPr>
        <w:t>n[</w:t>
      </w:r>
      <w:proofErr w:type="spellStart"/>
      <w:proofErr w:type="gramEnd"/>
      <w:r w:rsidRPr="00932C8E">
        <w:rPr>
          <w:rFonts w:ascii="Verdana" w:hAnsi="Verdana"/>
          <w:sz w:val="18"/>
          <w:szCs w:val="20"/>
          <w:lang w:val="es-CR"/>
        </w:rPr>
        <w:t>úmero</w:t>
      </w:r>
      <w:proofErr w:type="spellEnd"/>
      <w:r w:rsidRPr="00932C8E">
        <w:rPr>
          <w:rFonts w:ascii="Verdana" w:hAnsi="Verdana"/>
          <w:sz w:val="18"/>
          <w:szCs w:val="20"/>
          <w:lang w:val="es-CR"/>
        </w:rPr>
        <w:t>] 459-97 y aprobó el Informe sobre Admisibilidad n[</w:t>
      </w:r>
      <w:proofErr w:type="spellStart"/>
      <w:r w:rsidRPr="00932C8E">
        <w:rPr>
          <w:rFonts w:ascii="Verdana" w:hAnsi="Verdana"/>
          <w:sz w:val="18"/>
          <w:szCs w:val="20"/>
          <w:lang w:val="es-CR"/>
        </w:rPr>
        <w:t>úmero</w:t>
      </w:r>
      <w:proofErr w:type="spellEnd"/>
      <w:r w:rsidRPr="00932C8E">
        <w:rPr>
          <w:rFonts w:ascii="Verdana" w:hAnsi="Verdana"/>
          <w:sz w:val="18"/>
          <w:szCs w:val="20"/>
          <w:lang w:val="es-CR"/>
        </w:rPr>
        <w:t>] 152/10 el 1 de noviembre de 2010</w:t>
      </w:r>
      <w:r w:rsidR="00857C27">
        <w:rPr>
          <w:rFonts w:ascii="Verdana" w:hAnsi="Verdana"/>
          <w:sz w:val="18"/>
          <w:szCs w:val="20"/>
          <w:lang w:val="es-CR"/>
        </w:rPr>
        <w:t>.</w:t>
      </w:r>
      <w:r w:rsidRPr="00932C8E">
        <w:rPr>
          <w:rFonts w:ascii="Verdana" w:hAnsi="Verdana"/>
          <w:sz w:val="18"/>
          <w:szCs w:val="20"/>
          <w:lang w:val="es-CR"/>
        </w:rPr>
        <w:t xml:space="preserve"> […] De acuerdo a lo establecido en el artículo 37(1) de su </w:t>
      </w:r>
      <w:r w:rsidR="00857C27">
        <w:rPr>
          <w:rFonts w:ascii="Verdana" w:hAnsi="Verdana"/>
          <w:sz w:val="18"/>
          <w:szCs w:val="20"/>
          <w:lang w:val="es-CR"/>
        </w:rPr>
        <w:t>R</w:t>
      </w:r>
      <w:r w:rsidRPr="00932C8E">
        <w:rPr>
          <w:rFonts w:ascii="Verdana" w:hAnsi="Verdana"/>
          <w:sz w:val="18"/>
          <w:szCs w:val="20"/>
          <w:lang w:val="es-CR"/>
        </w:rPr>
        <w:t xml:space="preserve">eglamento, la CIDH </w:t>
      </w:r>
      <w:proofErr w:type="spellStart"/>
      <w:r w:rsidRPr="00932C8E">
        <w:rPr>
          <w:rFonts w:ascii="Verdana" w:hAnsi="Verdana"/>
          <w:sz w:val="18"/>
          <w:szCs w:val="20"/>
          <w:lang w:val="es-CR"/>
        </w:rPr>
        <w:t>fij</w:t>
      </w:r>
      <w:proofErr w:type="spellEnd"/>
      <w:r w:rsidR="00857C27">
        <w:rPr>
          <w:rFonts w:ascii="Verdana" w:hAnsi="Verdana"/>
          <w:sz w:val="18"/>
          <w:szCs w:val="20"/>
          <w:lang w:val="es-CR"/>
        </w:rPr>
        <w:t>[</w:t>
      </w:r>
      <w:proofErr w:type="spellStart"/>
      <w:r w:rsidRPr="00932C8E">
        <w:rPr>
          <w:rFonts w:ascii="Verdana" w:hAnsi="Verdana"/>
          <w:sz w:val="18"/>
          <w:szCs w:val="20"/>
          <w:lang w:val="es-CR"/>
        </w:rPr>
        <w:t>ó</w:t>
      </w:r>
      <w:proofErr w:type="spellEnd"/>
      <w:r w:rsidRPr="00932C8E">
        <w:rPr>
          <w:rFonts w:ascii="Verdana" w:hAnsi="Verdana"/>
          <w:sz w:val="18"/>
          <w:szCs w:val="20"/>
          <w:lang w:val="es-CR"/>
        </w:rPr>
        <w:t>] el plazo de tres meses, contados a partir de la fecha de transmisión de la presente comunicación</w:t>
      </w:r>
      <w:r w:rsidR="00857C27">
        <w:rPr>
          <w:rFonts w:ascii="Verdana" w:hAnsi="Verdana"/>
          <w:sz w:val="18"/>
          <w:szCs w:val="20"/>
          <w:lang w:val="es-CR"/>
        </w:rPr>
        <w:t>,</w:t>
      </w:r>
      <w:r w:rsidRPr="00932C8E">
        <w:rPr>
          <w:rFonts w:ascii="Verdana" w:hAnsi="Verdana"/>
          <w:sz w:val="18"/>
          <w:szCs w:val="20"/>
          <w:lang w:val="es-CR"/>
        </w:rPr>
        <w:t xml:space="preserve"> para que presenten sus observaciones adicionales sobre el fondo”</w:t>
      </w:r>
      <w:r w:rsidRPr="00932C8E">
        <w:rPr>
          <w:rStyle w:val="FootnoteReference"/>
          <w:sz w:val="18"/>
          <w:szCs w:val="20"/>
          <w:lang w:val="es-CR"/>
        </w:rPr>
        <w:footnoteReference w:id="180"/>
      </w:r>
      <w:r w:rsidRPr="00932C8E">
        <w:rPr>
          <w:rFonts w:ascii="Verdana" w:hAnsi="Verdana"/>
          <w:sz w:val="18"/>
          <w:szCs w:val="20"/>
          <w:lang w:val="es-CR"/>
        </w:rPr>
        <w:t>.</w:t>
      </w:r>
    </w:p>
    <w:p w14:paraId="30AC46B8" w14:textId="77777777" w:rsidR="0088700B" w:rsidRPr="00932C8E" w:rsidRDefault="0088700B" w:rsidP="0088700B">
      <w:pPr>
        <w:pStyle w:val="ListParagraph"/>
        <w:ind w:left="851"/>
        <w:jc w:val="both"/>
        <w:rPr>
          <w:rFonts w:ascii="Verdana" w:hAnsi="Verdana"/>
          <w:sz w:val="18"/>
          <w:szCs w:val="20"/>
          <w:lang w:val="es-CR"/>
        </w:rPr>
      </w:pPr>
    </w:p>
    <w:p w14:paraId="5C21C57A" w14:textId="449D5D01" w:rsidR="0088700B" w:rsidRPr="00932C8E" w:rsidRDefault="0088700B" w:rsidP="00E66DD7">
      <w:pPr>
        <w:pStyle w:val="ListParagraph"/>
        <w:numPr>
          <w:ilvl w:val="2"/>
          <w:numId w:val="21"/>
        </w:numPr>
        <w:ind w:left="851" w:firstLine="0"/>
        <w:jc w:val="both"/>
        <w:rPr>
          <w:rFonts w:ascii="Verdana" w:hAnsi="Verdana"/>
          <w:sz w:val="18"/>
          <w:szCs w:val="20"/>
          <w:lang w:val="es-CR"/>
        </w:rPr>
      </w:pPr>
      <w:r>
        <w:rPr>
          <w:rFonts w:ascii="Verdana" w:hAnsi="Verdana"/>
          <w:sz w:val="18"/>
          <w:szCs w:val="20"/>
          <w:lang w:val="es-CR"/>
        </w:rPr>
        <w:t xml:space="preserve">Mediante </w:t>
      </w:r>
      <w:r w:rsidRPr="00932C8E">
        <w:rPr>
          <w:rFonts w:ascii="Verdana" w:hAnsi="Verdana"/>
          <w:sz w:val="18"/>
          <w:szCs w:val="20"/>
          <w:lang w:val="es-CR"/>
        </w:rPr>
        <w:t xml:space="preserve">el </w:t>
      </w:r>
      <w:r>
        <w:rPr>
          <w:rFonts w:ascii="Verdana" w:hAnsi="Verdana"/>
          <w:sz w:val="18"/>
          <w:szCs w:val="20"/>
          <w:lang w:val="es-CR"/>
        </w:rPr>
        <w:t>I</w:t>
      </w:r>
      <w:r w:rsidRPr="00932C8E">
        <w:rPr>
          <w:rFonts w:ascii="Verdana" w:hAnsi="Verdana"/>
          <w:sz w:val="18"/>
          <w:szCs w:val="20"/>
          <w:lang w:val="es-CR"/>
        </w:rPr>
        <w:t xml:space="preserve">nforme de </w:t>
      </w:r>
      <w:r>
        <w:rPr>
          <w:rFonts w:ascii="Verdana" w:hAnsi="Verdana"/>
          <w:sz w:val="18"/>
          <w:szCs w:val="20"/>
          <w:lang w:val="es-CR"/>
        </w:rPr>
        <w:t>A</w:t>
      </w:r>
      <w:r w:rsidRPr="00932C8E">
        <w:rPr>
          <w:rFonts w:ascii="Verdana" w:hAnsi="Verdana"/>
          <w:sz w:val="18"/>
          <w:szCs w:val="20"/>
          <w:lang w:val="es-CR"/>
        </w:rPr>
        <w:t xml:space="preserve">dmisibilidad </w:t>
      </w:r>
      <w:r w:rsidR="00857C27">
        <w:rPr>
          <w:rFonts w:ascii="Verdana" w:hAnsi="Verdana"/>
          <w:sz w:val="18"/>
          <w:szCs w:val="20"/>
          <w:lang w:val="es-CR"/>
        </w:rPr>
        <w:t xml:space="preserve">No. </w:t>
      </w:r>
      <w:r w:rsidRPr="00932C8E">
        <w:rPr>
          <w:rFonts w:ascii="Verdana" w:hAnsi="Verdana"/>
          <w:sz w:val="18"/>
          <w:szCs w:val="20"/>
          <w:lang w:val="es-CR"/>
        </w:rPr>
        <w:t>152/10</w:t>
      </w:r>
      <w:r>
        <w:rPr>
          <w:rFonts w:ascii="Verdana" w:hAnsi="Verdana"/>
          <w:sz w:val="18"/>
          <w:szCs w:val="20"/>
          <w:lang w:val="es-CR"/>
        </w:rPr>
        <w:t>,</w:t>
      </w:r>
      <w:r w:rsidRPr="00932C8E">
        <w:rPr>
          <w:rFonts w:ascii="Verdana" w:hAnsi="Verdana"/>
          <w:sz w:val="18"/>
          <w:szCs w:val="20"/>
          <w:lang w:val="es-CR"/>
        </w:rPr>
        <w:t xml:space="preserve"> petición 459-97, aprobado el 1 de noviembre de 2010, la CIDH decid</w:t>
      </w:r>
      <w:r w:rsidR="00D3263C">
        <w:rPr>
          <w:rFonts w:ascii="Verdana" w:hAnsi="Verdana"/>
          <w:sz w:val="18"/>
          <w:szCs w:val="20"/>
          <w:lang w:val="es-CR"/>
        </w:rPr>
        <w:t>ió</w:t>
      </w:r>
      <w:r w:rsidRPr="00932C8E">
        <w:rPr>
          <w:rFonts w:ascii="Verdana" w:hAnsi="Verdana"/>
          <w:sz w:val="18"/>
          <w:szCs w:val="20"/>
          <w:lang w:val="es-CR"/>
        </w:rPr>
        <w:t xml:space="preserve"> “</w:t>
      </w:r>
      <w:r w:rsidR="00857C27">
        <w:rPr>
          <w:rFonts w:ascii="Verdana" w:hAnsi="Verdana"/>
          <w:sz w:val="18"/>
          <w:szCs w:val="20"/>
          <w:lang w:val="es-CR"/>
        </w:rPr>
        <w:t>[d]</w:t>
      </w:r>
      <w:proofErr w:type="spellStart"/>
      <w:r w:rsidRPr="00932C8E">
        <w:rPr>
          <w:rFonts w:ascii="Verdana" w:hAnsi="Verdana"/>
          <w:sz w:val="18"/>
          <w:szCs w:val="20"/>
          <w:lang w:val="es-CR"/>
        </w:rPr>
        <w:t>eclarar</w:t>
      </w:r>
      <w:proofErr w:type="spellEnd"/>
      <w:r w:rsidRPr="00932C8E">
        <w:rPr>
          <w:rFonts w:ascii="Verdana" w:hAnsi="Verdana"/>
          <w:sz w:val="18"/>
          <w:szCs w:val="20"/>
          <w:lang w:val="es-CR"/>
        </w:rPr>
        <w:t xml:space="preserve"> admisible el caso de autos en relación con las violaciones que se alegan de los derechos reconocidos en los artículos 8 y 13 con relación al 1(1) de la Convención Americana. Por otra parte, la Comisión </w:t>
      </w:r>
      <w:proofErr w:type="gramStart"/>
      <w:r w:rsidRPr="00932C8E">
        <w:rPr>
          <w:rFonts w:ascii="Verdana" w:hAnsi="Verdana"/>
          <w:sz w:val="18"/>
          <w:szCs w:val="20"/>
          <w:lang w:val="es-CR"/>
        </w:rPr>
        <w:t>decid</w:t>
      </w:r>
      <w:r w:rsidR="00364E76">
        <w:rPr>
          <w:rFonts w:ascii="Verdana" w:hAnsi="Verdana"/>
          <w:sz w:val="18"/>
          <w:szCs w:val="20"/>
          <w:lang w:val="es-CR"/>
        </w:rPr>
        <w:t>[</w:t>
      </w:r>
      <w:proofErr w:type="spellStart"/>
      <w:proofErr w:type="gramEnd"/>
      <w:r w:rsidR="00364E76">
        <w:rPr>
          <w:rFonts w:ascii="Verdana" w:hAnsi="Verdana"/>
          <w:sz w:val="18"/>
          <w:szCs w:val="20"/>
          <w:lang w:val="es-CR"/>
        </w:rPr>
        <w:t>ió</w:t>
      </w:r>
      <w:proofErr w:type="spellEnd"/>
      <w:r w:rsidR="00364E76">
        <w:rPr>
          <w:rFonts w:ascii="Verdana" w:hAnsi="Verdana"/>
          <w:sz w:val="18"/>
          <w:szCs w:val="20"/>
          <w:lang w:val="es-CR"/>
        </w:rPr>
        <w:t>]</w:t>
      </w:r>
      <w:r w:rsidRPr="00932C8E">
        <w:rPr>
          <w:rFonts w:ascii="Verdana" w:hAnsi="Verdana"/>
          <w:sz w:val="18"/>
          <w:szCs w:val="20"/>
          <w:lang w:val="es-CR"/>
        </w:rPr>
        <w:t xml:space="preserve"> declarar inadmisible los alegatos respecto de la presunta caracterización de violaciones </w:t>
      </w:r>
      <w:r w:rsidR="00364E76">
        <w:rPr>
          <w:rFonts w:ascii="Verdana" w:hAnsi="Verdana"/>
          <w:sz w:val="18"/>
          <w:szCs w:val="20"/>
          <w:lang w:val="es-CR"/>
        </w:rPr>
        <w:t>de</w:t>
      </w:r>
      <w:r w:rsidRPr="00932C8E">
        <w:rPr>
          <w:rFonts w:ascii="Verdana" w:hAnsi="Verdana"/>
          <w:sz w:val="18"/>
          <w:szCs w:val="20"/>
          <w:lang w:val="es-CR"/>
        </w:rPr>
        <w:t xml:space="preserve"> los artículos 24 y 25”</w:t>
      </w:r>
      <w:r w:rsidRPr="00932C8E">
        <w:rPr>
          <w:rStyle w:val="FootnoteReference"/>
          <w:sz w:val="18"/>
          <w:szCs w:val="20"/>
          <w:lang w:val="es-CR"/>
        </w:rPr>
        <w:footnoteReference w:id="181"/>
      </w:r>
      <w:r w:rsidRPr="00932C8E">
        <w:rPr>
          <w:rFonts w:ascii="Verdana" w:hAnsi="Verdana"/>
          <w:sz w:val="18"/>
          <w:szCs w:val="20"/>
          <w:lang w:val="es-CR"/>
        </w:rPr>
        <w:t xml:space="preserve">. En el párrafo 15 del Informe de Admisibilidad, la Comisión señaló que: </w:t>
      </w:r>
    </w:p>
    <w:p w14:paraId="16A1C1D9" w14:textId="77777777" w:rsidR="0088700B" w:rsidRPr="00932C8E" w:rsidRDefault="0088700B" w:rsidP="0088700B">
      <w:pPr>
        <w:pStyle w:val="ListParagraph"/>
        <w:rPr>
          <w:rFonts w:ascii="Verdana" w:hAnsi="Verdana"/>
          <w:sz w:val="16"/>
          <w:szCs w:val="20"/>
          <w:lang w:val="es-CR"/>
        </w:rPr>
      </w:pPr>
    </w:p>
    <w:p w14:paraId="56966438" w14:textId="49976528" w:rsidR="0088700B" w:rsidRPr="00932C8E" w:rsidRDefault="0088700B" w:rsidP="0088700B">
      <w:pPr>
        <w:pStyle w:val="ListParagraph"/>
        <w:ind w:left="1440"/>
        <w:jc w:val="both"/>
        <w:rPr>
          <w:rFonts w:ascii="Verdana" w:hAnsi="Verdana"/>
          <w:sz w:val="16"/>
          <w:szCs w:val="20"/>
          <w:lang w:val="es-CR"/>
        </w:rPr>
      </w:pPr>
      <w:r w:rsidRPr="00932C8E">
        <w:rPr>
          <w:rFonts w:ascii="Verdana" w:hAnsi="Verdana"/>
          <w:sz w:val="16"/>
          <w:szCs w:val="20"/>
          <w:lang w:val="es-CR"/>
        </w:rPr>
        <w:t>“</w:t>
      </w:r>
      <w:r w:rsidR="00857C27">
        <w:rPr>
          <w:rFonts w:ascii="Verdana" w:hAnsi="Verdana"/>
          <w:sz w:val="16"/>
          <w:szCs w:val="20"/>
          <w:lang w:val="es-CR"/>
        </w:rPr>
        <w:t>E</w:t>
      </w:r>
      <w:r w:rsidRPr="00932C8E">
        <w:rPr>
          <w:rFonts w:ascii="Verdana" w:hAnsi="Verdana"/>
          <w:sz w:val="16"/>
          <w:szCs w:val="20"/>
          <w:lang w:val="es-CR"/>
        </w:rPr>
        <w:t xml:space="preserve">l peticionario consideró </w:t>
      </w:r>
      <w:r w:rsidR="00857C27">
        <w:rPr>
          <w:rFonts w:ascii="Verdana" w:hAnsi="Verdana"/>
          <w:sz w:val="16"/>
          <w:szCs w:val="20"/>
          <w:lang w:val="es-CR"/>
        </w:rPr>
        <w:t xml:space="preserve">que se </w:t>
      </w:r>
      <w:r w:rsidRPr="00932C8E">
        <w:rPr>
          <w:rFonts w:ascii="Verdana" w:hAnsi="Verdana"/>
          <w:sz w:val="16"/>
          <w:szCs w:val="20"/>
          <w:lang w:val="es-CR"/>
        </w:rPr>
        <w:t>viol</w:t>
      </w:r>
      <w:r w:rsidR="00857C27">
        <w:rPr>
          <w:rFonts w:ascii="Verdana" w:hAnsi="Verdana"/>
          <w:sz w:val="16"/>
          <w:szCs w:val="20"/>
          <w:lang w:val="es-CR"/>
        </w:rPr>
        <w:t>ó</w:t>
      </w:r>
      <w:r w:rsidRPr="00932C8E">
        <w:rPr>
          <w:rFonts w:ascii="Verdana" w:hAnsi="Verdana"/>
          <w:sz w:val="16"/>
          <w:szCs w:val="20"/>
          <w:lang w:val="es-CR"/>
        </w:rPr>
        <w:t xml:space="preserve"> su derecho al debido proceso </w:t>
      </w:r>
      <w:r w:rsidR="00857C27">
        <w:rPr>
          <w:rFonts w:ascii="Verdana" w:hAnsi="Verdana"/>
          <w:sz w:val="16"/>
          <w:szCs w:val="20"/>
          <w:lang w:val="es-CR"/>
        </w:rPr>
        <w:t xml:space="preserve">consagrado </w:t>
      </w:r>
      <w:r w:rsidRPr="00932C8E">
        <w:rPr>
          <w:rFonts w:ascii="Verdana" w:hAnsi="Verdana"/>
          <w:sz w:val="16"/>
          <w:szCs w:val="20"/>
          <w:lang w:val="es-CR"/>
        </w:rPr>
        <w:t>en el artículo 8 de la [CADH</w:t>
      </w:r>
      <w:r w:rsidR="00857C27">
        <w:rPr>
          <w:rFonts w:ascii="Verdana" w:hAnsi="Verdana"/>
          <w:sz w:val="16"/>
          <w:szCs w:val="20"/>
          <w:lang w:val="es-CR"/>
        </w:rPr>
        <w:t>]</w:t>
      </w:r>
      <w:r w:rsidRPr="00932C8E">
        <w:rPr>
          <w:rFonts w:ascii="Verdana" w:hAnsi="Verdana"/>
          <w:sz w:val="16"/>
          <w:szCs w:val="20"/>
          <w:lang w:val="es-CR"/>
        </w:rPr>
        <w:t xml:space="preserve"> </w:t>
      </w:r>
      <w:r w:rsidR="00857C27">
        <w:rPr>
          <w:rFonts w:ascii="Verdana" w:hAnsi="Verdana"/>
          <w:sz w:val="16"/>
          <w:szCs w:val="20"/>
          <w:lang w:val="es-CR"/>
        </w:rPr>
        <w:t xml:space="preserve">en conexión </w:t>
      </w:r>
      <w:r w:rsidRPr="00932C8E">
        <w:rPr>
          <w:rFonts w:ascii="Verdana" w:hAnsi="Verdana"/>
          <w:sz w:val="16"/>
          <w:szCs w:val="20"/>
          <w:lang w:val="es-CR"/>
        </w:rPr>
        <w:t xml:space="preserve">con el </w:t>
      </w:r>
      <w:r w:rsidR="00857C27">
        <w:rPr>
          <w:rFonts w:ascii="Verdana" w:hAnsi="Verdana"/>
          <w:sz w:val="16"/>
          <w:szCs w:val="20"/>
          <w:lang w:val="es-CR"/>
        </w:rPr>
        <w:t xml:space="preserve">artículo </w:t>
      </w:r>
      <w:r w:rsidRPr="00932C8E">
        <w:rPr>
          <w:rFonts w:ascii="Verdana" w:hAnsi="Verdana"/>
          <w:sz w:val="16"/>
          <w:szCs w:val="20"/>
          <w:lang w:val="es-CR"/>
        </w:rPr>
        <w:t>14.1 del Pacto Internacional de Derechos Civiles y Político</w:t>
      </w:r>
      <w:r w:rsidR="00857C27">
        <w:rPr>
          <w:rFonts w:ascii="Verdana" w:hAnsi="Verdana"/>
          <w:sz w:val="16"/>
          <w:szCs w:val="20"/>
          <w:lang w:val="es-CR"/>
        </w:rPr>
        <w:t>s</w:t>
      </w:r>
      <w:r w:rsidRPr="00932C8E">
        <w:rPr>
          <w:rFonts w:ascii="Verdana" w:hAnsi="Verdana"/>
          <w:sz w:val="16"/>
          <w:szCs w:val="20"/>
          <w:lang w:val="es-CR"/>
        </w:rPr>
        <w:t xml:space="preserve">; </w:t>
      </w:r>
      <w:r w:rsidRPr="00333304">
        <w:rPr>
          <w:rFonts w:ascii="Verdana" w:hAnsi="Verdana"/>
          <w:b/>
          <w:i/>
          <w:sz w:val="16"/>
          <w:szCs w:val="20"/>
          <w:lang w:val="es-CR"/>
        </w:rPr>
        <w:t>el derecho al trabajo</w:t>
      </w:r>
      <w:r w:rsidRPr="00932C8E">
        <w:rPr>
          <w:rFonts w:ascii="Verdana" w:hAnsi="Verdana"/>
          <w:sz w:val="16"/>
          <w:szCs w:val="20"/>
          <w:lang w:val="es-CR"/>
        </w:rPr>
        <w:t>; el derecho a la igualdad y el derecho a la protección judicial. Asimismo, el peticionario seña</w:t>
      </w:r>
      <w:r w:rsidR="00857C27">
        <w:rPr>
          <w:rFonts w:ascii="Verdana" w:hAnsi="Verdana"/>
          <w:sz w:val="16"/>
          <w:szCs w:val="20"/>
          <w:lang w:val="es-CR"/>
        </w:rPr>
        <w:t>l[</w:t>
      </w:r>
      <w:proofErr w:type="spellStart"/>
      <w:r w:rsidRPr="00932C8E">
        <w:rPr>
          <w:rFonts w:ascii="Verdana" w:hAnsi="Verdana"/>
          <w:sz w:val="16"/>
          <w:szCs w:val="20"/>
          <w:lang w:val="es-CR"/>
        </w:rPr>
        <w:t>ó</w:t>
      </w:r>
      <w:proofErr w:type="spellEnd"/>
      <w:r w:rsidRPr="00932C8E">
        <w:rPr>
          <w:rFonts w:ascii="Verdana" w:hAnsi="Verdana"/>
          <w:sz w:val="16"/>
          <w:szCs w:val="20"/>
          <w:lang w:val="es-CR"/>
        </w:rPr>
        <w:t xml:space="preserve">] que, de conformidad con el artículo 39 de la Ley de Amparo, concordado con el artículo 303 de la </w:t>
      </w:r>
      <w:r w:rsidR="00857C27">
        <w:rPr>
          <w:rFonts w:ascii="Verdana" w:hAnsi="Verdana"/>
          <w:sz w:val="16"/>
          <w:szCs w:val="20"/>
          <w:lang w:val="es-CR"/>
        </w:rPr>
        <w:t>C</w:t>
      </w:r>
      <w:r w:rsidRPr="00932C8E">
        <w:rPr>
          <w:rFonts w:ascii="Verdana" w:hAnsi="Verdana"/>
          <w:sz w:val="16"/>
          <w:szCs w:val="20"/>
          <w:lang w:val="es-CR"/>
        </w:rPr>
        <w:t>onstitución, se violaron sus derecho</w:t>
      </w:r>
      <w:r w:rsidR="005D72FB">
        <w:rPr>
          <w:rFonts w:ascii="Verdana" w:hAnsi="Verdana"/>
          <w:sz w:val="16"/>
          <w:szCs w:val="20"/>
          <w:lang w:val="es-CR"/>
        </w:rPr>
        <w:t>s</w:t>
      </w:r>
      <w:r w:rsidRPr="00932C8E">
        <w:rPr>
          <w:rFonts w:ascii="Verdana" w:hAnsi="Verdana"/>
          <w:sz w:val="16"/>
          <w:szCs w:val="20"/>
          <w:lang w:val="es-CR"/>
        </w:rPr>
        <w:t xml:space="preserve"> constitucionales.</w:t>
      </w:r>
    </w:p>
    <w:p w14:paraId="628F8FA2" w14:textId="77777777" w:rsidR="0088700B" w:rsidRPr="00932C8E" w:rsidRDefault="0088700B" w:rsidP="0088700B">
      <w:pPr>
        <w:pStyle w:val="ListParagraph"/>
        <w:ind w:left="1440"/>
        <w:jc w:val="both"/>
        <w:rPr>
          <w:rFonts w:ascii="Verdana" w:hAnsi="Verdana"/>
          <w:sz w:val="18"/>
          <w:szCs w:val="20"/>
          <w:lang w:val="es-CR"/>
        </w:rPr>
      </w:pPr>
    </w:p>
    <w:p w14:paraId="38862B25" w14:textId="688AA550" w:rsidR="0088700B" w:rsidRDefault="0088700B" w:rsidP="00E66DD7">
      <w:pPr>
        <w:pStyle w:val="ListParagraph"/>
        <w:numPr>
          <w:ilvl w:val="2"/>
          <w:numId w:val="21"/>
        </w:numPr>
        <w:ind w:left="851" w:firstLine="0"/>
        <w:jc w:val="both"/>
        <w:rPr>
          <w:rFonts w:ascii="Verdana" w:hAnsi="Verdana"/>
          <w:sz w:val="18"/>
          <w:szCs w:val="20"/>
          <w:lang w:val="es-CR"/>
        </w:rPr>
      </w:pPr>
      <w:r w:rsidRPr="00932C8E">
        <w:rPr>
          <w:rFonts w:ascii="Verdana" w:hAnsi="Verdana"/>
          <w:sz w:val="18"/>
          <w:szCs w:val="20"/>
          <w:lang w:val="es-CR"/>
        </w:rPr>
        <w:t xml:space="preserve"> En el escrito </w:t>
      </w:r>
      <w:r w:rsidR="00D3263C">
        <w:rPr>
          <w:rFonts w:ascii="Verdana" w:hAnsi="Verdana"/>
          <w:sz w:val="18"/>
          <w:szCs w:val="20"/>
          <w:lang w:val="es-CR"/>
        </w:rPr>
        <w:t xml:space="preserve">de </w:t>
      </w:r>
      <w:r w:rsidRPr="00932C8E">
        <w:rPr>
          <w:rFonts w:ascii="Verdana" w:hAnsi="Verdana"/>
          <w:sz w:val="18"/>
          <w:szCs w:val="20"/>
          <w:lang w:val="es-CR"/>
        </w:rPr>
        <w:t>APRODEH</w:t>
      </w:r>
      <w:r w:rsidR="00857C27">
        <w:rPr>
          <w:rFonts w:ascii="Verdana" w:hAnsi="Verdana"/>
          <w:sz w:val="18"/>
          <w:szCs w:val="20"/>
          <w:lang w:val="es-CR"/>
        </w:rPr>
        <w:t>,</w:t>
      </w:r>
      <w:r w:rsidRPr="00932C8E">
        <w:rPr>
          <w:rFonts w:ascii="Verdana" w:hAnsi="Verdana"/>
          <w:sz w:val="18"/>
          <w:szCs w:val="20"/>
          <w:lang w:val="es-CR"/>
        </w:rPr>
        <w:t xml:space="preserve"> en representación del </w:t>
      </w:r>
      <w:r w:rsidR="00DD5817">
        <w:rPr>
          <w:rFonts w:ascii="Verdana" w:hAnsi="Verdana"/>
          <w:sz w:val="18"/>
          <w:szCs w:val="20"/>
          <w:lang w:val="es-CR"/>
        </w:rPr>
        <w:t>s</w:t>
      </w:r>
      <w:r w:rsidR="00364E76">
        <w:rPr>
          <w:rFonts w:ascii="Verdana" w:hAnsi="Verdana"/>
          <w:sz w:val="18"/>
          <w:szCs w:val="20"/>
          <w:lang w:val="es-CR"/>
        </w:rPr>
        <w:t>eñor</w:t>
      </w:r>
      <w:r w:rsidRPr="00932C8E">
        <w:rPr>
          <w:rFonts w:ascii="Verdana" w:hAnsi="Verdana"/>
          <w:sz w:val="18"/>
          <w:szCs w:val="20"/>
          <w:lang w:val="es-CR"/>
        </w:rPr>
        <w:t xml:space="preserve"> Lagos del Campo de 16 de marzo de 2011</w:t>
      </w:r>
      <w:r>
        <w:rPr>
          <w:rFonts w:ascii="Verdana" w:hAnsi="Verdana"/>
          <w:sz w:val="18"/>
          <w:szCs w:val="20"/>
          <w:lang w:val="es-CR"/>
        </w:rPr>
        <w:t>,</w:t>
      </w:r>
      <w:r w:rsidRPr="00932C8E">
        <w:rPr>
          <w:rFonts w:ascii="Verdana" w:hAnsi="Verdana"/>
          <w:sz w:val="18"/>
          <w:szCs w:val="20"/>
          <w:lang w:val="es-CR"/>
        </w:rPr>
        <w:t xml:space="preserve"> dirigido al Secretario Ejecutivo de la Comisión, recibido el 24 de marzo de 2011</w:t>
      </w:r>
      <w:r>
        <w:rPr>
          <w:rFonts w:ascii="Verdana" w:hAnsi="Verdana"/>
          <w:sz w:val="18"/>
          <w:szCs w:val="20"/>
          <w:lang w:val="es-CR"/>
        </w:rPr>
        <w:t xml:space="preserve">, señaló que </w:t>
      </w:r>
      <w:r w:rsidRPr="00932C8E">
        <w:rPr>
          <w:rFonts w:ascii="Verdana" w:hAnsi="Verdana"/>
          <w:sz w:val="18"/>
          <w:szCs w:val="20"/>
          <w:lang w:val="es-CR"/>
        </w:rPr>
        <w:t>presenta</w:t>
      </w:r>
      <w:r>
        <w:rPr>
          <w:rFonts w:ascii="Verdana" w:hAnsi="Verdana"/>
          <w:sz w:val="18"/>
          <w:szCs w:val="20"/>
          <w:lang w:val="es-CR"/>
        </w:rPr>
        <w:t>ba</w:t>
      </w:r>
      <w:r w:rsidRPr="00932C8E">
        <w:rPr>
          <w:rFonts w:ascii="Verdana" w:hAnsi="Verdana"/>
          <w:sz w:val="18"/>
          <w:szCs w:val="20"/>
          <w:lang w:val="es-CR"/>
        </w:rPr>
        <w:t xml:space="preserve"> observaciones al Informe de Admisibilidad</w:t>
      </w:r>
      <w:r>
        <w:rPr>
          <w:rFonts w:ascii="Verdana" w:hAnsi="Verdana"/>
          <w:sz w:val="18"/>
          <w:szCs w:val="20"/>
          <w:lang w:val="es-CR"/>
        </w:rPr>
        <w:t>.</w:t>
      </w:r>
      <w:r w:rsidRPr="00932C8E">
        <w:rPr>
          <w:rFonts w:ascii="Verdana" w:hAnsi="Verdana"/>
          <w:sz w:val="18"/>
          <w:szCs w:val="20"/>
          <w:lang w:val="es-CR"/>
        </w:rPr>
        <w:t xml:space="preserve"> </w:t>
      </w:r>
      <w:r>
        <w:rPr>
          <w:rFonts w:ascii="Verdana" w:hAnsi="Verdana"/>
          <w:sz w:val="18"/>
          <w:szCs w:val="20"/>
          <w:lang w:val="es-CR"/>
        </w:rPr>
        <w:t>E</w:t>
      </w:r>
      <w:r w:rsidRPr="00932C8E">
        <w:rPr>
          <w:rFonts w:ascii="Verdana" w:hAnsi="Verdana"/>
          <w:sz w:val="18"/>
          <w:szCs w:val="20"/>
          <w:lang w:val="es-CR"/>
        </w:rPr>
        <w:t>n la parte de petitorios se exp</w:t>
      </w:r>
      <w:r>
        <w:rPr>
          <w:rFonts w:ascii="Verdana" w:hAnsi="Verdana"/>
          <w:sz w:val="18"/>
          <w:szCs w:val="20"/>
          <w:lang w:val="es-CR"/>
        </w:rPr>
        <w:t>uso</w:t>
      </w:r>
      <w:r w:rsidRPr="00932C8E">
        <w:rPr>
          <w:rFonts w:ascii="Verdana" w:hAnsi="Verdana"/>
          <w:sz w:val="18"/>
          <w:szCs w:val="20"/>
          <w:lang w:val="es-CR"/>
        </w:rPr>
        <w:t xml:space="preserve"> “</w:t>
      </w:r>
      <w:r>
        <w:rPr>
          <w:rFonts w:ascii="Verdana" w:hAnsi="Verdana"/>
          <w:sz w:val="18"/>
          <w:szCs w:val="20"/>
          <w:lang w:val="es-CR"/>
        </w:rPr>
        <w:t>[q]</w:t>
      </w:r>
      <w:proofErr w:type="spellStart"/>
      <w:r w:rsidRPr="00932C8E">
        <w:rPr>
          <w:rFonts w:ascii="Verdana" w:hAnsi="Verdana"/>
          <w:sz w:val="18"/>
          <w:szCs w:val="20"/>
          <w:lang w:val="es-CR"/>
        </w:rPr>
        <w:t>ue</w:t>
      </w:r>
      <w:proofErr w:type="spellEnd"/>
      <w:r w:rsidRPr="00932C8E">
        <w:rPr>
          <w:rFonts w:ascii="Verdana" w:hAnsi="Verdana"/>
          <w:sz w:val="18"/>
          <w:szCs w:val="20"/>
          <w:lang w:val="es-CR"/>
        </w:rPr>
        <w:t xml:space="preserve"> </w:t>
      </w:r>
      <w:r>
        <w:rPr>
          <w:rFonts w:ascii="Verdana" w:hAnsi="Verdana"/>
          <w:sz w:val="18"/>
          <w:szCs w:val="20"/>
          <w:lang w:val="es-CR"/>
        </w:rPr>
        <w:t>[con]</w:t>
      </w:r>
      <w:r w:rsidRPr="00932C8E">
        <w:rPr>
          <w:rFonts w:ascii="Verdana" w:hAnsi="Verdana"/>
          <w:sz w:val="18"/>
          <w:szCs w:val="20"/>
          <w:lang w:val="es-CR"/>
        </w:rPr>
        <w:t xml:space="preserve"> base a estas conclusiones, ordenar al Estado: </w:t>
      </w:r>
      <w:r w:rsidR="00C954CF">
        <w:rPr>
          <w:rFonts w:ascii="Verdana" w:hAnsi="Verdana"/>
          <w:sz w:val="18"/>
          <w:szCs w:val="20"/>
          <w:lang w:val="es-CR"/>
        </w:rPr>
        <w:t xml:space="preserve">a. </w:t>
      </w:r>
      <w:r w:rsidRPr="00932C8E">
        <w:rPr>
          <w:rFonts w:ascii="Verdana" w:hAnsi="Verdana"/>
          <w:sz w:val="18"/>
          <w:szCs w:val="20"/>
          <w:lang w:val="es-CR"/>
        </w:rPr>
        <w:t xml:space="preserve">facilitar las condiciones para que </w:t>
      </w:r>
      <w:r w:rsidRPr="00932C8E">
        <w:rPr>
          <w:rFonts w:ascii="Verdana" w:hAnsi="Verdana"/>
          <w:sz w:val="18"/>
          <w:szCs w:val="20"/>
          <w:lang w:val="es-CR"/>
        </w:rPr>
        <w:lastRenderedPageBreak/>
        <w:t xml:space="preserve">Alfredo Lagos del Campo pueda realizar las gestiones necesarias para recuperar </w:t>
      </w:r>
      <w:r w:rsidRPr="00333304">
        <w:rPr>
          <w:rFonts w:ascii="Verdana" w:hAnsi="Verdana"/>
          <w:b/>
          <w:i/>
          <w:sz w:val="18"/>
          <w:szCs w:val="20"/>
          <w:lang w:val="es-CR"/>
        </w:rPr>
        <w:t>el uso y goce de sus derechos laborales</w:t>
      </w:r>
      <w:r w:rsidRPr="00932C8E">
        <w:rPr>
          <w:rFonts w:ascii="Verdana" w:hAnsi="Verdana"/>
          <w:sz w:val="18"/>
          <w:szCs w:val="20"/>
          <w:lang w:val="es-CR"/>
        </w:rPr>
        <w:t>, como consecuencia del despido […]”</w:t>
      </w:r>
      <w:r w:rsidRPr="00932C8E">
        <w:rPr>
          <w:rStyle w:val="FootnoteReference"/>
          <w:sz w:val="18"/>
          <w:szCs w:val="20"/>
          <w:lang w:val="es-CR"/>
        </w:rPr>
        <w:footnoteReference w:id="182"/>
      </w:r>
      <w:r>
        <w:rPr>
          <w:rFonts w:ascii="Verdana" w:hAnsi="Verdana"/>
          <w:sz w:val="18"/>
          <w:szCs w:val="20"/>
          <w:lang w:val="es-CR"/>
        </w:rPr>
        <w:t>.</w:t>
      </w:r>
    </w:p>
    <w:p w14:paraId="0E31F67F" w14:textId="77777777" w:rsidR="0088700B" w:rsidRDefault="0088700B" w:rsidP="0088700B">
      <w:pPr>
        <w:pStyle w:val="ListParagraph"/>
        <w:ind w:left="851"/>
        <w:jc w:val="both"/>
        <w:rPr>
          <w:rFonts w:ascii="Verdana" w:hAnsi="Verdana"/>
          <w:sz w:val="18"/>
          <w:szCs w:val="20"/>
          <w:lang w:val="es-CR"/>
        </w:rPr>
      </w:pPr>
    </w:p>
    <w:p w14:paraId="2DCA27A0" w14:textId="3334C616" w:rsidR="0088700B" w:rsidRPr="006D5D16" w:rsidRDefault="0088700B" w:rsidP="00E66DD7">
      <w:pPr>
        <w:numPr>
          <w:ilvl w:val="0"/>
          <w:numId w:val="1"/>
        </w:numPr>
        <w:ind w:left="0" w:firstLine="0"/>
        <w:contextualSpacing/>
        <w:jc w:val="both"/>
        <w:rPr>
          <w:rFonts w:ascii="Verdana" w:hAnsi="Verdana"/>
          <w:sz w:val="20"/>
          <w:szCs w:val="20"/>
          <w:lang w:val="es-MX"/>
        </w:rPr>
      </w:pPr>
      <w:r w:rsidRPr="00D43A62">
        <w:rPr>
          <w:rFonts w:ascii="Verdana" w:hAnsi="Verdana"/>
          <w:sz w:val="20"/>
          <w:szCs w:val="20"/>
        </w:rPr>
        <w:t>En</w:t>
      </w:r>
      <w:r w:rsidRPr="00AD638A">
        <w:rPr>
          <w:rFonts w:ascii="Verdana" w:hAnsi="Verdana"/>
          <w:sz w:val="20"/>
          <w:szCs w:val="20"/>
        </w:rPr>
        <w:t xml:space="preserve"> </w:t>
      </w:r>
      <w:r>
        <w:rPr>
          <w:rFonts w:ascii="Verdana" w:hAnsi="Verdana"/>
          <w:sz w:val="20"/>
          <w:szCs w:val="20"/>
        </w:rPr>
        <w:t>vista de todo lo anterior</w:t>
      </w:r>
      <w:r w:rsidRPr="00AD638A">
        <w:rPr>
          <w:rFonts w:ascii="Verdana" w:hAnsi="Verdana"/>
          <w:sz w:val="20"/>
          <w:szCs w:val="20"/>
        </w:rPr>
        <w:t xml:space="preserve">, </w:t>
      </w:r>
      <w:r>
        <w:rPr>
          <w:rFonts w:ascii="Verdana" w:hAnsi="Verdana"/>
          <w:sz w:val="20"/>
          <w:szCs w:val="20"/>
        </w:rPr>
        <w:t xml:space="preserve">este Tribunal constata que </w:t>
      </w:r>
      <w:r w:rsidRPr="002607D9">
        <w:rPr>
          <w:rFonts w:ascii="Verdana" w:hAnsi="Verdana"/>
          <w:sz w:val="20"/>
          <w:szCs w:val="20"/>
        </w:rPr>
        <w:t>desde sus primeros escritos ante la Comisión, el peticionario solicitó la protección de sus derechos “</w:t>
      </w:r>
      <w:r w:rsidRPr="00E26F81">
        <w:rPr>
          <w:rFonts w:ascii="Verdana" w:hAnsi="Verdana"/>
          <w:i/>
          <w:sz w:val="20"/>
          <w:szCs w:val="20"/>
        </w:rPr>
        <w:t>a un juicio justo [debido proceso] y el derecho al trabajo</w:t>
      </w:r>
      <w:r w:rsidRPr="002607D9">
        <w:rPr>
          <w:rFonts w:ascii="Verdana" w:hAnsi="Verdana"/>
          <w:sz w:val="20"/>
          <w:szCs w:val="20"/>
        </w:rPr>
        <w:t>”</w:t>
      </w:r>
      <w:r w:rsidRPr="00AD638A">
        <w:rPr>
          <w:rFonts w:ascii="Verdana" w:hAnsi="Verdana"/>
          <w:sz w:val="20"/>
          <w:szCs w:val="20"/>
        </w:rPr>
        <w:t xml:space="preserve">. </w:t>
      </w:r>
      <w:r>
        <w:rPr>
          <w:rFonts w:ascii="Verdana" w:hAnsi="Verdana"/>
          <w:sz w:val="20"/>
          <w:szCs w:val="20"/>
        </w:rPr>
        <w:t xml:space="preserve">Igualmente, el Estado señaló </w:t>
      </w:r>
      <w:r w:rsidRPr="00D43A62">
        <w:rPr>
          <w:rFonts w:ascii="Verdana" w:hAnsi="Verdana"/>
          <w:sz w:val="20"/>
          <w:szCs w:val="20"/>
        </w:rPr>
        <w:t xml:space="preserve">expresamente que </w:t>
      </w:r>
      <w:r w:rsidRPr="006D5D16">
        <w:rPr>
          <w:rFonts w:ascii="Verdana" w:hAnsi="Verdana"/>
          <w:sz w:val="20"/>
          <w:szCs w:val="20"/>
          <w:lang w:val="es-CR"/>
        </w:rPr>
        <w:t xml:space="preserve">el señor Lagos del Campo en su denuncia ante la </w:t>
      </w:r>
      <w:r>
        <w:rPr>
          <w:rFonts w:ascii="Verdana" w:hAnsi="Verdana"/>
          <w:sz w:val="20"/>
          <w:szCs w:val="20"/>
          <w:lang w:val="es-CR"/>
        </w:rPr>
        <w:t>Comisión</w:t>
      </w:r>
      <w:r w:rsidRPr="006D5D16">
        <w:rPr>
          <w:rFonts w:ascii="Verdana" w:hAnsi="Verdana"/>
          <w:sz w:val="20"/>
          <w:szCs w:val="20"/>
          <w:lang w:val="es-CR"/>
        </w:rPr>
        <w:t xml:space="preserve"> solicitó la “</w:t>
      </w:r>
      <w:r w:rsidRPr="006D5D16">
        <w:rPr>
          <w:rFonts w:ascii="Verdana" w:hAnsi="Verdana"/>
          <w:sz w:val="20"/>
          <w:szCs w:val="20"/>
          <w:lang w:val="es-ES"/>
        </w:rPr>
        <w:t>[i]</w:t>
      </w:r>
      <w:proofErr w:type="spellStart"/>
      <w:r w:rsidRPr="006D5D16">
        <w:rPr>
          <w:rFonts w:ascii="Verdana" w:hAnsi="Verdana"/>
          <w:sz w:val="20"/>
          <w:szCs w:val="20"/>
          <w:lang w:val="es-ES"/>
        </w:rPr>
        <w:t>nmediata</w:t>
      </w:r>
      <w:proofErr w:type="spellEnd"/>
      <w:r w:rsidRPr="006D5D16">
        <w:rPr>
          <w:rFonts w:ascii="Verdana" w:hAnsi="Verdana"/>
          <w:sz w:val="20"/>
          <w:szCs w:val="20"/>
          <w:lang w:val="es-ES"/>
        </w:rPr>
        <w:t xml:space="preserve"> reposición a su puesto de trabajo en la empresa CEPER-PIRELLI, con el salario y los beneficios correspondientes”</w:t>
      </w:r>
      <w:r>
        <w:rPr>
          <w:rFonts w:ascii="Verdana" w:hAnsi="Verdana"/>
          <w:sz w:val="20"/>
          <w:szCs w:val="20"/>
          <w:lang w:val="es-ES"/>
        </w:rPr>
        <w:t>.</w:t>
      </w:r>
    </w:p>
    <w:p w14:paraId="3F5EF586" w14:textId="77777777" w:rsidR="0088700B" w:rsidRDefault="0088700B" w:rsidP="0088700B">
      <w:pPr>
        <w:contextualSpacing/>
        <w:jc w:val="both"/>
        <w:rPr>
          <w:rFonts w:ascii="Verdana" w:hAnsi="Verdana"/>
          <w:sz w:val="20"/>
          <w:szCs w:val="20"/>
        </w:rPr>
      </w:pPr>
    </w:p>
    <w:p w14:paraId="38FDEBB3" w14:textId="790F0319" w:rsidR="0088700B" w:rsidRPr="00A63061" w:rsidRDefault="0088700B" w:rsidP="00E66DD7">
      <w:pPr>
        <w:numPr>
          <w:ilvl w:val="0"/>
          <w:numId w:val="1"/>
        </w:numPr>
        <w:ind w:left="0" w:firstLine="0"/>
        <w:contextualSpacing/>
        <w:jc w:val="both"/>
        <w:rPr>
          <w:rFonts w:ascii="Verdana" w:hAnsi="Verdana"/>
          <w:sz w:val="20"/>
          <w:szCs w:val="20"/>
        </w:rPr>
      </w:pPr>
      <w:r>
        <w:rPr>
          <w:rFonts w:ascii="Verdana" w:hAnsi="Verdana"/>
          <w:sz w:val="20"/>
          <w:szCs w:val="20"/>
        </w:rPr>
        <w:t xml:space="preserve">La Corte nota que si bien </w:t>
      </w:r>
      <w:r w:rsidRPr="00801513">
        <w:rPr>
          <w:rFonts w:ascii="Verdana" w:hAnsi="Verdana"/>
          <w:sz w:val="20"/>
          <w:szCs w:val="20"/>
        </w:rPr>
        <w:t xml:space="preserve">la Comisión observó dicha petición en su </w:t>
      </w:r>
      <w:r w:rsidR="00DE5D83">
        <w:rPr>
          <w:rFonts w:ascii="Verdana" w:hAnsi="Verdana"/>
          <w:sz w:val="20"/>
          <w:szCs w:val="20"/>
        </w:rPr>
        <w:t>I</w:t>
      </w:r>
      <w:r w:rsidRPr="00801513">
        <w:rPr>
          <w:rFonts w:ascii="Verdana" w:hAnsi="Verdana"/>
          <w:sz w:val="20"/>
          <w:szCs w:val="20"/>
        </w:rPr>
        <w:t xml:space="preserve">nforme de </w:t>
      </w:r>
      <w:r w:rsidR="00DE5D83">
        <w:rPr>
          <w:rFonts w:ascii="Verdana" w:hAnsi="Verdana"/>
          <w:sz w:val="20"/>
          <w:szCs w:val="20"/>
        </w:rPr>
        <w:t>A</w:t>
      </w:r>
      <w:r w:rsidRPr="00801513">
        <w:rPr>
          <w:rFonts w:ascii="Verdana" w:hAnsi="Verdana"/>
          <w:sz w:val="20"/>
          <w:szCs w:val="20"/>
        </w:rPr>
        <w:t>dmisibilidad (</w:t>
      </w:r>
      <w:r w:rsidRPr="00801513">
        <w:rPr>
          <w:rFonts w:ascii="Verdana" w:hAnsi="Verdana"/>
          <w:i/>
          <w:sz w:val="20"/>
          <w:szCs w:val="20"/>
        </w:rPr>
        <w:t>supra,</w:t>
      </w:r>
      <w:r w:rsidRPr="00801513">
        <w:rPr>
          <w:rFonts w:ascii="Verdana" w:hAnsi="Verdana"/>
          <w:sz w:val="20"/>
          <w:szCs w:val="20"/>
        </w:rPr>
        <w:t xml:space="preserve"> </w:t>
      </w:r>
      <w:r w:rsidR="00587B73">
        <w:rPr>
          <w:rFonts w:ascii="Verdana" w:hAnsi="Verdana"/>
          <w:sz w:val="20"/>
          <w:szCs w:val="20"/>
        </w:rPr>
        <w:t xml:space="preserve">párr. 133 </w:t>
      </w:r>
      <w:r w:rsidRPr="00801513">
        <w:rPr>
          <w:rFonts w:ascii="Verdana" w:hAnsi="Verdana"/>
          <w:sz w:val="20"/>
          <w:szCs w:val="20"/>
        </w:rPr>
        <w:t>inciso k) omitió pronunciarse respecto del alegado derecho al trabajo</w:t>
      </w:r>
      <w:r w:rsidRPr="00753933">
        <w:rPr>
          <w:rFonts w:ascii="Verdana" w:hAnsi="Verdana"/>
          <w:sz w:val="20"/>
          <w:szCs w:val="20"/>
        </w:rPr>
        <w:t xml:space="preserve">, y su eventual admisibilidad. Asimismo, este Tribunal nota que </w:t>
      </w:r>
      <w:r w:rsidRPr="00801513">
        <w:rPr>
          <w:rFonts w:ascii="Verdana" w:hAnsi="Verdana"/>
          <w:sz w:val="20"/>
          <w:szCs w:val="20"/>
        </w:rPr>
        <w:t xml:space="preserve">desde sus primeras instancias el Estado tuvo conocimiento de dicha pretensión de la presunta víctima </w:t>
      </w:r>
      <w:r w:rsidRPr="00753933">
        <w:rPr>
          <w:rFonts w:ascii="Verdana" w:hAnsi="Verdana"/>
          <w:sz w:val="20"/>
          <w:szCs w:val="20"/>
        </w:rPr>
        <w:t>(</w:t>
      </w:r>
      <w:r w:rsidRPr="006554B8">
        <w:rPr>
          <w:rFonts w:ascii="Verdana" w:hAnsi="Verdana"/>
          <w:i/>
          <w:sz w:val="20"/>
          <w:szCs w:val="20"/>
        </w:rPr>
        <w:t>supra</w:t>
      </w:r>
      <w:r w:rsidRPr="00A63061">
        <w:rPr>
          <w:rFonts w:ascii="Verdana" w:hAnsi="Verdana"/>
          <w:sz w:val="20"/>
          <w:szCs w:val="20"/>
        </w:rPr>
        <w:t xml:space="preserve">, </w:t>
      </w:r>
      <w:r w:rsidR="008644E8">
        <w:rPr>
          <w:rFonts w:ascii="Verdana" w:hAnsi="Verdana"/>
          <w:sz w:val="20"/>
          <w:szCs w:val="20"/>
        </w:rPr>
        <w:t>párr</w:t>
      </w:r>
      <w:r w:rsidR="00587B73">
        <w:rPr>
          <w:rFonts w:ascii="Verdana" w:hAnsi="Verdana"/>
          <w:sz w:val="20"/>
          <w:szCs w:val="20"/>
        </w:rPr>
        <w:t xml:space="preserve">. 133 </w:t>
      </w:r>
      <w:r w:rsidRPr="00A63061">
        <w:rPr>
          <w:rFonts w:ascii="Verdana" w:hAnsi="Verdana"/>
          <w:sz w:val="20"/>
          <w:szCs w:val="20"/>
        </w:rPr>
        <w:t xml:space="preserve">inciso i), la cual también se deriva del marco fáctico presentado por la Comisión. </w:t>
      </w:r>
    </w:p>
    <w:p w14:paraId="0047F997" w14:textId="77777777" w:rsidR="0088700B" w:rsidRPr="00A63061" w:rsidRDefault="0088700B" w:rsidP="0088700B">
      <w:pPr>
        <w:contextualSpacing/>
        <w:jc w:val="both"/>
        <w:rPr>
          <w:rFonts w:ascii="Verdana" w:hAnsi="Verdana"/>
          <w:sz w:val="20"/>
          <w:szCs w:val="20"/>
        </w:rPr>
      </w:pPr>
    </w:p>
    <w:p w14:paraId="643EB4E0" w14:textId="77777777" w:rsidR="0088700B" w:rsidRPr="006554B8" w:rsidRDefault="0088700B" w:rsidP="00E66DD7">
      <w:pPr>
        <w:numPr>
          <w:ilvl w:val="0"/>
          <w:numId w:val="1"/>
        </w:numPr>
        <w:ind w:left="0" w:firstLine="0"/>
        <w:contextualSpacing/>
        <w:jc w:val="both"/>
        <w:rPr>
          <w:rFonts w:ascii="Verdana" w:hAnsi="Verdana"/>
          <w:sz w:val="20"/>
          <w:szCs w:val="20"/>
        </w:rPr>
      </w:pPr>
      <w:r w:rsidRPr="00A63061">
        <w:rPr>
          <w:rFonts w:ascii="Verdana" w:hAnsi="Verdana"/>
          <w:sz w:val="20"/>
          <w:szCs w:val="20"/>
        </w:rPr>
        <w:t xml:space="preserve">Al respecto, el </w:t>
      </w:r>
      <w:r w:rsidRPr="00801513">
        <w:rPr>
          <w:rFonts w:ascii="Verdana" w:hAnsi="Verdana"/>
          <w:sz w:val="20"/>
          <w:szCs w:val="20"/>
        </w:rPr>
        <w:t>Estado</w:t>
      </w:r>
      <w:r w:rsidRPr="00753933">
        <w:rPr>
          <w:rFonts w:ascii="Verdana" w:hAnsi="Verdana"/>
          <w:sz w:val="20"/>
          <w:szCs w:val="20"/>
        </w:rPr>
        <w:t xml:space="preserve"> ha alegado expresamente ante la Corte que: </w:t>
      </w:r>
    </w:p>
    <w:p w14:paraId="54ADD6DB" w14:textId="77777777" w:rsidR="0088700B" w:rsidRPr="00A63061" w:rsidRDefault="0088700B" w:rsidP="0088700B">
      <w:pPr>
        <w:contextualSpacing/>
        <w:jc w:val="both"/>
        <w:rPr>
          <w:rFonts w:ascii="Verdana" w:hAnsi="Verdana"/>
          <w:sz w:val="20"/>
          <w:szCs w:val="20"/>
        </w:rPr>
      </w:pPr>
    </w:p>
    <w:p w14:paraId="2C1883D9" w14:textId="34675A3C" w:rsidR="0088700B" w:rsidRPr="006554B8" w:rsidRDefault="0088700B" w:rsidP="0088700B">
      <w:pPr>
        <w:ind w:left="720"/>
        <w:contextualSpacing/>
        <w:jc w:val="both"/>
        <w:rPr>
          <w:rFonts w:ascii="Verdana" w:hAnsi="Verdana"/>
          <w:sz w:val="18"/>
          <w:szCs w:val="20"/>
        </w:rPr>
      </w:pPr>
      <w:r w:rsidRPr="00A63061">
        <w:rPr>
          <w:rFonts w:ascii="Verdana" w:hAnsi="Verdana"/>
          <w:sz w:val="18"/>
          <w:szCs w:val="20"/>
        </w:rPr>
        <w:t xml:space="preserve"> “</w:t>
      </w:r>
      <w:r w:rsidRPr="00801513">
        <w:rPr>
          <w:rFonts w:ascii="Verdana" w:hAnsi="Verdana"/>
          <w:sz w:val="18"/>
          <w:szCs w:val="20"/>
        </w:rPr>
        <w:t>toda la controversia</w:t>
      </w:r>
      <w:r w:rsidRPr="00753933">
        <w:rPr>
          <w:rFonts w:ascii="Verdana" w:hAnsi="Verdana"/>
          <w:sz w:val="18"/>
          <w:szCs w:val="20"/>
        </w:rPr>
        <w:t xml:space="preserve"> </w:t>
      </w:r>
      <w:r w:rsidR="00DE5D83">
        <w:rPr>
          <w:rFonts w:ascii="Verdana" w:hAnsi="Verdana"/>
          <w:sz w:val="18"/>
          <w:szCs w:val="20"/>
        </w:rPr>
        <w:t>[</w:t>
      </w:r>
      <w:r w:rsidRPr="00753933">
        <w:rPr>
          <w:rFonts w:ascii="Verdana" w:hAnsi="Verdana"/>
          <w:sz w:val="18"/>
          <w:szCs w:val="20"/>
        </w:rPr>
        <w:t>ha</w:t>
      </w:r>
      <w:r w:rsidR="00DE5D83">
        <w:rPr>
          <w:rFonts w:ascii="Verdana" w:hAnsi="Verdana"/>
          <w:sz w:val="18"/>
          <w:szCs w:val="20"/>
        </w:rPr>
        <w:t>]</w:t>
      </w:r>
      <w:r w:rsidRPr="00753933">
        <w:rPr>
          <w:rFonts w:ascii="Verdana" w:hAnsi="Verdana"/>
          <w:sz w:val="18"/>
          <w:szCs w:val="20"/>
        </w:rPr>
        <w:t xml:space="preserve"> girado en torno al </w:t>
      </w:r>
      <w:r w:rsidRPr="00801513">
        <w:rPr>
          <w:rFonts w:ascii="Verdana" w:hAnsi="Verdana"/>
          <w:sz w:val="18"/>
          <w:szCs w:val="20"/>
        </w:rPr>
        <w:t>despido del señor Lagos del Campo</w:t>
      </w:r>
      <w:r w:rsidRPr="00753933">
        <w:rPr>
          <w:rFonts w:ascii="Verdana" w:hAnsi="Verdana"/>
          <w:sz w:val="18"/>
          <w:szCs w:val="20"/>
        </w:rPr>
        <w:t xml:space="preserve"> por parte de la empresa </w:t>
      </w:r>
      <w:proofErr w:type="spellStart"/>
      <w:r w:rsidRPr="00753933">
        <w:rPr>
          <w:rFonts w:ascii="Verdana" w:hAnsi="Verdana"/>
          <w:sz w:val="18"/>
          <w:szCs w:val="20"/>
        </w:rPr>
        <w:t>Ceper-Pirelli</w:t>
      </w:r>
      <w:proofErr w:type="spellEnd"/>
      <w:r w:rsidRPr="00753933">
        <w:rPr>
          <w:rFonts w:ascii="Verdana" w:hAnsi="Verdana"/>
          <w:sz w:val="18"/>
          <w:szCs w:val="20"/>
        </w:rPr>
        <w:t>, en tanto este cometió una falta que se encontraba prevista en el artículo 5 literales a) y h) de la Ley N</w:t>
      </w:r>
      <w:r w:rsidR="00DE5D83">
        <w:rPr>
          <w:rFonts w:ascii="Verdana" w:hAnsi="Verdana"/>
          <w:sz w:val="18"/>
          <w:szCs w:val="20"/>
          <w:vertAlign w:val="superscript"/>
        </w:rPr>
        <w:t>o</w:t>
      </w:r>
      <w:r w:rsidRPr="00753933">
        <w:rPr>
          <w:rFonts w:ascii="Verdana" w:hAnsi="Verdana"/>
          <w:sz w:val="18"/>
          <w:szCs w:val="20"/>
        </w:rPr>
        <w:t xml:space="preserve"> 24514 – Ley que regula el derecho de estabilidad en el trabajo” </w:t>
      </w:r>
      <w:r w:rsidRPr="00801513">
        <w:rPr>
          <w:rFonts w:ascii="Verdana" w:hAnsi="Verdana"/>
          <w:sz w:val="18"/>
          <w:szCs w:val="20"/>
        </w:rPr>
        <w:t>(</w:t>
      </w:r>
      <w:r w:rsidR="00DE5D83">
        <w:rPr>
          <w:rFonts w:ascii="Verdana" w:hAnsi="Verdana"/>
          <w:sz w:val="18"/>
          <w:szCs w:val="20"/>
        </w:rPr>
        <w:t>expediente de fondo</w:t>
      </w:r>
      <w:r w:rsidRPr="00801513">
        <w:rPr>
          <w:rFonts w:ascii="Verdana" w:hAnsi="Verdana"/>
          <w:sz w:val="18"/>
          <w:szCs w:val="20"/>
        </w:rPr>
        <w:t>, f</w:t>
      </w:r>
      <w:r w:rsidR="00DE5D83">
        <w:rPr>
          <w:rFonts w:ascii="Verdana" w:hAnsi="Verdana"/>
          <w:sz w:val="18"/>
          <w:szCs w:val="20"/>
        </w:rPr>
        <w:t>olio</w:t>
      </w:r>
      <w:r w:rsidRPr="00801513">
        <w:rPr>
          <w:rFonts w:ascii="Verdana" w:hAnsi="Verdana"/>
          <w:sz w:val="18"/>
          <w:szCs w:val="20"/>
        </w:rPr>
        <w:t xml:space="preserve"> 224)</w:t>
      </w:r>
      <w:r w:rsidRPr="00753933">
        <w:rPr>
          <w:rFonts w:ascii="Verdana" w:hAnsi="Verdana"/>
          <w:sz w:val="18"/>
          <w:szCs w:val="20"/>
        </w:rPr>
        <w:t>.</w:t>
      </w:r>
      <w:r w:rsidRPr="00801513">
        <w:rPr>
          <w:rFonts w:ascii="Verdana" w:hAnsi="Verdana"/>
          <w:sz w:val="18"/>
          <w:szCs w:val="20"/>
        </w:rPr>
        <w:t xml:space="preserve"> </w:t>
      </w:r>
      <w:r w:rsidRPr="00753933">
        <w:rPr>
          <w:rFonts w:ascii="Verdana" w:hAnsi="Verdana"/>
          <w:color w:val="000000"/>
          <w:sz w:val="18"/>
          <w:szCs w:val="20"/>
        </w:rPr>
        <w:t>En la audiencia pública, el Estado consideró que el caso se enmarcaba en un contexto en el cual existía una “</w:t>
      </w:r>
      <w:r w:rsidRPr="00801513">
        <w:rPr>
          <w:rFonts w:ascii="Verdana" w:hAnsi="Verdana"/>
          <w:color w:val="000000"/>
          <w:sz w:val="18"/>
          <w:szCs w:val="20"/>
        </w:rPr>
        <w:t>ley laboral muy protectora del trabajador</w:t>
      </w:r>
      <w:r w:rsidRPr="00753933">
        <w:rPr>
          <w:rFonts w:ascii="Verdana" w:hAnsi="Verdana"/>
          <w:color w:val="000000"/>
          <w:sz w:val="18"/>
          <w:szCs w:val="20"/>
        </w:rPr>
        <w:t xml:space="preserve">” dado que “ofrecía una modalidad legal de </w:t>
      </w:r>
      <w:r w:rsidRPr="00801513">
        <w:rPr>
          <w:rFonts w:ascii="Verdana" w:hAnsi="Verdana"/>
          <w:color w:val="000000"/>
          <w:sz w:val="18"/>
          <w:szCs w:val="20"/>
        </w:rPr>
        <w:t>protección absoluta de la estabilidad del trabajador</w:t>
      </w:r>
      <w:r w:rsidRPr="00753933">
        <w:rPr>
          <w:rFonts w:ascii="Verdana" w:hAnsi="Verdana"/>
          <w:color w:val="000000"/>
          <w:sz w:val="18"/>
          <w:szCs w:val="20"/>
        </w:rPr>
        <w:t>”.</w:t>
      </w:r>
    </w:p>
    <w:p w14:paraId="4386F213" w14:textId="77777777" w:rsidR="0088700B" w:rsidRPr="00A3303A" w:rsidRDefault="0088700B" w:rsidP="0088700B">
      <w:pPr>
        <w:contextualSpacing/>
        <w:jc w:val="both"/>
        <w:rPr>
          <w:rFonts w:ascii="Verdana" w:hAnsi="Verdana"/>
          <w:sz w:val="20"/>
          <w:szCs w:val="20"/>
        </w:rPr>
      </w:pPr>
    </w:p>
    <w:p w14:paraId="2B019F5E" w14:textId="3A9D5FBE" w:rsidR="0088700B" w:rsidRPr="00A3303A" w:rsidRDefault="0088700B" w:rsidP="00E66DD7">
      <w:pPr>
        <w:numPr>
          <w:ilvl w:val="0"/>
          <w:numId w:val="1"/>
        </w:numPr>
        <w:ind w:left="0" w:firstLine="0"/>
        <w:contextualSpacing/>
        <w:jc w:val="both"/>
        <w:rPr>
          <w:rFonts w:ascii="Verdana" w:hAnsi="Verdana"/>
          <w:b/>
          <w:sz w:val="20"/>
          <w:szCs w:val="20"/>
        </w:rPr>
      </w:pPr>
      <w:r w:rsidRPr="00A3303A">
        <w:rPr>
          <w:rFonts w:ascii="Verdana" w:hAnsi="Verdana"/>
          <w:sz w:val="20"/>
          <w:szCs w:val="20"/>
        </w:rPr>
        <w:t xml:space="preserve">En vista de lo anterior, </w:t>
      </w:r>
      <w:r>
        <w:rPr>
          <w:rFonts w:ascii="Verdana" w:hAnsi="Verdana"/>
          <w:sz w:val="20"/>
          <w:szCs w:val="20"/>
        </w:rPr>
        <w:t xml:space="preserve">la Corte constata que </w:t>
      </w:r>
      <w:r w:rsidRPr="00A3303A">
        <w:rPr>
          <w:rFonts w:ascii="Verdana" w:hAnsi="Verdana"/>
          <w:sz w:val="20"/>
          <w:szCs w:val="20"/>
        </w:rPr>
        <w:t>los hechos correspondientes al despido</w:t>
      </w:r>
      <w:r>
        <w:rPr>
          <w:rFonts w:ascii="Verdana" w:hAnsi="Verdana"/>
          <w:sz w:val="20"/>
          <w:szCs w:val="20"/>
        </w:rPr>
        <w:t xml:space="preserve"> del señor Lagos del Campo</w:t>
      </w:r>
      <w:r w:rsidRPr="00A3303A">
        <w:rPr>
          <w:rFonts w:ascii="Verdana" w:hAnsi="Verdana"/>
          <w:sz w:val="20"/>
          <w:szCs w:val="20"/>
        </w:rPr>
        <w:t xml:space="preserve"> han sido ventilados en todo momento </w:t>
      </w:r>
      <w:r w:rsidR="008E18C3" w:rsidRPr="00333304">
        <w:rPr>
          <w:rFonts w:ascii="Verdana" w:hAnsi="Verdana"/>
          <w:sz w:val="20"/>
          <w:szCs w:val="20"/>
        </w:rPr>
        <w:t xml:space="preserve">ante las instancias </w:t>
      </w:r>
      <w:r w:rsidR="001B481A" w:rsidRPr="00333304">
        <w:rPr>
          <w:rFonts w:ascii="Verdana" w:hAnsi="Verdana"/>
          <w:sz w:val="20"/>
          <w:szCs w:val="20"/>
        </w:rPr>
        <w:t xml:space="preserve">judiciales </w:t>
      </w:r>
      <w:r w:rsidR="008E18C3" w:rsidRPr="00333304">
        <w:rPr>
          <w:rFonts w:ascii="Verdana" w:hAnsi="Verdana"/>
          <w:sz w:val="20"/>
          <w:szCs w:val="20"/>
        </w:rPr>
        <w:t>nacionales</w:t>
      </w:r>
      <w:r w:rsidRPr="00A3303A">
        <w:rPr>
          <w:rStyle w:val="FootnoteReference"/>
          <w:szCs w:val="20"/>
        </w:rPr>
        <w:footnoteReference w:id="183"/>
      </w:r>
      <w:r>
        <w:rPr>
          <w:rFonts w:ascii="Verdana" w:hAnsi="Verdana"/>
          <w:sz w:val="20"/>
          <w:szCs w:val="20"/>
        </w:rPr>
        <w:t xml:space="preserve">, así como </w:t>
      </w:r>
      <w:r w:rsidRPr="00A3303A">
        <w:rPr>
          <w:rFonts w:ascii="Verdana" w:hAnsi="Verdana"/>
          <w:sz w:val="20"/>
          <w:szCs w:val="20"/>
        </w:rPr>
        <w:t>en el proceso ante el Sistema Interamericano</w:t>
      </w:r>
      <w:r w:rsidRPr="00A3303A">
        <w:rPr>
          <w:rStyle w:val="FootnoteReference"/>
          <w:szCs w:val="20"/>
        </w:rPr>
        <w:footnoteReference w:id="184"/>
      </w:r>
      <w:r w:rsidR="000909C0">
        <w:rPr>
          <w:rFonts w:ascii="Verdana" w:hAnsi="Verdana"/>
          <w:sz w:val="20"/>
          <w:szCs w:val="20"/>
        </w:rPr>
        <w:t xml:space="preserve"> (</w:t>
      </w:r>
      <w:r w:rsidR="000909C0" w:rsidRPr="00A532BE">
        <w:rPr>
          <w:rFonts w:ascii="Verdana" w:hAnsi="Verdana"/>
          <w:i/>
          <w:sz w:val="20"/>
          <w:szCs w:val="20"/>
        </w:rPr>
        <w:t>supra</w:t>
      </w:r>
      <w:r w:rsidR="000909C0">
        <w:rPr>
          <w:rFonts w:ascii="Verdana" w:hAnsi="Verdana"/>
          <w:sz w:val="20"/>
          <w:szCs w:val="20"/>
        </w:rPr>
        <w:t>, párr. 133)</w:t>
      </w:r>
      <w:r w:rsidRPr="00A3303A">
        <w:rPr>
          <w:rFonts w:ascii="Verdana" w:hAnsi="Verdana"/>
          <w:sz w:val="20"/>
          <w:szCs w:val="20"/>
        </w:rPr>
        <w:t>, as</w:t>
      </w:r>
      <w:r w:rsidR="00DE5D83">
        <w:rPr>
          <w:rFonts w:ascii="Verdana" w:hAnsi="Verdana"/>
          <w:sz w:val="20"/>
          <w:szCs w:val="20"/>
        </w:rPr>
        <w:t>imismo</w:t>
      </w:r>
      <w:r w:rsidRPr="00A3303A">
        <w:rPr>
          <w:rFonts w:ascii="Verdana" w:hAnsi="Verdana"/>
          <w:sz w:val="20"/>
          <w:szCs w:val="20"/>
        </w:rPr>
        <w:t xml:space="preserve"> </w:t>
      </w:r>
      <w:r>
        <w:rPr>
          <w:rFonts w:ascii="Verdana" w:hAnsi="Verdana"/>
          <w:sz w:val="20"/>
          <w:szCs w:val="20"/>
        </w:rPr>
        <w:t xml:space="preserve">el alegato relacionado con el derecho al trabajo </w:t>
      </w:r>
      <w:r w:rsidRPr="00A3303A">
        <w:rPr>
          <w:rFonts w:ascii="Verdana" w:hAnsi="Verdana"/>
          <w:sz w:val="20"/>
          <w:szCs w:val="20"/>
        </w:rPr>
        <w:t xml:space="preserve">fue </w:t>
      </w:r>
      <w:r>
        <w:rPr>
          <w:rFonts w:ascii="Verdana" w:hAnsi="Verdana"/>
          <w:sz w:val="20"/>
          <w:szCs w:val="20"/>
        </w:rPr>
        <w:t>fundado</w:t>
      </w:r>
      <w:r w:rsidRPr="00A3303A">
        <w:rPr>
          <w:rFonts w:ascii="Verdana" w:hAnsi="Verdana"/>
          <w:sz w:val="20"/>
          <w:szCs w:val="20"/>
        </w:rPr>
        <w:t xml:space="preserve"> por el peticionario reiteradamente desde las primeras etapas procesales</w:t>
      </w:r>
      <w:r>
        <w:rPr>
          <w:rFonts w:ascii="Verdana" w:hAnsi="Verdana"/>
          <w:sz w:val="20"/>
          <w:szCs w:val="20"/>
        </w:rPr>
        <w:t xml:space="preserve"> ante la Comisión</w:t>
      </w:r>
      <w:r w:rsidRPr="00A3303A">
        <w:rPr>
          <w:rFonts w:ascii="Verdana" w:hAnsi="Verdana"/>
          <w:sz w:val="20"/>
          <w:szCs w:val="20"/>
        </w:rPr>
        <w:t>. En este sentido, las partes han tenido amplia posibilidad de hacer referencia al alcance de los derechos que involucran los hechos analizados</w:t>
      </w:r>
      <w:r w:rsidRPr="00A3303A">
        <w:rPr>
          <w:rFonts w:ascii="Verdana" w:hAnsi="Verdana"/>
          <w:sz w:val="20"/>
          <w:szCs w:val="20"/>
          <w:vertAlign w:val="superscript"/>
        </w:rPr>
        <w:footnoteReference w:id="185"/>
      </w:r>
      <w:r w:rsidRPr="00A3303A">
        <w:rPr>
          <w:rFonts w:ascii="Verdana" w:hAnsi="Verdana"/>
          <w:sz w:val="20"/>
          <w:szCs w:val="20"/>
        </w:rPr>
        <w:t xml:space="preserve">. </w:t>
      </w:r>
    </w:p>
    <w:p w14:paraId="784B922A" w14:textId="77777777" w:rsidR="0088700B" w:rsidRPr="00A3303A" w:rsidRDefault="0088700B" w:rsidP="0088700B">
      <w:pPr>
        <w:contextualSpacing/>
        <w:jc w:val="both"/>
        <w:rPr>
          <w:rFonts w:ascii="Verdana" w:hAnsi="Verdana"/>
          <w:b/>
          <w:color w:val="800000"/>
          <w:sz w:val="20"/>
          <w:szCs w:val="20"/>
        </w:rPr>
      </w:pPr>
    </w:p>
    <w:p w14:paraId="7FAAFD35" w14:textId="1A6C3743" w:rsidR="00032FC5" w:rsidRPr="00801513" w:rsidRDefault="0088700B" w:rsidP="00E66DD7">
      <w:pPr>
        <w:numPr>
          <w:ilvl w:val="0"/>
          <w:numId w:val="1"/>
        </w:numPr>
        <w:ind w:left="0" w:firstLine="0"/>
        <w:contextualSpacing/>
        <w:jc w:val="both"/>
        <w:rPr>
          <w:rFonts w:ascii="Verdana" w:hAnsi="Verdana"/>
          <w:sz w:val="20"/>
          <w:szCs w:val="20"/>
          <w:lang w:val="es-EC"/>
        </w:rPr>
      </w:pPr>
      <w:r w:rsidRPr="00A3303A">
        <w:rPr>
          <w:rFonts w:ascii="Verdana" w:hAnsi="Verdana"/>
          <w:sz w:val="20"/>
          <w:szCs w:val="20"/>
        </w:rPr>
        <w:t>Asimismo</w:t>
      </w:r>
      <w:r>
        <w:rPr>
          <w:rFonts w:ascii="Verdana" w:hAnsi="Verdana"/>
          <w:sz w:val="20"/>
          <w:szCs w:val="20"/>
        </w:rPr>
        <w:t>, el Tribunal nota que, t</w:t>
      </w:r>
      <w:r w:rsidRPr="00B1128B">
        <w:rPr>
          <w:rFonts w:ascii="Verdana" w:hAnsi="Verdana"/>
          <w:sz w:val="20"/>
          <w:szCs w:val="20"/>
        </w:rPr>
        <w:t xml:space="preserve">anto la </w:t>
      </w:r>
      <w:r w:rsidRPr="00B1128B">
        <w:rPr>
          <w:rFonts w:ascii="Verdana" w:hAnsi="Verdana" w:cs="Arial Narrow"/>
          <w:color w:val="000000"/>
          <w:sz w:val="20"/>
          <w:szCs w:val="20"/>
          <w:lang w:eastAsia="es-MX"/>
        </w:rPr>
        <w:t>Constitución Política de 1979 como la de 1993 de Perú, y la ley laboral al momento de los hechos, reconocía</w:t>
      </w:r>
      <w:r>
        <w:rPr>
          <w:rFonts w:ascii="Verdana" w:hAnsi="Verdana" w:cs="Arial Narrow"/>
          <w:color w:val="000000"/>
          <w:sz w:val="20"/>
          <w:szCs w:val="20"/>
          <w:lang w:eastAsia="es-MX"/>
        </w:rPr>
        <w:t>n</w:t>
      </w:r>
      <w:r w:rsidRPr="00B1128B">
        <w:rPr>
          <w:rFonts w:ascii="Verdana" w:hAnsi="Verdana" w:cs="Arial Narrow"/>
          <w:color w:val="000000"/>
          <w:sz w:val="20"/>
          <w:szCs w:val="20"/>
          <w:lang w:eastAsia="es-MX"/>
        </w:rPr>
        <w:t xml:space="preserve"> explícitamente el derecho a la estabilidad laboral</w:t>
      </w:r>
      <w:r w:rsidRPr="00B1128B">
        <w:rPr>
          <w:rStyle w:val="FootnoteReference"/>
          <w:rFonts w:cs="Arial Narrow"/>
          <w:color w:val="000000"/>
          <w:szCs w:val="20"/>
          <w:lang w:eastAsia="es-MX"/>
        </w:rPr>
        <w:footnoteReference w:id="186"/>
      </w:r>
      <w:r>
        <w:rPr>
          <w:rFonts w:ascii="Verdana" w:hAnsi="Verdana" w:cs="Arial Narrow"/>
          <w:color w:val="000000"/>
          <w:sz w:val="20"/>
          <w:szCs w:val="20"/>
          <w:lang w:eastAsia="es-MX"/>
        </w:rPr>
        <w:t>;</w:t>
      </w:r>
      <w:r w:rsidRPr="00B1128B">
        <w:rPr>
          <w:rFonts w:ascii="Verdana" w:hAnsi="Verdana" w:cs="Arial Narrow"/>
          <w:color w:val="000000"/>
          <w:sz w:val="20"/>
          <w:szCs w:val="20"/>
          <w:lang w:eastAsia="es-MX"/>
        </w:rPr>
        <w:t xml:space="preserve"> </w:t>
      </w:r>
      <w:r>
        <w:rPr>
          <w:rFonts w:ascii="Verdana" w:hAnsi="Verdana" w:cs="Arial Narrow"/>
          <w:color w:val="000000"/>
          <w:sz w:val="20"/>
          <w:szCs w:val="20"/>
          <w:lang w:eastAsia="es-MX"/>
        </w:rPr>
        <w:t xml:space="preserve">a saber: </w:t>
      </w:r>
    </w:p>
    <w:p w14:paraId="7BB2B268" w14:textId="77777777" w:rsidR="0088700B" w:rsidRDefault="0088700B" w:rsidP="0088700B">
      <w:pPr>
        <w:pStyle w:val="ListParagraph"/>
        <w:ind w:left="540" w:right="332"/>
        <w:jc w:val="both"/>
        <w:rPr>
          <w:rFonts w:ascii="Verdana" w:hAnsi="Verdana" w:cs="Arial Narrow"/>
          <w:color w:val="000000"/>
          <w:sz w:val="18"/>
          <w:szCs w:val="20"/>
          <w:lang w:eastAsia="es-MX"/>
        </w:rPr>
      </w:pPr>
    </w:p>
    <w:p w14:paraId="117329BC" w14:textId="77777777" w:rsidR="0088700B" w:rsidRPr="008E49C6" w:rsidRDefault="0088700B" w:rsidP="0088700B">
      <w:pPr>
        <w:pStyle w:val="ListParagraph"/>
        <w:ind w:left="540" w:right="332"/>
        <w:jc w:val="both"/>
      </w:pPr>
      <w:r w:rsidRPr="00DD6DCC">
        <w:rPr>
          <w:rFonts w:ascii="Verdana" w:hAnsi="Verdana" w:cs="Arial Narrow"/>
          <w:color w:val="000000"/>
          <w:sz w:val="18"/>
          <w:szCs w:val="20"/>
          <w:lang w:eastAsia="es-MX"/>
        </w:rPr>
        <w:lastRenderedPageBreak/>
        <w:t>Constitución Política de 1979. Artículo 48. “El Estado reconoce el derecho de estabilidad en el trabajo. El trabajador solo puede ser despedido por causa justa, señalada en la ley debidamente comprobada”.</w:t>
      </w:r>
    </w:p>
    <w:p w14:paraId="0A14BEA2" w14:textId="77777777" w:rsidR="0088700B" w:rsidRDefault="0088700B" w:rsidP="0088700B">
      <w:pPr>
        <w:contextualSpacing/>
        <w:jc w:val="both"/>
        <w:rPr>
          <w:rFonts w:ascii="Verdana" w:hAnsi="Verdana"/>
          <w:b/>
          <w:sz w:val="20"/>
          <w:szCs w:val="20"/>
        </w:rPr>
      </w:pPr>
    </w:p>
    <w:p w14:paraId="338B5CEE" w14:textId="73C7828A" w:rsidR="00753933" w:rsidRPr="00DE5D83" w:rsidRDefault="005B0EF8" w:rsidP="00E66DD7">
      <w:pPr>
        <w:numPr>
          <w:ilvl w:val="0"/>
          <w:numId w:val="1"/>
        </w:numPr>
        <w:ind w:left="0" w:firstLine="0"/>
        <w:contextualSpacing/>
        <w:jc w:val="both"/>
        <w:rPr>
          <w:rFonts w:ascii="Verdana" w:hAnsi="Verdana"/>
          <w:bCs/>
          <w:color w:val="000000"/>
          <w:sz w:val="20"/>
          <w:szCs w:val="20"/>
        </w:rPr>
      </w:pPr>
      <w:r w:rsidRPr="00333304">
        <w:rPr>
          <w:rFonts w:ascii="Verdana" w:hAnsi="Verdana"/>
          <w:sz w:val="20"/>
          <w:szCs w:val="20"/>
        </w:rPr>
        <w:t>En vista de lo anterior, esta Corte tiene competencia</w:t>
      </w:r>
      <w:r w:rsidR="00D97397">
        <w:rPr>
          <w:rFonts w:ascii="Verdana" w:hAnsi="Verdana"/>
          <w:sz w:val="20"/>
          <w:szCs w:val="20"/>
        </w:rPr>
        <w:t xml:space="preserve"> —</w:t>
      </w:r>
      <w:r w:rsidRPr="00333304">
        <w:rPr>
          <w:rFonts w:ascii="Verdana" w:hAnsi="Verdana"/>
          <w:sz w:val="20"/>
          <w:szCs w:val="20"/>
        </w:rPr>
        <w:t xml:space="preserve">a la luz de la Convención Americana y con base en el principio </w:t>
      </w:r>
      <w:proofErr w:type="spellStart"/>
      <w:r w:rsidRPr="00333304">
        <w:rPr>
          <w:rFonts w:ascii="Verdana" w:hAnsi="Verdana"/>
          <w:i/>
          <w:sz w:val="20"/>
          <w:szCs w:val="20"/>
        </w:rPr>
        <w:t>iura</w:t>
      </w:r>
      <w:proofErr w:type="spellEnd"/>
      <w:r w:rsidRPr="00333304">
        <w:rPr>
          <w:rFonts w:ascii="Verdana" w:hAnsi="Verdana"/>
          <w:i/>
          <w:sz w:val="20"/>
          <w:szCs w:val="20"/>
        </w:rPr>
        <w:t xml:space="preserve"> </w:t>
      </w:r>
      <w:proofErr w:type="spellStart"/>
      <w:r w:rsidRPr="00333304">
        <w:rPr>
          <w:rFonts w:ascii="Verdana" w:hAnsi="Verdana"/>
          <w:i/>
          <w:sz w:val="20"/>
          <w:szCs w:val="20"/>
        </w:rPr>
        <w:t>novit</w:t>
      </w:r>
      <w:proofErr w:type="spellEnd"/>
      <w:r w:rsidRPr="00333304">
        <w:rPr>
          <w:rFonts w:ascii="Verdana" w:hAnsi="Verdana"/>
          <w:i/>
          <w:sz w:val="20"/>
          <w:szCs w:val="20"/>
        </w:rPr>
        <w:t xml:space="preserve"> curia</w:t>
      </w:r>
      <w:r w:rsidRPr="00333304">
        <w:rPr>
          <w:rFonts w:ascii="Verdana" w:hAnsi="Verdana"/>
          <w:sz w:val="20"/>
          <w:szCs w:val="20"/>
        </w:rPr>
        <w:t>, el cual se encuentra sólidamente respaldado en la jurisprudencia internaciona</w:t>
      </w:r>
      <w:r w:rsidR="00D97397" w:rsidRPr="00333304">
        <w:rPr>
          <w:rFonts w:ascii="Verdana" w:hAnsi="Verdana" w:cs="Arial"/>
          <w:color w:val="545454"/>
          <w:sz w:val="20"/>
          <w:szCs w:val="20"/>
          <w:shd w:val="clear" w:color="auto" w:fill="FFFFFF"/>
        </w:rPr>
        <w:t>l</w:t>
      </w:r>
      <w:r w:rsidR="00D97397" w:rsidRPr="00A532BE">
        <w:rPr>
          <w:rFonts w:ascii="Verdana" w:hAnsi="Verdana" w:cs="Arial"/>
          <w:color w:val="000000" w:themeColor="text1"/>
          <w:sz w:val="20"/>
          <w:szCs w:val="20"/>
          <w:shd w:val="clear" w:color="auto" w:fill="FFFFFF"/>
        </w:rPr>
        <w:t>—</w:t>
      </w:r>
      <w:r w:rsidR="00052EDE" w:rsidRPr="00333304">
        <w:rPr>
          <w:rStyle w:val="FootnoteReference"/>
          <w:szCs w:val="20"/>
        </w:rPr>
        <w:footnoteReference w:id="187"/>
      </w:r>
      <w:r w:rsidRPr="00333304">
        <w:rPr>
          <w:rFonts w:ascii="Verdana" w:hAnsi="Verdana"/>
          <w:sz w:val="20"/>
          <w:szCs w:val="20"/>
        </w:rPr>
        <w:t xml:space="preserve"> para estudiar la posible violación de las normas de la Convención que no han sido alegadas en los escritos presentados ante ella, en la inteligencia de que las partes hayan tenido la oportunidad de expresar sus respectivas posiciones en relación con los hechos que las sustentan</w:t>
      </w:r>
      <w:r w:rsidR="006554B8" w:rsidRPr="00333304">
        <w:rPr>
          <w:rFonts w:ascii="Verdana" w:hAnsi="Verdana"/>
          <w:sz w:val="20"/>
          <w:szCs w:val="20"/>
        </w:rPr>
        <w:t>, tal como ha sido aplicado en múltiples ocasiones por este Tribunal</w:t>
      </w:r>
      <w:r w:rsidRPr="00333304">
        <w:rPr>
          <w:rFonts w:ascii="Verdana" w:hAnsi="Verdana"/>
          <w:sz w:val="20"/>
          <w:szCs w:val="20"/>
          <w:vertAlign w:val="superscript"/>
        </w:rPr>
        <w:footnoteReference w:id="188"/>
      </w:r>
      <w:r w:rsidRPr="00333304">
        <w:rPr>
          <w:rFonts w:ascii="Verdana" w:hAnsi="Verdana"/>
          <w:sz w:val="20"/>
          <w:szCs w:val="20"/>
        </w:rPr>
        <w:t>.</w:t>
      </w:r>
    </w:p>
    <w:p w14:paraId="1CEB8AF8" w14:textId="77777777" w:rsidR="00032FC5" w:rsidRPr="00A90053" w:rsidRDefault="00032FC5" w:rsidP="00801513">
      <w:pPr>
        <w:contextualSpacing/>
        <w:jc w:val="both"/>
        <w:rPr>
          <w:rFonts w:ascii="Verdana" w:hAnsi="Verdana"/>
          <w:b/>
          <w:sz w:val="20"/>
          <w:szCs w:val="20"/>
        </w:rPr>
      </w:pPr>
    </w:p>
    <w:p w14:paraId="71A22A03" w14:textId="77777777" w:rsidR="00032FC5" w:rsidRPr="00A92D34" w:rsidRDefault="00032FC5" w:rsidP="00E66DD7">
      <w:pPr>
        <w:numPr>
          <w:ilvl w:val="0"/>
          <w:numId w:val="1"/>
        </w:numPr>
        <w:ind w:left="0" w:firstLine="0"/>
        <w:contextualSpacing/>
        <w:jc w:val="both"/>
        <w:rPr>
          <w:rFonts w:ascii="Verdana" w:hAnsi="Verdana"/>
          <w:sz w:val="20"/>
          <w:szCs w:val="20"/>
          <w:lang w:val="es-EC"/>
        </w:rPr>
      </w:pPr>
      <w:r w:rsidRPr="00032FC5">
        <w:rPr>
          <w:rFonts w:ascii="Verdana" w:hAnsi="Verdana"/>
          <w:bCs/>
          <w:color w:val="000000"/>
          <w:sz w:val="20"/>
          <w:szCs w:val="20"/>
        </w:rPr>
        <w:t>P</w:t>
      </w:r>
      <w:r w:rsidRPr="002A2C6C">
        <w:rPr>
          <w:rFonts w:ascii="Verdana" w:hAnsi="Verdana"/>
          <w:bCs/>
          <w:color w:val="000000"/>
          <w:sz w:val="20"/>
          <w:szCs w:val="20"/>
        </w:rPr>
        <w:t>or</w:t>
      </w:r>
      <w:r w:rsidRPr="00A90053">
        <w:rPr>
          <w:rFonts w:ascii="Verdana" w:hAnsi="Verdana"/>
          <w:bCs/>
          <w:color w:val="000000"/>
          <w:sz w:val="20"/>
          <w:szCs w:val="20"/>
        </w:rPr>
        <w:t xml:space="preserve"> ello, </w:t>
      </w:r>
      <w:r>
        <w:rPr>
          <w:rFonts w:ascii="Verdana" w:hAnsi="Verdana"/>
          <w:bCs/>
          <w:color w:val="000000"/>
          <w:sz w:val="20"/>
          <w:szCs w:val="20"/>
        </w:rPr>
        <w:t>para efectos del presente caso, a la luz del artículo 29 de la Convención Americana</w:t>
      </w:r>
      <w:r w:rsidRPr="004054C8">
        <w:rPr>
          <w:rStyle w:val="FootnoteReference"/>
          <w:rFonts w:cs="Helvetica"/>
          <w:szCs w:val="20"/>
        </w:rPr>
        <w:footnoteReference w:id="189"/>
      </w:r>
      <w:r>
        <w:rPr>
          <w:rFonts w:ascii="Verdana" w:hAnsi="Verdana"/>
          <w:bCs/>
          <w:color w:val="000000"/>
          <w:sz w:val="20"/>
          <w:szCs w:val="20"/>
        </w:rPr>
        <w:t xml:space="preserve">, </w:t>
      </w:r>
      <w:r w:rsidRPr="00A90053">
        <w:rPr>
          <w:rFonts w:ascii="Verdana" w:hAnsi="Verdana"/>
          <w:bCs/>
          <w:color w:val="000000"/>
          <w:sz w:val="20"/>
          <w:szCs w:val="20"/>
        </w:rPr>
        <w:t>el Tribunal</w:t>
      </w:r>
      <w:r w:rsidRPr="00A90053">
        <w:rPr>
          <w:rFonts w:ascii="Verdana" w:hAnsi="Verdana" w:cs="Verdana"/>
          <w:sz w:val="20"/>
          <w:szCs w:val="20"/>
          <w:lang w:eastAsia="es-MX"/>
        </w:rPr>
        <w:t xml:space="preserve"> procederá a examinar en este capítulo </w:t>
      </w:r>
      <w:r>
        <w:rPr>
          <w:rFonts w:ascii="Verdana" w:hAnsi="Verdana" w:cs="Verdana"/>
          <w:sz w:val="20"/>
          <w:szCs w:val="20"/>
          <w:lang w:eastAsia="es-MX"/>
        </w:rPr>
        <w:t>el</w:t>
      </w:r>
      <w:r>
        <w:rPr>
          <w:rFonts w:ascii="Verdana" w:hAnsi="Verdana"/>
          <w:bCs/>
          <w:color w:val="000000"/>
          <w:sz w:val="20"/>
          <w:szCs w:val="20"/>
        </w:rPr>
        <w:t xml:space="preserve"> alcance</w:t>
      </w:r>
      <w:r w:rsidRPr="00A90053">
        <w:rPr>
          <w:rFonts w:ascii="Verdana" w:hAnsi="Verdana"/>
          <w:bCs/>
          <w:color w:val="000000"/>
          <w:sz w:val="20"/>
          <w:szCs w:val="20"/>
        </w:rPr>
        <w:t xml:space="preserve"> </w:t>
      </w:r>
      <w:r>
        <w:rPr>
          <w:rFonts w:ascii="Verdana" w:hAnsi="Verdana"/>
          <w:bCs/>
          <w:color w:val="000000"/>
          <w:sz w:val="20"/>
          <w:szCs w:val="20"/>
        </w:rPr>
        <w:t>del derecho a la estabilidad laboral, de conformidad con el</w:t>
      </w:r>
      <w:r w:rsidRPr="00A90053">
        <w:rPr>
          <w:rFonts w:ascii="Verdana" w:hAnsi="Verdana"/>
          <w:bCs/>
          <w:color w:val="000000"/>
          <w:sz w:val="20"/>
          <w:szCs w:val="20"/>
        </w:rPr>
        <w:t xml:space="preserve"> artículo 26 de la Convención Americana</w:t>
      </w:r>
      <w:r>
        <w:rPr>
          <w:rFonts w:ascii="Verdana" w:hAnsi="Verdana"/>
          <w:bCs/>
          <w:color w:val="000000"/>
          <w:sz w:val="20"/>
          <w:szCs w:val="20"/>
        </w:rPr>
        <w:t>.</w:t>
      </w:r>
    </w:p>
    <w:p w14:paraId="70954F4C" w14:textId="77777777" w:rsidR="0088700B" w:rsidRDefault="0088700B" w:rsidP="00032FC5">
      <w:pPr>
        <w:contextualSpacing/>
        <w:jc w:val="both"/>
      </w:pPr>
    </w:p>
    <w:p w14:paraId="4D99F36F" w14:textId="77777777" w:rsidR="00032FC5" w:rsidRPr="00801513" w:rsidRDefault="00032FC5" w:rsidP="00E66DD7">
      <w:pPr>
        <w:pStyle w:val="Heading3"/>
        <w:numPr>
          <w:ilvl w:val="1"/>
          <w:numId w:val="11"/>
        </w:numPr>
        <w:ind w:hanging="229"/>
        <w:rPr>
          <w:i/>
          <w:color w:val="000000"/>
          <w:szCs w:val="20"/>
        </w:rPr>
      </w:pPr>
      <w:bookmarkStart w:id="51" w:name="_Toc498333508"/>
      <w:r w:rsidRPr="00801513">
        <w:rPr>
          <w:i/>
          <w:color w:val="000000"/>
          <w:szCs w:val="20"/>
        </w:rPr>
        <w:t>El derecho a la estabilidad laboral como derecho protegido</w:t>
      </w:r>
      <w:bookmarkEnd w:id="51"/>
    </w:p>
    <w:p w14:paraId="261CC50A" w14:textId="77777777" w:rsidR="00032FC5" w:rsidRPr="004B6343" w:rsidRDefault="00032FC5" w:rsidP="00032FC5">
      <w:pPr>
        <w:ind w:left="720"/>
        <w:contextualSpacing/>
        <w:jc w:val="both"/>
        <w:rPr>
          <w:rFonts w:ascii="Verdana" w:hAnsi="Verdana"/>
          <w:sz w:val="20"/>
          <w:szCs w:val="20"/>
        </w:rPr>
      </w:pPr>
    </w:p>
    <w:p w14:paraId="38BFD0B3" w14:textId="6C4F4B28" w:rsidR="00032FC5" w:rsidRPr="005824F1" w:rsidRDefault="00032FC5" w:rsidP="00E66DD7">
      <w:pPr>
        <w:numPr>
          <w:ilvl w:val="0"/>
          <w:numId w:val="1"/>
        </w:numPr>
        <w:ind w:left="0" w:firstLine="0"/>
        <w:contextualSpacing/>
        <w:jc w:val="both"/>
        <w:rPr>
          <w:rFonts w:ascii="Verdana" w:hAnsi="Verdana"/>
          <w:color w:val="000000"/>
          <w:sz w:val="20"/>
          <w:szCs w:val="20"/>
        </w:rPr>
      </w:pPr>
      <w:r>
        <w:rPr>
          <w:rFonts w:ascii="Verdana" w:hAnsi="Verdana" w:cs="Verdana"/>
          <w:sz w:val="20"/>
          <w:szCs w:val="20"/>
          <w:lang w:eastAsia="es-MX"/>
        </w:rPr>
        <w:t>E</w:t>
      </w:r>
      <w:r w:rsidRPr="00337E94">
        <w:rPr>
          <w:rFonts w:ascii="Verdana" w:hAnsi="Verdana" w:cs="Verdana"/>
          <w:sz w:val="20"/>
          <w:szCs w:val="20"/>
          <w:lang w:eastAsia="es-MX"/>
        </w:rPr>
        <w:t xml:space="preserve">sta Corte </w:t>
      </w:r>
      <w:r>
        <w:rPr>
          <w:rFonts w:ascii="Verdana" w:hAnsi="Verdana" w:cs="Verdana"/>
          <w:sz w:val="20"/>
          <w:szCs w:val="20"/>
          <w:lang w:eastAsia="es-MX"/>
        </w:rPr>
        <w:t>ha</w:t>
      </w:r>
      <w:r w:rsidRPr="00337E94">
        <w:rPr>
          <w:rFonts w:ascii="Verdana" w:hAnsi="Verdana" w:cs="Verdana"/>
          <w:sz w:val="20"/>
          <w:szCs w:val="20"/>
          <w:lang w:eastAsia="es-MX"/>
        </w:rPr>
        <w:t xml:space="preserve"> </w:t>
      </w:r>
      <w:r>
        <w:rPr>
          <w:rFonts w:ascii="Verdana" w:hAnsi="Verdana" w:cs="Verdana"/>
          <w:sz w:val="20"/>
          <w:szCs w:val="20"/>
          <w:lang w:eastAsia="es-MX"/>
        </w:rPr>
        <w:t>reiterado</w:t>
      </w:r>
      <w:r w:rsidRPr="00337E94">
        <w:rPr>
          <w:rFonts w:ascii="Verdana" w:hAnsi="Verdana" w:cs="Verdana"/>
          <w:sz w:val="20"/>
          <w:szCs w:val="20"/>
          <w:lang w:eastAsia="es-MX"/>
        </w:rPr>
        <w:t xml:space="preserve"> la interdependencia e indivisibilidad existente entre los derechos civiles y políticos</w:t>
      </w:r>
      <w:r w:rsidRPr="008827AD">
        <w:rPr>
          <w:rFonts w:ascii="Verdana" w:hAnsi="Verdana" w:cs="Verdana"/>
          <w:sz w:val="20"/>
          <w:szCs w:val="20"/>
          <w:lang w:eastAsia="es-MX"/>
        </w:rPr>
        <w:t>, y los económicos, sociales y c</w:t>
      </w:r>
      <w:r w:rsidRPr="00B3760D">
        <w:rPr>
          <w:rFonts w:ascii="Verdana" w:hAnsi="Verdana" w:cs="Verdana"/>
          <w:sz w:val="20"/>
          <w:szCs w:val="20"/>
          <w:lang w:eastAsia="es-MX"/>
        </w:rPr>
        <w:t xml:space="preserve">ulturales, </w:t>
      </w:r>
      <w:r w:rsidRPr="00333304">
        <w:rPr>
          <w:rFonts w:ascii="Verdana" w:hAnsi="Verdana" w:cs="Verdana"/>
          <w:sz w:val="20"/>
          <w:szCs w:val="20"/>
          <w:lang w:eastAsia="es-MX"/>
        </w:rPr>
        <w:t>puesto</w:t>
      </w:r>
      <w:r w:rsidRPr="00B3760D">
        <w:rPr>
          <w:rFonts w:ascii="Verdana" w:hAnsi="Verdana" w:cs="Verdana"/>
          <w:sz w:val="20"/>
          <w:szCs w:val="20"/>
          <w:lang w:eastAsia="es-MX"/>
        </w:rPr>
        <w:t xml:space="preserve"> que deben ser entendidos integralmente </w:t>
      </w:r>
      <w:r w:rsidR="006B1DAB">
        <w:rPr>
          <w:rFonts w:ascii="Verdana" w:hAnsi="Verdana" w:cs="Verdana"/>
          <w:sz w:val="20"/>
          <w:szCs w:val="20"/>
          <w:lang w:eastAsia="es-MX"/>
        </w:rPr>
        <w:t xml:space="preserve">y de forma conglobada </w:t>
      </w:r>
      <w:r w:rsidRPr="00B3760D">
        <w:rPr>
          <w:rFonts w:ascii="Verdana" w:hAnsi="Verdana" w:cs="Verdana"/>
          <w:sz w:val="20"/>
          <w:szCs w:val="20"/>
          <w:lang w:eastAsia="es-MX"/>
        </w:rPr>
        <w:t>como derechos humanos, sin jerarquía entre sí y exigibles en todos los casos ante aquellas autoridades que resulten competentes para ello</w:t>
      </w:r>
      <w:r w:rsidRPr="00A90053">
        <w:rPr>
          <w:rStyle w:val="FootnoteReference"/>
          <w:rFonts w:cs="Verdana"/>
          <w:szCs w:val="20"/>
          <w:lang w:eastAsia="es-MX"/>
        </w:rPr>
        <w:footnoteReference w:id="190"/>
      </w:r>
      <w:r w:rsidR="00547C2C" w:rsidRPr="00333304">
        <w:rPr>
          <w:rFonts w:ascii="Verdana" w:hAnsi="Verdana" w:cs="Verdana"/>
          <w:sz w:val="20"/>
          <w:szCs w:val="20"/>
          <w:lang w:eastAsia="es-MX"/>
        </w:rPr>
        <w:t>.</w:t>
      </w:r>
    </w:p>
    <w:p w14:paraId="31B6221E" w14:textId="77777777" w:rsidR="00032FC5" w:rsidRPr="00834E28" w:rsidRDefault="00032FC5" w:rsidP="00032FC5">
      <w:pPr>
        <w:contextualSpacing/>
        <w:jc w:val="both"/>
        <w:rPr>
          <w:rFonts w:ascii="Verdana" w:hAnsi="Verdana"/>
          <w:color w:val="000000"/>
          <w:sz w:val="20"/>
          <w:szCs w:val="20"/>
        </w:rPr>
      </w:pPr>
    </w:p>
    <w:p w14:paraId="3347B07E" w14:textId="77777777" w:rsidR="00032FC5" w:rsidRPr="005824F1" w:rsidRDefault="00032FC5" w:rsidP="00E66DD7">
      <w:pPr>
        <w:numPr>
          <w:ilvl w:val="0"/>
          <w:numId w:val="1"/>
        </w:numPr>
        <w:ind w:left="0" w:firstLine="0"/>
        <w:contextualSpacing/>
        <w:jc w:val="both"/>
        <w:rPr>
          <w:rFonts w:ascii="Verdana" w:hAnsi="Verdana"/>
          <w:b/>
          <w:sz w:val="20"/>
          <w:szCs w:val="20"/>
        </w:rPr>
      </w:pPr>
      <w:r w:rsidRPr="00A90053">
        <w:rPr>
          <w:rFonts w:ascii="Verdana" w:hAnsi="Verdana"/>
          <w:sz w:val="20"/>
          <w:szCs w:val="20"/>
          <w:lang w:val="es-ES"/>
        </w:rPr>
        <w:t xml:space="preserve">Tal como </w:t>
      </w:r>
      <w:r w:rsidRPr="00A90053">
        <w:rPr>
          <w:rFonts w:ascii="Verdana" w:hAnsi="Verdana"/>
          <w:sz w:val="20"/>
          <w:szCs w:val="20"/>
        </w:rPr>
        <w:t xml:space="preserve">fue señalado en el </w:t>
      </w:r>
      <w:r w:rsidRPr="00A90053">
        <w:rPr>
          <w:rFonts w:ascii="Verdana" w:hAnsi="Verdana"/>
          <w:i/>
          <w:sz w:val="20"/>
          <w:szCs w:val="20"/>
        </w:rPr>
        <w:t>Caso Acevedo Buendía y otros Vs. Perú</w:t>
      </w:r>
      <w:r w:rsidRPr="00A90053">
        <w:rPr>
          <w:rStyle w:val="FootnoteReference"/>
          <w:szCs w:val="20"/>
        </w:rPr>
        <w:footnoteReference w:id="191"/>
      </w:r>
      <w:r w:rsidRPr="00A90053">
        <w:rPr>
          <w:rFonts w:ascii="Verdana" w:hAnsi="Verdana"/>
          <w:sz w:val="20"/>
          <w:szCs w:val="20"/>
        </w:rPr>
        <w:t>,</w:t>
      </w:r>
      <w:r w:rsidRPr="00A90053">
        <w:rPr>
          <w:rFonts w:ascii="Verdana" w:hAnsi="Verdana"/>
          <w:i/>
          <w:sz w:val="20"/>
          <w:szCs w:val="20"/>
        </w:rPr>
        <w:t xml:space="preserve"> </w:t>
      </w:r>
      <w:r w:rsidRPr="00A90053">
        <w:rPr>
          <w:rFonts w:ascii="Verdana" w:hAnsi="Verdana" w:cs="Verdana"/>
          <w:sz w:val="20"/>
          <w:szCs w:val="20"/>
          <w:lang w:eastAsia="es-MX"/>
        </w:rPr>
        <w:t>este Tribunal tiene el derecho a resolver cualquier controversia relativa a su jurisdicción</w:t>
      </w:r>
      <w:r w:rsidRPr="00A90053">
        <w:rPr>
          <w:rStyle w:val="FootnoteReference"/>
          <w:rFonts w:cs="Verdana"/>
          <w:szCs w:val="20"/>
          <w:lang w:eastAsia="es-MX"/>
        </w:rPr>
        <w:footnoteReference w:id="192"/>
      </w:r>
      <w:r w:rsidRPr="00A90053">
        <w:rPr>
          <w:rFonts w:ascii="Verdana" w:hAnsi="Verdana" w:cs="Verdana"/>
          <w:sz w:val="20"/>
          <w:szCs w:val="20"/>
          <w:lang w:eastAsia="es-MX"/>
        </w:rPr>
        <w:t xml:space="preserve">. En este mismo </w:t>
      </w:r>
      <w:r w:rsidRPr="00A90053">
        <w:rPr>
          <w:rFonts w:ascii="Verdana" w:hAnsi="Verdana" w:cs="Verdana"/>
          <w:sz w:val="20"/>
          <w:szCs w:val="20"/>
          <w:lang w:eastAsia="es-MX"/>
        </w:rPr>
        <w:lastRenderedPageBreak/>
        <w:t>sentido, el Tribunal ha señalado anteriormente que los términos amplios en que está redactada la Convención indican que la Corte ejerce una jurisdicción plena sobre todos sus artículos y disposiciones</w:t>
      </w:r>
      <w:r w:rsidRPr="00A90053">
        <w:rPr>
          <w:rStyle w:val="FootnoteReference"/>
          <w:rFonts w:cs="Verdana"/>
          <w:szCs w:val="20"/>
          <w:lang w:eastAsia="es-MX"/>
        </w:rPr>
        <w:footnoteReference w:id="193"/>
      </w:r>
      <w:r w:rsidRPr="00A90053">
        <w:rPr>
          <w:rFonts w:ascii="Verdana" w:hAnsi="Verdana" w:cs="Verdana"/>
          <w:sz w:val="20"/>
          <w:szCs w:val="20"/>
          <w:lang w:eastAsia="es-MX"/>
        </w:rPr>
        <w:t xml:space="preserve">. </w:t>
      </w:r>
      <w:r w:rsidRPr="00A90053">
        <w:rPr>
          <w:rFonts w:ascii="Verdana" w:hAnsi="Verdana" w:cs="Verdana"/>
          <w:sz w:val="20"/>
          <w:szCs w:val="20"/>
        </w:rPr>
        <w:t xml:space="preserve">Asimismo, resulta pertinente </w:t>
      </w:r>
      <w:r>
        <w:rPr>
          <w:rFonts w:ascii="Verdana" w:hAnsi="Verdana" w:cs="Verdana"/>
          <w:sz w:val="20"/>
          <w:szCs w:val="20"/>
        </w:rPr>
        <w:t>notar</w:t>
      </w:r>
      <w:r w:rsidRPr="00A90053">
        <w:rPr>
          <w:rFonts w:ascii="Verdana" w:hAnsi="Verdana" w:cs="Verdana"/>
          <w:sz w:val="20"/>
          <w:szCs w:val="20"/>
        </w:rPr>
        <w:t xml:space="preserve"> que si bien el artículo 26 se encuentra en el capítulo III de la Convención, titulado “Derechos Económicos, Sociales y Culturales”, se ubica también, en la Parte I de dicho instrumento, titulado “Deberes de los Estados y Derechos Protegidos” y, por ende, está sujeto a las obligaciones generales contenidas en los artículos 1.1 y 2 señalados en el capítulo I (titulado “Enumeración de Deberes”), así como lo están los artículos 3 al 25 señalados en el capítulo II (titulado “Derechos Civiles y Políticos”)</w:t>
      </w:r>
      <w:r w:rsidRPr="00A90053">
        <w:rPr>
          <w:rStyle w:val="FootnoteReference"/>
          <w:rFonts w:cs="Verdana"/>
          <w:szCs w:val="20"/>
        </w:rPr>
        <w:footnoteReference w:id="194"/>
      </w:r>
      <w:r w:rsidRPr="00A90053">
        <w:rPr>
          <w:rFonts w:ascii="Verdana" w:hAnsi="Verdana" w:cs="Verdana"/>
          <w:sz w:val="20"/>
          <w:szCs w:val="20"/>
        </w:rPr>
        <w:t xml:space="preserve">. </w:t>
      </w:r>
    </w:p>
    <w:p w14:paraId="604A9236" w14:textId="77777777" w:rsidR="00032FC5" w:rsidRPr="00A90053" w:rsidRDefault="00032FC5" w:rsidP="00032FC5">
      <w:pPr>
        <w:contextualSpacing/>
        <w:jc w:val="both"/>
        <w:rPr>
          <w:rFonts w:ascii="Verdana" w:hAnsi="Verdana"/>
          <w:b/>
          <w:sz w:val="20"/>
          <w:szCs w:val="20"/>
        </w:rPr>
      </w:pPr>
    </w:p>
    <w:p w14:paraId="27D8038D" w14:textId="773769EA" w:rsidR="00032FC5" w:rsidRDefault="00032FC5" w:rsidP="00E66DD7">
      <w:pPr>
        <w:numPr>
          <w:ilvl w:val="0"/>
          <w:numId w:val="1"/>
        </w:numPr>
        <w:ind w:left="0" w:firstLine="0"/>
        <w:contextualSpacing/>
        <w:jc w:val="both"/>
        <w:rPr>
          <w:rFonts w:ascii="Verdana" w:hAnsi="Verdana"/>
          <w:color w:val="000000"/>
          <w:sz w:val="20"/>
          <w:szCs w:val="20"/>
        </w:rPr>
      </w:pPr>
      <w:r w:rsidRPr="00A90053">
        <w:rPr>
          <w:rFonts w:ascii="Verdana" w:hAnsi="Verdana"/>
          <w:color w:val="000000"/>
          <w:sz w:val="20"/>
          <w:szCs w:val="20"/>
        </w:rPr>
        <w:t>Respecto a los derechos laborales específicos protegidos por el artículo 26 de la Convención Americana, la Corte</w:t>
      </w:r>
      <w:r w:rsidR="00334B6C">
        <w:rPr>
          <w:rFonts w:ascii="Verdana" w:hAnsi="Verdana"/>
          <w:color w:val="000000"/>
          <w:sz w:val="20"/>
          <w:szCs w:val="20"/>
        </w:rPr>
        <w:t xml:space="preserve"> observa que los términos del mismo </w:t>
      </w:r>
      <w:r w:rsidRPr="00A90053">
        <w:rPr>
          <w:rFonts w:ascii="Verdana" w:hAnsi="Verdana"/>
          <w:color w:val="000000"/>
          <w:sz w:val="20"/>
          <w:szCs w:val="20"/>
        </w:rPr>
        <w:t>indican que son aquello</w:t>
      </w:r>
      <w:r>
        <w:rPr>
          <w:rFonts w:ascii="Verdana" w:hAnsi="Verdana"/>
          <w:color w:val="000000"/>
          <w:sz w:val="20"/>
          <w:szCs w:val="20"/>
        </w:rPr>
        <w:t>s</w:t>
      </w:r>
      <w:r w:rsidRPr="00A90053">
        <w:rPr>
          <w:rFonts w:ascii="Verdana" w:hAnsi="Verdana"/>
          <w:color w:val="000000"/>
          <w:sz w:val="20"/>
          <w:szCs w:val="20"/>
        </w:rPr>
        <w:t xml:space="preserve"> </w:t>
      </w:r>
      <w:r w:rsidR="00334B6C">
        <w:rPr>
          <w:rFonts w:ascii="Verdana" w:hAnsi="Verdana"/>
          <w:color w:val="000000"/>
          <w:sz w:val="20"/>
          <w:szCs w:val="20"/>
        </w:rPr>
        <w:t xml:space="preserve">derechos </w:t>
      </w:r>
      <w:r w:rsidRPr="00A90053">
        <w:rPr>
          <w:rFonts w:ascii="Verdana" w:hAnsi="Verdana"/>
          <w:color w:val="000000"/>
          <w:sz w:val="20"/>
          <w:szCs w:val="20"/>
        </w:rPr>
        <w:t>que se derivan de las normas económicas, sociales y sobre educación, ciencia y cultura contenidas en la Carta de la OEA. Ahora bien, los artículos 45.b</w:t>
      </w:r>
      <w:r w:rsidR="00E67E7B">
        <w:rPr>
          <w:rFonts w:ascii="Verdana" w:hAnsi="Verdana"/>
          <w:color w:val="000000"/>
          <w:sz w:val="20"/>
          <w:szCs w:val="20"/>
        </w:rPr>
        <w:t xml:space="preserve"> y </w:t>
      </w:r>
      <w:r>
        <w:rPr>
          <w:rFonts w:ascii="Verdana" w:hAnsi="Verdana"/>
          <w:color w:val="000000"/>
          <w:sz w:val="20"/>
          <w:szCs w:val="20"/>
        </w:rPr>
        <w:t>c</w:t>
      </w:r>
      <w:r w:rsidRPr="00A90053">
        <w:rPr>
          <w:rStyle w:val="FootnoteReference"/>
          <w:color w:val="000000"/>
          <w:szCs w:val="20"/>
        </w:rPr>
        <w:footnoteReference w:id="195"/>
      </w:r>
      <w:r>
        <w:rPr>
          <w:rFonts w:ascii="Verdana" w:hAnsi="Verdana"/>
          <w:color w:val="000000"/>
          <w:sz w:val="20"/>
          <w:szCs w:val="20"/>
        </w:rPr>
        <w:t>, 46</w:t>
      </w:r>
      <w:r>
        <w:rPr>
          <w:rStyle w:val="FootnoteReference"/>
          <w:color w:val="000000"/>
          <w:szCs w:val="20"/>
        </w:rPr>
        <w:footnoteReference w:id="196"/>
      </w:r>
      <w:r w:rsidRPr="00A90053">
        <w:rPr>
          <w:rFonts w:ascii="Verdana" w:hAnsi="Verdana"/>
          <w:color w:val="000000"/>
          <w:sz w:val="20"/>
          <w:szCs w:val="20"/>
        </w:rPr>
        <w:t xml:space="preserve"> y 34.g</w:t>
      </w:r>
      <w:r w:rsidRPr="00A90053">
        <w:rPr>
          <w:rStyle w:val="FootnoteReference"/>
          <w:color w:val="000000"/>
          <w:szCs w:val="20"/>
        </w:rPr>
        <w:footnoteReference w:id="197"/>
      </w:r>
      <w:r w:rsidRPr="00A90053">
        <w:rPr>
          <w:rFonts w:ascii="Verdana" w:hAnsi="Verdana"/>
          <w:color w:val="000000"/>
          <w:sz w:val="20"/>
          <w:szCs w:val="20"/>
        </w:rPr>
        <w:t xml:space="preserve"> de la Carta establecen que “[e]l trabajo es un derecho y un deber social” y que ese debe prestarse con “</w:t>
      </w:r>
      <w:r w:rsidRPr="00A90053">
        <w:rPr>
          <w:rFonts w:ascii="Verdana" w:hAnsi="Verdana" w:cs="Tahoma"/>
          <w:color w:val="000000"/>
          <w:sz w:val="20"/>
          <w:szCs w:val="20"/>
          <w:lang w:val="es-ES"/>
        </w:rPr>
        <w:t xml:space="preserve">salarios justos, oportunidades de empleo y condiciones de trabajo </w:t>
      </w:r>
      <w:r w:rsidRPr="00801513">
        <w:rPr>
          <w:rFonts w:ascii="Verdana" w:hAnsi="Verdana" w:cs="Tahoma"/>
          <w:color w:val="000000"/>
          <w:sz w:val="20"/>
          <w:szCs w:val="20"/>
          <w:lang w:val="es-ES"/>
        </w:rPr>
        <w:t>aceptables para todos</w:t>
      </w:r>
      <w:r w:rsidRPr="00801513">
        <w:rPr>
          <w:rFonts w:ascii="Verdana" w:hAnsi="Verdana"/>
          <w:color w:val="000000"/>
          <w:sz w:val="20"/>
          <w:szCs w:val="20"/>
        </w:rPr>
        <w:t>”.</w:t>
      </w:r>
      <w:r w:rsidRPr="00A90053">
        <w:rPr>
          <w:rFonts w:ascii="Verdana" w:hAnsi="Verdana"/>
          <w:color w:val="000000"/>
          <w:sz w:val="20"/>
          <w:szCs w:val="20"/>
        </w:rPr>
        <w:t xml:space="preserve"> </w:t>
      </w:r>
      <w:r>
        <w:rPr>
          <w:rFonts w:ascii="Verdana" w:hAnsi="Verdana"/>
          <w:color w:val="000000"/>
          <w:sz w:val="20"/>
          <w:szCs w:val="20"/>
        </w:rPr>
        <w:t xml:space="preserve">Asimismo, </w:t>
      </w:r>
      <w:r w:rsidR="00E67E7B">
        <w:rPr>
          <w:rFonts w:ascii="Verdana" w:hAnsi="Verdana"/>
          <w:color w:val="000000"/>
          <w:sz w:val="20"/>
          <w:szCs w:val="20"/>
        </w:rPr>
        <w:t xml:space="preserve">señalan que </w:t>
      </w:r>
      <w:r>
        <w:rPr>
          <w:rFonts w:ascii="Verdana" w:hAnsi="Verdana"/>
          <w:color w:val="000000"/>
          <w:sz w:val="20"/>
          <w:szCs w:val="20"/>
        </w:rPr>
        <w:t xml:space="preserve">el derecho de los trabajadores y trabajadoras a “asociarse libremente para la defensa y promoción de sus intereses”. </w:t>
      </w:r>
      <w:r w:rsidR="00E67E7B">
        <w:rPr>
          <w:rFonts w:ascii="Verdana" w:hAnsi="Verdana"/>
          <w:color w:val="000000"/>
          <w:sz w:val="20"/>
          <w:szCs w:val="20"/>
        </w:rPr>
        <w:t>Además, indican que l</w:t>
      </w:r>
      <w:r>
        <w:rPr>
          <w:rFonts w:ascii="Verdana" w:hAnsi="Verdana"/>
          <w:color w:val="000000"/>
          <w:sz w:val="20"/>
          <w:szCs w:val="20"/>
        </w:rPr>
        <w:t xml:space="preserve">os Estados deben “armonizar la legislación social” para la protección de tales derechos. Desde su </w:t>
      </w:r>
      <w:r w:rsidRPr="008E18C3">
        <w:rPr>
          <w:rFonts w:ascii="Verdana" w:hAnsi="Verdana"/>
          <w:color w:val="000000"/>
          <w:sz w:val="20"/>
          <w:szCs w:val="20"/>
        </w:rPr>
        <w:t xml:space="preserve">Opinión Consultiva </w:t>
      </w:r>
      <w:r w:rsidRPr="003B45F4">
        <w:rPr>
          <w:rFonts w:ascii="Verdana" w:hAnsi="Verdana"/>
          <w:sz w:val="20"/>
          <w:szCs w:val="20"/>
          <w:lang w:val="es-CR"/>
        </w:rPr>
        <w:t>OC-10/89</w:t>
      </w:r>
      <w:r>
        <w:rPr>
          <w:rFonts w:ascii="Verdana" w:hAnsi="Verdana"/>
          <w:color w:val="000000"/>
          <w:sz w:val="20"/>
          <w:szCs w:val="20"/>
        </w:rPr>
        <w:t xml:space="preserve">, la Corte señaló que: </w:t>
      </w:r>
    </w:p>
    <w:p w14:paraId="250CFB36" w14:textId="77777777" w:rsidR="00032FC5" w:rsidRDefault="00032FC5" w:rsidP="00032FC5">
      <w:pPr>
        <w:contextualSpacing/>
        <w:jc w:val="both"/>
        <w:rPr>
          <w:rFonts w:ascii="Verdana" w:hAnsi="Verdana"/>
          <w:color w:val="000000"/>
          <w:sz w:val="20"/>
          <w:szCs w:val="20"/>
        </w:rPr>
      </w:pPr>
    </w:p>
    <w:p w14:paraId="7E0E08ED" w14:textId="77777777" w:rsidR="00032FC5" w:rsidRPr="005824F1" w:rsidRDefault="00032FC5" w:rsidP="00032FC5">
      <w:pPr>
        <w:autoSpaceDE w:val="0"/>
        <w:autoSpaceDN w:val="0"/>
        <w:adjustRightInd w:val="0"/>
        <w:ind w:left="708" w:right="390"/>
        <w:jc w:val="both"/>
        <w:rPr>
          <w:rFonts w:ascii="Verdana" w:eastAsiaTheme="minorHAnsi" w:hAnsi="Verdana" w:cs="Verdana"/>
          <w:sz w:val="18"/>
          <w:szCs w:val="20"/>
          <w:lang w:val="es-CR"/>
        </w:rPr>
      </w:pPr>
      <w:r>
        <w:rPr>
          <w:rFonts w:ascii="Verdana" w:eastAsiaTheme="minorHAnsi" w:hAnsi="Verdana" w:cs="Verdana"/>
          <w:sz w:val="18"/>
          <w:szCs w:val="20"/>
          <w:lang w:val="es-CR"/>
        </w:rPr>
        <w:t>[…] L</w:t>
      </w:r>
      <w:r w:rsidRPr="005824F1">
        <w:rPr>
          <w:rFonts w:ascii="Verdana" w:eastAsiaTheme="minorHAnsi" w:hAnsi="Verdana" w:cs="Verdana"/>
          <w:sz w:val="18"/>
          <w:szCs w:val="20"/>
          <w:lang w:val="es-CR"/>
        </w:rPr>
        <w:t>os</w:t>
      </w:r>
      <w:r>
        <w:rPr>
          <w:rFonts w:ascii="Verdana" w:eastAsiaTheme="minorHAnsi" w:hAnsi="Verdana" w:cs="Verdana"/>
          <w:sz w:val="18"/>
          <w:szCs w:val="20"/>
          <w:lang w:val="es-CR"/>
        </w:rPr>
        <w:t xml:space="preserve"> </w:t>
      </w:r>
      <w:r w:rsidRPr="005824F1">
        <w:rPr>
          <w:rFonts w:ascii="Verdana" w:eastAsiaTheme="minorHAnsi" w:hAnsi="Verdana" w:cs="Verdana"/>
          <w:sz w:val="18"/>
          <w:szCs w:val="20"/>
          <w:lang w:val="es-CR"/>
        </w:rPr>
        <w:t>Estados Miembros han entendido que la Declara</w:t>
      </w:r>
      <w:r w:rsidRPr="00B60728">
        <w:rPr>
          <w:rFonts w:ascii="Verdana" w:eastAsiaTheme="minorHAnsi" w:hAnsi="Verdana" w:cs="Verdana"/>
          <w:sz w:val="18"/>
          <w:szCs w:val="20"/>
          <w:lang w:val="es-CR"/>
        </w:rPr>
        <w:t>ción contiene y define aquellos</w:t>
      </w:r>
      <w:r>
        <w:rPr>
          <w:rFonts w:ascii="Verdana" w:eastAsiaTheme="minorHAnsi" w:hAnsi="Verdana" w:cs="Verdana"/>
          <w:sz w:val="18"/>
          <w:szCs w:val="20"/>
          <w:lang w:val="es-CR"/>
        </w:rPr>
        <w:t xml:space="preserve"> </w:t>
      </w:r>
      <w:r w:rsidRPr="005824F1">
        <w:rPr>
          <w:rFonts w:ascii="Verdana" w:eastAsiaTheme="minorHAnsi" w:hAnsi="Verdana" w:cs="Verdana"/>
          <w:sz w:val="18"/>
          <w:szCs w:val="20"/>
          <w:lang w:val="es-CR"/>
        </w:rPr>
        <w:t xml:space="preserve">derechos humanos esenciales a los que la Carta </w:t>
      </w:r>
      <w:r w:rsidRPr="00B60728">
        <w:rPr>
          <w:rFonts w:ascii="Verdana" w:eastAsiaTheme="minorHAnsi" w:hAnsi="Verdana" w:cs="Verdana"/>
          <w:sz w:val="18"/>
          <w:szCs w:val="20"/>
          <w:lang w:val="es-CR"/>
        </w:rPr>
        <w:t>se refiere, de manera que no se</w:t>
      </w:r>
      <w:r>
        <w:rPr>
          <w:rFonts w:ascii="Verdana" w:eastAsiaTheme="minorHAnsi" w:hAnsi="Verdana" w:cs="Verdana"/>
          <w:sz w:val="18"/>
          <w:szCs w:val="20"/>
          <w:lang w:val="es-CR"/>
        </w:rPr>
        <w:t xml:space="preserve"> </w:t>
      </w:r>
      <w:r w:rsidRPr="005824F1">
        <w:rPr>
          <w:rFonts w:ascii="Verdana" w:eastAsiaTheme="minorHAnsi" w:hAnsi="Verdana" w:cs="Verdana"/>
          <w:sz w:val="18"/>
          <w:szCs w:val="20"/>
          <w:lang w:val="es-CR"/>
        </w:rPr>
        <w:t>puede interpretar y aplicar la Carta de la Orga</w:t>
      </w:r>
      <w:r w:rsidRPr="00B60728">
        <w:rPr>
          <w:rFonts w:ascii="Verdana" w:eastAsiaTheme="minorHAnsi" w:hAnsi="Verdana" w:cs="Verdana"/>
          <w:sz w:val="18"/>
          <w:szCs w:val="20"/>
          <w:lang w:val="es-CR"/>
        </w:rPr>
        <w:t>nización en materia de derechos</w:t>
      </w:r>
      <w:r>
        <w:rPr>
          <w:rFonts w:ascii="Verdana" w:eastAsiaTheme="minorHAnsi" w:hAnsi="Verdana" w:cs="Verdana"/>
          <w:sz w:val="18"/>
          <w:szCs w:val="20"/>
          <w:lang w:val="es-CR"/>
        </w:rPr>
        <w:t xml:space="preserve"> </w:t>
      </w:r>
      <w:r w:rsidRPr="005824F1">
        <w:rPr>
          <w:rFonts w:ascii="Verdana" w:eastAsiaTheme="minorHAnsi" w:hAnsi="Verdana" w:cs="Verdana"/>
          <w:sz w:val="18"/>
          <w:szCs w:val="20"/>
          <w:lang w:val="es-CR"/>
        </w:rPr>
        <w:t>h</w:t>
      </w:r>
      <w:r w:rsidRPr="00B60728">
        <w:rPr>
          <w:rFonts w:ascii="Verdana" w:eastAsiaTheme="minorHAnsi" w:hAnsi="Verdana" w:cs="Verdana"/>
          <w:sz w:val="18"/>
          <w:szCs w:val="20"/>
          <w:lang w:val="es-CR"/>
        </w:rPr>
        <w:t>umanos, sin integrar las normas</w:t>
      </w:r>
      <w:r>
        <w:rPr>
          <w:rFonts w:ascii="Verdana" w:eastAsiaTheme="minorHAnsi" w:hAnsi="Verdana" w:cs="Verdana"/>
          <w:sz w:val="18"/>
          <w:szCs w:val="20"/>
          <w:lang w:val="es-CR"/>
        </w:rPr>
        <w:t xml:space="preserve"> </w:t>
      </w:r>
      <w:r w:rsidRPr="005824F1">
        <w:rPr>
          <w:rFonts w:ascii="Verdana" w:eastAsiaTheme="minorHAnsi" w:hAnsi="Verdana" w:cs="Verdana"/>
          <w:sz w:val="18"/>
          <w:szCs w:val="20"/>
          <w:lang w:val="es-CR"/>
        </w:rPr>
        <w:t>pertinentes d</w:t>
      </w:r>
      <w:r w:rsidRPr="00B60728">
        <w:rPr>
          <w:rFonts w:ascii="Verdana" w:eastAsiaTheme="minorHAnsi" w:hAnsi="Verdana" w:cs="Verdana"/>
          <w:sz w:val="18"/>
          <w:szCs w:val="20"/>
          <w:lang w:val="es-CR"/>
        </w:rPr>
        <w:t>e ella con las correspondientes</w:t>
      </w:r>
      <w:r>
        <w:rPr>
          <w:rFonts w:ascii="Verdana" w:eastAsiaTheme="minorHAnsi" w:hAnsi="Verdana" w:cs="Verdana"/>
          <w:sz w:val="18"/>
          <w:szCs w:val="20"/>
          <w:lang w:val="es-CR"/>
        </w:rPr>
        <w:t xml:space="preserve"> </w:t>
      </w:r>
      <w:r w:rsidRPr="005824F1">
        <w:rPr>
          <w:rFonts w:ascii="Verdana" w:eastAsiaTheme="minorHAnsi" w:hAnsi="Verdana" w:cs="Verdana"/>
          <w:sz w:val="18"/>
          <w:szCs w:val="20"/>
          <w:lang w:val="es-CR"/>
        </w:rPr>
        <w:t>disposiciones de la Declaración, como resulta de la p</w:t>
      </w:r>
      <w:r w:rsidRPr="000B0EBE">
        <w:rPr>
          <w:rFonts w:ascii="Verdana" w:eastAsiaTheme="minorHAnsi" w:hAnsi="Verdana" w:cs="Verdana"/>
          <w:sz w:val="18"/>
          <w:szCs w:val="20"/>
          <w:lang w:val="es-CR"/>
        </w:rPr>
        <w:t>ráctica seguida por los órganos</w:t>
      </w:r>
      <w:r>
        <w:rPr>
          <w:rFonts w:ascii="Verdana" w:eastAsiaTheme="minorHAnsi" w:hAnsi="Verdana" w:cs="Verdana"/>
          <w:sz w:val="18"/>
          <w:szCs w:val="20"/>
          <w:lang w:val="es-CR"/>
        </w:rPr>
        <w:t xml:space="preserve"> </w:t>
      </w:r>
      <w:r w:rsidRPr="005824F1">
        <w:rPr>
          <w:rFonts w:ascii="Verdana" w:eastAsiaTheme="minorHAnsi" w:hAnsi="Verdana" w:cs="Verdana"/>
          <w:sz w:val="18"/>
          <w:szCs w:val="20"/>
          <w:lang w:val="es-CR"/>
        </w:rPr>
        <w:t>de la OEA</w:t>
      </w:r>
      <w:r>
        <w:rPr>
          <w:rStyle w:val="FootnoteReference"/>
          <w:rFonts w:eastAsiaTheme="minorHAnsi" w:cs="Verdana"/>
          <w:szCs w:val="20"/>
          <w:lang w:val="es-CR"/>
        </w:rPr>
        <w:footnoteReference w:id="198"/>
      </w:r>
      <w:r w:rsidRPr="005824F1">
        <w:rPr>
          <w:rFonts w:ascii="Verdana" w:eastAsiaTheme="minorHAnsi" w:hAnsi="Verdana" w:cs="Verdana"/>
          <w:sz w:val="18"/>
          <w:szCs w:val="20"/>
          <w:lang w:val="es-CR"/>
        </w:rPr>
        <w:t>.</w:t>
      </w:r>
    </w:p>
    <w:p w14:paraId="7B7962C8" w14:textId="77777777" w:rsidR="00032FC5" w:rsidRPr="00A90053" w:rsidRDefault="00032FC5" w:rsidP="00032FC5">
      <w:pPr>
        <w:contextualSpacing/>
        <w:jc w:val="both"/>
        <w:rPr>
          <w:rFonts w:ascii="Verdana" w:hAnsi="Verdana" w:cs="Verdana"/>
          <w:sz w:val="20"/>
          <w:szCs w:val="20"/>
          <w:lang w:eastAsia="es-MX"/>
        </w:rPr>
      </w:pPr>
    </w:p>
    <w:p w14:paraId="7ACF8811" w14:textId="26999CAA" w:rsidR="00032FC5" w:rsidRPr="000B0EBE" w:rsidRDefault="00032FC5" w:rsidP="00E66DD7">
      <w:pPr>
        <w:numPr>
          <w:ilvl w:val="0"/>
          <w:numId w:val="1"/>
        </w:numPr>
        <w:ind w:left="0" w:firstLine="0"/>
        <w:contextualSpacing/>
        <w:jc w:val="both"/>
        <w:rPr>
          <w:rFonts w:ascii="Verdana" w:hAnsi="Verdana"/>
          <w:strike/>
          <w:color w:val="000000"/>
          <w:sz w:val="20"/>
          <w:szCs w:val="20"/>
        </w:rPr>
      </w:pPr>
      <w:r>
        <w:rPr>
          <w:rFonts w:ascii="Verdana" w:hAnsi="Verdana" w:cs="Verdana"/>
          <w:sz w:val="20"/>
          <w:szCs w:val="20"/>
          <w:lang w:eastAsia="es-MX"/>
        </w:rPr>
        <w:t>En este sentido</w:t>
      </w:r>
      <w:r w:rsidRPr="00337E94">
        <w:rPr>
          <w:rFonts w:ascii="Verdana" w:hAnsi="Verdana"/>
          <w:color w:val="000000"/>
          <w:sz w:val="20"/>
          <w:szCs w:val="20"/>
        </w:rPr>
        <w:t>, el artículo XIV de la Declaración Americana dispone</w:t>
      </w:r>
      <w:r w:rsidRPr="008827AD">
        <w:rPr>
          <w:rFonts w:ascii="Verdana" w:hAnsi="Verdana"/>
          <w:color w:val="000000"/>
          <w:sz w:val="20"/>
          <w:szCs w:val="20"/>
        </w:rPr>
        <w:t xml:space="preserve"> que “</w:t>
      </w:r>
      <w:r w:rsidR="00E67E7B">
        <w:rPr>
          <w:rFonts w:ascii="Verdana" w:hAnsi="Verdana" w:cs="Arial"/>
          <w:color w:val="000000"/>
          <w:sz w:val="20"/>
          <w:szCs w:val="20"/>
        </w:rPr>
        <w:t>[t]</w:t>
      </w:r>
      <w:r w:rsidRPr="008827AD">
        <w:rPr>
          <w:rFonts w:ascii="Verdana" w:hAnsi="Verdana" w:cs="Arial"/>
          <w:color w:val="000000"/>
          <w:sz w:val="20"/>
          <w:szCs w:val="20"/>
        </w:rPr>
        <w:t>oda persona tiene derecho al trabajo en condiciones dignas y a seguir libremente su vocación</w:t>
      </w:r>
      <w:r w:rsidR="00E67E7B">
        <w:rPr>
          <w:rFonts w:ascii="Verdana" w:hAnsi="Verdana" w:cs="Arial"/>
          <w:color w:val="000000"/>
          <w:sz w:val="20"/>
          <w:szCs w:val="20"/>
        </w:rPr>
        <w:t xml:space="preserve"> […]</w:t>
      </w:r>
      <w:r w:rsidRPr="008827AD">
        <w:rPr>
          <w:rFonts w:ascii="Verdana" w:hAnsi="Verdana" w:cs="Arial"/>
          <w:color w:val="000000"/>
          <w:sz w:val="20"/>
          <w:szCs w:val="20"/>
        </w:rPr>
        <w:t xml:space="preserve">”. </w:t>
      </w:r>
      <w:r w:rsidRPr="00B3760D">
        <w:rPr>
          <w:rFonts w:ascii="Verdana" w:hAnsi="Verdana"/>
          <w:color w:val="000000"/>
          <w:sz w:val="20"/>
          <w:szCs w:val="20"/>
        </w:rPr>
        <w:t xml:space="preserve">Tal </w:t>
      </w:r>
      <w:r w:rsidRPr="00B3760D">
        <w:rPr>
          <w:rFonts w:ascii="Verdana" w:hAnsi="Verdana"/>
          <w:color w:val="000000"/>
          <w:sz w:val="20"/>
          <w:szCs w:val="20"/>
        </w:rPr>
        <w:lastRenderedPageBreak/>
        <w:t>disposición resulta relevante para definir el alcance del artículo 26, dado que “la Declaración Americana, constituye, en lo pertinente y en relación con la Carta de la Organización, una fuente de obligaciones internacionales”</w:t>
      </w:r>
      <w:r w:rsidRPr="00033721">
        <w:rPr>
          <w:rStyle w:val="FootnoteReference"/>
          <w:color w:val="000000"/>
          <w:szCs w:val="20"/>
        </w:rPr>
        <w:footnoteReference w:id="199"/>
      </w:r>
      <w:r w:rsidRPr="00337E94">
        <w:rPr>
          <w:rFonts w:ascii="Verdana" w:hAnsi="Verdana"/>
          <w:color w:val="000000"/>
          <w:sz w:val="20"/>
          <w:szCs w:val="20"/>
        </w:rPr>
        <w:t xml:space="preserve">. </w:t>
      </w:r>
      <w:r w:rsidRPr="000B0EBE">
        <w:rPr>
          <w:rFonts w:ascii="Verdana" w:hAnsi="Verdana"/>
          <w:color w:val="000000"/>
          <w:sz w:val="20"/>
          <w:szCs w:val="20"/>
        </w:rPr>
        <w:t xml:space="preserve">Asimismo, el artículo 29.d de la Convención </w:t>
      </w:r>
      <w:r>
        <w:rPr>
          <w:rFonts w:ascii="Verdana" w:hAnsi="Verdana"/>
          <w:color w:val="000000"/>
          <w:sz w:val="20"/>
          <w:szCs w:val="20"/>
        </w:rPr>
        <w:t xml:space="preserve">Americana </w:t>
      </w:r>
      <w:r w:rsidRPr="000B0EBE">
        <w:rPr>
          <w:rFonts w:ascii="Verdana" w:hAnsi="Verdana"/>
          <w:color w:val="000000"/>
          <w:sz w:val="20"/>
          <w:szCs w:val="20"/>
        </w:rPr>
        <w:t xml:space="preserve">dispone </w:t>
      </w:r>
      <w:r w:rsidRPr="005824F1">
        <w:rPr>
          <w:rFonts w:ascii="Verdana" w:hAnsi="Verdana"/>
          <w:color w:val="000000"/>
          <w:sz w:val="20"/>
          <w:szCs w:val="20"/>
        </w:rPr>
        <w:t xml:space="preserve">expresamente que </w:t>
      </w:r>
      <w:r w:rsidRPr="000B0EBE">
        <w:rPr>
          <w:rFonts w:ascii="Verdana" w:hAnsi="Verdana"/>
          <w:color w:val="000000"/>
          <w:sz w:val="20"/>
          <w:szCs w:val="20"/>
        </w:rPr>
        <w:t>“</w:t>
      </w:r>
      <w:r w:rsidRPr="005824F1">
        <w:rPr>
          <w:rFonts w:ascii="Verdana" w:hAnsi="Verdana" w:cs="Tahoma"/>
          <w:color w:val="000000"/>
          <w:sz w:val="20"/>
          <w:szCs w:val="20"/>
        </w:rPr>
        <w:t>[n]</w:t>
      </w:r>
      <w:proofErr w:type="spellStart"/>
      <w:r w:rsidRPr="005824F1">
        <w:rPr>
          <w:rFonts w:ascii="Verdana" w:hAnsi="Verdana" w:cs="Tahoma"/>
          <w:color w:val="000000"/>
          <w:sz w:val="20"/>
          <w:szCs w:val="20"/>
        </w:rPr>
        <w:t>inguna</w:t>
      </w:r>
      <w:proofErr w:type="spellEnd"/>
      <w:r w:rsidRPr="005824F1">
        <w:rPr>
          <w:rFonts w:ascii="Verdana" w:hAnsi="Verdana" w:cs="Tahoma"/>
          <w:color w:val="000000"/>
          <w:sz w:val="20"/>
          <w:szCs w:val="20"/>
        </w:rPr>
        <w:t xml:space="preserve"> disposición de la presente Convención puede ser interpretada en el sentido de: […] d) excluir o limitar el efecto que puedan producir la Declaración Americana de Derechos y Deberes del Hombre y otros actos internacionales de la misma naturaleza</w:t>
      </w:r>
      <w:r w:rsidR="00E67E7B">
        <w:rPr>
          <w:rFonts w:ascii="Verdana" w:hAnsi="Verdana" w:cs="Tahoma"/>
          <w:color w:val="000000"/>
          <w:sz w:val="20"/>
          <w:szCs w:val="20"/>
        </w:rPr>
        <w:t>”</w:t>
      </w:r>
      <w:r w:rsidRPr="005824F1">
        <w:rPr>
          <w:rFonts w:ascii="Verdana" w:hAnsi="Verdana" w:cs="Tahoma"/>
          <w:color w:val="000000"/>
          <w:sz w:val="20"/>
          <w:szCs w:val="20"/>
        </w:rPr>
        <w:t>.</w:t>
      </w:r>
    </w:p>
    <w:p w14:paraId="06A3E64C" w14:textId="77777777" w:rsidR="00032FC5" w:rsidRPr="00337E94" w:rsidRDefault="00032FC5" w:rsidP="00032FC5">
      <w:pPr>
        <w:contextualSpacing/>
        <w:jc w:val="both"/>
        <w:rPr>
          <w:rFonts w:ascii="Verdana" w:hAnsi="Verdana"/>
          <w:sz w:val="20"/>
          <w:szCs w:val="20"/>
        </w:rPr>
      </w:pPr>
    </w:p>
    <w:p w14:paraId="58C6974C" w14:textId="6181BBF3" w:rsidR="00032FC5" w:rsidRPr="005824F1" w:rsidRDefault="00032FC5" w:rsidP="00E66DD7">
      <w:pPr>
        <w:numPr>
          <w:ilvl w:val="0"/>
          <w:numId w:val="1"/>
        </w:numPr>
        <w:ind w:left="0" w:firstLine="0"/>
        <w:contextualSpacing/>
        <w:jc w:val="both"/>
        <w:rPr>
          <w:rFonts w:ascii="Verdana" w:hAnsi="Verdana"/>
          <w:color w:val="000000"/>
          <w:sz w:val="20"/>
          <w:szCs w:val="20"/>
        </w:rPr>
      </w:pPr>
      <w:r w:rsidRPr="00033721">
        <w:rPr>
          <w:rFonts w:ascii="Verdana" w:hAnsi="Verdana"/>
          <w:sz w:val="20"/>
          <w:szCs w:val="20"/>
        </w:rPr>
        <w:t>Además de la derivación del derecho al trabajo a partir de una interpretación del artículo 26 en relación con la Carta de la OEA, junto con la Declaración Americana</w:t>
      </w:r>
      <w:r>
        <w:rPr>
          <w:rFonts w:ascii="Verdana" w:hAnsi="Verdana"/>
          <w:sz w:val="20"/>
          <w:szCs w:val="20"/>
        </w:rPr>
        <w:t xml:space="preserve">, </w:t>
      </w:r>
      <w:r w:rsidRPr="00033721">
        <w:rPr>
          <w:rFonts w:ascii="Verdana" w:hAnsi="Verdana"/>
          <w:sz w:val="20"/>
          <w:szCs w:val="20"/>
        </w:rPr>
        <w:t xml:space="preserve">el derecho al trabajo está reconocido explícitamente en </w:t>
      </w:r>
      <w:r>
        <w:rPr>
          <w:rFonts w:ascii="Verdana" w:hAnsi="Verdana"/>
          <w:sz w:val="20"/>
          <w:szCs w:val="20"/>
        </w:rPr>
        <w:t xml:space="preserve">diversas </w:t>
      </w:r>
      <w:r w:rsidRPr="00033721">
        <w:rPr>
          <w:rFonts w:ascii="Verdana" w:hAnsi="Verdana"/>
          <w:iCs/>
          <w:sz w:val="20"/>
          <w:szCs w:val="20"/>
          <w:bdr w:val="none" w:sz="0" w:space="0" w:color="auto" w:frame="1"/>
          <w:lang w:val="es-CO"/>
        </w:rPr>
        <w:t>leyes internas de los Estado</w:t>
      </w:r>
      <w:r>
        <w:rPr>
          <w:rFonts w:ascii="Verdana" w:hAnsi="Verdana"/>
          <w:iCs/>
          <w:sz w:val="20"/>
          <w:szCs w:val="20"/>
          <w:bdr w:val="none" w:sz="0" w:space="0" w:color="auto" w:frame="1"/>
          <w:lang w:val="es-CO"/>
        </w:rPr>
        <w:t>s</w:t>
      </w:r>
      <w:r w:rsidRPr="00033721">
        <w:rPr>
          <w:rFonts w:ascii="Verdana" w:hAnsi="Verdana"/>
          <w:iCs/>
          <w:sz w:val="20"/>
          <w:szCs w:val="20"/>
          <w:bdr w:val="none" w:sz="0" w:space="0" w:color="auto" w:frame="1"/>
          <w:lang w:val="es-CO"/>
        </w:rPr>
        <w:t xml:space="preserve"> de la región</w:t>
      </w:r>
      <w:r w:rsidRPr="00033721">
        <w:rPr>
          <w:rStyle w:val="FootnoteReference"/>
          <w:iCs/>
          <w:szCs w:val="20"/>
          <w:bdr w:val="none" w:sz="0" w:space="0" w:color="auto" w:frame="1"/>
          <w:lang w:val="es-CO"/>
        </w:rPr>
        <w:footnoteReference w:id="200"/>
      </w:r>
      <w:r>
        <w:rPr>
          <w:rFonts w:ascii="Verdana" w:hAnsi="Verdana"/>
          <w:iCs/>
          <w:sz w:val="20"/>
          <w:szCs w:val="20"/>
          <w:bdr w:val="none" w:sz="0" w:space="0" w:color="auto" w:frame="1"/>
          <w:lang w:val="es-CO"/>
        </w:rPr>
        <w:t xml:space="preserve">, así como </w:t>
      </w:r>
      <w:r w:rsidRPr="00033721">
        <w:rPr>
          <w:rFonts w:ascii="Verdana" w:hAnsi="Verdana"/>
          <w:sz w:val="20"/>
          <w:szCs w:val="20"/>
        </w:rPr>
        <w:t xml:space="preserve">un vasto </w:t>
      </w:r>
      <w:r w:rsidRPr="00033721">
        <w:rPr>
          <w:rFonts w:ascii="Verdana" w:hAnsi="Verdana"/>
          <w:i/>
          <w:iCs/>
          <w:sz w:val="20"/>
          <w:szCs w:val="20"/>
          <w:bdr w:val="none" w:sz="0" w:space="0" w:color="auto" w:frame="1"/>
          <w:lang w:val="es-CO"/>
        </w:rPr>
        <w:t>corpus iuris</w:t>
      </w:r>
      <w:r w:rsidR="00334B6C">
        <w:rPr>
          <w:rFonts w:ascii="Verdana" w:hAnsi="Verdana"/>
          <w:iCs/>
          <w:sz w:val="20"/>
          <w:szCs w:val="20"/>
          <w:bdr w:val="none" w:sz="0" w:space="0" w:color="auto" w:frame="1"/>
          <w:lang w:val="es-CO"/>
        </w:rPr>
        <w:t xml:space="preserve"> internacional</w:t>
      </w:r>
      <w:r>
        <w:rPr>
          <w:rFonts w:ascii="Verdana" w:hAnsi="Verdana"/>
          <w:iCs/>
          <w:sz w:val="20"/>
          <w:szCs w:val="20"/>
          <w:bdr w:val="none" w:sz="0" w:space="0" w:color="auto" w:frame="1"/>
          <w:lang w:val="es-CO"/>
        </w:rPr>
        <w:t xml:space="preserve">; </w:t>
      </w:r>
      <w:r w:rsidRPr="005824F1">
        <w:rPr>
          <w:rFonts w:ascii="Verdana" w:hAnsi="Verdana"/>
          <w:i/>
          <w:iCs/>
          <w:sz w:val="20"/>
          <w:szCs w:val="20"/>
          <w:bdr w:val="none" w:sz="0" w:space="0" w:color="auto" w:frame="1"/>
          <w:lang w:val="es-CO"/>
        </w:rPr>
        <w:t xml:space="preserve">inter </w:t>
      </w:r>
      <w:proofErr w:type="spellStart"/>
      <w:r w:rsidRPr="005824F1">
        <w:rPr>
          <w:rFonts w:ascii="Verdana" w:hAnsi="Verdana"/>
          <w:i/>
          <w:iCs/>
          <w:sz w:val="20"/>
          <w:szCs w:val="20"/>
          <w:bdr w:val="none" w:sz="0" w:space="0" w:color="auto" w:frame="1"/>
          <w:lang w:val="es-CO"/>
        </w:rPr>
        <w:t>alia</w:t>
      </w:r>
      <w:proofErr w:type="spellEnd"/>
      <w:r>
        <w:rPr>
          <w:rFonts w:ascii="Verdana" w:hAnsi="Verdana"/>
          <w:iCs/>
          <w:sz w:val="20"/>
          <w:szCs w:val="20"/>
          <w:bdr w:val="none" w:sz="0" w:space="0" w:color="auto" w:frame="1"/>
          <w:lang w:val="es-CO"/>
        </w:rPr>
        <w:t xml:space="preserve">: </w:t>
      </w:r>
      <w:r w:rsidRPr="005824F1">
        <w:rPr>
          <w:rFonts w:ascii="Verdana" w:hAnsi="Verdana"/>
          <w:sz w:val="20"/>
          <w:szCs w:val="20"/>
        </w:rPr>
        <w:t>el artículo 6 del Pacto Internacional de Derechos Económicos, Sociales y Culturales</w:t>
      </w:r>
      <w:r w:rsidRPr="005824F1">
        <w:rPr>
          <w:rStyle w:val="FootnoteReference"/>
          <w:szCs w:val="20"/>
        </w:rPr>
        <w:footnoteReference w:id="201"/>
      </w:r>
      <w:r w:rsidRPr="005824F1">
        <w:rPr>
          <w:rFonts w:ascii="Verdana" w:hAnsi="Verdana"/>
          <w:sz w:val="20"/>
          <w:szCs w:val="20"/>
        </w:rPr>
        <w:t>, el artículo 23 de la Declaración Universal de Derechos Humanos</w:t>
      </w:r>
      <w:r w:rsidRPr="005824F1">
        <w:rPr>
          <w:rStyle w:val="FootnoteReference"/>
          <w:szCs w:val="20"/>
        </w:rPr>
        <w:footnoteReference w:id="202"/>
      </w:r>
      <w:r w:rsidRPr="005824F1">
        <w:rPr>
          <w:rFonts w:ascii="Verdana" w:hAnsi="Verdana"/>
          <w:sz w:val="20"/>
          <w:szCs w:val="20"/>
        </w:rPr>
        <w:t>, los artículos 7 y 8 de la Carta Social de las Américas</w:t>
      </w:r>
      <w:r w:rsidRPr="005824F1">
        <w:rPr>
          <w:rStyle w:val="FootnoteReference"/>
          <w:szCs w:val="20"/>
        </w:rPr>
        <w:footnoteReference w:id="203"/>
      </w:r>
      <w:r w:rsidRPr="005824F1">
        <w:rPr>
          <w:rFonts w:ascii="Verdana" w:hAnsi="Verdana"/>
          <w:sz w:val="20"/>
          <w:szCs w:val="20"/>
        </w:rPr>
        <w:t>, los artículos 6 y 7 del Protocolo Adicional a la Convención Americana sobre Derechos Económicos, Sociales y Culturales</w:t>
      </w:r>
      <w:r w:rsidRPr="005824F1">
        <w:rPr>
          <w:rStyle w:val="FootnoteReference"/>
          <w:szCs w:val="20"/>
        </w:rPr>
        <w:footnoteReference w:id="204"/>
      </w:r>
      <w:r w:rsidRPr="005824F1">
        <w:rPr>
          <w:rFonts w:ascii="Verdana" w:hAnsi="Verdana"/>
          <w:sz w:val="20"/>
          <w:szCs w:val="20"/>
        </w:rPr>
        <w:t>, el artículo 11 de la Convención sobre la Eliminación de Todas las Formas de Discriminación contra la Mujer</w:t>
      </w:r>
      <w:r w:rsidRPr="005824F1">
        <w:rPr>
          <w:rStyle w:val="FootnoteReference"/>
          <w:szCs w:val="20"/>
        </w:rPr>
        <w:footnoteReference w:id="205"/>
      </w:r>
      <w:r w:rsidRPr="005824F1">
        <w:rPr>
          <w:rFonts w:ascii="Verdana" w:hAnsi="Verdana"/>
          <w:sz w:val="20"/>
          <w:szCs w:val="20"/>
        </w:rPr>
        <w:t>, el artículo 32.1 de la Convención sobre los Derechos del Niño</w:t>
      </w:r>
      <w:r w:rsidRPr="005824F1">
        <w:rPr>
          <w:rStyle w:val="FootnoteReference"/>
          <w:szCs w:val="20"/>
        </w:rPr>
        <w:footnoteReference w:id="206"/>
      </w:r>
      <w:r w:rsidRPr="00333304">
        <w:rPr>
          <w:rFonts w:ascii="Verdana" w:hAnsi="Verdana"/>
          <w:sz w:val="20"/>
          <w:szCs w:val="20"/>
        </w:rPr>
        <w:t xml:space="preserve">, </w:t>
      </w:r>
      <w:r w:rsidR="00A63061" w:rsidRPr="00333304">
        <w:rPr>
          <w:rFonts w:ascii="Verdana" w:hAnsi="Verdana"/>
          <w:sz w:val="20"/>
          <w:szCs w:val="20"/>
        </w:rPr>
        <w:t xml:space="preserve">así como </w:t>
      </w:r>
      <w:r w:rsidR="000002AB" w:rsidRPr="00333304">
        <w:rPr>
          <w:rFonts w:ascii="Verdana" w:hAnsi="Verdana"/>
          <w:sz w:val="20"/>
          <w:szCs w:val="20"/>
        </w:rPr>
        <w:t>el</w:t>
      </w:r>
      <w:r w:rsidRPr="00333304">
        <w:rPr>
          <w:rFonts w:ascii="Verdana" w:hAnsi="Verdana"/>
          <w:sz w:val="20"/>
          <w:szCs w:val="20"/>
        </w:rPr>
        <w:t xml:space="preserve"> artículo</w:t>
      </w:r>
      <w:r w:rsidR="00E606B9" w:rsidRPr="00333304">
        <w:rPr>
          <w:rFonts w:ascii="Verdana" w:hAnsi="Verdana"/>
          <w:sz w:val="20"/>
          <w:szCs w:val="20"/>
        </w:rPr>
        <w:t xml:space="preserve"> 1</w:t>
      </w:r>
      <w:r w:rsidRPr="00333304">
        <w:rPr>
          <w:rFonts w:ascii="Verdana" w:hAnsi="Verdana"/>
          <w:sz w:val="20"/>
          <w:szCs w:val="20"/>
        </w:rPr>
        <w:t xml:space="preserve"> de la Carta Social Europea</w:t>
      </w:r>
      <w:r w:rsidRPr="00333304">
        <w:rPr>
          <w:rStyle w:val="FootnoteReference"/>
          <w:szCs w:val="20"/>
        </w:rPr>
        <w:footnoteReference w:id="207"/>
      </w:r>
      <w:r w:rsidRPr="00333304">
        <w:rPr>
          <w:rFonts w:ascii="Verdana" w:hAnsi="Verdana"/>
          <w:sz w:val="20"/>
          <w:szCs w:val="20"/>
        </w:rPr>
        <w:t xml:space="preserve"> y el artículo 15 de la Carta Africana sobre los Derechos Humanos y de los Pueblos</w:t>
      </w:r>
      <w:r w:rsidRPr="00333304">
        <w:rPr>
          <w:rStyle w:val="FootnoteReference"/>
          <w:szCs w:val="20"/>
        </w:rPr>
        <w:footnoteReference w:id="208"/>
      </w:r>
      <w:r w:rsidRPr="00333304">
        <w:rPr>
          <w:rFonts w:ascii="Verdana" w:hAnsi="Verdana"/>
          <w:sz w:val="20"/>
          <w:szCs w:val="20"/>
        </w:rPr>
        <w:t>.</w:t>
      </w:r>
    </w:p>
    <w:p w14:paraId="55A72676" w14:textId="77777777" w:rsidR="00032FC5" w:rsidRPr="005824F1" w:rsidRDefault="00032FC5" w:rsidP="00032FC5">
      <w:pPr>
        <w:contextualSpacing/>
        <w:jc w:val="both"/>
        <w:rPr>
          <w:rFonts w:ascii="Verdana" w:hAnsi="Verdana"/>
          <w:color w:val="000000"/>
          <w:sz w:val="20"/>
          <w:szCs w:val="20"/>
        </w:rPr>
      </w:pPr>
    </w:p>
    <w:p w14:paraId="087B4D45" w14:textId="05710F12" w:rsidR="00032FC5" w:rsidRPr="00033721" w:rsidRDefault="00032FC5" w:rsidP="00E66DD7">
      <w:pPr>
        <w:numPr>
          <w:ilvl w:val="0"/>
          <w:numId w:val="1"/>
        </w:numPr>
        <w:ind w:left="0" w:firstLine="0"/>
        <w:contextualSpacing/>
        <w:jc w:val="both"/>
        <w:rPr>
          <w:rFonts w:ascii="Verdana" w:hAnsi="Verdana"/>
          <w:color w:val="000000"/>
          <w:sz w:val="20"/>
          <w:szCs w:val="20"/>
        </w:rPr>
      </w:pPr>
      <w:r w:rsidRPr="00033721">
        <w:rPr>
          <w:rFonts w:ascii="Verdana" w:hAnsi="Verdana" w:cs="Verdana"/>
          <w:sz w:val="20"/>
          <w:szCs w:val="20"/>
        </w:rPr>
        <w:t>Por tanto, al analizar el contenido y alcance del artículo 26 de la Convención en el presente caso, la Corte tomará en cuenta, a la luz de las reglas generales de interpretación establecidas en el artículo 29</w:t>
      </w:r>
      <w:r>
        <w:rPr>
          <w:rFonts w:ascii="Verdana" w:hAnsi="Verdana" w:cs="Verdana"/>
          <w:sz w:val="20"/>
          <w:szCs w:val="20"/>
        </w:rPr>
        <w:t xml:space="preserve"> </w:t>
      </w:r>
      <w:r w:rsidRPr="00033721">
        <w:rPr>
          <w:rFonts w:ascii="Verdana" w:hAnsi="Verdana" w:cs="Verdana"/>
          <w:sz w:val="20"/>
          <w:szCs w:val="20"/>
        </w:rPr>
        <w:t>b, c, y d de la misma</w:t>
      </w:r>
      <w:r w:rsidRPr="00033721">
        <w:rPr>
          <w:rStyle w:val="FootnoteReference"/>
          <w:rFonts w:cs="Verdana"/>
          <w:szCs w:val="20"/>
        </w:rPr>
        <w:footnoteReference w:id="209"/>
      </w:r>
      <w:r w:rsidRPr="00033721">
        <w:rPr>
          <w:rFonts w:ascii="Verdana" w:hAnsi="Verdana" w:cs="Verdana"/>
          <w:sz w:val="20"/>
          <w:szCs w:val="20"/>
        </w:rPr>
        <w:t xml:space="preserve">, </w:t>
      </w:r>
      <w:r>
        <w:rPr>
          <w:rFonts w:ascii="Verdana" w:hAnsi="Verdana" w:cs="Verdana"/>
          <w:sz w:val="20"/>
          <w:szCs w:val="20"/>
        </w:rPr>
        <w:t xml:space="preserve">la aludida protección a la </w:t>
      </w:r>
      <w:r w:rsidRPr="00033721">
        <w:rPr>
          <w:rFonts w:ascii="Verdana" w:hAnsi="Verdana" w:cs="Verdana"/>
          <w:sz w:val="20"/>
          <w:szCs w:val="20"/>
        </w:rPr>
        <w:t>estabilidad laboral</w:t>
      </w:r>
      <w:r w:rsidRPr="00033721">
        <w:rPr>
          <w:rStyle w:val="FootnoteReference"/>
          <w:rFonts w:cs="Verdana"/>
          <w:szCs w:val="20"/>
        </w:rPr>
        <w:footnoteReference w:id="210"/>
      </w:r>
      <w:r>
        <w:rPr>
          <w:rFonts w:ascii="Verdana" w:hAnsi="Verdana" w:cs="Verdana"/>
          <w:sz w:val="20"/>
          <w:szCs w:val="20"/>
        </w:rPr>
        <w:t xml:space="preserve"> aplicable al caso concreto</w:t>
      </w:r>
      <w:r w:rsidRPr="00033721">
        <w:rPr>
          <w:rFonts w:ascii="Verdana" w:hAnsi="Verdana" w:cs="Verdana"/>
          <w:sz w:val="20"/>
          <w:szCs w:val="20"/>
        </w:rPr>
        <w:t>.</w:t>
      </w:r>
      <w:r w:rsidRPr="00033721">
        <w:rPr>
          <w:rFonts w:ascii="Verdana" w:hAnsi="Verdana"/>
          <w:b/>
          <w:sz w:val="20"/>
          <w:szCs w:val="20"/>
        </w:rPr>
        <w:t xml:space="preserve"> </w:t>
      </w:r>
    </w:p>
    <w:p w14:paraId="7D4FFFB8" w14:textId="77777777" w:rsidR="00032FC5" w:rsidRPr="00033721" w:rsidRDefault="00032FC5" w:rsidP="00032FC5">
      <w:pPr>
        <w:contextualSpacing/>
        <w:jc w:val="both"/>
        <w:rPr>
          <w:rFonts w:ascii="Verdana" w:hAnsi="Verdana"/>
          <w:sz w:val="20"/>
          <w:szCs w:val="20"/>
        </w:rPr>
      </w:pPr>
    </w:p>
    <w:p w14:paraId="011223C5" w14:textId="77777777" w:rsidR="00032FC5" w:rsidRPr="002D2C40" w:rsidRDefault="00032FC5" w:rsidP="00E66DD7">
      <w:pPr>
        <w:numPr>
          <w:ilvl w:val="0"/>
          <w:numId w:val="1"/>
        </w:numPr>
        <w:ind w:left="0" w:firstLine="0"/>
        <w:contextualSpacing/>
        <w:jc w:val="both"/>
        <w:rPr>
          <w:rFonts w:ascii="Verdana" w:hAnsi="Verdana"/>
          <w:color w:val="000000"/>
          <w:sz w:val="20"/>
          <w:szCs w:val="20"/>
        </w:rPr>
      </w:pPr>
      <w:r w:rsidRPr="00033721">
        <w:rPr>
          <w:rFonts w:ascii="Verdana" w:hAnsi="Verdana"/>
          <w:sz w:val="20"/>
          <w:szCs w:val="20"/>
        </w:rPr>
        <w:t xml:space="preserve">En </w:t>
      </w:r>
      <w:r>
        <w:rPr>
          <w:rFonts w:ascii="Verdana" w:hAnsi="Verdana"/>
          <w:sz w:val="20"/>
          <w:szCs w:val="20"/>
        </w:rPr>
        <w:t>este</w:t>
      </w:r>
      <w:r w:rsidRPr="00033721">
        <w:rPr>
          <w:rFonts w:ascii="Verdana" w:hAnsi="Verdana"/>
          <w:sz w:val="20"/>
          <w:szCs w:val="20"/>
        </w:rPr>
        <w:t xml:space="preserve"> sentido, </w:t>
      </w:r>
      <w:r w:rsidRPr="00033721">
        <w:rPr>
          <w:rFonts w:ascii="Verdana" w:hAnsi="Verdana"/>
          <w:color w:val="000000"/>
          <w:sz w:val="20"/>
          <w:szCs w:val="20"/>
        </w:rPr>
        <w:t xml:space="preserve">el </w:t>
      </w:r>
      <w:r w:rsidRPr="00033721">
        <w:rPr>
          <w:rFonts w:ascii="Verdana" w:hAnsi="Verdana" w:cs="TimesNewRoman"/>
          <w:color w:val="000000"/>
          <w:sz w:val="20"/>
          <w:szCs w:val="20"/>
          <w:lang w:val="es-CR" w:eastAsia="es-CR"/>
        </w:rPr>
        <w:t>Comité de Derechos Económicos, Sociales y Culturales, en su Observación General</w:t>
      </w:r>
      <w:r w:rsidRPr="005A41BD">
        <w:rPr>
          <w:rFonts w:ascii="Verdana" w:hAnsi="Verdana" w:cs="TimesNewRoman"/>
          <w:color w:val="000000"/>
          <w:sz w:val="20"/>
          <w:szCs w:val="20"/>
          <w:lang w:val="es-CR" w:eastAsia="es-CR"/>
        </w:rPr>
        <w:t xml:space="preserve"> No. 18 sobre el derecho al trabajo, expresó que este mismo </w:t>
      </w:r>
      <w:r>
        <w:rPr>
          <w:rFonts w:ascii="Verdana" w:hAnsi="Verdana"/>
          <w:color w:val="000000"/>
          <w:sz w:val="20"/>
          <w:szCs w:val="20"/>
          <w:lang w:val="es-CR" w:eastAsia="es-CR"/>
        </w:rPr>
        <w:t>“</w:t>
      </w:r>
      <w:r w:rsidRPr="005A41BD">
        <w:rPr>
          <w:rFonts w:ascii="Verdana" w:hAnsi="Verdana"/>
          <w:color w:val="000000"/>
          <w:sz w:val="20"/>
          <w:szCs w:val="20"/>
          <w:lang w:val="es-CR" w:eastAsia="es-CR"/>
        </w:rPr>
        <w:t>implica el derecho a no ser privado injustamente del empleo</w:t>
      </w:r>
      <w:r>
        <w:rPr>
          <w:rFonts w:ascii="Verdana" w:hAnsi="Verdana"/>
          <w:color w:val="000000"/>
          <w:sz w:val="20"/>
          <w:szCs w:val="20"/>
          <w:lang w:val="es-CR" w:eastAsia="es-CR"/>
        </w:rPr>
        <w:t>”</w:t>
      </w:r>
      <w:r w:rsidRPr="00A90053">
        <w:rPr>
          <w:rStyle w:val="FootnoteReference"/>
          <w:rFonts w:cs="TimesNewRoman"/>
          <w:color w:val="000000"/>
          <w:szCs w:val="20"/>
          <w:lang w:val="es-CR" w:eastAsia="es-CR"/>
        </w:rPr>
        <w:footnoteReference w:id="211"/>
      </w:r>
      <w:r w:rsidRPr="005A41BD">
        <w:rPr>
          <w:rFonts w:ascii="Verdana" w:hAnsi="Verdana" w:cs="TimesNewRoman"/>
          <w:color w:val="000000"/>
          <w:sz w:val="20"/>
          <w:szCs w:val="20"/>
          <w:lang w:val="es-CR" w:eastAsia="es-CR"/>
        </w:rPr>
        <w:t xml:space="preserve">. </w:t>
      </w:r>
      <w:r>
        <w:rPr>
          <w:rFonts w:ascii="Verdana" w:hAnsi="Verdana" w:cs="TimesNewRoman"/>
          <w:color w:val="000000"/>
          <w:sz w:val="20"/>
          <w:szCs w:val="20"/>
          <w:lang w:val="es-CR" w:eastAsia="es-CR"/>
        </w:rPr>
        <w:t xml:space="preserve">Asimismo, ha </w:t>
      </w:r>
      <w:r>
        <w:rPr>
          <w:rFonts w:ascii="Verdana" w:hAnsi="Verdana"/>
          <w:color w:val="000000"/>
          <w:sz w:val="20"/>
          <w:szCs w:val="20"/>
          <w:lang w:val="es-CR" w:eastAsia="es-CR"/>
        </w:rPr>
        <w:t>s</w:t>
      </w:r>
      <w:r w:rsidRPr="005A41BD">
        <w:rPr>
          <w:rFonts w:ascii="Verdana" w:hAnsi="Verdana"/>
          <w:color w:val="000000"/>
          <w:sz w:val="20"/>
          <w:szCs w:val="20"/>
          <w:lang w:val="es-CR" w:eastAsia="es-CR"/>
        </w:rPr>
        <w:t>eñal</w:t>
      </w:r>
      <w:r>
        <w:rPr>
          <w:rFonts w:ascii="Verdana" w:hAnsi="Verdana"/>
          <w:color w:val="000000"/>
          <w:sz w:val="20"/>
          <w:szCs w:val="20"/>
          <w:lang w:val="es-CR" w:eastAsia="es-CR"/>
        </w:rPr>
        <w:t>ado</w:t>
      </w:r>
      <w:r w:rsidRPr="005A41BD">
        <w:rPr>
          <w:rFonts w:ascii="Verdana" w:hAnsi="Verdana"/>
          <w:color w:val="000000"/>
          <w:sz w:val="20"/>
          <w:szCs w:val="20"/>
          <w:lang w:val="es-CR" w:eastAsia="es-CR"/>
        </w:rPr>
        <w:t xml:space="preserve"> que el </w:t>
      </w:r>
      <w:r>
        <w:rPr>
          <w:rFonts w:ascii="Verdana" w:hAnsi="Verdana"/>
          <w:iCs/>
          <w:color w:val="000000"/>
          <w:sz w:val="20"/>
          <w:szCs w:val="20"/>
          <w:lang w:val="es-CR" w:eastAsia="es-CR"/>
        </w:rPr>
        <w:t>“</w:t>
      </w:r>
      <w:r w:rsidRPr="005A41BD">
        <w:rPr>
          <w:rFonts w:ascii="Verdana" w:hAnsi="Verdana"/>
          <w:color w:val="000000"/>
          <w:sz w:val="20"/>
          <w:szCs w:val="20"/>
        </w:rPr>
        <w:t xml:space="preserve">incumplimiento de la obligación de proteger se produce cuando los Estados Partes se abstienen de adoptar todas las medidas adecuadas para proteger a las personas sometidas a su </w:t>
      </w:r>
      <w:r w:rsidRPr="002D2C40">
        <w:rPr>
          <w:rFonts w:ascii="Verdana" w:hAnsi="Verdana"/>
          <w:color w:val="000000"/>
          <w:sz w:val="20"/>
          <w:szCs w:val="20"/>
        </w:rPr>
        <w:t>jurisdicción contra las vulneraciones del derecho al trabajo imputables a terceros</w:t>
      </w:r>
      <w:r w:rsidRPr="002D2C40">
        <w:rPr>
          <w:rFonts w:ascii="Verdana" w:hAnsi="Verdana"/>
          <w:color w:val="000000"/>
          <w:sz w:val="20"/>
          <w:szCs w:val="20"/>
          <w:lang w:eastAsia="es-CR"/>
        </w:rPr>
        <w:t>”</w:t>
      </w:r>
      <w:r w:rsidRPr="002D2C40">
        <w:rPr>
          <w:rFonts w:ascii="Verdana" w:hAnsi="Verdana"/>
          <w:color w:val="000000"/>
          <w:sz w:val="20"/>
          <w:szCs w:val="20"/>
          <w:lang w:val="es-CR" w:eastAsia="es-CR"/>
        </w:rPr>
        <w:t>, lo cual incluye “</w:t>
      </w:r>
      <w:r w:rsidRPr="002D2C40">
        <w:rPr>
          <w:rFonts w:ascii="Verdana" w:hAnsi="Verdana"/>
          <w:color w:val="000000"/>
          <w:sz w:val="20"/>
          <w:szCs w:val="20"/>
        </w:rPr>
        <w:t>el hecho de no proteger a los trabajadores frente al despido improcedente</w:t>
      </w:r>
      <w:r w:rsidRPr="002D2C40">
        <w:rPr>
          <w:rFonts w:ascii="Verdana" w:hAnsi="Verdana"/>
          <w:color w:val="000000"/>
          <w:sz w:val="20"/>
          <w:szCs w:val="20"/>
          <w:lang w:eastAsia="es-CR"/>
        </w:rPr>
        <w:t>”</w:t>
      </w:r>
      <w:r w:rsidRPr="002D2C40">
        <w:rPr>
          <w:rStyle w:val="FootnoteReference"/>
          <w:color w:val="000000"/>
          <w:szCs w:val="20"/>
          <w:lang w:val="es-CR" w:eastAsia="es-CR"/>
        </w:rPr>
        <w:footnoteReference w:id="212"/>
      </w:r>
      <w:r w:rsidRPr="002D2C40">
        <w:rPr>
          <w:rFonts w:ascii="Verdana" w:hAnsi="Verdana"/>
          <w:color w:val="000000"/>
          <w:sz w:val="20"/>
          <w:szCs w:val="20"/>
          <w:lang w:val="es-CR" w:eastAsia="es-CR"/>
        </w:rPr>
        <w:t xml:space="preserve">. </w:t>
      </w:r>
    </w:p>
    <w:p w14:paraId="2FF2DBAA" w14:textId="77777777" w:rsidR="00032FC5" w:rsidRPr="00E755D8" w:rsidRDefault="00032FC5" w:rsidP="00032FC5">
      <w:pPr>
        <w:contextualSpacing/>
        <w:jc w:val="both"/>
        <w:rPr>
          <w:rFonts w:ascii="Verdana" w:hAnsi="Verdana"/>
          <w:color w:val="000000"/>
          <w:sz w:val="20"/>
          <w:szCs w:val="20"/>
          <w:lang w:val="es-CR" w:eastAsia="es-CR"/>
        </w:rPr>
      </w:pPr>
    </w:p>
    <w:p w14:paraId="12E1CAD9" w14:textId="10AAD7B6" w:rsidR="00032FC5" w:rsidRPr="002D2C40" w:rsidRDefault="00A75D24" w:rsidP="00E66DD7">
      <w:pPr>
        <w:numPr>
          <w:ilvl w:val="0"/>
          <w:numId w:val="1"/>
        </w:numPr>
        <w:ind w:left="0" w:firstLine="0"/>
        <w:contextualSpacing/>
        <w:jc w:val="both"/>
        <w:rPr>
          <w:rFonts w:ascii="Verdana" w:hAnsi="Verdana"/>
          <w:color w:val="000000"/>
          <w:sz w:val="20"/>
          <w:szCs w:val="20"/>
        </w:rPr>
      </w:pPr>
      <w:r>
        <w:rPr>
          <w:rFonts w:ascii="Verdana" w:hAnsi="Verdana"/>
          <w:sz w:val="20"/>
          <w:szCs w:val="20"/>
        </w:rPr>
        <w:t>A manera ilustrativa</w:t>
      </w:r>
      <w:r w:rsidR="00032FC5" w:rsidRPr="00E755D8">
        <w:rPr>
          <w:rFonts w:ascii="Verdana" w:hAnsi="Verdana"/>
          <w:sz w:val="20"/>
          <w:szCs w:val="20"/>
        </w:rPr>
        <w:t xml:space="preserve">, el </w:t>
      </w:r>
      <w:r w:rsidR="00032FC5" w:rsidRPr="00333304">
        <w:rPr>
          <w:rFonts w:ascii="Verdana" w:hAnsi="Verdana" w:cs="TimesNewRoman"/>
          <w:sz w:val="20"/>
          <w:szCs w:val="20"/>
          <w:lang w:val="es-CR" w:eastAsia="es-CR"/>
        </w:rPr>
        <w:t>Convenio 158 de la Organización International del Trabajo</w:t>
      </w:r>
      <w:r w:rsidR="00815B20">
        <w:rPr>
          <w:rFonts w:ascii="Verdana" w:hAnsi="Verdana" w:cs="TimesNewRoman"/>
          <w:sz w:val="20"/>
          <w:szCs w:val="20"/>
          <w:lang w:val="es-CR" w:eastAsia="es-CR"/>
        </w:rPr>
        <w:t xml:space="preserve"> (</w:t>
      </w:r>
      <w:r w:rsidR="00DD5817">
        <w:rPr>
          <w:rFonts w:ascii="Verdana" w:hAnsi="Verdana" w:cs="TimesNewRoman"/>
          <w:sz w:val="20"/>
          <w:szCs w:val="20"/>
          <w:lang w:val="es-CR" w:eastAsia="es-CR"/>
        </w:rPr>
        <w:t xml:space="preserve">en adelante </w:t>
      </w:r>
      <w:r w:rsidR="00815B20">
        <w:rPr>
          <w:rFonts w:ascii="Verdana" w:hAnsi="Verdana" w:cs="TimesNewRoman"/>
          <w:sz w:val="20"/>
          <w:szCs w:val="20"/>
          <w:lang w:val="es-CR" w:eastAsia="es-CR"/>
        </w:rPr>
        <w:t>OIT)</w:t>
      </w:r>
      <w:r w:rsidR="00032FC5" w:rsidRPr="00E755D8">
        <w:rPr>
          <w:rFonts w:ascii="Verdana" w:hAnsi="Verdana" w:cs="TimesNewRoman"/>
          <w:sz w:val="20"/>
          <w:szCs w:val="20"/>
          <w:lang w:val="es-CR" w:eastAsia="es-CR"/>
        </w:rPr>
        <w:t>, sobre la terminación de la relación de trabajo (1982)</w:t>
      </w:r>
      <w:r w:rsidR="00032FC5" w:rsidRPr="002D2C40">
        <w:rPr>
          <w:rStyle w:val="FootnoteReference"/>
          <w:rFonts w:cs="TimesNewRoman"/>
          <w:szCs w:val="20"/>
          <w:lang w:val="es-CR" w:eastAsia="es-CR"/>
        </w:rPr>
        <w:footnoteReference w:id="213"/>
      </w:r>
      <w:r w:rsidR="00032FC5" w:rsidRPr="002D2C40">
        <w:rPr>
          <w:rFonts w:ascii="Verdana" w:hAnsi="Verdana" w:cs="TimesNewRoman"/>
          <w:sz w:val="20"/>
          <w:szCs w:val="20"/>
          <w:lang w:val="es-CR" w:eastAsia="es-CR"/>
        </w:rPr>
        <w:t xml:space="preserve">, </w:t>
      </w:r>
      <w:r w:rsidR="00032FC5">
        <w:rPr>
          <w:rFonts w:ascii="Verdana" w:hAnsi="Verdana" w:cs="TimesNewRoman"/>
          <w:sz w:val="20"/>
          <w:szCs w:val="20"/>
          <w:lang w:val="es-CR" w:eastAsia="es-CR"/>
        </w:rPr>
        <w:t xml:space="preserve">dispone que </w:t>
      </w:r>
      <w:r w:rsidR="00032FC5" w:rsidRPr="002D2C40">
        <w:rPr>
          <w:rFonts w:ascii="Verdana" w:hAnsi="Verdana" w:cs="TimesNewRoman"/>
          <w:sz w:val="20"/>
          <w:szCs w:val="20"/>
          <w:lang w:val="es-CR" w:eastAsia="es-CR"/>
        </w:rPr>
        <w:t>el derecho al trabajo incluye la legalidad del despido en su artículo 4</w:t>
      </w:r>
      <w:r w:rsidR="00032FC5" w:rsidRPr="002D2C40">
        <w:rPr>
          <w:rStyle w:val="FootnoteReference"/>
          <w:rFonts w:cs="TimesNewRoman"/>
          <w:szCs w:val="20"/>
          <w:lang w:val="es-CR" w:eastAsia="es-CR"/>
        </w:rPr>
        <w:footnoteReference w:id="214"/>
      </w:r>
      <w:r w:rsidR="00032FC5" w:rsidRPr="002D2C40">
        <w:rPr>
          <w:rFonts w:ascii="Verdana" w:hAnsi="Verdana" w:cs="TimesNewRoman"/>
          <w:sz w:val="20"/>
          <w:szCs w:val="20"/>
          <w:lang w:val="es-CR" w:eastAsia="es-CR"/>
        </w:rPr>
        <w:t xml:space="preserve"> e impone, en particular, la necesidad de ofrecer motivos válidos</w:t>
      </w:r>
      <w:r w:rsidR="00032FC5" w:rsidRPr="002D2C40">
        <w:rPr>
          <w:rStyle w:val="FootnoteReference"/>
          <w:rFonts w:cs="TimesNewRoman"/>
          <w:szCs w:val="20"/>
          <w:lang w:val="es-CR" w:eastAsia="es-CR"/>
        </w:rPr>
        <w:footnoteReference w:id="215"/>
      </w:r>
      <w:r w:rsidR="00032FC5" w:rsidRPr="002D2C40">
        <w:rPr>
          <w:rFonts w:ascii="Verdana" w:hAnsi="Verdana" w:cs="TimesNewRoman"/>
          <w:sz w:val="20"/>
          <w:szCs w:val="20"/>
          <w:lang w:val="es-CR" w:eastAsia="es-CR"/>
        </w:rPr>
        <w:t xml:space="preserve"> para el despido</w:t>
      </w:r>
      <w:r w:rsidR="00032FC5">
        <w:rPr>
          <w:rFonts w:ascii="Verdana" w:hAnsi="Verdana" w:cs="TimesNewRoman"/>
          <w:sz w:val="20"/>
          <w:szCs w:val="20"/>
          <w:lang w:val="es-CR" w:eastAsia="es-CR"/>
        </w:rPr>
        <w:t>,</w:t>
      </w:r>
      <w:r w:rsidR="00032FC5" w:rsidRPr="002D2C40">
        <w:rPr>
          <w:rFonts w:ascii="Verdana" w:hAnsi="Verdana" w:cs="TimesNewRoman"/>
          <w:sz w:val="20"/>
          <w:szCs w:val="20"/>
          <w:lang w:val="es-CR" w:eastAsia="es-CR"/>
        </w:rPr>
        <w:t xml:space="preserve"> </w:t>
      </w:r>
      <w:r w:rsidR="00032FC5" w:rsidRPr="00E755D8">
        <w:rPr>
          <w:rFonts w:ascii="Verdana" w:hAnsi="Verdana" w:cs="TimesNewRoman"/>
          <w:sz w:val="20"/>
          <w:szCs w:val="20"/>
          <w:lang w:val="es-CR" w:eastAsia="es-CR"/>
        </w:rPr>
        <w:t>así como el derecho a recursos jurídicos efectivos en caso de despido improcedente</w:t>
      </w:r>
      <w:r w:rsidR="00032FC5" w:rsidRPr="002D2C40">
        <w:rPr>
          <w:rFonts w:ascii="Verdana" w:hAnsi="Verdana" w:cs="TimesNewRoman"/>
          <w:sz w:val="20"/>
          <w:szCs w:val="20"/>
          <w:lang w:val="es-CR" w:eastAsia="es-CR"/>
        </w:rPr>
        <w:t xml:space="preserve">. </w:t>
      </w:r>
      <w:r w:rsidR="00A63061" w:rsidRPr="00333304">
        <w:rPr>
          <w:rFonts w:ascii="Verdana" w:hAnsi="Verdana" w:cs="TimesNewRoman"/>
          <w:sz w:val="20"/>
          <w:szCs w:val="20"/>
          <w:lang w:val="es-CR" w:eastAsia="es-CR"/>
        </w:rPr>
        <w:t xml:space="preserve">En similar sentido </w:t>
      </w:r>
      <w:r w:rsidR="000002AB" w:rsidRPr="00333304">
        <w:rPr>
          <w:rFonts w:ascii="Verdana" w:hAnsi="Verdana" w:cs="TimesNewRoman"/>
          <w:sz w:val="20"/>
          <w:szCs w:val="20"/>
          <w:lang w:val="es-CR" w:eastAsia="es-CR"/>
        </w:rPr>
        <w:t xml:space="preserve">se encuentra </w:t>
      </w:r>
      <w:r w:rsidR="00A63061" w:rsidRPr="00333304">
        <w:rPr>
          <w:rFonts w:ascii="Verdana" w:hAnsi="Verdana" w:cs="TimesNewRoman"/>
          <w:sz w:val="20"/>
          <w:szCs w:val="20"/>
          <w:lang w:val="es-CR" w:eastAsia="es-CR"/>
        </w:rPr>
        <w:t>lo dispuesto en la Recomendación No. 143 de la OIT</w:t>
      </w:r>
      <w:r w:rsidR="007422B9" w:rsidRPr="00333304">
        <w:rPr>
          <w:rStyle w:val="FootnoteReference"/>
          <w:szCs w:val="20"/>
          <w:lang w:val="es-CR" w:eastAsia="es-CR"/>
        </w:rPr>
        <w:footnoteReference w:id="216"/>
      </w:r>
      <w:r w:rsidR="00A63061" w:rsidRPr="00333304">
        <w:rPr>
          <w:rFonts w:ascii="Verdana" w:hAnsi="Verdana" w:cs="TimesNewRoman"/>
          <w:sz w:val="20"/>
          <w:szCs w:val="20"/>
          <w:lang w:val="es-CR" w:eastAsia="es-CR"/>
        </w:rPr>
        <w:t xml:space="preserve"> sobre representantes de los trabajadores</w:t>
      </w:r>
      <w:r w:rsidR="00062C2B" w:rsidRPr="00333304">
        <w:rPr>
          <w:rFonts w:ascii="Verdana" w:hAnsi="Verdana" w:cs="TimesNewRoman"/>
          <w:sz w:val="20"/>
          <w:szCs w:val="20"/>
          <w:lang w:val="es-CR" w:eastAsia="es-CR"/>
        </w:rPr>
        <w:t xml:space="preserve"> </w:t>
      </w:r>
      <w:r w:rsidR="00062C2B" w:rsidRPr="00333304">
        <w:rPr>
          <w:rFonts w:ascii="Verdana" w:hAnsi="Verdana" w:cs="TimesNewRoman"/>
          <w:sz w:val="20"/>
          <w:szCs w:val="20"/>
          <w:lang w:val="es-CR" w:eastAsia="es-CR"/>
        </w:rPr>
        <w:lastRenderedPageBreak/>
        <w:t xml:space="preserve">que requiere de adoptar </w:t>
      </w:r>
      <w:r w:rsidR="007C0391" w:rsidRPr="00333304">
        <w:rPr>
          <w:rFonts w:ascii="Verdana" w:hAnsi="Verdana" w:cs="TimesNewRoman"/>
          <w:sz w:val="20"/>
          <w:szCs w:val="20"/>
          <w:lang w:val="es-CR" w:eastAsia="es-CR"/>
        </w:rPr>
        <w:t>medidas apropiadas y recursos accesibles para la tutela de los representantes de los trabajadores</w:t>
      </w:r>
      <w:r w:rsidR="00A63061" w:rsidRPr="00333304">
        <w:rPr>
          <w:rFonts w:ascii="Verdana" w:hAnsi="Verdana" w:cs="TimesNewRoman"/>
          <w:sz w:val="20"/>
          <w:szCs w:val="20"/>
          <w:lang w:val="es-CR" w:eastAsia="es-CR"/>
        </w:rPr>
        <w:t xml:space="preserve"> (</w:t>
      </w:r>
      <w:r w:rsidR="00A63061" w:rsidRPr="00333304">
        <w:rPr>
          <w:rFonts w:ascii="Verdana" w:hAnsi="Verdana" w:cs="TimesNewRoman"/>
          <w:i/>
          <w:sz w:val="20"/>
          <w:szCs w:val="20"/>
          <w:lang w:val="es-CR" w:eastAsia="es-CR"/>
        </w:rPr>
        <w:t>supra</w:t>
      </w:r>
      <w:r w:rsidR="00A63061" w:rsidRPr="00333304">
        <w:rPr>
          <w:rFonts w:ascii="Verdana" w:hAnsi="Verdana" w:cs="TimesNewRoman"/>
          <w:sz w:val="20"/>
          <w:szCs w:val="20"/>
          <w:lang w:val="es-CR" w:eastAsia="es-CR"/>
        </w:rPr>
        <w:t xml:space="preserve">, párr. </w:t>
      </w:r>
      <w:r w:rsidR="004B01AC">
        <w:rPr>
          <w:rFonts w:ascii="Verdana" w:hAnsi="Verdana" w:cs="TimesNewRoman"/>
          <w:sz w:val="20"/>
          <w:szCs w:val="20"/>
          <w:lang w:val="es-CR" w:eastAsia="es-CR"/>
        </w:rPr>
        <w:t>126</w:t>
      </w:r>
      <w:r w:rsidR="00A63061" w:rsidRPr="00333304">
        <w:rPr>
          <w:rFonts w:ascii="Verdana" w:hAnsi="Verdana" w:cs="TimesNewRoman"/>
          <w:sz w:val="20"/>
          <w:szCs w:val="20"/>
          <w:lang w:val="es-CR" w:eastAsia="es-CR"/>
        </w:rPr>
        <w:t>)</w:t>
      </w:r>
      <w:r w:rsidR="007422B9" w:rsidRPr="00333304">
        <w:rPr>
          <w:rStyle w:val="FootnoteReference"/>
          <w:szCs w:val="20"/>
          <w:lang w:val="es-CR" w:eastAsia="es-CR"/>
        </w:rPr>
        <w:footnoteReference w:id="217"/>
      </w:r>
      <w:r w:rsidR="00A63061" w:rsidRPr="00333304">
        <w:rPr>
          <w:rFonts w:ascii="Verdana" w:hAnsi="Verdana" w:cs="TimesNewRoman"/>
          <w:sz w:val="20"/>
          <w:szCs w:val="20"/>
          <w:lang w:val="es-CR" w:eastAsia="es-CR"/>
        </w:rPr>
        <w:t>.</w:t>
      </w:r>
    </w:p>
    <w:p w14:paraId="7B2FADC0" w14:textId="77777777" w:rsidR="00032FC5" w:rsidRPr="00E755D8" w:rsidRDefault="00032FC5" w:rsidP="00032FC5">
      <w:pPr>
        <w:contextualSpacing/>
        <w:jc w:val="both"/>
        <w:rPr>
          <w:rFonts w:ascii="Verdana" w:hAnsi="Verdana"/>
          <w:color w:val="000000"/>
          <w:sz w:val="20"/>
          <w:szCs w:val="20"/>
        </w:rPr>
      </w:pPr>
    </w:p>
    <w:p w14:paraId="6F2988CF" w14:textId="064BC1CD" w:rsidR="00032FC5" w:rsidRPr="00B3760D" w:rsidRDefault="00032FC5" w:rsidP="00E66DD7">
      <w:pPr>
        <w:numPr>
          <w:ilvl w:val="0"/>
          <w:numId w:val="1"/>
        </w:numPr>
        <w:ind w:left="0" w:firstLine="0"/>
        <w:contextualSpacing/>
        <w:jc w:val="both"/>
        <w:rPr>
          <w:rFonts w:ascii="Verdana" w:hAnsi="Verdana"/>
          <w:sz w:val="20"/>
          <w:szCs w:val="20"/>
        </w:rPr>
      </w:pPr>
      <w:r w:rsidRPr="006C6933">
        <w:rPr>
          <w:rFonts w:ascii="Verdana" w:hAnsi="Verdana"/>
          <w:color w:val="000000"/>
          <w:sz w:val="20"/>
          <w:szCs w:val="20"/>
        </w:rPr>
        <w:t>Como</w:t>
      </w:r>
      <w:r w:rsidRPr="00181CD3">
        <w:rPr>
          <w:rFonts w:ascii="Verdana" w:hAnsi="Verdana"/>
          <w:color w:val="000000"/>
          <w:sz w:val="20"/>
          <w:szCs w:val="20"/>
        </w:rPr>
        <w:t xml:space="preserve"> correlato de lo anterior, se deprende que </w:t>
      </w:r>
      <w:r>
        <w:rPr>
          <w:rFonts w:ascii="Verdana" w:hAnsi="Verdana"/>
          <w:color w:val="000000"/>
          <w:sz w:val="20"/>
          <w:szCs w:val="20"/>
        </w:rPr>
        <w:t>las obligaciones del Estado</w:t>
      </w:r>
      <w:r w:rsidRPr="00181CD3">
        <w:rPr>
          <w:rFonts w:ascii="Verdana" w:hAnsi="Verdana"/>
          <w:color w:val="000000"/>
          <w:sz w:val="20"/>
          <w:szCs w:val="20"/>
        </w:rPr>
        <w:t xml:space="preserve"> en cuanto a la protección del derecho a la estabilidad laboral,</w:t>
      </w:r>
      <w:r>
        <w:rPr>
          <w:rFonts w:ascii="Verdana" w:hAnsi="Verdana"/>
          <w:color w:val="000000"/>
          <w:sz w:val="20"/>
          <w:szCs w:val="20"/>
        </w:rPr>
        <w:t xml:space="preserve"> en el ámbito privado,</w:t>
      </w:r>
      <w:r w:rsidRPr="00181CD3">
        <w:rPr>
          <w:rFonts w:ascii="Verdana" w:hAnsi="Verdana"/>
          <w:color w:val="000000"/>
          <w:sz w:val="20"/>
          <w:szCs w:val="20"/>
        </w:rPr>
        <w:t xml:space="preserve"> se traduce en principio en</w:t>
      </w:r>
      <w:r>
        <w:rPr>
          <w:rFonts w:ascii="Verdana" w:hAnsi="Verdana"/>
          <w:color w:val="000000"/>
          <w:sz w:val="20"/>
          <w:szCs w:val="20"/>
        </w:rPr>
        <w:t xml:space="preserve"> los siguientes deberes</w:t>
      </w:r>
      <w:r w:rsidRPr="00181CD3">
        <w:rPr>
          <w:rFonts w:ascii="Verdana" w:hAnsi="Verdana"/>
          <w:color w:val="000000"/>
          <w:sz w:val="20"/>
          <w:szCs w:val="20"/>
        </w:rPr>
        <w:t xml:space="preserve">: </w:t>
      </w:r>
      <w:r w:rsidRPr="00937CE3">
        <w:rPr>
          <w:rFonts w:ascii="Verdana" w:hAnsi="Verdana"/>
          <w:color w:val="000000"/>
          <w:sz w:val="20"/>
          <w:szCs w:val="20"/>
        </w:rPr>
        <w:t xml:space="preserve">a) </w:t>
      </w:r>
      <w:r w:rsidRPr="00A92D34">
        <w:rPr>
          <w:rFonts w:ascii="Verdana" w:hAnsi="Verdana"/>
          <w:color w:val="000000"/>
          <w:sz w:val="20"/>
          <w:szCs w:val="20"/>
        </w:rPr>
        <w:t>adoptar las medidas adecuadas para la debida regulación y fiscalización</w:t>
      </w:r>
      <w:r w:rsidRPr="00A92D34">
        <w:rPr>
          <w:rStyle w:val="FootnoteReference"/>
          <w:color w:val="000000"/>
          <w:szCs w:val="20"/>
        </w:rPr>
        <w:footnoteReference w:id="218"/>
      </w:r>
      <w:r>
        <w:rPr>
          <w:rFonts w:ascii="Verdana" w:hAnsi="Verdana"/>
          <w:color w:val="000000"/>
          <w:sz w:val="20"/>
          <w:szCs w:val="20"/>
        </w:rPr>
        <w:t xml:space="preserve"> </w:t>
      </w:r>
      <w:r w:rsidRPr="00A92D34">
        <w:rPr>
          <w:rFonts w:ascii="Verdana" w:hAnsi="Verdana"/>
          <w:color w:val="000000"/>
          <w:sz w:val="20"/>
          <w:szCs w:val="20"/>
        </w:rPr>
        <w:t>de dicho derecho</w:t>
      </w:r>
      <w:r w:rsidRPr="00937CE3">
        <w:rPr>
          <w:rFonts w:ascii="Verdana" w:hAnsi="Verdana"/>
          <w:color w:val="000000"/>
          <w:sz w:val="20"/>
          <w:szCs w:val="20"/>
        </w:rPr>
        <w:t xml:space="preserve">; </w:t>
      </w:r>
      <w:r w:rsidRPr="00A92D34">
        <w:rPr>
          <w:rFonts w:ascii="Verdana" w:hAnsi="Verdana"/>
          <w:color w:val="000000"/>
          <w:sz w:val="20"/>
          <w:szCs w:val="20"/>
        </w:rPr>
        <w:t xml:space="preserve">b) </w:t>
      </w:r>
      <w:r w:rsidRPr="00811D16">
        <w:rPr>
          <w:rFonts w:ascii="Verdana" w:hAnsi="Verdana"/>
          <w:color w:val="000000"/>
          <w:sz w:val="20"/>
          <w:szCs w:val="20"/>
        </w:rPr>
        <w:t>proteger al trabajador</w:t>
      </w:r>
      <w:r>
        <w:rPr>
          <w:rFonts w:ascii="Verdana" w:hAnsi="Verdana"/>
          <w:color w:val="000000"/>
          <w:sz w:val="20"/>
          <w:szCs w:val="20"/>
        </w:rPr>
        <w:t xml:space="preserve"> y trabajadora,</w:t>
      </w:r>
      <w:r w:rsidRPr="00937CE3">
        <w:rPr>
          <w:rFonts w:ascii="Verdana" w:hAnsi="Verdana"/>
          <w:color w:val="000000"/>
          <w:sz w:val="20"/>
          <w:szCs w:val="20"/>
        </w:rPr>
        <w:t xml:space="preserve"> </w:t>
      </w:r>
      <w:r w:rsidRPr="00A92D34">
        <w:rPr>
          <w:rFonts w:ascii="Verdana" w:hAnsi="Verdana"/>
          <w:color w:val="000000"/>
          <w:sz w:val="20"/>
          <w:szCs w:val="20"/>
        </w:rPr>
        <w:t>a través de sus órganos competentes</w:t>
      </w:r>
      <w:r>
        <w:rPr>
          <w:rFonts w:ascii="Verdana" w:hAnsi="Verdana"/>
          <w:color w:val="000000"/>
          <w:sz w:val="20"/>
          <w:szCs w:val="20"/>
        </w:rPr>
        <w:t>,</w:t>
      </w:r>
      <w:r w:rsidRPr="00A92D34">
        <w:rPr>
          <w:rFonts w:ascii="Verdana" w:hAnsi="Verdana"/>
          <w:color w:val="000000"/>
          <w:sz w:val="20"/>
          <w:szCs w:val="20"/>
        </w:rPr>
        <w:t xml:space="preserve"> contra el despido injustificado</w:t>
      </w:r>
      <w:r w:rsidR="00CE3ACC">
        <w:rPr>
          <w:rFonts w:ascii="Verdana" w:hAnsi="Verdana"/>
          <w:color w:val="000000"/>
          <w:sz w:val="20"/>
          <w:szCs w:val="20"/>
        </w:rPr>
        <w:t>;</w:t>
      </w:r>
      <w:r w:rsidRPr="00937CE3">
        <w:rPr>
          <w:rFonts w:ascii="Verdana" w:hAnsi="Verdana"/>
          <w:color w:val="000000"/>
          <w:sz w:val="20"/>
          <w:szCs w:val="20"/>
        </w:rPr>
        <w:t xml:space="preserve"> c) en caso de despido injustificado, remediar la situación</w:t>
      </w:r>
      <w:r>
        <w:rPr>
          <w:rFonts w:ascii="Verdana" w:hAnsi="Verdana"/>
          <w:color w:val="000000"/>
          <w:sz w:val="20"/>
          <w:szCs w:val="20"/>
        </w:rPr>
        <w:t xml:space="preserve"> (ya sea, a través de la reinstalación o, en su caso, mediante la </w:t>
      </w:r>
      <w:r w:rsidRPr="00937CE3">
        <w:rPr>
          <w:rFonts w:ascii="Verdana" w:hAnsi="Verdana"/>
          <w:color w:val="000000"/>
          <w:sz w:val="20"/>
          <w:szCs w:val="20"/>
        </w:rPr>
        <w:t xml:space="preserve">indemnización </w:t>
      </w:r>
      <w:r>
        <w:rPr>
          <w:rFonts w:ascii="Verdana" w:hAnsi="Verdana"/>
          <w:color w:val="000000"/>
          <w:sz w:val="20"/>
          <w:szCs w:val="20"/>
        </w:rPr>
        <w:t xml:space="preserve">y </w:t>
      </w:r>
      <w:r w:rsidRPr="00937CE3">
        <w:rPr>
          <w:rFonts w:ascii="Verdana" w:hAnsi="Verdana"/>
          <w:color w:val="000000"/>
          <w:sz w:val="20"/>
          <w:szCs w:val="20"/>
        </w:rPr>
        <w:t>otra</w:t>
      </w:r>
      <w:r>
        <w:rPr>
          <w:rFonts w:ascii="Verdana" w:hAnsi="Verdana"/>
          <w:color w:val="000000"/>
          <w:sz w:val="20"/>
          <w:szCs w:val="20"/>
        </w:rPr>
        <w:t>s</w:t>
      </w:r>
      <w:r w:rsidRPr="00937CE3">
        <w:rPr>
          <w:rFonts w:ascii="Verdana" w:hAnsi="Verdana"/>
          <w:color w:val="000000"/>
          <w:sz w:val="20"/>
          <w:szCs w:val="20"/>
        </w:rPr>
        <w:t xml:space="preserve"> prestaci</w:t>
      </w:r>
      <w:r>
        <w:rPr>
          <w:rFonts w:ascii="Verdana" w:hAnsi="Verdana"/>
          <w:color w:val="000000"/>
          <w:sz w:val="20"/>
          <w:szCs w:val="20"/>
        </w:rPr>
        <w:t>ones</w:t>
      </w:r>
      <w:r w:rsidRPr="00937CE3">
        <w:rPr>
          <w:rFonts w:ascii="Verdana" w:hAnsi="Verdana"/>
          <w:color w:val="000000"/>
          <w:sz w:val="20"/>
          <w:szCs w:val="20"/>
        </w:rPr>
        <w:t xml:space="preserve"> prevista</w:t>
      </w:r>
      <w:r>
        <w:rPr>
          <w:rFonts w:ascii="Verdana" w:hAnsi="Verdana"/>
          <w:color w:val="000000"/>
          <w:sz w:val="20"/>
          <w:szCs w:val="20"/>
        </w:rPr>
        <w:t>s</w:t>
      </w:r>
      <w:r w:rsidRPr="00937CE3">
        <w:rPr>
          <w:rFonts w:ascii="Verdana" w:hAnsi="Verdana"/>
          <w:color w:val="000000"/>
          <w:sz w:val="20"/>
          <w:szCs w:val="20"/>
        </w:rPr>
        <w:t xml:space="preserve"> en la legislación nacional</w:t>
      </w:r>
      <w:r>
        <w:rPr>
          <w:rFonts w:ascii="Verdana" w:hAnsi="Verdana"/>
          <w:color w:val="000000"/>
          <w:sz w:val="20"/>
          <w:szCs w:val="20"/>
        </w:rPr>
        <w:t>)</w:t>
      </w:r>
      <w:r w:rsidRPr="00937CE3">
        <w:rPr>
          <w:rFonts w:ascii="Verdana" w:hAnsi="Verdana"/>
          <w:color w:val="000000"/>
          <w:sz w:val="20"/>
          <w:szCs w:val="20"/>
        </w:rPr>
        <w:t>.</w:t>
      </w:r>
      <w:r w:rsidR="00B53BD8">
        <w:rPr>
          <w:rFonts w:ascii="Verdana" w:hAnsi="Verdana"/>
          <w:color w:val="000000"/>
          <w:sz w:val="20"/>
          <w:szCs w:val="20"/>
        </w:rPr>
        <w:t xml:space="preserve"> P</w:t>
      </w:r>
      <w:r w:rsidRPr="00937CE3">
        <w:rPr>
          <w:rFonts w:ascii="Verdana" w:hAnsi="Verdana"/>
          <w:color w:val="000000"/>
          <w:sz w:val="20"/>
          <w:szCs w:val="20"/>
        </w:rPr>
        <w:t xml:space="preserve">or ende, </w:t>
      </w:r>
      <w:r>
        <w:rPr>
          <w:rFonts w:ascii="Verdana" w:hAnsi="Verdana"/>
          <w:color w:val="000000"/>
          <w:sz w:val="20"/>
          <w:szCs w:val="20"/>
        </w:rPr>
        <w:t xml:space="preserve">d) </w:t>
      </w:r>
      <w:r w:rsidRPr="00937CE3">
        <w:rPr>
          <w:rFonts w:ascii="Verdana" w:hAnsi="Verdana"/>
          <w:color w:val="000000"/>
          <w:sz w:val="20"/>
          <w:szCs w:val="20"/>
        </w:rPr>
        <w:t xml:space="preserve">el Estado debe </w:t>
      </w:r>
      <w:r>
        <w:rPr>
          <w:rFonts w:ascii="Verdana" w:hAnsi="Verdana" w:cs="Verdana"/>
          <w:sz w:val="20"/>
          <w:szCs w:val="20"/>
        </w:rPr>
        <w:t xml:space="preserve">disponer </w:t>
      </w:r>
      <w:r w:rsidRPr="00937CE3">
        <w:rPr>
          <w:rFonts w:ascii="Verdana" w:hAnsi="Verdana" w:cs="Verdana"/>
          <w:sz w:val="20"/>
          <w:szCs w:val="20"/>
        </w:rPr>
        <w:t xml:space="preserve">de mecanismos efectivos de reclamo </w:t>
      </w:r>
      <w:r w:rsidRPr="008827AD">
        <w:rPr>
          <w:rFonts w:ascii="Verdana" w:hAnsi="Verdana" w:cs="Verdana"/>
          <w:sz w:val="20"/>
          <w:szCs w:val="20"/>
        </w:rPr>
        <w:t>frente</w:t>
      </w:r>
      <w:r w:rsidRPr="008827AD">
        <w:rPr>
          <w:rFonts w:ascii="Verdana" w:hAnsi="Verdana"/>
          <w:color w:val="000000"/>
          <w:sz w:val="20"/>
          <w:szCs w:val="20"/>
        </w:rPr>
        <w:t xml:space="preserve"> a una situación de despido injustificado, a fin de garantizar el acceso a la justicia y </w:t>
      </w:r>
      <w:r>
        <w:rPr>
          <w:rFonts w:ascii="Verdana" w:hAnsi="Verdana"/>
          <w:color w:val="000000"/>
          <w:sz w:val="20"/>
          <w:szCs w:val="20"/>
        </w:rPr>
        <w:t xml:space="preserve">la </w:t>
      </w:r>
      <w:r w:rsidRPr="008827AD">
        <w:rPr>
          <w:rFonts w:ascii="Verdana" w:hAnsi="Verdana"/>
          <w:color w:val="000000"/>
          <w:sz w:val="20"/>
          <w:szCs w:val="20"/>
        </w:rPr>
        <w:t>tutela judicial efectiva</w:t>
      </w:r>
      <w:r w:rsidRPr="00B3760D">
        <w:rPr>
          <w:rFonts w:ascii="Verdana" w:hAnsi="Verdana"/>
          <w:color w:val="000000"/>
          <w:sz w:val="20"/>
          <w:szCs w:val="20"/>
        </w:rPr>
        <w:t xml:space="preserve"> de tales derechos</w:t>
      </w:r>
      <w:r w:rsidR="00815B20">
        <w:rPr>
          <w:rFonts w:ascii="Verdana" w:hAnsi="Verdana"/>
          <w:color w:val="000000"/>
          <w:sz w:val="20"/>
          <w:szCs w:val="20"/>
        </w:rPr>
        <w:t xml:space="preserve"> (</w:t>
      </w:r>
      <w:r w:rsidR="00815B20">
        <w:rPr>
          <w:rFonts w:ascii="Verdana" w:hAnsi="Verdana"/>
          <w:i/>
          <w:color w:val="000000"/>
          <w:sz w:val="20"/>
          <w:szCs w:val="20"/>
        </w:rPr>
        <w:t>infra</w:t>
      </w:r>
      <w:r w:rsidR="00815B20">
        <w:rPr>
          <w:rFonts w:ascii="Verdana" w:hAnsi="Verdana"/>
          <w:color w:val="000000"/>
          <w:sz w:val="20"/>
          <w:szCs w:val="20"/>
        </w:rPr>
        <w:t xml:space="preserve">, </w:t>
      </w:r>
      <w:proofErr w:type="spellStart"/>
      <w:r w:rsidR="00815B20">
        <w:rPr>
          <w:rFonts w:ascii="Verdana" w:hAnsi="Verdana"/>
          <w:color w:val="000000"/>
          <w:sz w:val="20"/>
          <w:szCs w:val="20"/>
        </w:rPr>
        <w:t>p</w:t>
      </w:r>
      <w:r w:rsidR="000E13A2">
        <w:rPr>
          <w:rFonts w:ascii="Verdana" w:hAnsi="Verdana"/>
          <w:color w:val="000000"/>
          <w:sz w:val="20"/>
          <w:szCs w:val="20"/>
        </w:rPr>
        <w:t>árr</w:t>
      </w:r>
      <w:r w:rsidR="00CE3ACC">
        <w:rPr>
          <w:rFonts w:ascii="Verdana" w:hAnsi="Verdana"/>
          <w:color w:val="000000"/>
          <w:sz w:val="20"/>
          <w:szCs w:val="20"/>
        </w:rPr>
        <w:t>s</w:t>
      </w:r>
      <w:proofErr w:type="spellEnd"/>
      <w:r w:rsidR="000E13A2">
        <w:rPr>
          <w:rFonts w:ascii="Verdana" w:hAnsi="Verdana"/>
          <w:color w:val="000000"/>
          <w:sz w:val="20"/>
          <w:szCs w:val="20"/>
        </w:rPr>
        <w:t>. 174</w:t>
      </w:r>
      <w:r w:rsidR="00DD5817">
        <w:rPr>
          <w:rFonts w:ascii="Verdana" w:hAnsi="Verdana"/>
          <w:color w:val="000000"/>
          <w:sz w:val="20"/>
          <w:szCs w:val="20"/>
        </w:rPr>
        <w:t>, 176 y 180</w:t>
      </w:r>
      <w:r w:rsidR="000E13A2">
        <w:rPr>
          <w:rFonts w:ascii="Verdana" w:hAnsi="Verdana"/>
          <w:color w:val="000000"/>
          <w:sz w:val="20"/>
          <w:szCs w:val="20"/>
        </w:rPr>
        <w:t>)</w:t>
      </w:r>
      <w:r w:rsidRPr="00B3760D">
        <w:rPr>
          <w:rFonts w:ascii="Verdana" w:hAnsi="Verdana"/>
          <w:color w:val="000000"/>
          <w:sz w:val="20"/>
          <w:szCs w:val="20"/>
        </w:rPr>
        <w:t>.</w:t>
      </w:r>
    </w:p>
    <w:p w14:paraId="27725E91" w14:textId="77777777" w:rsidR="00032FC5" w:rsidRPr="00B3760D" w:rsidRDefault="00032FC5" w:rsidP="00032FC5">
      <w:pPr>
        <w:contextualSpacing/>
        <w:jc w:val="both"/>
        <w:rPr>
          <w:rFonts w:ascii="Verdana" w:hAnsi="Verdana"/>
          <w:color w:val="000000"/>
          <w:sz w:val="20"/>
        </w:rPr>
      </w:pPr>
    </w:p>
    <w:p w14:paraId="69A2B3C5" w14:textId="5A0DD1F0" w:rsidR="00032FC5" w:rsidRPr="006D5D16" w:rsidRDefault="00032FC5" w:rsidP="00E66DD7">
      <w:pPr>
        <w:numPr>
          <w:ilvl w:val="0"/>
          <w:numId w:val="1"/>
        </w:numPr>
        <w:ind w:left="0" w:firstLine="0"/>
        <w:contextualSpacing/>
        <w:jc w:val="both"/>
        <w:rPr>
          <w:rFonts w:ascii="Verdana" w:hAnsi="Verdana"/>
          <w:strike/>
          <w:sz w:val="20"/>
          <w:szCs w:val="20"/>
          <w:lang w:val="es-MX"/>
        </w:rPr>
      </w:pPr>
      <w:r>
        <w:rPr>
          <w:rFonts w:ascii="Verdana" w:hAnsi="Verdana"/>
          <w:color w:val="000000"/>
          <w:sz w:val="20"/>
          <w:szCs w:val="20"/>
        </w:rPr>
        <w:t>Cabe precisar</w:t>
      </w:r>
      <w:r w:rsidRPr="00B3760D">
        <w:rPr>
          <w:rFonts w:ascii="Verdana" w:hAnsi="Verdana"/>
          <w:color w:val="000000"/>
          <w:sz w:val="20"/>
          <w:szCs w:val="20"/>
        </w:rPr>
        <w:t xml:space="preserve"> que la estabilidad laboral no consiste en una permanencia irrestricta en el puesto de trabajo, sino de </w:t>
      </w:r>
      <w:r>
        <w:rPr>
          <w:rFonts w:ascii="Verdana" w:hAnsi="Verdana"/>
          <w:color w:val="000000"/>
          <w:sz w:val="20"/>
          <w:szCs w:val="20"/>
        </w:rPr>
        <w:t xml:space="preserve">respetar este derecho, entre otras medidas, </w:t>
      </w:r>
      <w:r w:rsidRPr="00B3760D">
        <w:rPr>
          <w:rFonts w:ascii="Verdana" w:hAnsi="Verdana"/>
          <w:color w:val="000000"/>
          <w:sz w:val="20"/>
          <w:szCs w:val="20"/>
        </w:rPr>
        <w:t>otorga</w:t>
      </w:r>
      <w:r>
        <w:rPr>
          <w:rFonts w:ascii="Verdana" w:hAnsi="Verdana"/>
          <w:color w:val="000000"/>
          <w:sz w:val="20"/>
          <w:szCs w:val="20"/>
        </w:rPr>
        <w:t>ndo</w:t>
      </w:r>
      <w:r w:rsidRPr="00B3760D">
        <w:rPr>
          <w:rFonts w:ascii="Verdana" w:hAnsi="Verdana"/>
          <w:color w:val="000000"/>
          <w:sz w:val="20"/>
          <w:szCs w:val="20"/>
        </w:rPr>
        <w:t xml:space="preserve"> </w:t>
      </w:r>
      <w:r>
        <w:rPr>
          <w:rFonts w:ascii="Verdana" w:hAnsi="Verdana"/>
          <w:color w:val="000000"/>
          <w:sz w:val="20"/>
          <w:szCs w:val="20"/>
        </w:rPr>
        <w:t xml:space="preserve">debidas </w:t>
      </w:r>
      <w:r w:rsidRPr="00B3760D">
        <w:rPr>
          <w:rFonts w:ascii="Verdana" w:hAnsi="Verdana"/>
          <w:color w:val="000000"/>
          <w:sz w:val="20"/>
          <w:szCs w:val="20"/>
        </w:rPr>
        <w:t>garantía</w:t>
      </w:r>
      <w:r>
        <w:rPr>
          <w:rFonts w:ascii="Verdana" w:hAnsi="Verdana"/>
          <w:color w:val="000000"/>
          <w:sz w:val="20"/>
          <w:szCs w:val="20"/>
        </w:rPr>
        <w:t>s</w:t>
      </w:r>
      <w:r w:rsidRPr="00B3760D">
        <w:rPr>
          <w:rFonts w:ascii="Verdana" w:hAnsi="Verdana"/>
          <w:color w:val="000000"/>
          <w:sz w:val="20"/>
          <w:szCs w:val="20"/>
        </w:rPr>
        <w:t xml:space="preserve"> de protección</w:t>
      </w:r>
      <w:r w:rsidRPr="00EB16BA">
        <w:rPr>
          <w:rFonts w:ascii="Verdana" w:hAnsi="Verdana"/>
          <w:color w:val="000000"/>
          <w:sz w:val="20"/>
          <w:szCs w:val="20"/>
        </w:rPr>
        <w:t xml:space="preserve"> </w:t>
      </w:r>
      <w:r w:rsidRPr="00B3760D">
        <w:rPr>
          <w:rFonts w:ascii="Verdana" w:hAnsi="Verdana"/>
          <w:color w:val="000000"/>
          <w:sz w:val="20"/>
          <w:szCs w:val="20"/>
        </w:rPr>
        <w:t xml:space="preserve">al trabajador </w:t>
      </w:r>
      <w:r w:rsidRPr="00EB16BA">
        <w:rPr>
          <w:rFonts w:ascii="Verdana" w:hAnsi="Verdana"/>
          <w:color w:val="000000"/>
          <w:sz w:val="20"/>
          <w:szCs w:val="20"/>
        </w:rPr>
        <w:t>a fin de que</w:t>
      </w:r>
      <w:r>
        <w:rPr>
          <w:rFonts w:ascii="Verdana" w:hAnsi="Verdana"/>
          <w:color w:val="000000"/>
          <w:sz w:val="20"/>
          <w:szCs w:val="20"/>
        </w:rPr>
        <w:t>,</w:t>
      </w:r>
      <w:r w:rsidRPr="00EB16BA">
        <w:rPr>
          <w:rFonts w:ascii="Verdana" w:hAnsi="Verdana"/>
          <w:color w:val="000000"/>
          <w:sz w:val="20"/>
          <w:szCs w:val="20"/>
        </w:rPr>
        <w:t xml:space="preserve"> </w:t>
      </w:r>
      <w:r>
        <w:rPr>
          <w:rFonts w:ascii="Verdana" w:hAnsi="Verdana"/>
          <w:color w:val="000000"/>
          <w:sz w:val="20"/>
          <w:szCs w:val="20"/>
        </w:rPr>
        <w:t>en caso de</w:t>
      </w:r>
      <w:r w:rsidRPr="00EB16BA">
        <w:rPr>
          <w:rFonts w:ascii="Verdana" w:hAnsi="Verdana"/>
          <w:color w:val="000000"/>
          <w:sz w:val="20"/>
          <w:szCs w:val="20"/>
        </w:rPr>
        <w:t xml:space="preserve"> despido se realice </w:t>
      </w:r>
      <w:r>
        <w:rPr>
          <w:rFonts w:ascii="Verdana" w:hAnsi="Verdana"/>
          <w:color w:val="000000"/>
          <w:sz w:val="20"/>
          <w:szCs w:val="20"/>
        </w:rPr>
        <w:t xml:space="preserve">éste </w:t>
      </w:r>
      <w:r w:rsidRPr="00EB16BA">
        <w:rPr>
          <w:rFonts w:ascii="Verdana" w:hAnsi="Verdana"/>
          <w:color w:val="000000"/>
          <w:sz w:val="20"/>
          <w:szCs w:val="20"/>
        </w:rPr>
        <w:t>bajo causa</w:t>
      </w:r>
      <w:r>
        <w:rPr>
          <w:rFonts w:ascii="Verdana" w:hAnsi="Verdana"/>
          <w:color w:val="000000"/>
          <w:sz w:val="20"/>
          <w:szCs w:val="20"/>
        </w:rPr>
        <w:t>s</w:t>
      </w:r>
      <w:r w:rsidRPr="00EB16BA">
        <w:rPr>
          <w:rFonts w:ascii="Verdana" w:hAnsi="Verdana"/>
          <w:color w:val="000000"/>
          <w:sz w:val="20"/>
          <w:szCs w:val="20"/>
        </w:rPr>
        <w:t xml:space="preserve"> justificada</w:t>
      </w:r>
      <w:r>
        <w:rPr>
          <w:rFonts w:ascii="Verdana" w:hAnsi="Verdana"/>
          <w:color w:val="000000"/>
          <w:sz w:val="20"/>
          <w:szCs w:val="20"/>
        </w:rPr>
        <w:t>s</w:t>
      </w:r>
      <w:r w:rsidRPr="00EB16BA">
        <w:rPr>
          <w:rFonts w:ascii="Verdana" w:hAnsi="Verdana"/>
          <w:color w:val="000000"/>
          <w:sz w:val="20"/>
          <w:szCs w:val="20"/>
        </w:rPr>
        <w:t xml:space="preserve">, lo cual implica que el empleador </w:t>
      </w:r>
      <w:r>
        <w:rPr>
          <w:rFonts w:ascii="Verdana" w:hAnsi="Verdana"/>
          <w:color w:val="000000"/>
          <w:sz w:val="20"/>
          <w:szCs w:val="20"/>
        </w:rPr>
        <w:t>acredite</w:t>
      </w:r>
      <w:r w:rsidRPr="00EB16BA" w:rsidDel="00B17DE8">
        <w:rPr>
          <w:rFonts w:ascii="Verdana" w:hAnsi="Verdana"/>
          <w:color w:val="000000"/>
          <w:sz w:val="20"/>
          <w:szCs w:val="20"/>
        </w:rPr>
        <w:t xml:space="preserve"> </w:t>
      </w:r>
      <w:r>
        <w:rPr>
          <w:rFonts w:ascii="Verdana" w:hAnsi="Verdana"/>
          <w:color w:val="000000"/>
          <w:sz w:val="20"/>
          <w:szCs w:val="20"/>
        </w:rPr>
        <w:t xml:space="preserve">las </w:t>
      </w:r>
      <w:r w:rsidRPr="00EB16BA">
        <w:rPr>
          <w:rFonts w:ascii="Verdana" w:hAnsi="Verdana"/>
          <w:color w:val="000000"/>
          <w:sz w:val="20"/>
          <w:szCs w:val="20"/>
        </w:rPr>
        <w:t xml:space="preserve">razones </w:t>
      </w:r>
      <w:r>
        <w:rPr>
          <w:rFonts w:ascii="Verdana" w:hAnsi="Verdana"/>
          <w:color w:val="000000"/>
          <w:sz w:val="20"/>
          <w:szCs w:val="20"/>
        </w:rPr>
        <w:t xml:space="preserve">suficientes para imponer dicha sanción con las debidas garantías, y frente </w:t>
      </w:r>
      <w:r w:rsidR="008638D8">
        <w:rPr>
          <w:rFonts w:ascii="Verdana" w:hAnsi="Verdana"/>
          <w:color w:val="000000"/>
          <w:sz w:val="20"/>
          <w:szCs w:val="20"/>
        </w:rPr>
        <w:t xml:space="preserve">a </w:t>
      </w:r>
      <w:r>
        <w:rPr>
          <w:rFonts w:ascii="Verdana" w:hAnsi="Verdana"/>
          <w:color w:val="000000"/>
          <w:sz w:val="20"/>
          <w:szCs w:val="20"/>
        </w:rPr>
        <w:t>ello el trabajador pueda</w:t>
      </w:r>
      <w:r w:rsidRPr="00EB16BA">
        <w:rPr>
          <w:rFonts w:ascii="Verdana" w:hAnsi="Verdana"/>
          <w:color w:val="000000"/>
          <w:sz w:val="20"/>
          <w:szCs w:val="20"/>
        </w:rPr>
        <w:t xml:space="preserve"> recurrir tal decisión ante </w:t>
      </w:r>
      <w:r>
        <w:rPr>
          <w:rFonts w:ascii="Verdana" w:hAnsi="Verdana"/>
          <w:color w:val="000000"/>
          <w:sz w:val="20"/>
          <w:szCs w:val="20"/>
        </w:rPr>
        <w:t>las autoridades internas, quienes</w:t>
      </w:r>
      <w:r w:rsidRPr="00EB16BA">
        <w:rPr>
          <w:rFonts w:ascii="Verdana" w:hAnsi="Verdana"/>
          <w:color w:val="000000"/>
          <w:sz w:val="20"/>
          <w:szCs w:val="20"/>
        </w:rPr>
        <w:t xml:space="preserve"> </w:t>
      </w:r>
      <w:r>
        <w:rPr>
          <w:rFonts w:ascii="Verdana" w:hAnsi="Verdana"/>
          <w:color w:val="000000"/>
          <w:sz w:val="20"/>
          <w:szCs w:val="20"/>
        </w:rPr>
        <w:t xml:space="preserve">verifiquen que las causales imputadas no sean </w:t>
      </w:r>
      <w:r w:rsidRPr="00EB16BA">
        <w:rPr>
          <w:rFonts w:ascii="Verdana" w:hAnsi="Verdana"/>
          <w:color w:val="000000"/>
          <w:sz w:val="20"/>
          <w:szCs w:val="20"/>
        </w:rPr>
        <w:t>arbitraria</w:t>
      </w:r>
      <w:r>
        <w:rPr>
          <w:rFonts w:ascii="Verdana" w:hAnsi="Verdana"/>
          <w:color w:val="000000"/>
          <w:sz w:val="20"/>
          <w:szCs w:val="20"/>
        </w:rPr>
        <w:t>s o contrarias a derecho.</w:t>
      </w:r>
      <w:r w:rsidRPr="00EB16BA">
        <w:rPr>
          <w:rFonts w:ascii="Verdana" w:hAnsi="Verdana"/>
          <w:color w:val="000000"/>
          <w:sz w:val="20"/>
          <w:szCs w:val="20"/>
        </w:rPr>
        <w:t xml:space="preserve"> </w:t>
      </w:r>
    </w:p>
    <w:p w14:paraId="21D77744" w14:textId="77777777" w:rsidR="00032FC5" w:rsidRPr="008E104E" w:rsidRDefault="00032FC5" w:rsidP="00032FC5">
      <w:pPr>
        <w:contextualSpacing/>
        <w:jc w:val="both"/>
        <w:rPr>
          <w:rFonts w:ascii="Verdana" w:hAnsi="Verdana"/>
          <w:strike/>
          <w:sz w:val="20"/>
          <w:szCs w:val="20"/>
        </w:rPr>
      </w:pPr>
    </w:p>
    <w:p w14:paraId="6207385A" w14:textId="157F5B7B" w:rsidR="00032FC5" w:rsidRPr="006D5D16" w:rsidRDefault="00032FC5" w:rsidP="00E66DD7">
      <w:pPr>
        <w:numPr>
          <w:ilvl w:val="0"/>
          <w:numId w:val="1"/>
        </w:numPr>
        <w:ind w:left="0" w:firstLine="0"/>
        <w:contextualSpacing/>
        <w:jc w:val="both"/>
        <w:rPr>
          <w:rFonts w:ascii="Verdana" w:hAnsi="Verdana"/>
          <w:sz w:val="20"/>
          <w:szCs w:val="20"/>
          <w:lang w:val="es-MX"/>
        </w:rPr>
      </w:pPr>
      <w:r w:rsidRPr="00890AFE">
        <w:rPr>
          <w:rFonts w:ascii="Verdana" w:hAnsi="Verdana"/>
          <w:color w:val="000000"/>
          <w:sz w:val="20"/>
          <w:szCs w:val="20"/>
        </w:rPr>
        <w:t xml:space="preserve">En el caso concreto, el señor Lagos del Campo había trabajado </w:t>
      </w:r>
      <w:r>
        <w:rPr>
          <w:rFonts w:ascii="Verdana" w:hAnsi="Verdana"/>
          <w:color w:val="000000"/>
          <w:sz w:val="20"/>
          <w:szCs w:val="20"/>
        </w:rPr>
        <w:t xml:space="preserve">como obrero </w:t>
      </w:r>
      <w:r w:rsidRPr="00890AFE">
        <w:rPr>
          <w:rFonts w:ascii="Verdana" w:hAnsi="Verdana"/>
          <w:color w:val="000000"/>
          <w:sz w:val="20"/>
          <w:szCs w:val="20"/>
        </w:rPr>
        <w:t xml:space="preserve">aproximadamente 13 años </w:t>
      </w:r>
      <w:r>
        <w:rPr>
          <w:rFonts w:ascii="Verdana" w:hAnsi="Verdana"/>
          <w:color w:val="000000"/>
          <w:sz w:val="20"/>
          <w:szCs w:val="20"/>
        </w:rPr>
        <w:t>en la referida</w:t>
      </w:r>
      <w:r w:rsidRPr="00D43A62">
        <w:rPr>
          <w:rFonts w:ascii="Verdana" w:hAnsi="Verdana"/>
          <w:color w:val="000000"/>
          <w:sz w:val="20"/>
          <w:szCs w:val="20"/>
        </w:rPr>
        <w:t xml:space="preserve"> empresa, y al momento de los hechos ocupaba el cargo de Presidente del Comité Electoral de la Comunidad Industrial de la empresa y delegado pleno ante el CONACI. Con motivo de </w:t>
      </w:r>
      <w:r>
        <w:rPr>
          <w:rFonts w:ascii="Verdana" w:hAnsi="Verdana"/>
          <w:color w:val="000000"/>
          <w:sz w:val="20"/>
          <w:szCs w:val="20"/>
        </w:rPr>
        <w:t>las</w:t>
      </w:r>
      <w:r w:rsidRPr="00890AFE">
        <w:rPr>
          <w:rFonts w:ascii="Verdana" w:hAnsi="Verdana"/>
          <w:color w:val="000000"/>
          <w:sz w:val="20"/>
          <w:szCs w:val="20"/>
        </w:rPr>
        <w:t xml:space="preserve"> manifestaciones </w:t>
      </w:r>
      <w:r>
        <w:rPr>
          <w:rFonts w:ascii="Verdana" w:hAnsi="Verdana"/>
          <w:color w:val="000000"/>
          <w:sz w:val="20"/>
          <w:szCs w:val="20"/>
        </w:rPr>
        <w:t xml:space="preserve">recogidas en la entrevista publicada en la revista La Razón, </w:t>
      </w:r>
      <w:r w:rsidRPr="00890AFE">
        <w:rPr>
          <w:rFonts w:ascii="Verdana" w:hAnsi="Verdana"/>
          <w:color w:val="000000"/>
          <w:sz w:val="20"/>
          <w:szCs w:val="20"/>
        </w:rPr>
        <w:t>en el contexto de las elecciones internas</w:t>
      </w:r>
      <w:r>
        <w:rPr>
          <w:rFonts w:ascii="Verdana" w:hAnsi="Verdana"/>
          <w:color w:val="000000"/>
          <w:sz w:val="20"/>
          <w:szCs w:val="20"/>
        </w:rPr>
        <w:t xml:space="preserve">, el señor Lagos del Campo fue despedido bajo la causal de haber realizado una falta grave de palabra contra el empleador. El señor Lagos del Campo impugnó dicha decisión ante los órganos competentes, la cual fue avalada en segunda instancia, al considerar </w:t>
      </w:r>
      <w:r w:rsidR="008638D8">
        <w:rPr>
          <w:rFonts w:ascii="Verdana" w:hAnsi="Verdana"/>
          <w:color w:val="000000"/>
          <w:sz w:val="20"/>
          <w:szCs w:val="20"/>
        </w:rPr>
        <w:t xml:space="preserve">que </w:t>
      </w:r>
      <w:r>
        <w:rPr>
          <w:rFonts w:ascii="Verdana" w:hAnsi="Verdana"/>
          <w:color w:val="000000"/>
          <w:sz w:val="20"/>
          <w:szCs w:val="20"/>
        </w:rPr>
        <w:t>el despido se habría dado bajo causa justificada. Dicha decisión fue recurrida ante diversas instancias internas sin haber encontrado tutela, particularmente, respecto de su derecho a la estabilidad laboral, al alegarse causas injustificadas o carentes de motivos para el despido y afectaciones al debido proceso. Es decir, frente al despido arbitrario por parte de la empresa (</w:t>
      </w:r>
      <w:r w:rsidRPr="006D5D16">
        <w:rPr>
          <w:rFonts w:ascii="Verdana" w:hAnsi="Verdana"/>
          <w:i/>
          <w:color w:val="000000"/>
          <w:sz w:val="20"/>
          <w:szCs w:val="20"/>
        </w:rPr>
        <w:t>supra</w:t>
      </w:r>
      <w:r>
        <w:rPr>
          <w:rFonts w:ascii="Verdana" w:hAnsi="Verdana"/>
          <w:color w:val="000000"/>
          <w:sz w:val="20"/>
          <w:szCs w:val="20"/>
        </w:rPr>
        <w:t xml:space="preserve">, párr. </w:t>
      </w:r>
      <w:r w:rsidR="00D97397">
        <w:rPr>
          <w:rFonts w:ascii="Verdana" w:hAnsi="Verdana"/>
          <w:color w:val="000000"/>
          <w:sz w:val="20"/>
          <w:szCs w:val="20"/>
        </w:rPr>
        <w:t>132</w:t>
      </w:r>
      <w:r>
        <w:rPr>
          <w:rFonts w:ascii="Verdana" w:hAnsi="Verdana"/>
          <w:color w:val="000000"/>
          <w:sz w:val="20"/>
          <w:szCs w:val="20"/>
        </w:rPr>
        <w:t xml:space="preserve">) el Estado no adoptó las medidas adecuadas para proteger la vulneración del derecho al trabajo imputable a terceros. </w:t>
      </w:r>
      <w:r>
        <w:rPr>
          <w:rFonts w:ascii="Verdana" w:hAnsi="Verdana"/>
          <w:color w:val="000000"/>
          <w:sz w:val="20"/>
          <w:szCs w:val="20"/>
        </w:rPr>
        <w:lastRenderedPageBreak/>
        <w:t xml:space="preserve">Por ende, no se le reinstaló en su puesto de trabajo ni recibió ninguna indemnización ni los beneficios correspondientes. </w:t>
      </w:r>
    </w:p>
    <w:p w14:paraId="4A09CDEE" w14:textId="77777777" w:rsidR="00032FC5" w:rsidRPr="006D5D16" w:rsidRDefault="00032FC5" w:rsidP="00032FC5">
      <w:pPr>
        <w:contextualSpacing/>
        <w:jc w:val="both"/>
        <w:rPr>
          <w:rFonts w:ascii="Verdana" w:hAnsi="Verdana"/>
          <w:sz w:val="20"/>
          <w:szCs w:val="20"/>
          <w:lang w:val="es-MX"/>
        </w:rPr>
      </w:pPr>
    </w:p>
    <w:p w14:paraId="752DF940" w14:textId="77777777" w:rsidR="00032FC5" w:rsidRDefault="00032FC5" w:rsidP="00E66DD7">
      <w:pPr>
        <w:numPr>
          <w:ilvl w:val="0"/>
          <w:numId w:val="1"/>
        </w:numPr>
        <w:ind w:left="0" w:firstLine="0"/>
        <w:contextualSpacing/>
        <w:jc w:val="both"/>
        <w:rPr>
          <w:rFonts w:ascii="Verdana" w:hAnsi="Verdana"/>
          <w:sz w:val="20"/>
          <w:szCs w:val="20"/>
        </w:rPr>
      </w:pPr>
      <w:r>
        <w:rPr>
          <w:rFonts w:ascii="Verdana" w:hAnsi="Verdana"/>
          <w:sz w:val="20"/>
          <w:szCs w:val="20"/>
        </w:rPr>
        <w:t>Con motivo de ello, el señor Lagos del Campo perdió su empleo, la posibilidad de acceder a una pensión por jubilación, así como ejercer sus derechos como representante de los trabajadores. Tal incidente tuvo como consecuencia ciertas repercusiones en su vida profesional, personal y familiar (</w:t>
      </w:r>
      <w:r w:rsidRPr="003B45F4">
        <w:rPr>
          <w:rFonts w:ascii="Verdana" w:hAnsi="Verdana"/>
          <w:i/>
          <w:sz w:val="20"/>
          <w:szCs w:val="20"/>
        </w:rPr>
        <w:t>supra,</w:t>
      </w:r>
      <w:r>
        <w:rPr>
          <w:rFonts w:ascii="Verdana" w:hAnsi="Verdana"/>
          <w:sz w:val="20"/>
          <w:szCs w:val="20"/>
        </w:rPr>
        <w:t xml:space="preserve"> párr. 72). Al respecto, </w:t>
      </w:r>
      <w:r w:rsidRPr="00F44AE6">
        <w:rPr>
          <w:rFonts w:ascii="Verdana" w:hAnsi="Verdana"/>
          <w:sz w:val="20"/>
          <w:szCs w:val="20"/>
        </w:rPr>
        <w:t xml:space="preserve">Lagos del Campo declaró en la audiencia pública ante la Corte </w:t>
      </w:r>
      <w:r>
        <w:rPr>
          <w:rFonts w:ascii="Verdana" w:hAnsi="Verdana"/>
          <w:sz w:val="20"/>
          <w:szCs w:val="20"/>
        </w:rPr>
        <w:t>que entre las</w:t>
      </w:r>
      <w:r w:rsidRPr="00F44AE6">
        <w:rPr>
          <w:rFonts w:ascii="Verdana" w:hAnsi="Verdana"/>
          <w:sz w:val="20"/>
          <w:szCs w:val="20"/>
        </w:rPr>
        <w:t xml:space="preserve"> consecuencias de su despido fueron las siguientes: </w:t>
      </w:r>
    </w:p>
    <w:p w14:paraId="7FC00BA0" w14:textId="6DBB6323" w:rsidR="00032FC5" w:rsidRPr="00F44AE6" w:rsidRDefault="000002AB" w:rsidP="00801513">
      <w:pPr>
        <w:tabs>
          <w:tab w:val="left" w:pos="974"/>
        </w:tabs>
        <w:contextualSpacing/>
        <w:jc w:val="both"/>
        <w:rPr>
          <w:rFonts w:ascii="Verdana" w:hAnsi="Verdana"/>
          <w:sz w:val="20"/>
          <w:szCs w:val="20"/>
        </w:rPr>
      </w:pPr>
      <w:r>
        <w:rPr>
          <w:rFonts w:ascii="Verdana" w:hAnsi="Verdana"/>
          <w:sz w:val="20"/>
          <w:szCs w:val="20"/>
        </w:rPr>
        <w:tab/>
      </w:r>
    </w:p>
    <w:p w14:paraId="058AF13D" w14:textId="51E536EE" w:rsidR="00032FC5" w:rsidRDefault="00032FC5" w:rsidP="00032FC5">
      <w:pPr>
        <w:ind w:left="720" w:right="720"/>
        <w:jc w:val="both"/>
        <w:rPr>
          <w:rFonts w:ascii="Verdana" w:hAnsi="Verdana"/>
          <w:sz w:val="18"/>
          <w:szCs w:val="18"/>
        </w:rPr>
      </w:pPr>
      <w:r>
        <w:rPr>
          <w:rFonts w:ascii="Verdana" w:hAnsi="Verdana"/>
          <w:sz w:val="18"/>
          <w:szCs w:val="18"/>
        </w:rPr>
        <w:t>[No pudo acceder a una jubilación porque] [</w:t>
      </w:r>
      <w:proofErr w:type="gramStart"/>
      <w:r>
        <w:rPr>
          <w:rFonts w:ascii="Verdana" w:hAnsi="Verdana"/>
          <w:sz w:val="18"/>
          <w:szCs w:val="18"/>
        </w:rPr>
        <w:t>f]</w:t>
      </w:r>
      <w:proofErr w:type="spellStart"/>
      <w:proofErr w:type="gramEnd"/>
      <w:r w:rsidRPr="00D91D79">
        <w:rPr>
          <w:rFonts w:ascii="Verdana" w:hAnsi="Verdana"/>
          <w:sz w:val="18"/>
          <w:szCs w:val="18"/>
        </w:rPr>
        <w:t>altaban</w:t>
      </w:r>
      <w:proofErr w:type="spellEnd"/>
      <w:r w:rsidRPr="00D91D79">
        <w:rPr>
          <w:rFonts w:ascii="Verdana" w:hAnsi="Verdana"/>
          <w:sz w:val="18"/>
          <w:szCs w:val="18"/>
        </w:rPr>
        <w:t xml:space="preserve"> cinco años según las leyes para poder acceder a una jubilación digna para poder sobrevivir, pero todo eso </w:t>
      </w:r>
      <w:proofErr w:type="spellStart"/>
      <w:r w:rsidRPr="00D91D79">
        <w:rPr>
          <w:rFonts w:ascii="Verdana" w:hAnsi="Verdana"/>
          <w:sz w:val="18"/>
          <w:szCs w:val="18"/>
        </w:rPr>
        <w:t>est</w:t>
      </w:r>
      <w:proofErr w:type="spellEnd"/>
      <w:r>
        <w:rPr>
          <w:rFonts w:ascii="Verdana" w:hAnsi="Verdana"/>
          <w:sz w:val="18"/>
          <w:szCs w:val="18"/>
        </w:rPr>
        <w:t>[</w:t>
      </w:r>
      <w:proofErr w:type="spellStart"/>
      <w:r>
        <w:rPr>
          <w:rFonts w:ascii="Verdana" w:hAnsi="Verdana"/>
          <w:sz w:val="18"/>
          <w:szCs w:val="18"/>
        </w:rPr>
        <w:t>uvo</w:t>
      </w:r>
      <w:proofErr w:type="spellEnd"/>
      <w:r>
        <w:rPr>
          <w:rFonts w:ascii="Verdana" w:hAnsi="Verdana"/>
          <w:sz w:val="18"/>
          <w:szCs w:val="18"/>
        </w:rPr>
        <w:t>]</w:t>
      </w:r>
      <w:r w:rsidRPr="00D91D79">
        <w:rPr>
          <w:rFonts w:ascii="Verdana" w:hAnsi="Verdana"/>
          <w:sz w:val="18"/>
          <w:szCs w:val="18"/>
        </w:rPr>
        <w:t xml:space="preserve"> conculcado porque no contaba en ese entonces con el requisito que era o exigía la ley de presidente.</w:t>
      </w:r>
      <w:r>
        <w:rPr>
          <w:rFonts w:ascii="Verdana" w:hAnsi="Verdana"/>
          <w:sz w:val="18"/>
          <w:szCs w:val="18"/>
        </w:rPr>
        <w:t xml:space="preserve"> […] </w:t>
      </w:r>
      <w:r w:rsidRPr="00D91D79">
        <w:rPr>
          <w:rFonts w:ascii="Verdana" w:hAnsi="Verdana"/>
          <w:sz w:val="18"/>
          <w:szCs w:val="18"/>
        </w:rPr>
        <w:t xml:space="preserve">Durante la dictadura de ese gobierno </w:t>
      </w:r>
      <w:r>
        <w:rPr>
          <w:rFonts w:ascii="Verdana" w:hAnsi="Verdana"/>
          <w:sz w:val="18"/>
          <w:szCs w:val="18"/>
        </w:rPr>
        <w:t>[…]</w:t>
      </w:r>
      <w:r w:rsidRPr="00D91D79">
        <w:rPr>
          <w:rFonts w:ascii="Verdana" w:hAnsi="Verdana"/>
          <w:sz w:val="18"/>
          <w:szCs w:val="18"/>
        </w:rPr>
        <w:t>, lamentablemente todo ciudadano o trabajador después de los cincuenta ya no tenía acceso a ninguna empresa ni a un puesto rentable.</w:t>
      </w:r>
      <w:r>
        <w:rPr>
          <w:rFonts w:ascii="Verdana" w:hAnsi="Verdana"/>
          <w:sz w:val="18"/>
          <w:szCs w:val="18"/>
        </w:rPr>
        <w:t xml:space="preserve"> […] [Además que]</w:t>
      </w:r>
      <w:r w:rsidRPr="00D91D79">
        <w:rPr>
          <w:rFonts w:ascii="Verdana" w:hAnsi="Verdana"/>
          <w:sz w:val="18"/>
          <w:szCs w:val="18"/>
        </w:rPr>
        <w:t xml:space="preserve"> después de tantos largos años de sufrimiento, de pedir justicia nacional, en este caso internacional, </w:t>
      </w:r>
      <w:r>
        <w:rPr>
          <w:rFonts w:ascii="Verdana" w:hAnsi="Verdana"/>
          <w:sz w:val="18"/>
          <w:szCs w:val="18"/>
        </w:rPr>
        <w:t>[…]</w:t>
      </w:r>
      <w:r w:rsidRPr="00D91D79">
        <w:rPr>
          <w:rFonts w:ascii="Verdana" w:hAnsi="Verdana"/>
          <w:sz w:val="18"/>
          <w:szCs w:val="18"/>
        </w:rPr>
        <w:t xml:space="preserve"> </w:t>
      </w:r>
      <w:proofErr w:type="spellStart"/>
      <w:proofErr w:type="gramStart"/>
      <w:r w:rsidRPr="00D91D79">
        <w:rPr>
          <w:rFonts w:ascii="Verdana" w:hAnsi="Verdana"/>
          <w:sz w:val="18"/>
          <w:szCs w:val="18"/>
        </w:rPr>
        <w:t>sufr</w:t>
      </w:r>
      <w:proofErr w:type="spellEnd"/>
      <w:r>
        <w:rPr>
          <w:rFonts w:ascii="Verdana" w:hAnsi="Verdana"/>
          <w:sz w:val="18"/>
          <w:szCs w:val="18"/>
        </w:rPr>
        <w:t>[</w:t>
      </w:r>
      <w:proofErr w:type="spellStart"/>
      <w:proofErr w:type="gramEnd"/>
      <w:r>
        <w:rPr>
          <w:rFonts w:ascii="Verdana" w:hAnsi="Verdana"/>
          <w:sz w:val="18"/>
          <w:szCs w:val="18"/>
        </w:rPr>
        <w:t>ió</w:t>
      </w:r>
      <w:proofErr w:type="spellEnd"/>
      <w:r>
        <w:rPr>
          <w:rFonts w:ascii="Verdana" w:hAnsi="Verdana"/>
          <w:sz w:val="18"/>
          <w:szCs w:val="18"/>
        </w:rPr>
        <w:t>]</w:t>
      </w:r>
      <w:r w:rsidRPr="00D91D79">
        <w:rPr>
          <w:rFonts w:ascii="Verdana" w:hAnsi="Verdana"/>
          <w:sz w:val="18"/>
          <w:szCs w:val="18"/>
        </w:rPr>
        <w:t xml:space="preserve"> </w:t>
      </w:r>
      <w:r>
        <w:rPr>
          <w:rFonts w:ascii="Verdana" w:hAnsi="Verdana"/>
          <w:sz w:val="18"/>
          <w:szCs w:val="18"/>
        </w:rPr>
        <w:t>[en el 2015]</w:t>
      </w:r>
      <w:r w:rsidRPr="00D91D79">
        <w:rPr>
          <w:rFonts w:ascii="Verdana" w:hAnsi="Verdana"/>
          <w:sz w:val="18"/>
          <w:szCs w:val="18"/>
        </w:rPr>
        <w:t xml:space="preserve"> </w:t>
      </w:r>
      <w:r>
        <w:rPr>
          <w:rFonts w:ascii="Verdana" w:hAnsi="Verdana"/>
          <w:sz w:val="18"/>
          <w:szCs w:val="18"/>
        </w:rPr>
        <w:t>[afectaciones a su salud] […</w:t>
      </w:r>
      <w:r w:rsidRPr="00DD5817">
        <w:rPr>
          <w:rFonts w:ascii="Verdana" w:hAnsi="Verdana"/>
          <w:sz w:val="18"/>
          <w:szCs w:val="18"/>
        </w:rPr>
        <w:t>].</w:t>
      </w:r>
    </w:p>
    <w:p w14:paraId="3E556B3B" w14:textId="77777777" w:rsidR="00032FC5" w:rsidRPr="006D5D16" w:rsidRDefault="00032FC5" w:rsidP="00032FC5">
      <w:pPr>
        <w:ind w:left="720" w:right="720"/>
        <w:jc w:val="both"/>
        <w:rPr>
          <w:rFonts w:ascii="Verdana" w:hAnsi="Verdana"/>
          <w:sz w:val="18"/>
          <w:szCs w:val="18"/>
        </w:rPr>
      </w:pPr>
    </w:p>
    <w:p w14:paraId="2C2F610A" w14:textId="24D32CA4" w:rsidR="0059018A" w:rsidRPr="00333304" w:rsidRDefault="00032FC5" w:rsidP="00E66DD7">
      <w:pPr>
        <w:numPr>
          <w:ilvl w:val="0"/>
          <w:numId w:val="1"/>
        </w:numPr>
        <w:ind w:left="0" w:firstLine="0"/>
        <w:contextualSpacing/>
        <w:jc w:val="both"/>
        <w:rPr>
          <w:rFonts w:ascii="Verdana" w:hAnsi="Verdana"/>
          <w:sz w:val="20"/>
          <w:szCs w:val="20"/>
        </w:rPr>
      </w:pPr>
      <w:r w:rsidRPr="00333304">
        <w:rPr>
          <w:rFonts w:ascii="Verdana" w:hAnsi="Verdana"/>
          <w:color w:val="000000"/>
          <w:sz w:val="20"/>
          <w:szCs w:val="20"/>
        </w:rPr>
        <w:t xml:space="preserve">En </w:t>
      </w:r>
      <w:r w:rsidR="00E606B9" w:rsidRPr="00333304">
        <w:rPr>
          <w:rFonts w:ascii="Verdana" w:hAnsi="Verdana"/>
          <w:color w:val="000000"/>
          <w:sz w:val="20"/>
          <w:szCs w:val="20"/>
        </w:rPr>
        <w:t>vista</w:t>
      </w:r>
      <w:r w:rsidR="00CB7CCB" w:rsidRPr="00333304">
        <w:rPr>
          <w:rFonts w:ascii="Verdana" w:hAnsi="Verdana"/>
          <w:color w:val="000000"/>
          <w:sz w:val="20"/>
          <w:szCs w:val="20"/>
        </w:rPr>
        <w:t xml:space="preserve"> de lo anterior</w:t>
      </w:r>
      <w:r w:rsidRPr="00333304">
        <w:rPr>
          <w:rFonts w:ascii="Verdana" w:hAnsi="Verdana"/>
          <w:color w:val="000000"/>
          <w:sz w:val="20"/>
          <w:szCs w:val="20"/>
        </w:rPr>
        <w:t>, la Corte con</w:t>
      </w:r>
      <w:r w:rsidR="00E606B9" w:rsidRPr="00333304">
        <w:rPr>
          <w:rFonts w:ascii="Verdana" w:hAnsi="Verdana"/>
          <w:color w:val="000000"/>
          <w:sz w:val="20"/>
          <w:szCs w:val="20"/>
        </w:rPr>
        <w:t>cluye</w:t>
      </w:r>
      <w:r w:rsidRPr="00333304">
        <w:rPr>
          <w:rFonts w:ascii="Verdana" w:hAnsi="Verdana"/>
          <w:color w:val="000000"/>
          <w:sz w:val="20"/>
          <w:szCs w:val="20"/>
        </w:rPr>
        <w:t xml:space="preserve"> que, </w:t>
      </w:r>
      <w:r w:rsidR="00CB7CCB" w:rsidRPr="00333304">
        <w:rPr>
          <w:rFonts w:ascii="Verdana" w:hAnsi="Verdana"/>
          <w:color w:val="000000"/>
          <w:sz w:val="20"/>
          <w:szCs w:val="20"/>
        </w:rPr>
        <w:t xml:space="preserve">con motivo del </w:t>
      </w:r>
      <w:r w:rsidRPr="00333304">
        <w:rPr>
          <w:rFonts w:ascii="Verdana" w:hAnsi="Verdana"/>
          <w:color w:val="000000"/>
          <w:sz w:val="20"/>
          <w:szCs w:val="20"/>
        </w:rPr>
        <w:t xml:space="preserve">despido </w:t>
      </w:r>
      <w:r w:rsidR="00CB7CCB" w:rsidRPr="00333304">
        <w:rPr>
          <w:rFonts w:ascii="Verdana" w:hAnsi="Verdana"/>
          <w:color w:val="000000"/>
          <w:sz w:val="20"/>
          <w:szCs w:val="20"/>
        </w:rPr>
        <w:t>arbitrario del señor Lagos del Campo</w:t>
      </w:r>
      <w:r w:rsidRPr="00333304">
        <w:rPr>
          <w:rFonts w:ascii="Verdana" w:hAnsi="Verdana"/>
          <w:color w:val="000000"/>
          <w:sz w:val="20"/>
          <w:szCs w:val="20"/>
        </w:rPr>
        <w:t>,</w:t>
      </w:r>
      <w:r w:rsidR="00CB7CCB" w:rsidRPr="00333304">
        <w:rPr>
          <w:rFonts w:ascii="Verdana" w:hAnsi="Verdana"/>
          <w:color w:val="000000"/>
          <w:sz w:val="20"/>
          <w:szCs w:val="20"/>
        </w:rPr>
        <w:t xml:space="preserve"> </w:t>
      </w:r>
      <w:r w:rsidR="00F67F8B" w:rsidRPr="00333304">
        <w:rPr>
          <w:rFonts w:ascii="Verdana" w:hAnsi="Verdana"/>
          <w:color w:val="000000"/>
          <w:sz w:val="20"/>
          <w:szCs w:val="20"/>
        </w:rPr>
        <w:t xml:space="preserve">se le </w:t>
      </w:r>
      <w:r w:rsidR="00E606B9" w:rsidRPr="00333304">
        <w:rPr>
          <w:rFonts w:ascii="Verdana" w:hAnsi="Verdana"/>
          <w:color w:val="000000"/>
          <w:sz w:val="20"/>
          <w:szCs w:val="20"/>
        </w:rPr>
        <w:t>priv</w:t>
      </w:r>
      <w:r w:rsidR="00F67F8B" w:rsidRPr="00333304">
        <w:rPr>
          <w:rFonts w:ascii="Verdana" w:hAnsi="Verdana"/>
          <w:color w:val="000000"/>
          <w:sz w:val="20"/>
          <w:szCs w:val="20"/>
        </w:rPr>
        <w:t>ó</w:t>
      </w:r>
      <w:r w:rsidR="00CB7CCB" w:rsidRPr="00333304">
        <w:rPr>
          <w:rFonts w:ascii="Verdana" w:hAnsi="Verdana"/>
          <w:color w:val="000000"/>
          <w:sz w:val="20"/>
          <w:szCs w:val="20"/>
        </w:rPr>
        <w:t xml:space="preserve"> </w:t>
      </w:r>
      <w:r w:rsidR="00F67F8B" w:rsidRPr="00333304">
        <w:rPr>
          <w:rFonts w:ascii="Verdana" w:hAnsi="Verdana"/>
          <w:color w:val="000000"/>
          <w:sz w:val="20"/>
          <w:szCs w:val="20"/>
        </w:rPr>
        <w:t xml:space="preserve">de su empleo </w:t>
      </w:r>
      <w:r w:rsidR="00CB7CCB" w:rsidRPr="00333304">
        <w:rPr>
          <w:rFonts w:ascii="Verdana" w:hAnsi="Verdana"/>
          <w:color w:val="000000"/>
          <w:sz w:val="20"/>
          <w:szCs w:val="20"/>
        </w:rPr>
        <w:t xml:space="preserve">y demás </w:t>
      </w:r>
      <w:r w:rsidR="00F67F8B" w:rsidRPr="00333304">
        <w:rPr>
          <w:rFonts w:ascii="Verdana" w:hAnsi="Verdana"/>
          <w:color w:val="000000"/>
          <w:sz w:val="20"/>
          <w:szCs w:val="20"/>
        </w:rPr>
        <w:t xml:space="preserve">beneficios </w:t>
      </w:r>
      <w:r w:rsidR="00CB7CCB" w:rsidRPr="00333304">
        <w:rPr>
          <w:rFonts w:ascii="Verdana" w:hAnsi="Verdana"/>
          <w:color w:val="000000"/>
          <w:sz w:val="20"/>
          <w:szCs w:val="20"/>
        </w:rPr>
        <w:t>de</w:t>
      </w:r>
      <w:r w:rsidR="00F67F8B" w:rsidRPr="00333304">
        <w:rPr>
          <w:rFonts w:ascii="Verdana" w:hAnsi="Verdana"/>
          <w:color w:val="000000"/>
          <w:sz w:val="20"/>
          <w:szCs w:val="20"/>
        </w:rPr>
        <w:t xml:space="preserve">rivados de la seguridad social, </w:t>
      </w:r>
      <w:r w:rsidR="00E553FE" w:rsidRPr="00333304">
        <w:rPr>
          <w:rFonts w:ascii="Verdana" w:hAnsi="Verdana"/>
          <w:color w:val="000000"/>
          <w:sz w:val="20"/>
          <w:szCs w:val="20"/>
        </w:rPr>
        <w:t xml:space="preserve">ante lo cual </w:t>
      </w:r>
      <w:r w:rsidR="00CB7CCB" w:rsidRPr="00333304">
        <w:rPr>
          <w:rFonts w:ascii="Verdana" w:hAnsi="Verdana"/>
          <w:color w:val="000000"/>
          <w:sz w:val="20"/>
          <w:szCs w:val="20"/>
        </w:rPr>
        <w:t>el Estado peruano</w:t>
      </w:r>
      <w:r w:rsidRPr="00333304">
        <w:rPr>
          <w:rFonts w:ascii="Verdana" w:hAnsi="Verdana"/>
          <w:color w:val="000000"/>
          <w:sz w:val="20"/>
          <w:szCs w:val="20"/>
        </w:rPr>
        <w:t xml:space="preserve"> </w:t>
      </w:r>
      <w:r w:rsidR="00CB7CCB" w:rsidRPr="00333304">
        <w:rPr>
          <w:rFonts w:ascii="Verdana" w:hAnsi="Verdana"/>
          <w:color w:val="000000"/>
          <w:sz w:val="20"/>
          <w:szCs w:val="20"/>
        </w:rPr>
        <w:t xml:space="preserve">no tuteló </w:t>
      </w:r>
      <w:r w:rsidR="00E606B9" w:rsidRPr="00333304">
        <w:rPr>
          <w:rFonts w:ascii="Verdana" w:hAnsi="Verdana"/>
          <w:color w:val="000000"/>
          <w:sz w:val="20"/>
          <w:szCs w:val="20"/>
        </w:rPr>
        <w:t>el</w:t>
      </w:r>
      <w:r w:rsidRPr="00333304">
        <w:rPr>
          <w:rFonts w:ascii="Verdana" w:hAnsi="Verdana"/>
          <w:color w:val="000000"/>
          <w:sz w:val="20"/>
          <w:szCs w:val="20"/>
        </w:rPr>
        <w:t xml:space="preserve"> derecho a la estabilidad laboral</w:t>
      </w:r>
      <w:r w:rsidR="00CB7CCB" w:rsidRPr="00333304">
        <w:rPr>
          <w:rFonts w:ascii="Verdana" w:hAnsi="Verdana"/>
          <w:color w:val="000000"/>
          <w:sz w:val="20"/>
          <w:szCs w:val="20"/>
        </w:rPr>
        <w:t>, en interpretación del artículo 26 de la Convención Americana, en relación con los artículos 1</w:t>
      </w:r>
      <w:r w:rsidR="00E606B9" w:rsidRPr="00333304">
        <w:rPr>
          <w:rFonts w:ascii="Verdana" w:hAnsi="Verdana"/>
          <w:color w:val="000000"/>
          <w:sz w:val="20"/>
          <w:szCs w:val="20"/>
        </w:rPr>
        <w:t xml:space="preserve">.1, 13, </w:t>
      </w:r>
      <w:r w:rsidR="00CB7CCB" w:rsidRPr="00333304">
        <w:rPr>
          <w:rFonts w:ascii="Verdana" w:hAnsi="Verdana"/>
          <w:color w:val="000000"/>
          <w:sz w:val="20"/>
          <w:szCs w:val="20"/>
        </w:rPr>
        <w:t>8</w:t>
      </w:r>
      <w:r w:rsidR="00E606B9" w:rsidRPr="00333304">
        <w:rPr>
          <w:rFonts w:ascii="Verdana" w:hAnsi="Verdana"/>
          <w:color w:val="000000"/>
          <w:sz w:val="20"/>
          <w:szCs w:val="20"/>
        </w:rPr>
        <w:t xml:space="preserve"> y 16</w:t>
      </w:r>
      <w:r w:rsidR="00CB7CCB" w:rsidRPr="00333304">
        <w:rPr>
          <w:rFonts w:ascii="Verdana" w:hAnsi="Verdana"/>
          <w:color w:val="000000"/>
          <w:sz w:val="20"/>
          <w:szCs w:val="20"/>
        </w:rPr>
        <w:t xml:space="preserve"> de la misma, en perjuicio del señor Lagos del Campo</w:t>
      </w:r>
      <w:r w:rsidR="00E606B9" w:rsidRPr="00333304">
        <w:rPr>
          <w:rFonts w:ascii="Verdana" w:hAnsi="Verdana"/>
          <w:color w:val="000000"/>
          <w:sz w:val="20"/>
          <w:szCs w:val="20"/>
        </w:rPr>
        <w:t>.</w:t>
      </w:r>
    </w:p>
    <w:p w14:paraId="32995751" w14:textId="6179199B" w:rsidR="0059018A" w:rsidRPr="00801513" w:rsidRDefault="00CB7CCB" w:rsidP="00801513">
      <w:pPr>
        <w:contextualSpacing/>
        <w:jc w:val="both"/>
        <w:rPr>
          <w:rFonts w:ascii="Verdana" w:hAnsi="Verdana"/>
          <w:b/>
          <w:sz w:val="20"/>
          <w:szCs w:val="20"/>
        </w:rPr>
      </w:pPr>
      <w:r w:rsidRPr="00801513" w:rsidDel="00CB7CCB">
        <w:rPr>
          <w:rFonts w:ascii="Verdana" w:hAnsi="Verdana"/>
          <w:b/>
          <w:color w:val="000000"/>
          <w:sz w:val="20"/>
          <w:szCs w:val="20"/>
        </w:rPr>
        <w:t xml:space="preserve"> </w:t>
      </w:r>
    </w:p>
    <w:p w14:paraId="4532E36C" w14:textId="57ECFB0F" w:rsidR="00793256" w:rsidRPr="00333304" w:rsidRDefault="00793256" w:rsidP="00E66DD7">
      <w:pPr>
        <w:numPr>
          <w:ilvl w:val="0"/>
          <w:numId w:val="1"/>
        </w:numPr>
        <w:ind w:left="0" w:firstLine="0"/>
        <w:contextualSpacing/>
        <w:jc w:val="both"/>
        <w:rPr>
          <w:rFonts w:ascii="Verdana" w:hAnsi="Verdana"/>
          <w:bCs/>
          <w:sz w:val="20"/>
          <w:szCs w:val="20"/>
        </w:rPr>
      </w:pPr>
      <w:r w:rsidRPr="00333304">
        <w:rPr>
          <w:rFonts w:ascii="Verdana" w:hAnsi="Verdana"/>
          <w:color w:val="000000"/>
          <w:sz w:val="20"/>
          <w:szCs w:val="20"/>
        </w:rPr>
        <w:t>Finalmente, cabe</w:t>
      </w:r>
      <w:r w:rsidRPr="00333304">
        <w:rPr>
          <w:rFonts w:ascii="Verdana" w:hAnsi="Verdana"/>
          <w:bCs/>
          <w:color w:val="000000"/>
          <w:sz w:val="20"/>
          <w:szCs w:val="20"/>
        </w:rPr>
        <w:t xml:space="preserve"> señalar que la Corte </w:t>
      </w:r>
      <w:r w:rsidRPr="00333304">
        <w:rPr>
          <w:rFonts w:ascii="Verdana" w:hAnsi="Verdana"/>
          <w:bCs/>
          <w:sz w:val="20"/>
          <w:szCs w:val="20"/>
        </w:rPr>
        <w:t>ha establecido previamente su competencia para conocer y resolver controversias relativas al artículo 26 de la Convención Americana, como parte integrante de los derechos enumerados en la misma, respecto de los cuales el artículo 1.1 confiere obligaciones generales de respeto y garantía a los Estados (</w:t>
      </w:r>
      <w:r w:rsidRPr="00333304">
        <w:rPr>
          <w:rFonts w:ascii="Verdana" w:hAnsi="Verdana"/>
          <w:bCs/>
          <w:i/>
          <w:iCs/>
          <w:sz w:val="20"/>
          <w:szCs w:val="20"/>
        </w:rPr>
        <w:t xml:space="preserve">supra </w:t>
      </w:r>
      <w:r w:rsidRPr="00333304">
        <w:rPr>
          <w:rFonts w:ascii="Verdana" w:hAnsi="Verdana"/>
          <w:bCs/>
          <w:sz w:val="20"/>
          <w:szCs w:val="20"/>
        </w:rPr>
        <w:t xml:space="preserve">párr. </w:t>
      </w:r>
      <w:r w:rsidR="008638D8">
        <w:rPr>
          <w:rFonts w:ascii="Verdana" w:hAnsi="Verdana"/>
          <w:bCs/>
          <w:sz w:val="20"/>
          <w:szCs w:val="20"/>
        </w:rPr>
        <w:t>1</w:t>
      </w:r>
      <w:r w:rsidR="00B31162">
        <w:rPr>
          <w:rFonts w:ascii="Verdana" w:hAnsi="Verdana"/>
          <w:bCs/>
          <w:sz w:val="20"/>
          <w:szCs w:val="20"/>
        </w:rPr>
        <w:t>42</w:t>
      </w:r>
      <w:r w:rsidRPr="00333304">
        <w:rPr>
          <w:rFonts w:ascii="Verdana" w:hAnsi="Verdana"/>
          <w:bCs/>
          <w:sz w:val="20"/>
          <w:szCs w:val="20"/>
        </w:rPr>
        <w:t xml:space="preserve">). Asimismo, la Corte ha </w:t>
      </w:r>
      <w:r w:rsidR="00004054" w:rsidRPr="00333304">
        <w:rPr>
          <w:rFonts w:ascii="Verdana" w:hAnsi="Verdana"/>
          <w:bCs/>
          <w:sz w:val="20"/>
          <w:szCs w:val="20"/>
        </w:rPr>
        <w:t xml:space="preserve">dispuesto </w:t>
      </w:r>
      <w:r w:rsidRPr="00333304">
        <w:rPr>
          <w:rFonts w:ascii="Verdana" w:hAnsi="Verdana"/>
          <w:bCs/>
          <w:sz w:val="20"/>
          <w:szCs w:val="20"/>
        </w:rPr>
        <w:t>importantes desarrollos jurisprudenciales en la materia</w:t>
      </w:r>
      <w:r w:rsidR="008638D8">
        <w:rPr>
          <w:rFonts w:ascii="Verdana" w:hAnsi="Verdana"/>
          <w:bCs/>
          <w:sz w:val="20"/>
          <w:szCs w:val="20"/>
        </w:rPr>
        <w:t>,</w:t>
      </w:r>
      <w:r w:rsidRPr="00333304">
        <w:rPr>
          <w:rFonts w:ascii="Verdana" w:hAnsi="Verdana"/>
          <w:bCs/>
          <w:sz w:val="20"/>
          <w:szCs w:val="20"/>
        </w:rPr>
        <w:t xml:space="preserve"> a la luz de </w:t>
      </w:r>
      <w:r w:rsidR="00004054" w:rsidRPr="00333304">
        <w:rPr>
          <w:rFonts w:ascii="Verdana" w:hAnsi="Verdana"/>
          <w:bCs/>
          <w:sz w:val="20"/>
          <w:szCs w:val="20"/>
        </w:rPr>
        <w:t>diversos</w:t>
      </w:r>
      <w:r w:rsidR="001A63C6" w:rsidRPr="00333304">
        <w:rPr>
          <w:rFonts w:ascii="Verdana" w:hAnsi="Verdana"/>
          <w:bCs/>
          <w:sz w:val="20"/>
          <w:szCs w:val="20"/>
        </w:rPr>
        <w:t xml:space="preserve"> artículos convencionales. En</w:t>
      </w:r>
      <w:r w:rsidRPr="00333304">
        <w:rPr>
          <w:rFonts w:ascii="Verdana" w:hAnsi="Verdana"/>
          <w:bCs/>
          <w:sz w:val="20"/>
          <w:szCs w:val="20"/>
        </w:rPr>
        <w:t xml:space="preserve"> </w:t>
      </w:r>
      <w:r w:rsidR="00004054" w:rsidRPr="00333304">
        <w:rPr>
          <w:rFonts w:ascii="Verdana" w:hAnsi="Verdana"/>
          <w:bCs/>
          <w:sz w:val="20"/>
          <w:szCs w:val="20"/>
        </w:rPr>
        <w:t>atención</w:t>
      </w:r>
      <w:r w:rsidRPr="00333304">
        <w:rPr>
          <w:rFonts w:ascii="Verdana" w:hAnsi="Verdana"/>
          <w:bCs/>
          <w:sz w:val="20"/>
          <w:szCs w:val="20"/>
        </w:rPr>
        <w:t xml:space="preserve"> a </w:t>
      </w:r>
      <w:r w:rsidR="001A63C6" w:rsidRPr="00333304">
        <w:rPr>
          <w:rFonts w:ascii="Verdana" w:hAnsi="Verdana"/>
          <w:bCs/>
          <w:sz w:val="20"/>
          <w:szCs w:val="20"/>
        </w:rPr>
        <w:t xml:space="preserve">estos precedentes, con esta Sentencia se desarrolla y concreta una </w:t>
      </w:r>
      <w:r w:rsidRPr="00333304">
        <w:rPr>
          <w:rFonts w:ascii="Verdana" w:hAnsi="Verdana"/>
          <w:bCs/>
          <w:sz w:val="20"/>
          <w:szCs w:val="20"/>
        </w:rPr>
        <w:t xml:space="preserve">condena específica </w:t>
      </w:r>
      <w:r w:rsidR="001A63C6" w:rsidRPr="00333304">
        <w:rPr>
          <w:rFonts w:ascii="Verdana" w:hAnsi="Verdana"/>
          <w:bCs/>
          <w:sz w:val="20"/>
          <w:szCs w:val="20"/>
        </w:rPr>
        <w:t xml:space="preserve">por la </w:t>
      </w:r>
      <w:r w:rsidRPr="00333304">
        <w:rPr>
          <w:rFonts w:ascii="Verdana" w:hAnsi="Verdana"/>
          <w:bCs/>
          <w:sz w:val="20"/>
          <w:szCs w:val="20"/>
        </w:rPr>
        <w:t>violación del artículo 26 de la Convención</w:t>
      </w:r>
      <w:r w:rsidR="00094281" w:rsidRPr="00333304">
        <w:rPr>
          <w:rFonts w:ascii="Verdana" w:hAnsi="Verdana"/>
          <w:bCs/>
          <w:sz w:val="20"/>
          <w:szCs w:val="20"/>
        </w:rPr>
        <w:t xml:space="preserve"> Americana sobre Derechos Humanos</w:t>
      </w:r>
      <w:r w:rsidRPr="00333304">
        <w:rPr>
          <w:rFonts w:ascii="Verdana" w:hAnsi="Verdana"/>
          <w:bCs/>
          <w:sz w:val="20"/>
          <w:szCs w:val="20"/>
        </w:rPr>
        <w:t>, dispuesto en el Capítulo III</w:t>
      </w:r>
      <w:r w:rsidR="00094281" w:rsidRPr="00333304">
        <w:rPr>
          <w:rFonts w:ascii="Verdana" w:hAnsi="Verdana"/>
          <w:bCs/>
          <w:sz w:val="20"/>
          <w:szCs w:val="20"/>
        </w:rPr>
        <w:t>,</w:t>
      </w:r>
      <w:r w:rsidRPr="00333304">
        <w:rPr>
          <w:rFonts w:ascii="Verdana" w:hAnsi="Verdana"/>
          <w:bCs/>
          <w:sz w:val="20"/>
          <w:szCs w:val="20"/>
        </w:rPr>
        <w:t xml:space="preserve"> titulado Derechos Económicos, Sociales y Culturales</w:t>
      </w:r>
      <w:r w:rsidR="00004054" w:rsidRPr="00333304">
        <w:rPr>
          <w:rFonts w:ascii="Verdana" w:hAnsi="Verdana"/>
          <w:bCs/>
          <w:sz w:val="20"/>
          <w:szCs w:val="20"/>
        </w:rPr>
        <w:t xml:space="preserve"> de este tratado</w:t>
      </w:r>
      <w:r w:rsidRPr="00333304">
        <w:rPr>
          <w:rFonts w:ascii="Verdana" w:hAnsi="Verdana"/>
          <w:bCs/>
          <w:sz w:val="20"/>
          <w:szCs w:val="20"/>
        </w:rPr>
        <w:t xml:space="preserve">. </w:t>
      </w:r>
    </w:p>
    <w:p w14:paraId="460CD428" w14:textId="58BEB930" w:rsidR="00032FC5" w:rsidRDefault="00032FC5" w:rsidP="00801513">
      <w:pPr>
        <w:contextualSpacing/>
        <w:jc w:val="both"/>
        <w:rPr>
          <w:rFonts w:ascii="Verdana" w:hAnsi="Verdana"/>
          <w:color w:val="000000"/>
          <w:sz w:val="20"/>
          <w:szCs w:val="20"/>
        </w:rPr>
      </w:pPr>
    </w:p>
    <w:p w14:paraId="3B7B8378" w14:textId="77777777" w:rsidR="00032FC5" w:rsidRPr="005B3D37" w:rsidRDefault="00032FC5" w:rsidP="00E66DD7">
      <w:pPr>
        <w:pStyle w:val="Heading3"/>
        <w:numPr>
          <w:ilvl w:val="0"/>
          <w:numId w:val="11"/>
        </w:numPr>
        <w:ind w:left="714" w:hanging="357"/>
        <w:rPr>
          <w:i/>
          <w:lang w:val="es-MX"/>
        </w:rPr>
      </w:pPr>
      <w:bookmarkStart w:id="52" w:name="_Toc498333509"/>
      <w:r>
        <w:rPr>
          <w:i/>
          <w:lang w:val="es-MX"/>
        </w:rPr>
        <w:t>Afectaciones a la l</w:t>
      </w:r>
      <w:r w:rsidRPr="005D0F69">
        <w:rPr>
          <w:i/>
          <w:lang w:val="es-MX"/>
        </w:rPr>
        <w:t>ibertad</w:t>
      </w:r>
      <w:r w:rsidRPr="005B3D37">
        <w:rPr>
          <w:i/>
          <w:lang w:val="es-MX"/>
        </w:rPr>
        <w:t xml:space="preserve"> de asociación</w:t>
      </w:r>
      <w:bookmarkEnd w:id="52"/>
      <w:r w:rsidRPr="005B3D37">
        <w:rPr>
          <w:i/>
          <w:lang w:val="es-MX"/>
        </w:rPr>
        <w:t xml:space="preserve"> </w:t>
      </w:r>
    </w:p>
    <w:p w14:paraId="0C6F6F5C" w14:textId="77777777" w:rsidR="00032FC5" w:rsidRPr="005D0F69" w:rsidRDefault="00032FC5" w:rsidP="00032FC5">
      <w:pPr>
        <w:rPr>
          <w:rFonts w:ascii="Verdana" w:hAnsi="Verdana"/>
          <w:sz w:val="20"/>
          <w:szCs w:val="20"/>
          <w:lang w:val="es-CR"/>
        </w:rPr>
      </w:pPr>
    </w:p>
    <w:p w14:paraId="2A0FCAF4" w14:textId="77777777" w:rsidR="00032FC5" w:rsidRPr="00751089" w:rsidRDefault="00032FC5" w:rsidP="00E66DD7">
      <w:pPr>
        <w:numPr>
          <w:ilvl w:val="0"/>
          <w:numId w:val="1"/>
        </w:numPr>
        <w:ind w:left="0" w:firstLine="0"/>
        <w:contextualSpacing/>
        <w:jc w:val="both"/>
        <w:rPr>
          <w:rFonts w:ascii="Verdana" w:hAnsi="Verdana"/>
          <w:b/>
          <w:sz w:val="20"/>
          <w:szCs w:val="20"/>
          <w:lang w:val="es-CR"/>
        </w:rPr>
      </w:pPr>
      <w:r w:rsidRPr="00751089">
        <w:rPr>
          <w:rFonts w:ascii="Verdana" w:hAnsi="Verdana"/>
          <w:sz w:val="20"/>
          <w:szCs w:val="20"/>
          <w:lang w:val="es-CR"/>
        </w:rPr>
        <w:t xml:space="preserve">El artículo 16.1 consagra el derecho de las personas de asociarse libremente con fines ideológicos, religiosos, </w:t>
      </w:r>
      <w:r w:rsidRPr="00E6716F">
        <w:rPr>
          <w:rFonts w:ascii="Verdana" w:hAnsi="Verdana"/>
          <w:sz w:val="20"/>
          <w:lang w:val="es-CR"/>
        </w:rPr>
        <w:t>políticos,</w:t>
      </w:r>
      <w:r w:rsidRPr="00751089">
        <w:rPr>
          <w:rFonts w:ascii="Verdana" w:hAnsi="Verdana"/>
          <w:sz w:val="20"/>
          <w:szCs w:val="20"/>
          <w:lang w:val="es-CR"/>
        </w:rPr>
        <w:t xml:space="preserve"> económicos, laborales, culturales, deportivos o de cualquier otra índole. El derecho de asociación se caracteriza por habilitar a las personas para crear o participar en entidades u organizaciones con el objeto de actuar colectivamente en la consecución de los más diversos fines, siempre y cuando estos sean legítimos</w:t>
      </w:r>
      <w:r w:rsidRPr="00751089">
        <w:rPr>
          <w:rFonts w:ascii="Verdana" w:hAnsi="Verdana"/>
          <w:sz w:val="20"/>
          <w:szCs w:val="20"/>
          <w:vertAlign w:val="superscript"/>
          <w:lang w:val="es-CR"/>
        </w:rPr>
        <w:footnoteReference w:id="219"/>
      </w:r>
      <w:r w:rsidRPr="00751089">
        <w:rPr>
          <w:rFonts w:ascii="Verdana" w:hAnsi="Verdana"/>
          <w:sz w:val="20"/>
          <w:szCs w:val="20"/>
          <w:lang w:val="es-CR"/>
        </w:rPr>
        <w:t>. La Corte ha establecido que quienes están bajo la jurisdicción de los Estados parte tienen el derecho de asociarse libremente con otras personas, sin intervención de las autoridades públicas que limiten o entorpezcan el ejercicio del referido derecho; se trata del derecho a agruparse con la finalidad de buscar la realización común de un fin lícito, y la correlativa obligación negativa del Estado de no presionar o entrometerse de forma tal que pueda alterar o desnaturalizar dicha finalidad</w:t>
      </w:r>
      <w:r w:rsidRPr="00751089">
        <w:rPr>
          <w:rFonts w:ascii="Verdana" w:hAnsi="Verdana"/>
          <w:sz w:val="20"/>
          <w:szCs w:val="20"/>
          <w:vertAlign w:val="superscript"/>
          <w:lang w:val="es-CR"/>
        </w:rPr>
        <w:footnoteReference w:id="220"/>
      </w:r>
      <w:r w:rsidRPr="00751089">
        <w:rPr>
          <w:rFonts w:ascii="Verdana" w:hAnsi="Verdana"/>
          <w:sz w:val="20"/>
          <w:szCs w:val="20"/>
          <w:lang w:val="es-CR"/>
        </w:rPr>
        <w:t>.</w:t>
      </w:r>
      <w:r w:rsidRPr="00751089">
        <w:rPr>
          <w:rFonts w:ascii="Verdana" w:hAnsi="Verdana"/>
          <w:b/>
          <w:sz w:val="20"/>
          <w:szCs w:val="20"/>
          <w:lang w:val="es-CR"/>
        </w:rPr>
        <w:t xml:space="preserve"> </w:t>
      </w:r>
      <w:r w:rsidRPr="00751089">
        <w:rPr>
          <w:rFonts w:ascii="Verdana" w:hAnsi="Verdana"/>
          <w:sz w:val="20"/>
          <w:szCs w:val="20"/>
        </w:rPr>
        <w:t xml:space="preserve">El Tribunal además ha observado que de la libertad de asociación también se derivan obligaciones positivas de prevenir los atentados contra la misma, proteger a quienes la </w:t>
      </w:r>
      <w:r w:rsidRPr="00751089">
        <w:rPr>
          <w:rFonts w:ascii="Verdana" w:hAnsi="Verdana"/>
          <w:sz w:val="20"/>
          <w:szCs w:val="20"/>
        </w:rPr>
        <w:lastRenderedPageBreak/>
        <w:t>ejercen e investigar las violaciones a dicha libertad; estas obligaciones positivas deben adoptarse incluso en la esfera de relaciones entre particulares, si el caso así lo amerita</w:t>
      </w:r>
      <w:r w:rsidRPr="00751089">
        <w:rPr>
          <w:rFonts w:ascii="Verdana" w:hAnsi="Verdana"/>
          <w:sz w:val="20"/>
          <w:szCs w:val="20"/>
          <w:vertAlign w:val="superscript"/>
        </w:rPr>
        <w:footnoteReference w:id="221"/>
      </w:r>
      <w:r w:rsidRPr="00751089">
        <w:rPr>
          <w:rFonts w:ascii="Verdana" w:hAnsi="Verdana"/>
          <w:sz w:val="20"/>
          <w:szCs w:val="20"/>
        </w:rPr>
        <w:t xml:space="preserve">. </w:t>
      </w:r>
    </w:p>
    <w:p w14:paraId="3AE9C4C3" w14:textId="77777777" w:rsidR="00032FC5" w:rsidRPr="00751089" w:rsidRDefault="00032FC5" w:rsidP="00032FC5">
      <w:pPr>
        <w:contextualSpacing/>
        <w:jc w:val="both"/>
        <w:rPr>
          <w:rFonts w:ascii="Verdana" w:hAnsi="Verdana"/>
          <w:b/>
          <w:sz w:val="20"/>
          <w:szCs w:val="20"/>
          <w:lang w:val="es-CR"/>
        </w:rPr>
      </w:pPr>
    </w:p>
    <w:p w14:paraId="352E49AD" w14:textId="77777777" w:rsidR="00032FC5" w:rsidRPr="00751089" w:rsidRDefault="00032FC5" w:rsidP="00E66DD7">
      <w:pPr>
        <w:numPr>
          <w:ilvl w:val="0"/>
          <w:numId w:val="1"/>
        </w:numPr>
        <w:ind w:left="0" w:firstLine="0"/>
        <w:contextualSpacing/>
        <w:jc w:val="both"/>
        <w:rPr>
          <w:rFonts w:ascii="Verdana" w:hAnsi="Verdana"/>
          <w:b/>
          <w:sz w:val="20"/>
          <w:szCs w:val="20"/>
          <w:lang w:val="es-CR"/>
        </w:rPr>
      </w:pPr>
      <w:r w:rsidRPr="00751089">
        <w:rPr>
          <w:rFonts w:ascii="Verdana" w:hAnsi="Verdana"/>
          <w:sz w:val="20"/>
          <w:szCs w:val="20"/>
          <w:lang w:val="es-CR"/>
        </w:rPr>
        <w:t>En materia laboral,</w:t>
      </w:r>
      <w:r>
        <w:rPr>
          <w:rFonts w:ascii="Verdana" w:hAnsi="Verdana"/>
          <w:sz w:val="20"/>
          <w:szCs w:val="20"/>
          <w:lang w:val="es-CR"/>
        </w:rPr>
        <w:t xml:space="preserve"> este Tribunal ha establecido que</w:t>
      </w:r>
      <w:r w:rsidRPr="00751089">
        <w:rPr>
          <w:rFonts w:ascii="Verdana" w:hAnsi="Verdana"/>
          <w:sz w:val="20"/>
          <w:szCs w:val="20"/>
          <w:lang w:val="es-CR"/>
        </w:rPr>
        <w:t xml:space="preserve"> la libertad de asociación protege la facultad de constituir organizaciones sindicales y poner en marcha su estructura interna, actividades y programas de acción, sin intervención de las autoridades públicas que limite o entorpezca el ejercicio del respectivo derecho</w:t>
      </w:r>
      <w:r w:rsidRPr="00751089">
        <w:rPr>
          <w:rFonts w:ascii="Verdana" w:hAnsi="Verdana"/>
          <w:sz w:val="20"/>
          <w:szCs w:val="20"/>
          <w:vertAlign w:val="superscript"/>
          <w:lang w:val="es-CR"/>
        </w:rPr>
        <w:footnoteReference w:id="222"/>
      </w:r>
      <w:r w:rsidRPr="00751089">
        <w:rPr>
          <w:rFonts w:ascii="Verdana" w:hAnsi="Verdana"/>
          <w:sz w:val="20"/>
          <w:szCs w:val="20"/>
          <w:lang w:val="es-CR"/>
        </w:rPr>
        <w:t xml:space="preserve">. </w:t>
      </w:r>
      <w:r w:rsidRPr="00751089">
        <w:rPr>
          <w:rFonts w:ascii="Verdana" w:hAnsi="Verdana"/>
          <w:sz w:val="20"/>
          <w:szCs w:val="20"/>
        </w:rPr>
        <w:t>Por otra parte, esta libertad supone que cada persona pueda determinar sin coacción alguna si desea o no formar parte de la asociación</w:t>
      </w:r>
      <w:r w:rsidRPr="00751089">
        <w:rPr>
          <w:rFonts w:ascii="Verdana" w:hAnsi="Verdana"/>
          <w:sz w:val="20"/>
          <w:szCs w:val="20"/>
          <w:vertAlign w:val="superscript"/>
        </w:rPr>
        <w:footnoteReference w:id="223"/>
      </w:r>
      <w:r w:rsidRPr="00751089">
        <w:rPr>
          <w:rFonts w:ascii="Verdana" w:hAnsi="Verdana"/>
          <w:sz w:val="20"/>
          <w:szCs w:val="20"/>
        </w:rPr>
        <w:t>. Adicionalmente, el Estado tiene el deber de garantizar que las personas puedan ejercer libremente su libertad sindical sin temor de que serán sujetos a violencia alguna, pues de lo contrario se podría disminuir la capacidad de las agrupaciones de organizarse para la protección de sus intereses</w:t>
      </w:r>
      <w:r w:rsidRPr="00751089">
        <w:rPr>
          <w:rFonts w:ascii="Verdana" w:hAnsi="Verdana"/>
          <w:sz w:val="20"/>
          <w:szCs w:val="20"/>
          <w:vertAlign w:val="superscript"/>
        </w:rPr>
        <w:footnoteReference w:id="224"/>
      </w:r>
      <w:r w:rsidRPr="00751089">
        <w:rPr>
          <w:rFonts w:ascii="Verdana" w:hAnsi="Verdana"/>
          <w:sz w:val="20"/>
          <w:szCs w:val="20"/>
        </w:rPr>
        <w:t xml:space="preserve">. En este sentido, </w:t>
      </w:r>
      <w:r>
        <w:rPr>
          <w:rFonts w:ascii="Verdana" w:hAnsi="Verdana"/>
          <w:sz w:val="20"/>
          <w:szCs w:val="20"/>
        </w:rPr>
        <w:t>la</w:t>
      </w:r>
      <w:r w:rsidRPr="00751089">
        <w:rPr>
          <w:rFonts w:ascii="Verdana" w:hAnsi="Verdana"/>
          <w:sz w:val="20"/>
          <w:szCs w:val="20"/>
        </w:rPr>
        <w:t xml:space="preserve"> Corte ha resaltado que la libertad de asociación en materia laboral </w:t>
      </w:r>
      <w:r>
        <w:rPr>
          <w:rFonts w:ascii="Verdana" w:hAnsi="Verdana"/>
          <w:sz w:val="20"/>
          <w:szCs w:val="20"/>
        </w:rPr>
        <w:t>“</w:t>
      </w:r>
      <w:r w:rsidRPr="00751089">
        <w:rPr>
          <w:rFonts w:ascii="Verdana" w:hAnsi="Verdana"/>
          <w:sz w:val="20"/>
          <w:szCs w:val="20"/>
        </w:rPr>
        <w:t xml:space="preserve">no se agota con el reconocimiento teórico del </w:t>
      </w:r>
      <w:r w:rsidRPr="00470F22">
        <w:rPr>
          <w:rFonts w:ascii="Verdana" w:hAnsi="Verdana"/>
          <w:sz w:val="20"/>
          <w:szCs w:val="20"/>
        </w:rPr>
        <w:t xml:space="preserve">derecho </w:t>
      </w:r>
      <w:r w:rsidRPr="00470F22">
        <w:rPr>
          <w:rFonts w:ascii="Verdana" w:hAnsi="Verdana"/>
          <w:sz w:val="20"/>
        </w:rPr>
        <w:t xml:space="preserve">a </w:t>
      </w:r>
      <w:r>
        <w:rPr>
          <w:rFonts w:ascii="Verdana" w:hAnsi="Verdana"/>
          <w:sz w:val="20"/>
          <w:szCs w:val="20"/>
        </w:rPr>
        <w:t>formar [</w:t>
      </w:r>
      <w:r w:rsidRPr="00470F22">
        <w:rPr>
          <w:rFonts w:ascii="Verdana" w:hAnsi="Verdana"/>
          <w:sz w:val="20"/>
          <w:szCs w:val="20"/>
        </w:rPr>
        <w:t>agrupa</w:t>
      </w:r>
      <w:r>
        <w:rPr>
          <w:rFonts w:ascii="Verdana" w:hAnsi="Verdana"/>
          <w:sz w:val="20"/>
          <w:szCs w:val="20"/>
        </w:rPr>
        <w:t>ciones</w:t>
      </w:r>
      <w:r w:rsidRPr="005D0F69">
        <w:rPr>
          <w:rFonts w:ascii="Verdana" w:hAnsi="Verdana"/>
          <w:sz w:val="20"/>
          <w:szCs w:val="20"/>
        </w:rPr>
        <w:t>]</w:t>
      </w:r>
      <w:r w:rsidRPr="00470F22">
        <w:rPr>
          <w:rFonts w:ascii="Verdana" w:hAnsi="Verdana"/>
          <w:sz w:val="20"/>
          <w:szCs w:val="20"/>
        </w:rPr>
        <w:t xml:space="preserve">, </w:t>
      </w:r>
      <w:r w:rsidRPr="00470F22">
        <w:rPr>
          <w:rFonts w:ascii="Verdana" w:hAnsi="Verdana"/>
          <w:sz w:val="20"/>
        </w:rPr>
        <w:t>sino</w:t>
      </w:r>
      <w:r w:rsidRPr="00CB5A95">
        <w:rPr>
          <w:rFonts w:ascii="Verdana" w:hAnsi="Verdana"/>
          <w:sz w:val="20"/>
        </w:rPr>
        <w:t xml:space="preserve"> que comprende además, inseparablemente, el derecho apropiado para ejercer esa libertad</w:t>
      </w:r>
      <w:r>
        <w:rPr>
          <w:rFonts w:ascii="Verdana" w:hAnsi="Verdana"/>
          <w:sz w:val="20"/>
        </w:rPr>
        <w:t>”</w:t>
      </w:r>
      <w:r w:rsidRPr="00751089">
        <w:rPr>
          <w:rFonts w:ascii="Verdana" w:hAnsi="Verdana"/>
          <w:sz w:val="20"/>
          <w:szCs w:val="20"/>
          <w:vertAlign w:val="superscript"/>
        </w:rPr>
        <w:footnoteReference w:id="225"/>
      </w:r>
      <w:r w:rsidRPr="00751089">
        <w:rPr>
          <w:rFonts w:ascii="Verdana" w:hAnsi="Verdana"/>
          <w:sz w:val="20"/>
          <w:szCs w:val="20"/>
        </w:rPr>
        <w:t>.</w:t>
      </w:r>
    </w:p>
    <w:p w14:paraId="4BCD4DB6" w14:textId="77777777" w:rsidR="00032FC5" w:rsidRPr="00751089" w:rsidRDefault="00032FC5" w:rsidP="00032FC5">
      <w:pPr>
        <w:contextualSpacing/>
        <w:jc w:val="both"/>
        <w:rPr>
          <w:rFonts w:ascii="Verdana" w:hAnsi="Verdana"/>
          <w:b/>
          <w:sz w:val="20"/>
          <w:szCs w:val="20"/>
          <w:lang w:val="es-CR"/>
        </w:rPr>
      </w:pPr>
    </w:p>
    <w:p w14:paraId="1E2B0D1F" w14:textId="4339B7A9" w:rsidR="00032FC5" w:rsidRPr="00751089" w:rsidRDefault="00032FC5" w:rsidP="00E66DD7">
      <w:pPr>
        <w:numPr>
          <w:ilvl w:val="0"/>
          <w:numId w:val="1"/>
        </w:numPr>
        <w:ind w:left="0" w:firstLine="0"/>
        <w:contextualSpacing/>
        <w:jc w:val="both"/>
        <w:rPr>
          <w:rFonts w:ascii="Verdana" w:hAnsi="Verdana"/>
          <w:b/>
          <w:sz w:val="20"/>
          <w:szCs w:val="20"/>
          <w:lang w:val="es-CR"/>
        </w:rPr>
      </w:pPr>
      <w:r>
        <w:rPr>
          <w:rFonts w:ascii="Verdana" w:hAnsi="Verdana"/>
          <w:sz w:val="20"/>
          <w:szCs w:val="20"/>
          <w:lang w:val="es-CR"/>
        </w:rPr>
        <w:t>En relación con lo anterior, e</w:t>
      </w:r>
      <w:r w:rsidRPr="00751089">
        <w:rPr>
          <w:rFonts w:ascii="Verdana" w:hAnsi="Verdana"/>
          <w:sz w:val="20"/>
          <w:szCs w:val="20"/>
          <w:lang w:val="es-CR"/>
        </w:rPr>
        <w:t>sta Corte encuentra que el ámbito de protección del derecho de libertad de asociación en materia laboral no sólo se encuentra subsumido a la protección de los sindicatos, sus miembros y sus representantes.</w:t>
      </w:r>
      <w:r w:rsidR="00DD5817">
        <w:rPr>
          <w:rFonts w:ascii="Verdana" w:hAnsi="Verdana"/>
          <w:sz w:val="20"/>
          <w:szCs w:val="20"/>
          <w:lang w:val="es-CR"/>
        </w:rPr>
        <w:t xml:space="preserve"> </w:t>
      </w:r>
      <w:r w:rsidRPr="00751089">
        <w:rPr>
          <w:rFonts w:ascii="Verdana" w:hAnsi="Verdana"/>
          <w:sz w:val="20"/>
          <w:szCs w:val="20"/>
          <w:lang w:val="es-CR"/>
        </w:rPr>
        <w:t>En efecto, los sindicatos y sus representantes gozan de una protección específica para el correcto desempeño de sus funciones, pues tal y como lo ha establecido este Tribunal en su jurisprudencia</w:t>
      </w:r>
      <w:r w:rsidRPr="00751089">
        <w:rPr>
          <w:rFonts w:ascii="Verdana" w:hAnsi="Verdana"/>
          <w:sz w:val="20"/>
          <w:szCs w:val="20"/>
          <w:vertAlign w:val="superscript"/>
          <w:lang w:val="es-CR"/>
        </w:rPr>
        <w:footnoteReference w:id="226"/>
      </w:r>
      <w:r w:rsidRPr="00751089">
        <w:rPr>
          <w:rFonts w:ascii="Verdana" w:hAnsi="Verdana"/>
          <w:sz w:val="20"/>
          <w:szCs w:val="20"/>
          <w:lang w:val="es-CR"/>
        </w:rPr>
        <w:t>, y como se advierte en diversos instrumentos internacionales</w:t>
      </w:r>
      <w:r w:rsidRPr="00751089">
        <w:rPr>
          <w:rFonts w:ascii="Verdana" w:hAnsi="Verdana"/>
          <w:sz w:val="20"/>
          <w:szCs w:val="20"/>
          <w:vertAlign w:val="superscript"/>
          <w:lang w:val="es-CR"/>
        </w:rPr>
        <w:footnoteReference w:id="227"/>
      </w:r>
      <w:r w:rsidRPr="00751089">
        <w:rPr>
          <w:rFonts w:ascii="Verdana" w:hAnsi="Verdana"/>
          <w:sz w:val="20"/>
          <w:szCs w:val="20"/>
          <w:lang w:val="es-CR"/>
        </w:rPr>
        <w:t xml:space="preserve">, incluido el artículo 8 del Protocolo de San Salvador, la libertad de asociación en materia sindical reviste la mayor importancia para la defensa de los intereses legítimos de los trabajadores, y se enmarca en el </w:t>
      </w:r>
      <w:r w:rsidRPr="00751089">
        <w:rPr>
          <w:rFonts w:ascii="Verdana" w:hAnsi="Verdana"/>
          <w:i/>
          <w:sz w:val="20"/>
          <w:szCs w:val="20"/>
          <w:lang w:val="es-CR"/>
        </w:rPr>
        <w:t xml:space="preserve">corpus </w:t>
      </w:r>
      <w:proofErr w:type="spellStart"/>
      <w:r w:rsidRPr="00751089">
        <w:rPr>
          <w:rFonts w:ascii="Verdana" w:hAnsi="Verdana"/>
          <w:i/>
          <w:sz w:val="20"/>
          <w:szCs w:val="20"/>
          <w:lang w:val="es-CR"/>
        </w:rPr>
        <w:t>juris</w:t>
      </w:r>
      <w:proofErr w:type="spellEnd"/>
      <w:r w:rsidRPr="00751089">
        <w:rPr>
          <w:rFonts w:ascii="Verdana" w:hAnsi="Verdana"/>
          <w:i/>
          <w:sz w:val="20"/>
          <w:szCs w:val="20"/>
          <w:lang w:val="es-CR"/>
        </w:rPr>
        <w:t xml:space="preserve"> </w:t>
      </w:r>
      <w:r w:rsidRPr="00751089">
        <w:rPr>
          <w:rFonts w:ascii="Verdana" w:hAnsi="Verdana"/>
          <w:sz w:val="20"/>
          <w:szCs w:val="20"/>
          <w:lang w:val="es-CR"/>
        </w:rPr>
        <w:t>de derechos humanos</w:t>
      </w:r>
      <w:r w:rsidRPr="00751089">
        <w:rPr>
          <w:rFonts w:ascii="Verdana" w:hAnsi="Verdana"/>
          <w:sz w:val="20"/>
          <w:szCs w:val="20"/>
          <w:vertAlign w:val="superscript"/>
          <w:lang w:val="es-CR"/>
        </w:rPr>
        <w:footnoteReference w:id="228"/>
      </w:r>
      <w:r w:rsidRPr="00751089">
        <w:rPr>
          <w:rFonts w:ascii="Verdana" w:hAnsi="Verdana"/>
          <w:sz w:val="20"/>
          <w:szCs w:val="20"/>
          <w:lang w:val="es-CR"/>
        </w:rPr>
        <w:t>.</w:t>
      </w:r>
      <w:r w:rsidRPr="00751089">
        <w:rPr>
          <w:rFonts w:ascii="Verdana" w:hAnsi="Verdana"/>
          <w:b/>
          <w:sz w:val="20"/>
          <w:szCs w:val="20"/>
          <w:lang w:val="es-CR"/>
        </w:rPr>
        <w:t xml:space="preserve"> </w:t>
      </w:r>
      <w:r w:rsidRPr="00751089">
        <w:rPr>
          <w:rFonts w:ascii="Verdana" w:hAnsi="Verdana"/>
          <w:sz w:val="20"/>
          <w:szCs w:val="20"/>
          <w:lang w:val="es-CR"/>
        </w:rPr>
        <w:t>Incluso, la importancia que los Estados le han reconocido a los derechos sindicales se refleja en el hecho de que el artículo 19 del Protocolo de San Salvador le confiere a esta Corte competencia para pronunciarse sobre violaciones a la obligación del Estado de permitir que los sindicatos, federaciones y confederaciones funcionen libremente</w:t>
      </w:r>
      <w:r w:rsidRPr="00751089">
        <w:rPr>
          <w:rFonts w:ascii="Verdana" w:hAnsi="Verdana"/>
          <w:sz w:val="20"/>
          <w:szCs w:val="20"/>
          <w:vertAlign w:val="superscript"/>
          <w:lang w:val="es-CR"/>
        </w:rPr>
        <w:footnoteReference w:id="229"/>
      </w:r>
      <w:r w:rsidRPr="00751089">
        <w:rPr>
          <w:rFonts w:ascii="Verdana" w:hAnsi="Verdana"/>
          <w:sz w:val="20"/>
          <w:szCs w:val="20"/>
          <w:lang w:val="es-CR"/>
        </w:rPr>
        <w:t>.</w:t>
      </w:r>
    </w:p>
    <w:p w14:paraId="74A3151B" w14:textId="77777777" w:rsidR="00032FC5" w:rsidRPr="00751089" w:rsidRDefault="00032FC5" w:rsidP="00032FC5">
      <w:pPr>
        <w:contextualSpacing/>
        <w:jc w:val="both"/>
        <w:rPr>
          <w:rFonts w:ascii="Verdana" w:hAnsi="Verdana"/>
          <w:sz w:val="20"/>
          <w:szCs w:val="20"/>
          <w:lang w:val="es-CR"/>
        </w:rPr>
      </w:pPr>
    </w:p>
    <w:p w14:paraId="0FF80A99" w14:textId="5255922B" w:rsidR="004205B3" w:rsidRDefault="00032FC5" w:rsidP="004205B3">
      <w:pPr>
        <w:numPr>
          <w:ilvl w:val="0"/>
          <w:numId w:val="1"/>
        </w:numPr>
        <w:ind w:left="0" w:firstLine="0"/>
        <w:contextualSpacing/>
        <w:jc w:val="both"/>
        <w:rPr>
          <w:rFonts w:ascii="Verdana" w:hAnsi="Verdana"/>
          <w:sz w:val="20"/>
          <w:szCs w:val="20"/>
          <w:lang w:val="es-CR"/>
        </w:rPr>
      </w:pPr>
      <w:r w:rsidRPr="00751089">
        <w:rPr>
          <w:rFonts w:ascii="Verdana" w:hAnsi="Verdana"/>
          <w:sz w:val="20"/>
          <w:szCs w:val="20"/>
          <w:lang w:val="es-CR"/>
        </w:rPr>
        <w:t xml:space="preserve">Sin embargo, la protección que reconoce el derecho a la libertad de asociación en el contexto laboral se extiende a organizaciones que, </w:t>
      </w:r>
      <w:r w:rsidR="00730D77" w:rsidRPr="00751089">
        <w:rPr>
          <w:rFonts w:ascii="Verdana" w:hAnsi="Verdana"/>
          <w:sz w:val="20"/>
          <w:szCs w:val="20"/>
          <w:lang w:val="es-CR"/>
        </w:rPr>
        <w:t>a</w:t>
      </w:r>
      <w:r w:rsidR="00730D77">
        <w:rPr>
          <w:rFonts w:ascii="Verdana" w:hAnsi="Verdana"/>
          <w:sz w:val="20"/>
          <w:szCs w:val="20"/>
          <w:lang w:val="es-CR"/>
        </w:rPr>
        <w:t>u</w:t>
      </w:r>
      <w:r w:rsidR="00730D77" w:rsidRPr="00751089">
        <w:rPr>
          <w:rFonts w:ascii="Verdana" w:hAnsi="Verdana"/>
          <w:sz w:val="20"/>
          <w:szCs w:val="20"/>
          <w:lang w:val="es-CR"/>
        </w:rPr>
        <w:t>n</w:t>
      </w:r>
      <w:r w:rsidRPr="00751089">
        <w:rPr>
          <w:rFonts w:ascii="Verdana" w:hAnsi="Verdana"/>
          <w:sz w:val="20"/>
          <w:szCs w:val="20"/>
          <w:lang w:val="es-CR"/>
        </w:rPr>
        <w:t xml:space="preserve"> cuando tengan una naturaleza distinta a la de los sindicatos, persigan fines de representación de los intereses legítimos de los trabajadores. Esta protección deriva del propio artículo 16 de la Convención Americana, el cual protege la libertad de asociación con fines de cualquier índole, así como de otros instrumentos internacionales, que reconocen una protección especial a la libertad de asociación con fines de protección de los intereses de los trabajadores, sin especificar que esta protección se restrinja al ámbito sindical</w:t>
      </w:r>
      <w:r w:rsidRPr="00751089">
        <w:rPr>
          <w:rFonts w:ascii="Verdana" w:hAnsi="Verdana"/>
          <w:sz w:val="20"/>
          <w:szCs w:val="20"/>
          <w:vertAlign w:val="superscript"/>
          <w:lang w:val="es-CR"/>
        </w:rPr>
        <w:footnoteReference w:id="230"/>
      </w:r>
      <w:r w:rsidRPr="00751089">
        <w:rPr>
          <w:rFonts w:ascii="Verdana" w:hAnsi="Verdana"/>
          <w:sz w:val="20"/>
          <w:szCs w:val="20"/>
          <w:lang w:val="es-CR"/>
        </w:rPr>
        <w:t xml:space="preserve">. En este sentido, </w:t>
      </w:r>
      <w:r w:rsidRPr="00333304">
        <w:rPr>
          <w:rFonts w:ascii="Verdana" w:hAnsi="Verdana"/>
          <w:sz w:val="20"/>
          <w:szCs w:val="20"/>
          <w:lang w:val="es-CR"/>
        </w:rPr>
        <w:t xml:space="preserve">el propio artículo 26 de la Convención </w:t>
      </w:r>
      <w:r w:rsidR="001B66ED" w:rsidRPr="00333304">
        <w:rPr>
          <w:rFonts w:ascii="Verdana" w:hAnsi="Verdana"/>
          <w:sz w:val="20"/>
          <w:szCs w:val="20"/>
          <w:lang w:val="es-CR"/>
        </w:rPr>
        <w:t>Americana</w:t>
      </w:r>
      <w:r w:rsidR="004205B3" w:rsidRPr="00333304">
        <w:rPr>
          <w:rFonts w:ascii="Verdana" w:hAnsi="Verdana"/>
          <w:sz w:val="20"/>
          <w:szCs w:val="20"/>
          <w:lang w:val="es-CR"/>
        </w:rPr>
        <w:t>,</w:t>
      </w:r>
      <w:r w:rsidR="001B66ED" w:rsidRPr="00333304">
        <w:rPr>
          <w:rFonts w:ascii="Verdana" w:hAnsi="Verdana"/>
          <w:sz w:val="20"/>
          <w:szCs w:val="20"/>
          <w:lang w:val="es-CR"/>
        </w:rPr>
        <w:t xml:space="preserve"> que se </w:t>
      </w:r>
      <w:r w:rsidR="001B66ED" w:rsidRPr="00333304">
        <w:rPr>
          <w:rFonts w:ascii="Verdana" w:hAnsi="Verdana"/>
          <w:sz w:val="20"/>
          <w:szCs w:val="20"/>
          <w:lang w:val="es-CR"/>
        </w:rPr>
        <w:lastRenderedPageBreak/>
        <w:t>deriva de las normas económicas, sociales y sobre educación, ciencia y cultura, contenidas en la Carta de la Organización de los Estados Americanos</w:t>
      </w:r>
      <w:r w:rsidR="00062C2B" w:rsidRPr="001B66ED">
        <w:rPr>
          <w:rFonts w:ascii="Verdana" w:hAnsi="Verdana"/>
          <w:sz w:val="20"/>
          <w:szCs w:val="20"/>
          <w:lang w:val="es-CR"/>
        </w:rPr>
        <w:t>,</w:t>
      </w:r>
      <w:r w:rsidRPr="001B66ED">
        <w:rPr>
          <w:rFonts w:ascii="Verdana" w:hAnsi="Verdana"/>
          <w:sz w:val="20"/>
          <w:szCs w:val="20"/>
          <w:lang w:val="es-CR"/>
        </w:rPr>
        <w:t xml:space="preserve"> reconoce el derecho de los empleadores y trabajadores de asociarse libremente para la defensa y promoción de sus intereses, y el Preámbulo </w:t>
      </w:r>
      <w:r w:rsidR="00392C24">
        <w:rPr>
          <w:rFonts w:ascii="Verdana" w:hAnsi="Verdana"/>
          <w:sz w:val="20"/>
          <w:szCs w:val="20"/>
          <w:lang w:val="es-CR"/>
        </w:rPr>
        <w:t xml:space="preserve">de </w:t>
      </w:r>
      <w:r w:rsidRPr="001B66ED">
        <w:rPr>
          <w:rFonts w:ascii="Verdana" w:hAnsi="Verdana"/>
          <w:sz w:val="20"/>
          <w:szCs w:val="20"/>
          <w:lang w:val="es-CR"/>
        </w:rPr>
        <w:t xml:space="preserve">la Carta Democrática Interamericana reconoce que el derecho de los trabajadores de asociarse para la defensa y promoción de sus intereses es fundamental para la plena realización de los ideales democráticos. </w:t>
      </w:r>
    </w:p>
    <w:p w14:paraId="3F663394" w14:textId="77777777" w:rsidR="004205B3" w:rsidRPr="004205B3" w:rsidRDefault="004205B3" w:rsidP="00333304">
      <w:pPr>
        <w:contextualSpacing/>
        <w:jc w:val="both"/>
        <w:rPr>
          <w:rFonts w:ascii="Verdana" w:hAnsi="Verdana"/>
          <w:sz w:val="20"/>
          <w:szCs w:val="20"/>
          <w:lang w:val="es-CR"/>
        </w:rPr>
      </w:pPr>
    </w:p>
    <w:p w14:paraId="126C354A" w14:textId="76B299F0" w:rsidR="00032FC5" w:rsidRPr="005D0F69" w:rsidRDefault="00032FC5" w:rsidP="00E66DD7">
      <w:pPr>
        <w:numPr>
          <w:ilvl w:val="0"/>
          <w:numId w:val="1"/>
        </w:numPr>
        <w:ind w:left="0" w:firstLine="0"/>
        <w:contextualSpacing/>
        <w:jc w:val="both"/>
        <w:rPr>
          <w:rFonts w:ascii="Verdana" w:hAnsi="Verdana"/>
          <w:b/>
          <w:sz w:val="20"/>
          <w:szCs w:val="20"/>
          <w:lang w:val="es-CR"/>
        </w:rPr>
      </w:pPr>
      <w:r w:rsidRPr="00751089">
        <w:rPr>
          <w:rFonts w:ascii="Verdana" w:hAnsi="Verdana"/>
          <w:sz w:val="20"/>
          <w:szCs w:val="20"/>
          <w:lang w:val="es-CR"/>
        </w:rPr>
        <w:t xml:space="preserve">Estos principios coinciden con la protección reconocida por la </w:t>
      </w:r>
      <w:r w:rsidR="00DD5817">
        <w:rPr>
          <w:rFonts w:ascii="Verdana" w:hAnsi="Verdana"/>
          <w:sz w:val="20"/>
          <w:szCs w:val="20"/>
          <w:lang w:val="es-CR"/>
        </w:rPr>
        <w:t>OIT</w:t>
      </w:r>
      <w:r w:rsidRPr="00751089">
        <w:rPr>
          <w:rFonts w:ascii="Verdana" w:hAnsi="Verdana"/>
          <w:sz w:val="20"/>
          <w:szCs w:val="20"/>
          <w:lang w:val="es-CR"/>
        </w:rPr>
        <w:t>, la cual ha definido que la expresión “representantes de los trabajadores” comprende aquellos reconocidos como tales en virtud de la legislación o práctica nacional, se trate de representantes sindicales, o de “representantes electos, es decir, representantes libremente elegidos por los trabajadores de la empresa, de conformidad con las disposiciones de la legislación nacional o de los contratos colectivos, y cuyas actividades no se extiendan a actividades que sean reconocidas en el país como prerrogativas exclusivas de los sindicatos”</w:t>
      </w:r>
      <w:r w:rsidRPr="00751089">
        <w:rPr>
          <w:rFonts w:ascii="Verdana" w:hAnsi="Verdana"/>
          <w:sz w:val="20"/>
          <w:szCs w:val="20"/>
          <w:vertAlign w:val="superscript"/>
          <w:lang w:val="es-CR"/>
        </w:rPr>
        <w:footnoteReference w:id="231"/>
      </w:r>
      <w:r w:rsidRPr="00751089">
        <w:rPr>
          <w:rFonts w:ascii="Verdana" w:hAnsi="Verdana"/>
          <w:sz w:val="20"/>
          <w:szCs w:val="20"/>
          <w:lang w:val="es-CR"/>
        </w:rPr>
        <w:t xml:space="preserve">. </w:t>
      </w:r>
    </w:p>
    <w:p w14:paraId="5C451A7E" w14:textId="77777777" w:rsidR="00032FC5" w:rsidRDefault="00032FC5" w:rsidP="00032FC5">
      <w:pPr>
        <w:pStyle w:val="ListParagraph"/>
        <w:rPr>
          <w:rFonts w:ascii="Verdana" w:hAnsi="Verdana"/>
          <w:sz w:val="20"/>
          <w:szCs w:val="20"/>
          <w:lang w:val="es-CR"/>
        </w:rPr>
      </w:pPr>
    </w:p>
    <w:p w14:paraId="62163FF8" w14:textId="77777777" w:rsidR="00032FC5" w:rsidRPr="005D0F69" w:rsidRDefault="00032FC5" w:rsidP="00E66DD7">
      <w:pPr>
        <w:numPr>
          <w:ilvl w:val="0"/>
          <w:numId w:val="1"/>
        </w:numPr>
        <w:ind w:left="0" w:firstLine="0"/>
        <w:contextualSpacing/>
        <w:jc w:val="both"/>
        <w:rPr>
          <w:rFonts w:ascii="Verdana" w:eastAsia="Times New Roman" w:hAnsi="Verdana" w:cs="Arial"/>
          <w:sz w:val="20"/>
          <w:szCs w:val="20"/>
        </w:rPr>
      </w:pPr>
      <w:r w:rsidRPr="00751089">
        <w:rPr>
          <w:rFonts w:ascii="Verdana" w:hAnsi="Verdana"/>
          <w:sz w:val="20"/>
          <w:szCs w:val="20"/>
          <w:lang w:val="es-CR"/>
        </w:rPr>
        <w:t>En el mismo sentido, se ha interpretado que los representantes de los trabajadores de una empresa deben gozar de una protección eficaz contra todo acto que pueda perjudicarlos, incluido el despido por razón de su condición de representantes de los trabajadores, o de sus actividades derivadas de dicha representación</w:t>
      </w:r>
      <w:r w:rsidRPr="00751089">
        <w:rPr>
          <w:rFonts w:ascii="Verdana" w:hAnsi="Verdana"/>
          <w:sz w:val="20"/>
          <w:szCs w:val="20"/>
          <w:vertAlign w:val="superscript"/>
          <w:lang w:val="es-CR"/>
        </w:rPr>
        <w:footnoteReference w:id="232"/>
      </w:r>
      <w:r w:rsidRPr="00751089">
        <w:rPr>
          <w:rFonts w:ascii="Verdana" w:hAnsi="Verdana"/>
          <w:sz w:val="20"/>
          <w:szCs w:val="20"/>
          <w:lang w:val="es-CR"/>
        </w:rPr>
        <w:t>.</w:t>
      </w:r>
      <w:r>
        <w:rPr>
          <w:rFonts w:ascii="Verdana" w:eastAsia="Times New Roman" w:hAnsi="Verdana" w:cs="Arial"/>
          <w:sz w:val="20"/>
          <w:szCs w:val="20"/>
        </w:rPr>
        <w:t xml:space="preserve"> Asimismo</w:t>
      </w:r>
      <w:r w:rsidRPr="005D0F69">
        <w:rPr>
          <w:rFonts w:ascii="Verdana" w:eastAsia="Times New Roman" w:hAnsi="Verdana" w:cs="Arial"/>
          <w:sz w:val="20"/>
          <w:szCs w:val="20"/>
        </w:rPr>
        <w:t xml:space="preserve">, </w:t>
      </w:r>
      <w:r w:rsidRPr="005D0F69">
        <w:rPr>
          <w:rFonts w:ascii="Verdana" w:hAnsi="Verdana" w:cs="Cambria"/>
          <w:sz w:val="20"/>
          <w:szCs w:val="20"/>
        </w:rPr>
        <w:t>las autoridades nacionales deben garantizar que la imposición de sanciones que puedan resultar desproporcionadas no generen un efecto disuasivo en el derecho de los representantes de expresar y defender los intereses de los trabajadores</w:t>
      </w:r>
      <w:r w:rsidRPr="005D0F69">
        <w:rPr>
          <w:rFonts w:ascii="Verdana" w:hAnsi="Verdana"/>
          <w:sz w:val="20"/>
          <w:szCs w:val="20"/>
          <w:vertAlign w:val="superscript"/>
        </w:rPr>
        <w:footnoteReference w:id="233"/>
      </w:r>
      <w:r w:rsidRPr="005D0F69">
        <w:rPr>
          <w:rFonts w:ascii="Verdana" w:hAnsi="Verdana" w:cs="Cambria"/>
          <w:sz w:val="20"/>
          <w:szCs w:val="20"/>
        </w:rPr>
        <w:t>.</w:t>
      </w:r>
    </w:p>
    <w:p w14:paraId="0AA0F207" w14:textId="77777777" w:rsidR="00032FC5" w:rsidRDefault="00032FC5" w:rsidP="00032FC5">
      <w:pPr>
        <w:pStyle w:val="ListParagraph"/>
        <w:rPr>
          <w:rFonts w:ascii="Verdana" w:hAnsi="Verdana"/>
          <w:sz w:val="20"/>
          <w:szCs w:val="20"/>
          <w:lang w:val="es-CR"/>
        </w:rPr>
      </w:pPr>
    </w:p>
    <w:p w14:paraId="5B719D5B" w14:textId="4CADA2F8" w:rsidR="00032FC5" w:rsidRPr="00CF0579" w:rsidRDefault="00032FC5" w:rsidP="00E66DD7">
      <w:pPr>
        <w:numPr>
          <w:ilvl w:val="0"/>
          <w:numId w:val="1"/>
        </w:numPr>
        <w:ind w:left="0" w:firstLine="0"/>
        <w:contextualSpacing/>
        <w:jc w:val="both"/>
        <w:rPr>
          <w:rFonts w:ascii="Verdana" w:hAnsi="Verdana"/>
          <w:b/>
          <w:sz w:val="20"/>
          <w:szCs w:val="20"/>
          <w:lang w:val="es-CR"/>
        </w:rPr>
      </w:pPr>
      <w:r w:rsidRPr="00CF0579">
        <w:rPr>
          <w:rFonts w:ascii="Verdana" w:hAnsi="Verdana"/>
          <w:sz w:val="20"/>
          <w:szCs w:val="20"/>
          <w:lang w:val="es-CR"/>
        </w:rPr>
        <w:t xml:space="preserve">En el particular, la Corte constató que el señor Lagos del Campo fue despedido con motivo de las denuncias realizadas en el marco de un proceso electoral del que la presunta víctima, junto con otros trabajadores, estaba llamado a supervisar. Asimismo, es un hecho probado que, como consecuencia del despido, el señor Lagos del Campo no pudo continuar con sus labores de representación de los trabajadores en el Comité Electoral, no pudiendo incluso acudir a la reunión que el mismo, en ejercicio de sus funciones, había citado antes de ser despedido </w:t>
      </w:r>
      <w:r w:rsidRPr="005D0F69">
        <w:rPr>
          <w:rFonts w:ascii="Verdana" w:hAnsi="Verdana"/>
          <w:sz w:val="20"/>
          <w:szCs w:val="20"/>
          <w:lang w:val="es-CR"/>
        </w:rPr>
        <w:t xml:space="preserve">el </w:t>
      </w:r>
      <w:r w:rsidRPr="005D0F69">
        <w:rPr>
          <w:rFonts w:ascii="Verdana" w:hAnsi="Verdana"/>
          <w:sz w:val="20"/>
          <w:szCs w:val="20"/>
        </w:rPr>
        <w:t>27 de junio de 1989</w:t>
      </w:r>
      <w:r w:rsidRPr="005D0F69">
        <w:rPr>
          <w:rFonts w:ascii="Verdana" w:hAnsi="Verdana"/>
          <w:sz w:val="16"/>
          <w:szCs w:val="20"/>
          <w:lang w:val="es-CR"/>
        </w:rPr>
        <w:t xml:space="preserve"> </w:t>
      </w:r>
      <w:r w:rsidRPr="00CF0579">
        <w:rPr>
          <w:rFonts w:ascii="Verdana" w:hAnsi="Verdana"/>
          <w:sz w:val="20"/>
          <w:szCs w:val="20"/>
          <w:lang w:val="es-CR"/>
        </w:rPr>
        <w:t>(</w:t>
      </w:r>
      <w:r w:rsidRPr="00224537">
        <w:rPr>
          <w:rFonts w:ascii="Verdana" w:hAnsi="Verdana"/>
          <w:i/>
          <w:sz w:val="20"/>
          <w:szCs w:val="20"/>
          <w:lang w:val="es-CR"/>
        </w:rPr>
        <w:t>supra</w:t>
      </w:r>
      <w:r w:rsidRPr="00CF0579">
        <w:rPr>
          <w:rFonts w:ascii="Verdana" w:hAnsi="Verdana"/>
          <w:sz w:val="20"/>
          <w:szCs w:val="20"/>
          <w:lang w:val="es-CR"/>
        </w:rPr>
        <w:t>, párr.</w:t>
      </w:r>
      <w:r w:rsidR="003E79D2">
        <w:rPr>
          <w:rFonts w:ascii="Verdana" w:hAnsi="Verdana"/>
          <w:sz w:val="20"/>
          <w:szCs w:val="20"/>
          <w:lang w:val="es-CR"/>
        </w:rPr>
        <w:t xml:space="preserve"> 53</w:t>
      </w:r>
      <w:r w:rsidRPr="00CF0579">
        <w:rPr>
          <w:rFonts w:ascii="Verdana" w:hAnsi="Verdana"/>
          <w:sz w:val="20"/>
          <w:szCs w:val="20"/>
          <w:lang w:val="es-CR"/>
        </w:rPr>
        <w:t>), y que tampoco pudo continuar perteneciendo a la Comunidad Industrial, al ya no formar parte de la empresa como trabajador. En este sentido, la Corte advierte que el Segundo Tribunal del Trabajo de Lima, en su sentencia del 8 de agosto de 1991</w:t>
      </w:r>
      <w:r w:rsidR="00446B52">
        <w:rPr>
          <w:rFonts w:ascii="Verdana" w:hAnsi="Verdana"/>
          <w:sz w:val="20"/>
          <w:szCs w:val="20"/>
          <w:lang w:val="es-CR"/>
        </w:rPr>
        <w:t xml:space="preserve"> </w:t>
      </w:r>
      <w:r w:rsidRPr="00CF0579">
        <w:rPr>
          <w:rFonts w:ascii="Verdana" w:hAnsi="Verdana"/>
          <w:sz w:val="20"/>
          <w:szCs w:val="20"/>
          <w:lang w:val="es-CR"/>
        </w:rPr>
        <w:t>donde calificó el despido de la presunta víctima como “legal y justificado” (</w:t>
      </w:r>
      <w:r w:rsidRPr="00224537">
        <w:rPr>
          <w:rFonts w:ascii="Verdana" w:hAnsi="Verdana"/>
          <w:i/>
          <w:sz w:val="20"/>
          <w:szCs w:val="20"/>
          <w:lang w:val="es-CR"/>
        </w:rPr>
        <w:t>supra</w:t>
      </w:r>
      <w:r w:rsidRPr="00CF0579">
        <w:rPr>
          <w:rFonts w:ascii="Verdana" w:hAnsi="Verdana"/>
          <w:sz w:val="20"/>
          <w:szCs w:val="20"/>
          <w:lang w:val="es-CR"/>
        </w:rPr>
        <w:t xml:space="preserve"> párr.</w:t>
      </w:r>
      <w:r w:rsidR="003E79D2">
        <w:rPr>
          <w:rFonts w:ascii="Verdana" w:hAnsi="Verdana"/>
          <w:sz w:val="20"/>
          <w:szCs w:val="20"/>
          <w:lang w:val="es-CR"/>
        </w:rPr>
        <w:t xml:space="preserve"> 60</w:t>
      </w:r>
      <w:r w:rsidRPr="00CF0579">
        <w:rPr>
          <w:rFonts w:ascii="Verdana" w:hAnsi="Verdana"/>
          <w:sz w:val="20"/>
          <w:szCs w:val="20"/>
          <w:lang w:val="es-CR"/>
        </w:rPr>
        <w:t>), avaló una sanción que tuvo un impacto en la posibilidad del señor Lagos del Campo de poder continuar perteneciendo a dicha corporación</w:t>
      </w:r>
      <w:r>
        <w:rPr>
          <w:rFonts w:ascii="Verdana" w:hAnsi="Verdana"/>
          <w:sz w:val="20"/>
          <w:szCs w:val="20"/>
          <w:lang w:val="es-CR"/>
        </w:rPr>
        <w:t>,</w:t>
      </w:r>
      <w:r w:rsidRPr="00CF0579">
        <w:rPr>
          <w:rFonts w:ascii="Verdana" w:hAnsi="Verdana"/>
          <w:sz w:val="20"/>
          <w:szCs w:val="20"/>
          <w:lang w:val="es-CR"/>
        </w:rPr>
        <w:t xml:space="preserve"> y de representar los intereses de los demás trabajadores.</w:t>
      </w:r>
    </w:p>
    <w:p w14:paraId="30AE8958" w14:textId="77777777" w:rsidR="00032FC5" w:rsidRPr="00751089" w:rsidRDefault="00032FC5" w:rsidP="00032FC5">
      <w:pPr>
        <w:contextualSpacing/>
        <w:rPr>
          <w:rFonts w:ascii="Verdana" w:hAnsi="Verdana"/>
          <w:sz w:val="20"/>
          <w:szCs w:val="20"/>
          <w:lang w:val="es-CR"/>
        </w:rPr>
      </w:pPr>
    </w:p>
    <w:p w14:paraId="32D7D447" w14:textId="0ECC9641" w:rsidR="00032FC5" w:rsidRPr="00C74AF1" w:rsidRDefault="00032FC5" w:rsidP="00E66DD7">
      <w:pPr>
        <w:numPr>
          <w:ilvl w:val="0"/>
          <w:numId w:val="1"/>
        </w:numPr>
        <w:ind w:left="0" w:firstLine="0"/>
        <w:contextualSpacing/>
        <w:jc w:val="both"/>
        <w:rPr>
          <w:rFonts w:ascii="Verdana" w:hAnsi="Verdana"/>
          <w:b/>
          <w:sz w:val="20"/>
          <w:szCs w:val="20"/>
          <w:lang w:val="es-CR"/>
        </w:rPr>
      </w:pPr>
      <w:r w:rsidRPr="00C74AF1">
        <w:rPr>
          <w:rFonts w:ascii="Verdana" w:hAnsi="Verdana"/>
          <w:sz w:val="20"/>
          <w:szCs w:val="20"/>
          <w:lang w:val="es-CR"/>
        </w:rPr>
        <w:t>Adicionalmente, este Tribunal h</w:t>
      </w:r>
      <w:r w:rsidRPr="00765331">
        <w:rPr>
          <w:rFonts w:ascii="Verdana" w:hAnsi="Verdana"/>
          <w:sz w:val="20"/>
          <w:szCs w:val="20"/>
          <w:lang w:val="es-CR"/>
        </w:rPr>
        <w:t>a establecido que l</w:t>
      </w:r>
      <w:r w:rsidRPr="00C74AF1">
        <w:rPr>
          <w:rFonts w:ascii="Verdana" w:hAnsi="Verdana"/>
          <w:sz w:val="20"/>
          <w:szCs w:val="20"/>
          <w:lang w:val="es-CR"/>
        </w:rPr>
        <w:t>a libertad de asociación tiene dos dimensiones, pues recae tanto en el derecho del individuo de asociarse libremente y utilizar los medios apropiados para ejercer esa libertad, como en los integrantes de un grupo para alcanzar determinados fines en conjunto y beneficiarse de los mismos</w:t>
      </w:r>
      <w:r w:rsidRPr="00C74AF1">
        <w:rPr>
          <w:rStyle w:val="FootnoteReference"/>
          <w:szCs w:val="20"/>
          <w:lang w:val="es-CR"/>
        </w:rPr>
        <w:footnoteReference w:id="234"/>
      </w:r>
      <w:r w:rsidRPr="00C74AF1">
        <w:rPr>
          <w:rFonts w:ascii="Verdana" w:hAnsi="Verdana"/>
          <w:sz w:val="20"/>
          <w:szCs w:val="20"/>
          <w:lang w:val="es-CR"/>
        </w:rPr>
        <w:t xml:space="preserve">. Asimismo, este Tribunal ha establecido que los derechos derivados de la representación de los intereses de un grupo tiene una naturaleza dual, pues recae tanto en el derecho del individuo que ejerce el mandato o designación como en el derecho de la colectividad de ser representada, por lo que la violación </w:t>
      </w:r>
      <w:r w:rsidRPr="00C74AF1">
        <w:rPr>
          <w:rFonts w:ascii="Verdana" w:hAnsi="Verdana"/>
          <w:sz w:val="20"/>
          <w:szCs w:val="20"/>
          <w:lang w:val="es-CR"/>
        </w:rPr>
        <w:lastRenderedPageBreak/>
        <w:t>del derecho del primero (el representante) repercute en la vulneración del derecho del otro (</w:t>
      </w:r>
      <w:r>
        <w:rPr>
          <w:rFonts w:ascii="Verdana" w:hAnsi="Verdana"/>
          <w:sz w:val="20"/>
          <w:szCs w:val="20"/>
          <w:lang w:val="es-CR"/>
        </w:rPr>
        <w:t>el representado</w:t>
      </w:r>
      <w:r w:rsidRPr="00C74AF1">
        <w:rPr>
          <w:rFonts w:ascii="Verdana" w:hAnsi="Verdana"/>
          <w:sz w:val="20"/>
          <w:szCs w:val="20"/>
          <w:lang w:val="es-CR"/>
        </w:rPr>
        <w:t>)</w:t>
      </w:r>
      <w:r w:rsidRPr="00EB2749">
        <w:rPr>
          <w:rFonts w:ascii="Verdana" w:hAnsi="Verdana"/>
          <w:sz w:val="20"/>
          <w:vertAlign w:val="superscript"/>
          <w:lang w:val="es-CR"/>
        </w:rPr>
        <w:footnoteReference w:id="235"/>
      </w:r>
      <w:r w:rsidRPr="00EB2749">
        <w:rPr>
          <w:rFonts w:ascii="Verdana" w:hAnsi="Verdana"/>
          <w:sz w:val="20"/>
          <w:lang w:val="es-CR"/>
        </w:rPr>
        <w:t>.</w:t>
      </w:r>
      <w:r w:rsidRPr="00C74AF1">
        <w:rPr>
          <w:rFonts w:ascii="Verdana" w:hAnsi="Verdana"/>
          <w:sz w:val="20"/>
          <w:szCs w:val="20"/>
          <w:lang w:val="es-CR"/>
        </w:rPr>
        <w:t xml:space="preserve"> En razón de ello, la Corte encuentra que el despido del señor Lagos del Campo trascendió a la violación de su derecho individual a la libertad de asociación, pues privó a los trabajadores de la Comunidad Industrial de la representación de uno de sus líderes, en especial en la elección que habría tenido lugar bajo su supervisión como Presidente del Comité Electoral. De igual forma, la Corte advierte que el despido del señor Lagos del Campo, al haber sido realizado en represalia por sus labores de representación, pudo tener </w:t>
      </w:r>
      <w:r w:rsidRPr="00EB2749">
        <w:rPr>
          <w:rFonts w:ascii="Verdana" w:hAnsi="Verdana"/>
          <w:sz w:val="20"/>
          <w:lang w:val="es-CR"/>
        </w:rPr>
        <w:t>un efecto amedrentador</w:t>
      </w:r>
      <w:r w:rsidRPr="00C74AF1">
        <w:rPr>
          <w:rFonts w:ascii="Verdana" w:hAnsi="Verdana"/>
          <w:sz w:val="20"/>
          <w:lang w:val="es-CR"/>
        </w:rPr>
        <w:t xml:space="preserve"> e intimidante</w:t>
      </w:r>
      <w:r w:rsidRPr="00C74AF1">
        <w:rPr>
          <w:rFonts w:ascii="Verdana" w:hAnsi="Verdana"/>
          <w:sz w:val="20"/>
          <w:szCs w:val="20"/>
          <w:lang w:val="es-CR"/>
        </w:rPr>
        <w:t xml:space="preserve"> en los demás miembros de la Comunidad Industrial. </w:t>
      </w:r>
    </w:p>
    <w:p w14:paraId="1CF7836F" w14:textId="77777777" w:rsidR="00032FC5" w:rsidRDefault="00032FC5" w:rsidP="00032FC5">
      <w:pPr>
        <w:pStyle w:val="ListParagraph"/>
        <w:rPr>
          <w:rFonts w:ascii="Verdana" w:hAnsi="Verdana"/>
          <w:sz w:val="20"/>
          <w:szCs w:val="20"/>
          <w:lang w:val="es-CR"/>
        </w:rPr>
      </w:pPr>
    </w:p>
    <w:p w14:paraId="6E769401" w14:textId="2755EA70" w:rsidR="00032FC5" w:rsidRPr="00801513" w:rsidRDefault="00032FC5" w:rsidP="00E66DD7">
      <w:pPr>
        <w:numPr>
          <w:ilvl w:val="0"/>
          <w:numId w:val="1"/>
        </w:numPr>
        <w:ind w:left="0" w:firstLine="0"/>
        <w:contextualSpacing/>
        <w:jc w:val="both"/>
        <w:rPr>
          <w:rFonts w:ascii="Verdana" w:hAnsi="Verdana"/>
          <w:b/>
          <w:sz w:val="20"/>
          <w:szCs w:val="20"/>
          <w:lang w:val="es-CR"/>
        </w:rPr>
      </w:pPr>
      <w:r w:rsidRPr="00317885">
        <w:rPr>
          <w:rFonts w:ascii="Verdana" w:hAnsi="Verdana"/>
          <w:sz w:val="20"/>
          <w:szCs w:val="20"/>
          <w:lang w:val="es-CR"/>
        </w:rPr>
        <w:t xml:space="preserve">En </w:t>
      </w:r>
      <w:r w:rsidR="00F830E9">
        <w:rPr>
          <w:rFonts w:ascii="Verdana" w:hAnsi="Verdana"/>
          <w:sz w:val="20"/>
          <w:szCs w:val="20"/>
          <w:lang w:val="es-CR"/>
        </w:rPr>
        <w:t>vista de</w:t>
      </w:r>
      <w:r w:rsidRPr="00317885">
        <w:rPr>
          <w:rFonts w:ascii="Verdana" w:hAnsi="Verdana"/>
          <w:sz w:val="20"/>
          <w:szCs w:val="20"/>
          <w:lang w:val="es-CR"/>
        </w:rPr>
        <w:t xml:space="preserve"> lo anterior, esta Corte concluye que el Estado es responsable por la violación del artículo 16.1</w:t>
      </w:r>
      <w:r>
        <w:rPr>
          <w:rFonts w:ascii="Verdana" w:hAnsi="Verdana"/>
          <w:sz w:val="20"/>
          <w:szCs w:val="20"/>
          <w:lang w:val="es-CR"/>
        </w:rPr>
        <w:t xml:space="preserve"> </w:t>
      </w:r>
      <w:r w:rsidRPr="00333304">
        <w:rPr>
          <w:rFonts w:ascii="Verdana" w:hAnsi="Verdana"/>
          <w:sz w:val="20"/>
          <w:szCs w:val="20"/>
          <w:lang w:val="es-CR"/>
        </w:rPr>
        <w:t>y 26</w:t>
      </w:r>
      <w:r w:rsidRPr="003E79D2">
        <w:rPr>
          <w:rFonts w:ascii="Verdana" w:hAnsi="Verdana"/>
          <w:sz w:val="20"/>
          <w:szCs w:val="20"/>
          <w:lang w:val="es-CR"/>
        </w:rPr>
        <w:t xml:space="preserve"> </w:t>
      </w:r>
      <w:r w:rsidRPr="00333304">
        <w:rPr>
          <w:rFonts w:ascii="Verdana" w:hAnsi="Verdana"/>
          <w:sz w:val="20"/>
          <w:szCs w:val="20"/>
          <w:lang w:val="es-CR"/>
        </w:rPr>
        <w:t xml:space="preserve">en relación con </w:t>
      </w:r>
      <w:r w:rsidR="00062C2B" w:rsidRPr="00333304">
        <w:rPr>
          <w:rFonts w:ascii="Verdana" w:hAnsi="Verdana"/>
          <w:sz w:val="20"/>
          <w:szCs w:val="20"/>
          <w:lang w:val="es-CR"/>
        </w:rPr>
        <w:t>los</w:t>
      </w:r>
      <w:r w:rsidRPr="00333304">
        <w:rPr>
          <w:rFonts w:ascii="Verdana" w:hAnsi="Verdana"/>
          <w:sz w:val="20"/>
          <w:szCs w:val="20"/>
          <w:lang w:val="es-CR"/>
        </w:rPr>
        <w:t xml:space="preserve"> artículo</w:t>
      </w:r>
      <w:r w:rsidR="00062C2B" w:rsidRPr="00333304">
        <w:rPr>
          <w:rFonts w:ascii="Verdana" w:hAnsi="Verdana"/>
          <w:sz w:val="20"/>
          <w:szCs w:val="20"/>
          <w:lang w:val="es-CR"/>
        </w:rPr>
        <w:t>s</w:t>
      </w:r>
      <w:r w:rsidRPr="00333304">
        <w:rPr>
          <w:rFonts w:ascii="Verdana" w:hAnsi="Verdana"/>
          <w:sz w:val="20"/>
          <w:szCs w:val="20"/>
          <w:lang w:val="es-CR"/>
        </w:rPr>
        <w:t xml:space="preserve"> 1.1</w:t>
      </w:r>
      <w:r w:rsidR="00062C2B" w:rsidRPr="00333304">
        <w:rPr>
          <w:rFonts w:ascii="Verdana" w:hAnsi="Verdana"/>
          <w:sz w:val="20"/>
          <w:szCs w:val="20"/>
          <w:lang w:val="es-CR"/>
        </w:rPr>
        <w:t>, 13 y 8</w:t>
      </w:r>
      <w:r w:rsidRPr="00317885">
        <w:rPr>
          <w:rFonts w:ascii="Verdana" w:hAnsi="Verdana"/>
          <w:sz w:val="20"/>
          <w:szCs w:val="20"/>
          <w:lang w:val="es-CR"/>
        </w:rPr>
        <w:t xml:space="preserve"> de la Convención Americana</w:t>
      </w:r>
      <w:r>
        <w:rPr>
          <w:rFonts w:ascii="Verdana" w:hAnsi="Verdana"/>
          <w:sz w:val="20"/>
          <w:szCs w:val="20"/>
          <w:lang w:val="es-CR"/>
        </w:rPr>
        <w:t>,</w:t>
      </w:r>
      <w:r w:rsidRPr="00317885">
        <w:rPr>
          <w:rFonts w:ascii="Verdana" w:hAnsi="Verdana"/>
          <w:sz w:val="20"/>
          <w:szCs w:val="20"/>
          <w:lang w:val="es-CR"/>
        </w:rPr>
        <w:t xml:space="preserve"> en perjuicio de</w:t>
      </w:r>
      <w:r w:rsidR="00334B6C">
        <w:rPr>
          <w:rFonts w:ascii="Verdana" w:hAnsi="Verdana"/>
          <w:sz w:val="20"/>
          <w:szCs w:val="20"/>
          <w:lang w:val="es-CR"/>
        </w:rPr>
        <w:t>l señor</w:t>
      </w:r>
      <w:r w:rsidRPr="00317885">
        <w:rPr>
          <w:rFonts w:ascii="Verdana" w:hAnsi="Verdana"/>
          <w:sz w:val="20"/>
          <w:szCs w:val="20"/>
          <w:lang w:val="es-CR"/>
        </w:rPr>
        <w:t xml:space="preserve"> Lagos del Campo.</w:t>
      </w:r>
    </w:p>
    <w:p w14:paraId="42D6D54E" w14:textId="77777777" w:rsidR="0088700B" w:rsidRPr="00801513" w:rsidRDefault="0088700B" w:rsidP="0088700B">
      <w:pPr>
        <w:contextualSpacing/>
        <w:jc w:val="both"/>
        <w:rPr>
          <w:rFonts w:ascii="Verdana" w:hAnsi="Verdana"/>
          <w:color w:val="000000"/>
          <w:sz w:val="20"/>
          <w:lang w:val="es-CR"/>
        </w:rPr>
      </w:pPr>
    </w:p>
    <w:p w14:paraId="01915554" w14:textId="1283E374" w:rsidR="003F0DD6" w:rsidRPr="005B3D37" w:rsidRDefault="003F0DD6" w:rsidP="00E66DD7">
      <w:pPr>
        <w:pStyle w:val="Heading3"/>
        <w:numPr>
          <w:ilvl w:val="0"/>
          <w:numId w:val="11"/>
        </w:numPr>
        <w:ind w:left="714" w:hanging="357"/>
        <w:rPr>
          <w:i/>
          <w:lang w:val="es-MX"/>
        </w:rPr>
      </w:pPr>
      <w:bookmarkStart w:id="53" w:name="_Toc498333510"/>
      <w:r w:rsidRPr="005D0F69">
        <w:rPr>
          <w:i/>
          <w:lang w:val="es-MX"/>
        </w:rPr>
        <w:t>Deber</w:t>
      </w:r>
      <w:r w:rsidRPr="005B3D37">
        <w:rPr>
          <w:i/>
          <w:lang w:val="es-MX"/>
        </w:rPr>
        <w:t xml:space="preserve"> de adoptar disposiciones de derecho interno</w:t>
      </w:r>
      <w:bookmarkEnd w:id="53"/>
    </w:p>
    <w:p w14:paraId="080BB964" w14:textId="77777777" w:rsidR="00FF1171" w:rsidRDefault="00FF1171" w:rsidP="00CB5A95">
      <w:pPr>
        <w:jc w:val="both"/>
        <w:rPr>
          <w:rFonts w:ascii="Verdana" w:hAnsi="Verdana"/>
          <w:color w:val="000000"/>
          <w:sz w:val="20"/>
        </w:rPr>
      </w:pPr>
    </w:p>
    <w:p w14:paraId="159AAB1A" w14:textId="2449FA50" w:rsidR="00470F22" w:rsidRPr="005D0F69" w:rsidRDefault="00FF1171" w:rsidP="00E66DD7">
      <w:pPr>
        <w:numPr>
          <w:ilvl w:val="0"/>
          <w:numId w:val="1"/>
        </w:numPr>
        <w:ind w:left="0" w:firstLine="0"/>
        <w:contextualSpacing/>
        <w:jc w:val="both"/>
        <w:rPr>
          <w:rFonts w:ascii="Verdana" w:hAnsi="Verdana"/>
          <w:sz w:val="20"/>
          <w:szCs w:val="20"/>
          <w:lang w:val="es-CR"/>
        </w:rPr>
      </w:pPr>
      <w:r w:rsidRPr="00971F47">
        <w:rPr>
          <w:rFonts w:ascii="Verdana" w:hAnsi="Verdana"/>
          <w:sz w:val="20"/>
          <w:szCs w:val="20"/>
          <w:lang w:val="es-ES" w:eastAsia="es-ES"/>
        </w:rPr>
        <w:t xml:space="preserve">En </w:t>
      </w:r>
      <w:r w:rsidRPr="00971F47">
        <w:rPr>
          <w:rFonts w:ascii="Verdana" w:hAnsi="Verdana"/>
          <w:sz w:val="20"/>
          <w:szCs w:val="20"/>
        </w:rPr>
        <w:t xml:space="preserve">relación con </w:t>
      </w:r>
      <w:r w:rsidRPr="00971F47">
        <w:rPr>
          <w:rFonts w:ascii="Verdana" w:hAnsi="Verdana"/>
          <w:sz w:val="20"/>
          <w:szCs w:val="20"/>
          <w:lang w:val="es-MX"/>
        </w:rPr>
        <w:t>el alegato relacionado con el literal h) del artículo 5 de la ley No. 24514</w:t>
      </w:r>
      <w:r>
        <w:rPr>
          <w:rFonts w:ascii="Verdana" w:hAnsi="Verdana"/>
          <w:sz w:val="20"/>
          <w:szCs w:val="20"/>
          <w:lang w:val="es-MX"/>
        </w:rPr>
        <w:t xml:space="preserve"> (</w:t>
      </w:r>
      <w:r w:rsidR="00224537" w:rsidRPr="00224537">
        <w:rPr>
          <w:rFonts w:ascii="Verdana" w:hAnsi="Verdana"/>
          <w:i/>
          <w:sz w:val="20"/>
          <w:szCs w:val="20"/>
          <w:lang w:val="es-MX"/>
        </w:rPr>
        <w:t>supra</w:t>
      </w:r>
      <w:r>
        <w:rPr>
          <w:rFonts w:ascii="Verdana" w:hAnsi="Verdana"/>
          <w:sz w:val="20"/>
          <w:szCs w:val="20"/>
          <w:lang w:val="es-MX"/>
        </w:rPr>
        <w:t xml:space="preserve"> </w:t>
      </w:r>
      <w:proofErr w:type="spellStart"/>
      <w:r>
        <w:rPr>
          <w:rFonts w:ascii="Verdana" w:hAnsi="Verdana"/>
          <w:sz w:val="20"/>
          <w:szCs w:val="20"/>
          <w:lang w:val="es-MX"/>
        </w:rPr>
        <w:t>párr</w:t>
      </w:r>
      <w:r w:rsidR="00161225">
        <w:rPr>
          <w:rFonts w:ascii="Verdana" w:hAnsi="Verdana"/>
          <w:sz w:val="20"/>
          <w:szCs w:val="20"/>
          <w:lang w:val="es-MX"/>
        </w:rPr>
        <w:t>s</w:t>
      </w:r>
      <w:proofErr w:type="spellEnd"/>
      <w:r>
        <w:rPr>
          <w:rFonts w:ascii="Verdana" w:hAnsi="Verdana"/>
          <w:sz w:val="20"/>
          <w:szCs w:val="20"/>
          <w:lang w:val="es-MX"/>
        </w:rPr>
        <w:t>.</w:t>
      </w:r>
      <w:r w:rsidR="003E79D2">
        <w:rPr>
          <w:rFonts w:ascii="Verdana" w:hAnsi="Verdana"/>
          <w:sz w:val="20"/>
          <w:szCs w:val="20"/>
          <w:lang w:val="es-MX"/>
        </w:rPr>
        <w:t xml:space="preserve"> </w:t>
      </w:r>
      <w:r w:rsidR="00161225">
        <w:rPr>
          <w:rFonts w:ascii="Verdana" w:hAnsi="Verdana"/>
          <w:sz w:val="20"/>
          <w:szCs w:val="20"/>
          <w:lang w:val="es-MX"/>
        </w:rPr>
        <w:t>85 y 86</w:t>
      </w:r>
      <w:r>
        <w:rPr>
          <w:rFonts w:ascii="Verdana" w:hAnsi="Verdana"/>
          <w:sz w:val="20"/>
          <w:szCs w:val="20"/>
          <w:lang w:val="es-MX"/>
        </w:rPr>
        <w:t>)</w:t>
      </w:r>
      <w:r w:rsidRPr="00971F47">
        <w:rPr>
          <w:rFonts w:ascii="Verdana" w:hAnsi="Verdana"/>
          <w:sz w:val="20"/>
          <w:szCs w:val="20"/>
          <w:lang w:val="es-MX"/>
        </w:rPr>
        <w:t xml:space="preserve">, </w:t>
      </w:r>
      <w:r w:rsidR="00470F22">
        <w:rPr>
          <w:rFonts w:ascii="Verdana" w:hAnsi="Verdana"/>
          <w:sz w:val="20"/>
          <w:szCs w:val="20"/>
          <w:lang w:val="es-MX"/>
        </w:rPr>
        <w:t xml:space="preserve">vigente al momento de los hechos, </w:t>
      </w:r>
      <w:r w:rsidRPr="00971F47">
        <w:rPr>
          <w:rFonts w:ascii="Verdana" w:hAnsi="Verdana"/>
          <w:sz w:val="20"/>
          <w:szCs w:val="20"/>
          <w:lang w:val="es-MX"/>
        </w:rPr>
        <w:t>por las razones expuestas en el acápite anterior (</w:t>
      </w:r>
      <w:r w:rsidR="00224537" w:rsidRPr="00224537">
        <w:rPr>
          <w:rFonts w:ascii="Verdana" w:hAnsi="Verdana"/>
          <w:i/>
          <w:sz w:val="20"/>
          <w:szCs w:val="20"/>
          <w:lang w:val="es-MX"/>
        </w:rPr>
        <w:t>supra</w:t>
      </w:r>
      <w:r w:rsidRPr="00971F47">
        <w:rPr>
          <w:rFonts w:ascii="Verdana" w:hAnsi="Verdana"/>
          <w:sz w:val="20"/>
          <w:szCs w:val="20"/>
          <w:lang w:val="es-MX"/>
        </w:rPr>
        <w:t xml:space="preserve"> párr.</w:t>
      </w:r>
      <w:r w:rsidR="00161225">
        <w:rPr>
          <w:rFonts w:ascii="Verdana" w:hAnsi="Verdana"/>
          <w:sz w:val="20"/>
          <w:szCs w:val="20"/>
          <w:lang w:val="es-MX"/>
        </w:rPr>
        <w:t xml:space="preserve"> </w:t>
      </w:r>
      <w:proofErr w:type="gramStart"/>
      <w:r w:rsidR="00161225">
        <w:rPr>
          <w:rFonts w:ascii="Verdana" w:hAnsi="Verdana"/>
          <w:sz w:val="20"/>
          <w:szCs w:val="20"/>
          <w:lang w:val="es-MX"/>
        </w:rPr>
        <w:t>123</w:t>
      </w:r>
      <w:r w:rsidR="003E79D2">
        <w:rPr>
          <w:rFonts w:ascii="Verdana" w:hAnsi="Verdana"/>
          <w:sz w:val="20"/>
          <w:szCs w:val="20"/>
          <w:lang w:val="es-MX"/>
        </w:rPr>
        <w:t xml:space="preserve"> </w:t>
      </w:r>
      <w:r w:rsidRPr="00971F47">
        <w:rPr>
          <w:rFonts w:ascii="Verdana" w:hAnsi="Verdana"/>
          <w:sz w:val="20"/>
          <w:szCs w:val="20"/>
          <w:lang w:val="es-MX"/>
        </w:rPr>
        <w:t>)</w:t>
      </w:r>
      <w:proofErr w:type="gramEnd"/>
      <w:r w:rsidRPr="00971F47">
        <w:rPr>
          <w:rFonts w:ascii="Verdana" w:hAnsi="Verdana"/>
          <w:sz w:val="20"/>
          <w:szCs w:val="20"/>
          <w:lang w:val="es-MX"/>
        </w:rPr>
        <w:t>, la Corte concluy</w:t>
      </w:r>
      <w:r w:rsidR="000C6082">
        <w:rPr>
          <w:rFonts w:ascii="Verdana" w:hAnsi="Verdana"/>
          <w:sz w:val="20"/>
          <w:szCs w:val="20"/>
          <w:lang w:val="es-MX"/>
        </w:rPr>
        <w:t>e</w:t>
      </w:r>
      <w:r w:rsidRPr="00971F47">
        <w:rPr>
          <w:rFonts w:ascii="Verdana" w:hAnsi="Verdana"/>
          <w:sz w:val="20"/>
          <w:szCs w:val="20"/>
          <w:lang w:val="es-MX"/>
        </w:rPr>
        <w:t xml:space="preserve"> que el Estado no e</w:t>
      </w:r>
      <w:r w:rsidR="000C6082">
        <w:rPr>
          <w:rFonts w:ascii="Verdana" w:hAnsi="Verdana"/>
          <w:sz w:val="20"/>
          <w:szCs w:val="20"/>
          <w:lang w:val="es-MX"/>
        </w:rPr>
        <w:t>s</w:t>
      </w:r>
      <w:r w:rsidRPr="00971F47">
        <w:rPr>
          <w:rFonts w:ascii="Verdana" w:hAnsi="Verdana"/>
          <w:sz w:val="20"/>
          <w:szCs w:val="20"/>
          <w:lang w:val="es-MX"/>
        </w:rPr>
        <w:t xml:space="preserve"> responsable por la violación al artículo 2 de la Convención. </w:t>
      </w:r>
    </w:p>
    <w:p w14:paraId="037FAAA1" w14:textId="77777777" w:rsidR="00470F22" w:rsidRDefault="00470F22" w:rsidP="005D0F69">
      <w:pPr>
        <w:contextualSpacing/>
        <w:jc w:val="both"/>
        <w:rPr>
          <w:rFonts w:ascii="Verdana" w:hAnsi="Verdana"/>
          <w:sz w:val="20"/>
          <w:szCs w:val="20"/>
          <w:lang w:val="es-CR"/>
        </w:rPr>
      </w:pPr>
    </w:p>
    <w:p w14:paraId="2293C6CA" w14:textId="5026B43C" w:rsidR="00470F22" w:rsidRDefault="00FF1171" w:rsidP="00E66DD7">
      <w:pPr>
        <w:numPr>
          <w:ilvl w:val="0"/>
          <w:numId w:val="1"/>
        </w:numPr>
        <w:ind w:left="0" w:firstLine="0"/>
        <w:contextualSpacing/>
        <w:jc w:val="both"/>
        <w:rPr>
          <w:rFonts w:ascii="Verdana" w:hAnsi="Verdana"/>
          <w:sz w:val="20"/>
          <w:szCs w:val="20"/>
          <w:lang w:val="es-CR"/>
        </w:rPr>
      </w:pPr>
      <w:r w:rsidRPr="00971F47">
        <w:rPr>
          <w:rFonts w:ascii="Verdana" w:hAnsi="Verdana"/>
          <w:sz w:val="20"/>
          <w:szCs w:val="20"/>
          <w:lang w:val="es-MX"/>
        </w:rPr>
        <w:t xml:space="preserve">En relación con el alegato relativo a la actual ley </w:t>
      </w:r>
      <w:r w:rsidR="00470F22">
        <w:rPr>
          <w:rFonts w:ascii="Verdana" w:hAnsi="Verdana"/>
          <w:sz w:val="20"/>
          <w:szCs w:val="20"/>
          <w:lang w:val="es-MX"/>
        </w:rPr>
        <w:t xml:space="preserve">vigente </w:t>
      </w:r>
      <w:r w:rsidR="00A31238">
        <w:rPr>
          <w:rFonts w:ascii="Verdana" w:hAnsi="Verdana"/>
          <w:sz w:val="20"/>
          <w:szCs w:val="20"/>
          <w:lang w:val="es-MX"/>
        </w:rPr>
        <w:t>respecto del</w:t>
      </w:r>
      <w:r w:rsidR="0077648D" w:rsidRPr="00971F47">
        <w:rPr>
          <w:rFonts w:ascii="Verdana" w:hAnsi="Verdana"/>
          <w:sz w:val="20"/>
          <w:szCs w:val="20"/>
          <w:lang w:val="es-MX"/>
        </w:rPr>
        <w:t xml:space="preserve"> </w:t>
      </w:r>
      <w:r w:rsidRPr="00971F47">
        <w:rPr>
          <w:rFonts w:ascii="Verdana" w:hAnsi="Verdana"/>
          <w:sz w:val="20"/>
          <w:szCs w:val="20"/>
          <w:lang w:val="es-MX"/>
        </w:rPr>
        <w:t>artículo 25 del Decreto Legislativo No. 728 de 27 de marzo de 1997</w:t>
      </w:r>
      <w:r>
        <w:rPr>
          <w:rFonts w:ascii="Verdana" w:hAnsi="Verdana"/>
          <w:sz w:val="20"/>
          <w:szCs w:val="20"/>
          <w:lang w:val="es-MX"/>
        </w:rPr>
        <w:t xml:space="preserve"> (</w:t>
      </w:r>
      <w:r w:rsidR="00224537" w:rsidRPr="00224537">
        <w:rPr>
          <w:rFonts w:ascii="Verdana" w:hAnsi="Verdana"/>
          <w:i/>
          <w:sz w:val="20"/>
          <w:szCs w:val="20"/>
          <w:lang w:val="es-MX"/>
        </w:rPr>
        <w:t>supra</w:t>
      </w:r>
      <w:r>
        <w:rPr>
          <w:rFonts w:ascii="Verdana" w:hAnsi="Verdana"/>
          <w:sz w:val="20"/>
          <w:szCs w:val="20"/>
          <w:lang w:val="es-MX"/>
        </w:rPr>
        <w:t xml:space="preserve"> párr.</w:t>
      </w:r>
      <w:r w:rsidR="003E79D2">
        <w:rPr>
          <w:rFonts w:ascii="Verdana" w:hAnsi="Verdana"/>
          <w:sz w:val="20"/>
          <w:szCs w:val="20"/>
          <w:lang w:val="es-MX"/>
        </w:rPr>
        <w:t xml:space="preserve"> 86</w:t>
      </w:r>
      <w:r>
        <w:rPr>
          <w:rFonts w:ascii="Verdana" w:hAnsi="Verdana"/>
          <w:sz w:val="20"/>
          <w:szCs w:val="20"/>
          <w:lang w:val="es-MX"/>
        </w:rPr>
        <w:t>)</w:t>
      </w:r>
      <w:r w:rsidRPr="00971F47">
        <w:rPr>
          <w:rFonts w:ascii="Verdana" w:hAnsi="Verdana"/>
          <w:sz w:val="20"/>
          <w:szCs w:val="20"/>
          <w:lang w:val="es-MX"/>
        </w:rPr>
        <w:t xml:space="preserve">, la Corte advierte que dicha ley derogó la </w:t>
      </w:r>
      <w:r w:rsidR="00C464D5">
        <w:rPr>
          <w:rFonts w:ascii="Verdana" w:hAnsi="Verdana"/>
          <w:sz w:val="20"/>
          <w:szCs w:val="20"/>
          <w:lang w:val="es-MX"/>
        </w:rPr>
        <w:t>L</w:t>
      </w:r>
      <w:r w:rsidRPr="00971F47">
        <w:rPr>
          <w:rFonts w:ascii="Verdana" w:hAnsi="Verdana"/>
          <w:sz w:val="20"/>
          <w:szCs w:val="20"/>
          <w:lang w:val="es-MX"/>
        </w:rPr>
        <w:t>ey No. 24514 de 5 de junio de 1986 (</w:t>
      </w:r>
      <w:r w:rsidR="00224537" w:rsidRPr="00224537">
        <w:rPr>
          <w:rFonts w:ascii="Verdana" w:hAnsi="Verdana"/>
          <w:i/>
          <w:sz w:val="20"/>
          <w:szCs w:val="20"/>
          <w:lang w:val="es-MX"/>
        </w:rPr>
        <w:t>supra</w:t>
      </w:r>
      <w:r w:rsidRPr="00971F47">
        <w:rPr>
          <w:rFonts w:ascii="Verdana" w:hAnsi="Verdana"/>
          <w:sz w:val="20"/>
          <w:szCs w:val="20"/>
          <w:lang w:val="es-MX"/>
        </w:rPr>
        <w:t xml:space="preserve"> párr. </w:t>
      </w:r>
      <w:r w:rsidR="00A31238">
        <w:rPr>
          <w:rFonts w:ascii="Verdana" w:hAnsi="Verdana"/>
          <w:sz w:val="20"/>
          <w:szCs w:val="20"/>
          <w:lang w:val="es-MX"/>
        </w:rPr>
        <w:t>55</w:t>
      </w:r>
      <w:r w:rsidRPr="00971F47">
        <w:rPr>
          <w:rFonts w:ascii="Verdana" w:hAnsi="Verdana"/>
          <w:sz w:val="20"/>
          <w:szCs w:val="20"/>
          <w:lang w:val="es-MX"/>
        </w:rPr>
        <w:t xml:space="preserve">), y que no ha sido aplicada a los hechos del presente caso, lo cual fue expresamente </w:t>
      </w:r>
      <w:r w:rsidR="000C6082">
        <w:rPr>
          <w:rFonts w:ascii="Verdana" w:hAnsi="Verdana"/>
          <w:sz w:val="20"/>
          <w:szCs w:val="20"/>
          <w:lang w:val="es-MX"/>
        </w:rPr>
        <w:t>reconocido</w:t>
      </w:r>
      <w:r w:rsidR="000C6082" w:rsidRPr="00971F47">
        <w:rPr>
          <w:rFonts w:ascii="Verdana" w:hAnsi="Verdana"/>
          <w:sz w:val="20"/>
          <w:szCs w:val="20"/>
          <w:lang w:val="es-MX"/>
        </w:rPr>
        <w:t xml:space="preserve"> </w:t>
      </w:r>
      <w:r w:rsidRPr="00971F47">
        <w:rPr>
          <w:rFonts w:ascii="Verdana" w:hAnsi="Verdana"/>
          <w:sz w:val="20"/>
          <w:szCs w:val="20"/>
          <w:lang w:val="es-MX"/>
        </w:rPr>
        <w:t xml:space="preserve">por los representantes. Al respecto, el Tribunal estima que no le corresponde emitir un pronunciamiento ni realizar un análisis de la misma, </w:t>
      </w:r>
      <w:r w:rsidR="000A0627" w:rsidRPr="00333304">
        <w:rPr>
          <w:rFonts w:ascii="Verdana" w:hAnsi="Verdana"/>
          <w:sz w:val="20"/>
          <w:szCs w:val="20"/>
          <w:lang w:val="es-MX"/>
        </w:rPr>
        <w:t>puesto</w:t>
      </w:r>
      <w:r w:rsidRPr="00971F47">
        <w:rPr>
          <w:rFonts w:ascii="Verdana" w:hAnsi="Verdana"/>
          <w:sz w:val="20"/>
          <w:szCs w:val="20"/>
          <w:lang w:val="es-MX"/>
        </w:rPr>
        <w:t xml:space="preserve"> que la competencia contenciosa de la Corte no tiene por objeto la revisión de normas nacionales en abstracto</w:t>
      </w:r>
      <w:r w:rsidRPr="00971F47">
        <w:rPr>
          <w:rFonts w:ascii="Verdana" w:hAnsi="Verdana"/>
          <w:sz w:val="20"/>
          <w:szCs w:val="20"/>
          <w:vertAlign w:val="superscript"/>
          <w:lang w:val="es-MX"/>
        </w:rPr>
        <w:footnoteReference w:id="236"/>
      </w:r>
      <w:r w:rsidRPr="00971F47">
        <w:rPr>
          <w:rFonts w:ascii="Verdana" w:hAnsi="Verdana"/>
          <w:sz w:val="20"/>
          <w:szCs w:val="20"/>
          <w:lang w:val="es-MX"/>
        </w:rPr>
        <w:t xml:space="preserve">. </w:t>
      </w:r>
    </w:p>
    <w:p w14:paraId="14B0DB9B" w14:textId="77777777" w:rsidR="00470F22" w:rsidRDefault="00470F22" w:rsidP="005D0F69">
      <w:pPr>
        <w:contextualSpacing/>
        <w:jc w:val="both"/>
        <w:rPr>
          <w:rFonts w:ascii="Verdana" w:hAnsi="Verdana"/>
          <w:sz w:val="20"/>
          <w:szCs w:val="20"/>
        </w:rPr>
      </w:pPr>
    </w:p>
    <w:p w14:paraId="111CC83D" w14:textId="2C2F30FD" w:rsidR="00CB7CCB" w:rsidRPr="00EB5530" w:rsidRDefault="00CB7CCB" w:rsidP="00E66DD7">
      <w:pPr>
        <w:pStyle w:val="Heading3"/>
        <w:numPr>
          <w:ilvl w:val="0"/>
          <w:numId w:val="11"/>
        </w:numPr>
        <w:ind w:left="714" w:hanging="357"/>
        <w:rPr>
          <w:szCs w:val="20"/>
        </w:rPr>
      </w:pPr>
      <w:bookmarkStart w:id="54" w:name="_Toc498333511"/>
      <w:r>
        <w:rPr>
          <w:i/>
          <w:lang w:val="es-MX"/>
        </w:rPr>
        <w:t>Conclusión General</w:t>
      </w:r>
      <w:bookmarkEnd w:id="54"/>
      <w:r>
        <w:rPr>
          <w:i/>
          <w:lang w:val="es-MX"/>
        </w:rPr>
        <w:t xml:space="preserve"> </w:t>
      </w:r>
    </w:p>
    <w:p w14:paraId="786E01EE" w14:textId="77777777" w:rsidR="00CB7CCB" w:rsidRDefault="00CB7CCB" w:rsidP="005D0F69">
      <w:pPr>
        <w:contextualSpacing/>
        <w:jc w:val="both"/>
        <w:rPr>
          <w:rFonts w:ascii="Verdana" w:hAnsi="Verdana"/>
          <w:sz w:val="20"/>
          <w:szCs w:val="20"/>
        </w:rPr>
      </w:pPr>
    </w:p>
    <w:p w14:paraId="5FE8938E" w14:textId="009CB4C9" w:rsidR="00CB7CCB" w:rsidRPr="00333304" w:rsidRDefault="00F67F8B" w:rsidP="00E66DD7">
      <w:pPr>
        <w:numPr>
          <w:ilvl w:val="0"/>
          <w:numId w:val="1"/>
        </w:numPr>
        <w:ind w:left="0" w:firstLine="0"/>
        <w:contextualSpacing/>
        <w:jc w:val="both"/>
        <w:rPr>
          <w:rFonts w:ascii="Verdana" w:hAnsi="Verdana"/>
          <w:sz w:val="20"/>
          <w:szCs w:val="20"/>
        </w:rPr>
      </w:pPr>
      <w:r w:rsidRPr="00333304">
        <w:rPr>
          <w:rFonts w:ascii="Verdana" w:hAnsi="Verdana"/>
          <w:color w:val="000000"/>
          <w:sz w:val="20"/>
          <w:szCs w:val="20"/>
        </w:rPr>
        <w:t>Por tanto</w:t>
      </w:r>
      <w:r w:rsidR="00CB7CCB" w:rsidRPr="00333304">
        <w:rPr>
          <w:rFonts w:ascii="Verdana" w:hAnsi="Verdana"/>
          <w:color w:val="000000"/>
          <w:sz w:val="20"/>
          <w:szCs w:val="20"/>
        </w:rPr>
        <w:t>, la Corte considera que</w:t>
      </w:r>
      <w:r w:rsidR="00C05656" w:rsidRPr="00333304">
        <w:rPr>
          <w:rFonts w:ascii="Verdana" w:hAnsi="Verdana"/>
          <w:color w:val="000000"/>
          <w:sz w:val="20"/>
          <w:szCs w:val="20"/>
        </w:rPr>
        <w:t xml:space="preserve"> el Estado, </w:t>
      </w:r>
      <w:r w:rsidR="00FF7A96" w:rsidRPr="00333304">
        <w:rPr>
          <w:rFonts w:ascii="Verdana" w:hAnsi="Verdana"/>
          <w:color w:val="000000"/>
          <w:sz w:val="20"/>
          <w:szCs w:val="20"/>
        </w:rPr>
        <w:t xml:space="preserve">con motivo del </w:t>
      </w:r>
      <w:r w:rsidR="009D44FB" w:rsidRPr="00333304">
        <w:rPr>
          <w:rFonts w:ascii="Verdana" w:hAnsi="Verdana"/>
          <w:color w:val="000000"/>
          <w:sz w:val="20"/>
          <w:szCs w:val="20"/>
        </w:rPr>
        <w:t>despido de</w:t>
      </w:r>
      <w:r w:rsidR="00FF7A96" w:rsidRPr="00333304">
        <w:rPr>
          <w:rFonts w:ascii="Verdana" w:hAnsi="Verdana"/>
          <w:color w:val="000000"/>
          <w:sz w:val="20"/>
          <w:szCs w:val="20"/>
        </w:rPr>
        <w:t>l señor Lagos del Campo</w:t>
      </w:r>
      <w:r w:rsidR="009D44FB" w:rsidRPr="00333304">
        <w:rPr>
          <w:rFonts w:ascii="Verdana" w:hAnsi="Verdana"/>
          <w:color w:val="000000"/>
          <w:sz w:val="20"/>
          <w:szCs w:val="20"/>
        </w:rPr>
        <w:t xml:space="preserve"> </w:t>
      </w:r>
      <w:r w:rsidR="00FF7A96" w:rsidRPr="00333304">
        <w:rPr>
          <w:rFonts w:ascii="Verdana" w:hAnsi="Verdana"/>
          <w:color w:val="000000"/>
          <w:sz w:val="20"/>
          <w:szCs w:val="20"/>
        </w:rPr>
        <w:t xml:space="preserve">de </w:t>
      </w:r>
      <w:r w:rsidR="009D44FB" w:rsidRPr="00333304">
        <w:rPr>
          <w:rFonts w:ascii="Verdana" w:hAnsi="Verdana"/>
          <w:color w:val="000000"/>
          <w:sz w:val="20"/>
          <w:szCs w:val="20"/>
        </w:rPr>
        <w:t>su puesto de trabajo, v</w:t>
      </w:r>
      <w:r w:rsidR="0067646F" w:rsidRPr="00333304">
        <w:rPr>
          <w:rFonts w:ascii="Verdana" w:hAnsi="Verdana"/>
          <w:color w:val="000000"/>
          <w:sz w:val="20"/>
          <w:szCs w:val="20"/>
        </w:rPr>
        <w:t>ulneró</w:t>
      </w:r>
      <w:r w:rsidR="009D44FB" w:rsidRPr="00333304">
        <w:rPr>
          <w:rFonts w:ascii="Verdana" w:hAnsi="Verdana"/>
          <w:color w:val="000000"/>
          <w:sz w:val="20"/>
          <w:szCs w:val="20"/>
        </w:rPr>
        <w:t xml:space="preserve"> su</w:t>
      </w:r>
      <w:r w:rsidR="00094281" w:rsidRPr="00333304">
        <w:rPr>
          <w:rFonts w:ascii="Verdana" w:hAnsi="Verdana"/>
          <w:color w:val="000000"/>
          <w:sz w:val="20"/>
          <w:szCs w:val="20"/>
        </w:rPr>
        <w:t>s</w:t>
      </w:r>
      <w:r w:rsidR="009D44FB" w:rsidRPr="00333304">
        <w:rPr>
          <w:rFonts w:ascii="Verdana" w:hAnsi="Verdana"/>
          <w:color w:val="000000"/>
          <w:sz w:val="20"/>
          <w:szCs w:val="20"/>
        </w:rPr>
        <w:t xml:space="preserve"> derecho</w:t>
      </w:r>
      <w:r w:rsidR="00094281" w:rsidRPr="00333304">
        <w:rPr>
          <w:rFonts w:ascii="Verdana" w:hAnsi="Verdana"/>
          <w:color w:val="000000"/>
          <w:sz w:val="20"/>
          <w:szCs w:val="20"/>
        </w:rPr>
        <w:t>s</w:t>
      </w:r>
      <w:r w:rsidR="009D44FB" w:rsidRPr="00333304">
        <w:rPr>
          <w:rFonts w:ascii="Verdana" w:hAnsi="Verdana"/>
          <w:color w:val="000000"/>
          <w:sz w:val="20"/>
          <w:szCs w:val="20"/>
        </w:rPr>
        <w:t xml:space="preserve"> a la estabilidad laboral (artículo 26 en relación con los artículos 1.1, 13, 8 y 16 de la Convención)</w:t>
      </w:r>
      <w:r w:rsidR="00C05656" w:rsidRPr="00333304">
        <w:rPr>
          <w:rFonts w:ascii="Verdana" w:hAnsi="Verdana"/>
          <w:color w:val="000000"/>
          <w:sz w:val="20"/>
          <w:szCs w:val="20"/>
        </w:rPr>
        <w:t xml:space="preserve"> y a la libertad de expresión (artículos 13 y 8</w:t>
      </w:r>
      <w:r w:rsidR="0067646F" w:rsidRPr="00333304">
        <w:rPr>
          <w:rFonts w:ascii="Verdana" w:hAnsi="Verdana"/>
          <w:color w:val="000000"/>
          <w:sz w:val="20"/>
          <w:szCs w:val="20"/>
        </w:rPr>
        <w:t xml:space="preserve"> en relación con el artículo 1.1 de la Convención</w:t>
      </w:r>
      <w:r w:rsidR="00C05656" w:rsidRPr="00333304">
        <w:rPr>
          <w:rFonts w:ascii="Verdana" w:hAnsi="Verdana"/>
          <w:color w:val="000000"/>
          <w:sz w:val="20"/>
          <w:szCs w:val="20"/>
        </w:rPr>
        <w:t>).</w:t>
      </w:r>
      <w:r w:rsidR="009D44FB" w:rsidRPr="00333304">
        <w:rPr>
          <w:rFonts w:ascii="Verdana" w:hAnsi="Verdana"/>
          <w:color w:val="000000"/>
          <w:sz w:val="20"/>
          <w:szCs w:val="20"/>
        </w:rPr>
        <w:t xml:space="preserve"> </w:t>
      </w:r>
      <w:r w:rsidR="00CB7CCB" w:rsidRPr="00333304">
        <w:rPr>
          <w:rFonts w:ascii="Verdana" w:hAnsi="Verdana"/>
          <w:color w:val="000000"/>
          <w:sz w:val="20"/>
          <w:szCs w:val="20"/>
        </w:rPr>
        <w:t>Lo anterior</w:t>
      </w:r>
      <w:r w:rsidR="00795E3D">
        <w:rPr>
          <w:rFonts w:ascii="Verdana" w:hAnsi="Verdana"/>
          <w:color w:val="000000"/>
          <w:sz w:val="20"/>
          <w:szCs w:val="20"/>
        </w:rPr>
        <w:t>,</w:t>
      </w:r>
      <w:r w:rsidR="00CB7CCB" w:rsidRPr="00333304">
        <w:rPr>
          <w:rFonts w:ascii="Verdana" w:hAnsi="Verdana"/>
          <w:color w:val="000000"/>
          <w:sz w:val="20"/>
          <w:szCs w:val="20"/>
        </w:rPr>
        <w:t xml:space="preserve"> repercutió en su representación laboral y derecho de asociación</w:t>
      </w:r>
      <w:r w:rsidR="00747383" w:rsidRPr="00333304">
        <w:rPr>
          <w:rFonts w:ascii="Verdana" w:hAnsi="Verdana"/>
          <w:color w:val="000000"/>
          <w:sz w:val="20"/>
          <w:szCs w:val="20"/>
        </w:rPr>
        <w:t xml:space="preserve"> (artículo</w:t>
      </w:r>
      <w:r w:rsidR="00C05656" w:rsidRPr="00333304">
        <w:rPr>
          <w:rFonts w:ascii="Verdana" w:hAnsi="Verdana"/>
          <w:color w:val="000000"/>
          <w:sz w:val="20"/>
          <w:szCs w:val="20"/>
        </w:rPr>
        <w:t>s</w:t>
      </w:r>
      <w:r w:rsidR="00747383" w:rsidRPr="00333304">
        <w:rPr>
          <w:rFonts w:ascii="Verdana" w:hAnsi="Verdana"/>
          <w:color w:val="000000"/>
          <w:sz w:val="20"/>
          <w:szCs w:val="20"/>
        </w:rPr>
        <w:t xml:space="preserve"> 16 </w:t>
      </w:r>
      <w:r w:rsidR="008F1812" w:rsidRPr="00333304">
        <w:rPr>
          <w:rFonts w:ascii="Verdana" w:hAnsi="Verdana"/>
          <w:color w:val="000000"/>
          <w:sz w:val="20"/>
          <w:szCs w:val="20"/>
        </w:rPr>
        <w:t xml:space="preserve">y 26 </w:t>
      </w:r>
      <w:r w:rsidR="009D44FB" w:rsidRPr="00333304">
        <w:rPr>
          <w:rFonts w:ascii="Verdana" w:hAnsi="Verdana"/>
          <w:color w:val="000000"/>
          <w:sz w:val="20"/>
          <w:szCs w:val="20"/>
        </w:rPr>
        <w:t>en relación con 1.1, 13 y 8 de la Convención</w:t>
      </w:r>
      <w:r w:rsidR="00747383" w:rsidRPr="00333304">
        <w:rPr>
          <w:rFonts w:ascii="Verdana" w:hAnsi="Verdana"/>
          <w:color w:val="000000"/>
          <w:sz w:val="20"/>
          <w:szCs w:val="20"/>
        </w:rPr>
        <w:t>), todo ello</w:t>
      </w:r>
      <w:r w:rsidR="00CB7CCB" w:rsidRPr="00333304">
        <w:rPr>
          <w:rFonts w:ascii="Verdana" w:hAnsi="Verdana"/>
          <w:color w:val="000000"/>
          <w:sz w:val="20"/>
          <w:szCs w:val="20"/>
        </w:rPr>
        <w:t xml:space="preserve"> t</w:t>
      </w:r>
      <w:r w:rsidR="007A2909" w:rsidRPr="00333304">
        <w:rPr>
          <w:rFonts w:ascii="Verdana" w:hAnsi="Verdana"/>
          <w:color w:val="000000"/>
          <w:sz w:val="20"/>
          <w:szCs w:val="20"/>
        </w:rPr>
        <w:t>uvo</w:t>
      </w:r>
      <w:r w:rsidR="00CB7CCB" w:rsidRPr="00333304">
        <w:rPr>
          <w:rFonts w:ascii="Verdana" w:hAnsi="Verdana"/>
          <w:color w:val="000000"/>
          <w:sz w:val="20"/>
          <w:szCs w:val="20"/>
        </w:rPr>
        <w:t xml:space="preserve"> como consecuencia un impacto en su desarrollo profesional, </w:t>
      </w:r>
      <w:r w:rsidR="00747383" w:rsidRPr="00333304">
        <w:rPr>
          <w:rFonts w:ascii="Verdana" w:hAnsi="Verdana"/>
          <w:color w:val="000000"/>
          <w:sz w:val="20"/>
          <w:szCs w:val="20"/>
        </w:rPr>
        <w:t xml:space="preserve">personal y </w:t>
      </w:r>
      <w:r w:rsidR="00CB7CCB" w:rsidRPr="00333304">
        <w:rPr>
          <w:rFonts w:ascii="Verdana" w:hAnsi="Verdana"/>
          <w:color w:val="000000"/>
          <w:sz w:val="20"/>
          <w:szCs w:val="20"/>
        </w:rPr>
        <w:t>familia</w:t>
      </w:r>
      <w:r w:rsidR="00747383" w:rsidRPr="00333304">
        <w:rPr>
          <w:rFonts w:ascii="Verdana" w:hAnsi="Verdana"/>
          <w:color w:val="000000"/>
          <w:sz w:val="20"/>
          <w:szCs w:val="20"/>
        </w:rPr>
        <w:t xml:space="preserve">r. </w:t>
      </w:r>
    </w:p>
    <w:p w14:paraId="14F47D2C" w14:textId="77777777" w:rsidR="00747383" w:rsidRDefault="00747383" w:rsidP="005D0F69">
      <w:pPr>
        <w:contextualSpacing/>
        <w:jc w:val="both"/>
        <w:rPr>
          <w:rFonts w:ascii="Verdana" w:hAnsi="Verdana"/>
          <w:sz w:val="20"/>
          <w:szCs w:val="20"/>
        </w:rPr>
      </w:pPr>
    </w:p>
    <w:p w14:paraId="3AFABC2A" w14:textId="77DD2F7F" w:rsidR="00747383" w:rsidRPr="00333304" w:rsidRDefault="00747383" w:rsidP="00333304">
      <w:pPr>
        <w:pStyle w:val="Heading1"/>
        <w:tabs>
          <w:tab w:val="left" w:pos="851"/>
        </w:tabs>
        <w:spacing w:before="0"/>
        <w:jc w:val="center"/>
        <w:rPr>
          <w:rFonts w:cs="Verdana"/>
          <w:b w:val="0"/>
          <w:caps/>
          <w:snapToGrid w:val="0"/>
          <w:szCs w:val="20"/>
        </w:rPr>
      </w:pPr>
      <w:bookmarkStart w:id="55" w:name="_Toc498333512"/>
      <w:r w:rsidRPr="00333304">
        <w:rPr>
          <w:rFonts w:cs="Verdana"/>
          <w:caps/>
          <w:snapToGrid w:val="0"/>
          <w:szCs w:val="20"/>
        </w:rPr>
        <w:t>VII-2</w:t>
      </w:r>
      <w:bookmarkEnd w:id="55"/>
    </w:p>
    <w:p w14:paraId="40116482" w14:textId="77777777" w:rsidR="00747383" w:rsidRPr="00333304" w:rsidRDefault="00747383" w:rsidP="00333304">
      <w:pPr>
        <w:pStyle w:val="Heading1"/>
        <w:tabs>
          <w:tab w:val="left" w:pos="851"/>
        </w:tabs>
        <w:spacing w:before="0"/>
        <w:jc w:val="center"/>
        <w:rPr>
          <w:rFonts w:cs="Verdana"/>
          <w:b w:val="0"/>
          <w:bCs w:val="0"/>
          <w:caps/>
          <w:snapToGrid w:val="0"/>
          <w:szCs w:val="20"/>
        </w:rPr>
      </w:pPr>
      <w:bookmarkStart w:id="56" w:name="_Toc498333513"/>
      <w:r w:rsidRPr="00333304">
        <w:rPr>
          <w:rFonts w:cs="Verdana"/>
          <w:caps/>
          <w:snapToGrid w:val="0"/>
          <w:szCs w:val="20"/>
        </w:rPr>
        <w:t>ACCESO A LA JUSTICIA</w:t>
      </w:r>
      <w:bookmarkEnd w:id="56"/>
      <w:r w:rsidRPr="00333304">
        <w:rPr>
          <w:rFonts w:cs="Verdana"/>
          <w:caps/>
          <w:snapToGrid w:val="0"/>
          <w:szCs w:val="20"/>
        </w:rPr>
        <w:t xml:space="preserve"> </w:t>
      </w:r>
    </w:p>
    <w:p w14:paraId="7649B37A" w14:textId="77777777" w:rsidR="00747383" w:rsidRPr="00333304" w:rsidRDefault="00747383" w:rsidP="00333304">
      <w:pPr>
        <w:pStyle w:val="Heading1"/>
        <w:tabs>
          <w:tab w:val="left" w:pos="851"/>
        </w:tabs>
        <w:spacing w:before="0"/>
        <w:jc w:val="center"/>
        <w:rPr>
          <w:rFonts w:cs="Verdana"/>
          <w:b w:val="0"/>
          <w:bCs w:val="0"/>
          <w:caps/>
          <w:snapToGrid w:val="0"/>
          <w:szCs w:val="20"/>
        </w:rPr>
      </w:pPr>
      <w:bookmarkStart w:id="57" w:name="_Toc498333514"/>
      <w:r w:rsidRPr="00333304">
        <w:rPr>
          <w:rFonts w:cs="Verdana"/>
          <w:caps/>
          <w:snapToGrid w:val="0"/>
          <w:szCs w:val="20"/>
        </w:rPr>
        <w:t>(ARTÍCULOS 8 y 25 DE LA CONVENCION AMERICANA)</w:t>
      </w:r>
      <w:bookmarkEnd w:id="57"/>
    </w:p>
    <w:p w14:paraId="54D436C3" w14:textId="77777777" w:rsidR="00747383" w:rsidRDefault="00747383" w:rsidP="005D0F69">
      <w:pPr>
        <w:contextualSpacing/>
        <w:jc w:val="both"/>
        <w:rPr>
          <w:rFonts w:ascii="Verdana" w:hAnsi="Verdana"/>
          <w:sz w:val="20"/>
          <w:szCs w:val="20"/>
        </w:rPr>
      </w:pPr>
    </w:p>
    <w:p w14:paraId="4B155468" w14:textId="77777777" w:rsidR="00E66DD7" w:rsidRPr="00E66DD7" w:rsidRDefault="00E66DD7" w:rsidP="00E66DD7">
      <w:pPr>
        <w:pStyle w:val="Heading2"/>
        <w:numPr>
          <w:ilvl w:val="0"/>
          <w:numId w:val="23"/>
        </w:numPr>
        <w:rPr>
          <w:i/>
          <w:szCs w:val="20"/>
        </w:rPr>
      </w:pPr>
      <w:bookmarkStart w:id="58" w:name="_Toc464140128"/>
      <w:bookmarkStart w:id="59" w:name="_Toc498333515"/>
      <w:r w:rsidRPr="00E66DD7">
        <w:rPr>
          <w:i/>
          <w:szCs w:val="20"/>
        </w:rPr>
        <w:t>Argumentos de las partes y de la Comisión</w:t>
      </w:r>
      <w:bookmarkEnd w:id="58"/>
      <w:bookmarkEnd w:id="59"/>
    </w:p>
    <w:p w14:paraId="0C53F68C" w14:textId="77777777" w:rsidR="00E66DD7" w:rsidRPr="00E66DD7" w:rsidRDefault="00E66DD7" w:rsidP="00E66DD7">
      <w:pPr>
        <w:rPr>
          <w:rFonts w:ascii="Verdana" w:hAnsi="Verdana"/>
          <w:sz w:val="20"/>
          <w:szCs w:val="20"/>
          <w:lang w:val="es-CR"/>
        </w:rPr>
      </w:pPr>
    </w:p>
    <w:p w14:paraId="0C260765" w14:textId="6A4FF1EE" w:rsidR="00E66DD7" w:rsidRPr="00E66DD7" w:rsidRDefault="00E66DD7" w:rsidP="00E66DD7">
      <w:pPr>
        <w:numPr>
          <w:ilvl w:val="0"/>
          <w:numId w:val="1"/>
        </w:numPr>
        <w:ind w:left="0" w:firstLine="0"/>
        <w:contextualSpacing/>
        <w:jc w:val="both"/>
        <w:rPr>
          <w:rFonts w:ascii="Verdana" w:hAnsi="Verdana"/>
          <w:sz w:val="20"/>
          <w:szCs w:val="20"/>
          <w:lang w:val="es-CR"/>
        </w:rPr>
      </w:pPr>
      <w:r w:rsidRPr="00E66DD7">
        <w:rPr>
          <w:rFonts w:ascii="Verdana" w:hAnsi="Verdana"/>
          <w:sz w:val="20"/>
          <w:szCs w:val="20"/>
          <w:lang w:val="es-CR"/>
        </w:rPr>
        <w:t xml:space="preserve">Los </w:t>
      </w:r>
      <w:r w:rsidRPr="00E66DD7">
        <w:rPr>
          <w:rFonts w:ascii="Verdana" w:hAnsi="Verdana"/>
          <w:b/>
          <w:i/>
          <w:sz w:val="20"/>
          <w:szCs w:val="20"/>
          <w:lang w:val="es-CR"/>
        </w:rPr>
        <w:t>representantes</w:t>
      </w:r>
      <w:r w:rsidRPr="00E66DD7">
        <w:rPr>
          <w:rFonts w:ascii="Verdana" w:hAnsi="Verdana"/>
          <w:sz w:val="20"/>
          <w:szCs w:val="20"/>
          <w:lang w:val="es-CR"/>
        </w:rPr>
        <w:t xml:space="preserve"> alegaron la violación del artículo 8 de la Convención, particularmente respecto del derecho a impugnar el fallo. Al respecto, señalaron las acciones que emprendió el señor Lagos del Campo ante su despido, por lo que “inició diversas diligencias orientadas, en primer lugar, a su reintegro en su puesto de trabajo</w:t>
      </w:r>
      <w:r w:rsidR="00CB6768">
        <w:rPr>
          <w:rFonts w:ascii="Verdana" w:hAnsi="Verdana"/>
          <w:sz w:val="20"/>
          <w:szCs w:val="20"/>
          <w:lang w:val="es-CR"/>
        </w:rPr>
        <w:t xml:space="preserve"> […]</w:t>
      </w:r>
      <w:r w:rsidRPr="00E66DD7">
        <w:rPr>
          <w:rFonts w:ascii="Verdana" w:hAnsi="Verdana"/>
          <w:sz w:val="20"/>
          <w:szCs w:val="20"/>
          <w:lang w:val="es-CR"/>
        </w:rPr>
        <w:t>”.</w:t>
      </w:r>
      <w:r w:rsidR="00AA39BC">
        <w:rPr>
          <w:rFonts w:ascii="Verdana" w:hAnsi="Verdana"/>
          <w:sz w:val="20"/>
          <w:szCs w:val="20"/>
          <w:lang w:val="es-CR"/>
        </w:rPr>
        <w:t xml:space="preserve"> </w:t>
      </w:r>
      <w:r w:rsidRPr="00E66DD7">
        <w:rPr>
          <w:rFonts w:ascii="Verdana" w:hAnsi="Verdana"/>
          <w:sz w:val="20"/>
          <w:szCs w:val="20"/>
          <w:lang w:val="es-CR"/>
        </w:rPr>
        <w:t>Frente a ello, hicieron alusión a las diversas acciones emprendidas por el señor Lagos del Camp</w:t>
      </w:r>
      <w:r w:rsidRPr="00C73350">
        <w:rPr>
          <w:rFonts w:ascii="Verdana" w:hAnsi="Verdana"/>
          <w:sz w:val="20"/>
          <w:szCs w:val="20"/>
          <w:lang w:val="es-CR"/>
        </w:rPr>
        <w:t>o,</w:t>
      </w:r>
      <w:r w:rsidRPr="00E66DD7">
        <w:rPr>
          <w:rFonts w:ascii="Verdana" w:hAnsi="Verdana"/>
          <w:sz w:val="20"/>
          <w:szCs w:val="20"/>
          <w:lang w:val="es-CR"/>
        </w:rPr>
        <w:t xml:space="preserve"> mediante las que </w:t>
      </w:r>
      <w:r w:rsidRPr="00E66DD7">
        <w:rPr>
          <w:rFonts w:ascii="Verdana" w:hAnsi="Verdana"/>
          <w:sz w:val="20"/>
          <w:szCs w:val="20"/>
          <w:lang w:val="es-CR"/>
        </w:rPr>
        <w:lastRenderedPageBreak/>
        <w:t>alegó la violación de su derecho de estabilidad laboral y al debido proceso legal, consagrado en los artículos 48 y 233 de la Constitución y solicitaron que se declarara nula la resolución de segunda instancia por ser arbitraria. Agregaron que el 13 de agosto de 1992, la Quinta Sala Civil resolvió declarar improcedente dicha acción de amparo sin considerar que la falta de trámite del escrito del señor Lagos del Campo por parte del Segundo Tribunal de Trabajo constituía un agravio al debido proceso</w:t>
      </w:r>
      <w:r w:rsidR="00AA39BC">
        <w:rPr>
          <w:rFonts w:ascii="Verdana" w:hAnsi="Verdana"/>
          <w:sz w:val="20"/>
          <w:szCs w:val="20"/>
          <w:lang w:val="es-CR"/>
        </w:rPr>
        <w:t xml:space="preserve">. </w:t>
      </w:r>
      <w:r w:rsidRPr="00E66DD7">
        <w:rPr>
          <w:rFonts w:ascii="Verdana" w:hAnsi="Verdana"/>
          <w:sz w:val="20"/>
          <w:szCs w:val="20"/>
          <w:lang w:val="es-CR"/>
        </w:rPr>
        <w:t>Asimismo, señalaron que durante el proceso de amparo, la Sala Constitucional y Social resolvió declarar no haber nulidad en dicha sentencia</w:t>
      </w:r>
      <w:r w:rsidR="00AA39BC">
        <w:rPr>
          <w:rFonts w:ascii="Verdana" w:hAnsi="Verdana"/>
          <w:sz w:val="20"/>
          <w:szCs w:val="20"/>
          <w:lang w:val="es-CR"/>
        </w:rPr>
        <w:t>,</w:t>
      </w:r>
      <w:r w:rsidRPr="00E66DD7">
        <w:rPr>
          <w:rFonts w:ascii="Verdana" w:hAnsi="Verdana"/>
          <w:sz w:val="20"/>
          <w:szCs w:val="20"/>
          <w:lang w:val="es-CR"/>
        </w:rPr>
        <w:t xml:space="preserve"> lo cual vulneró también el deber de motivación, ya que se limitó a reproducir los argumentos del Dictamen del Ministerio Público</w:t>
      </w:r>
      <w:r w:rsidR="00AA39BC">
        <w:rPr>
          <w:rFonts w:ascii="Verdana" w:hAnsi="Verdana"/>
          <w:sz w:val="20"/>
          <w:szCs w:val="20"/>
          <w:lang w:val="es-CR"/>
        </w:rPr>
        <w:t>.</w:t>
      </w:r>
      <w:r w:rsidRPr="00E66DD7">
        <w:rPr>
          <w:rFonts w:ascii="Verdana" w:hAnsi="Verdana"/>
          <w:sz w:val="20"/>
          <w:szCs w:val="20"/>
          <w:lang w:val="es-CR"/>
        </w:rPr>
        <w:t xml:space="preserve"> En ese sentido, agregaron que el señor Lagos del Campo no pudo impugnar las resoluciones judiciales, dado que el Tribunal de Garantías Constitucionales se encontraba en cese tras el golpe de Estado de Alberto Fujimori en 1992 y la destitución de los magistrados del Tribunal Constitucional. Además, señalaron que una vez establecido el Tribunal Constitucional en 1996, el señor Lagos del Campo solicitó que el proceso de amparo fuera elevado ante dicho tribunal, pero que, “increíblemente”, la Tercera Sala Civil Especializada declaró improcedente su solicitud, al exigirle interponer un recurso de casación “que en ese momento no se encontraba disponible en virtud del cese de los magistrados miembros del Tribunal de Garantías Constitucionales, con lo cual se infringió el derecho a impugnar resoluciones judiciales</w:t>
      </w:r>
      <w:r w:rsidRPr="00333304">
        <w:rPr>
          <w:rFonts w:ascii="Verdana" w:hAnsi="Verdana"/>
          <w:sz w:val="20"/>
          <w:szCs w:val="20"/>
          <w:lang w:val="es-CR"/>
        </w:rPr>
        <w:t xml:space="preserve">. </w:t>
      </w:r>
    </w:p>
    <w:p w14:paraId="29F65974" w14:textId="77777777" w:rsidR="00E66DD7" w:rsidRPr="00E66DD7" w:rsidRDefault="00E66DD7" w:rsidP="00E66DD7">
      <w:pPr>
        <w:jc w:val="both"/>
        <w:rPr>
          <w:rFonts w:ascii="Verdana" w:hAnsi="Verdana"/>
          <w:sz w:val="20"/>
          <w:szCs w:val="20"/>
          <w:lang w:val="es-CR"/>
        </w:rPr>
      </w:pPr>
    </w:p>
    <w:p w14:paraId="6AD26D9C" w14:textId="2A5499E9" w:rsidR="00E66DD7" w:rsidRPr="00E66DD7" w:rsidRDefault="00E66DD7" w:rsidP="00E66DD7">
      <w:pPr>
        <w:numPr>
          <w:ilvl w:val="0"/>
          <w:numId w:val="1"/>
        </w:numPr>
        <w:ind w:left="0" w:firstLine="0"/>
        <w:contextualSpacing/>
        <w:jc w:val="both"/>
        <w:rPr>
          <w:rFonts w:ascii="Verdana" w:hAnsi="Verdana"/>
          <w:b/>
          <w:sz w:val="20"/>
          <w:szCs w:val="20"/>
          <w:lang w:val="es-CR"/>
        </w:rPr>
      </w:pPr>
      <w:r w:rsidRPr="00E66DD7">
        <w:rPr>
          <w:rFonts w:ascii="Verdana" w:hAnsi="Verdana"/>
          <w:sz w:val="20"/>
          <w:szCs w:val="20"/>
          <w:lang w:val="es-CR"/>
        </w:rPr>
        <w:t xml:space="preserve">El </w:t>
      </w:r>
      <w:r w:rsidRPr="00E66DD7">
        <w:rPr>
          <w:rFonts w:ascii="Verdana" w:hAnsi="Verdana"/>
          <w:b/>
          <w:i/>
          <w:sz w:val="20"/>
          <w:szCs w:val="20"/>
          <w:lang w:val="es-CR"/>
        </w:rPr>
        <w:t xml:space="preserve">Estado </w:t>
      </w:r>
      <w:r w:rsidRPr="00E66DD7">
        <w:rPr>
          <w:rFonts w:ascii="Verdana" w:hAnsi="Verdana"/>
          <w:sz w:val="20"/>
          <w:szCs w:val="20"/>
          <w:lang w:val="es-CR"/>
        </w:rPr>
        <w:t>señaló que el derecho a impugnar resoluciones judiciales no forma parte de la controversia planteada por la Comisión</w:t>
      </w:r>
      <w:r w:rsidRPr="00333304">
        <w:rPr>
          <w:rFonts w:ascii="Verdana" w:hAnsi="Verdana"/>
          <w:sz w:val="20"/>
          <w:szCs w:val="20"/>
          <w:lang w:val="es-CR"/>
        </w:rPr>
        <w:t>.</w:t>
      </w:r>
      <w:r w:rsidRPr="00E66DD7">
        <w:rPr>
          <w:rFonts w:ascii="Verdana" w:hAnsi="Verdana"/>
          <w:sz w:val="20"/>
          <w:szCs w:val="20"/>
          <w:lang w:val="es-CR"/>
        </w:rPr>
        <w:t xml:space="preserve"> No obstante, aclaró que con respecto al recurso de nulidad presentado el 2 de septiembre de 1991, el Segundo Tribunal de Trabajo manifestó que no se había incurrido en causal alguna prevista en el artículo 1085 del Código de Procedimiento</w:t>
      </w:r>
      <w:r w:rsidR="0077648D">
        <w:rPr>
          <w:rFonts w:ascii="Verdana" w:hAnsi="Verdana"/>
          <w:sz w:val="20"/>
          <w:szCs w:val="20"/>
          <w:lang w:val="es-CR"/>
        </w:rPr>
        <w:t>s</w:t>
      </w:r>
      <w:r w:rsidRPr="00E66DD7">
        <w:rPr>
          <w:rFonts w:ascii="Verdana" w:hAnsi="Verdana"/>
          <w:sz w:val="20"/>
          <w:szCs w:val="20"/>
          <w:lang w:val="es-CR"/>
        </w:rPr>
        <w:t xml:space="preserve"> Civil</w:t>
      </w:r>
      <w:r w:rsidR="0077648D">
        <w:rPr>
          <w:rFonts w:ascii="Verdana" w:hAnsi="Verdana"/>
          <w:sz w:val="20"/>
          <w:szCs w:val="20"/>
          <w:lang w:val="es-CR"/>
        </w:rPr>
        <w:t>es</w:t>
      </w:r>
      <w:r w:rsidRPr="00E66DD7">
        <w:rPr>
          <w:rFonts w:ascii="Verdana" w:hAnsi="Verdana"/>
          <w:sz w:val="20"/>
          <w:szCs w:val="20"/>
          <w:lang w:val="es-CR"/>
        </w:rPr>
        <w:t>, por tanto declaró no haber lugar la nulidad</w:t>
      </w:r>
      <w:r w:rsidRPr="00333304">
        <w:rPr>
          <w:rFonts w:ascii="Verdana" w:hAnsi="Verdana"/>
          <w:sz w:val="20"/>
          <w:szCs w:val="20"/>
          <w:lang w:val="es-CR"/>
        </w:rPr>
        <w:t>.</w:t>
      </w:r>
      <w:r w:rsidRPr="00E66DD7">
        <w:rPr>
          <w:rFonts w:ascii="Verdana" w:hAnsi="Verdana"/>
          <w:sz w:val="20"/>
          <w:szCs w:val="20"/>
          <w:lang w:val="es-CR"/>
        </w:rPr>
        <w:t xml:space="preserve"> Por su parte, la Ley de </w:t>
      </w:r>
      <w:r w:rsidR="0077648D">
        <w:rPr>
          <w:rFonts w:ascii="Verdana" w:hAnsi="Verdana"/>
          <w:sz w:val="20"/>
          <w:szCs w:val="20"/>
          <w:lang w:val="es-CR"/>
        </w:rPr>
        <w:t>Hábeas Corpus y A</w:t>
      </w:r>
      <w:r w:rsidRPr="00E66DD7">
        <w:rPr>
          <w:rFonts w:ascii="Verdana" w:hAnsi="Verdana"/>
          <w:sz w:val="20"/>
          <w:szCs w:val="20"/>
          <w:lang w:val="es-CR"/>
        </w:rPr>
        <w:t>mparo establecía que el recurso de nulidad era elevado a la Corte Suprema de Justicia. Al respecto, el señor Lagos presentó este recurso el 26 de agosto de 1992. La Sala Constitucional y Social de la Corte Suprema se pronunció sobre dicho recurso declarando no haber nulidad el 15 de marzo de 1993</w:t>
      </w:r>
      <w:r w:rsidRPr="00333304">
        <w:rPr>
          <w:rFonts w:ascii="Verdana" w:hAnsi="Verdana"/>
          <w:sz w:val="20"/>
          <w:szCs w:val="20"/>
          <w:lang w:val="es-CR"/>
        </w:rPr>
        <w:t>.</w:t>
      </w:r>
      <w:r w:rsidRPr="00E66DD7">
        <w:rPr>
          <w:rFonts w:ascii="Verdana" w:hAnsi="Verdana"/>
          <w:b/>
          <w:sz w:val="20"/>
          <w:szCs w:val="20"/>
          <w:lang w:val="es-CR"/>
        </w:rPr>
        <w:t xml:space="preserve"> </w:t>
      </w:r>
      <w:r w:rsidRPr="00E66DD7">
        <w:rPr>
          <w:rFonts w:ascii="Verdana" w:hAnsi="Verdana"/>
          <w:sz w:val="20"/>
          <w:szCs w:val="20"/>
          <w:lang w:val="es-CR"/>
        </w:rPr>
        <w:t>Ante la desestimación del recurso de nulidad, debía presentar el recurso de casación correspondiente a las decisiones judiciales denegatorias de demandas de amparo, recurso que debió haber interpuesto en el plazo de 15 días luego de la decisión denegatoria</w:t>
      </w:r>
      <w:r w:rsidR="00AA39BC">
        <w:rPr>
          <w:rFonts w:ascii="Verdana" w:hAnsi="Verdana"/>
          <w:sz w:val="20"/>
          <w:szCs w:val="20"/>
          <w:lang w:val="es-CR"/>
        </w:rPr>
        <w:t>.</w:t>
      </w:r>
      <w:r w:rsidRPr="00E66DD7">
        <w:rPr>
          <w:rFonts w:ascii="Verdana" w:hAnsi="Verdana"/>
          <w:sz w:val="20"/>
          <w:szCs w:val="20"/>
          <w:lang w:val="es-CR"/>
        </w:rPr>
        <w:t xml:space="preserve"> La resolución de la Tercera Sala Civil Especializada de 24 de junio de 1997 determinó que se había vencido el plazo de interposición. Lo anterior, pues si bien no se encontraba en funcionamiento el Tribunal de Garantías Constitucionales, aquellos recursos de casación interpuestos oportunamente en la misma época en que la supuesta víctima debió haber presentado el suyo, sí fueron resueltos por el Tribunal Constitucional años después. En relación con los recursos presentados por el señor Lagos del Campo ante la Sala de Derecho Constitucional y Social y la Corte Suprema, el Estado sostuvo que el recurso de revisión y reconsideración, en el marco procesal laboral, no se encontraba contemplado en el ordenamiento jurídico peruano, por tanto, es lógico concluir que la presentación de un recurso que no tiene asidero jurídico guarde su propia improcedencia, lo mismo aplicaría con los recursos presentados el 30 de marzo de 1993 y 28 de abril de 1993</w:t>
      </w:r>
      <w:r w:rsidR="00AA39BC">
        <w:rPr>
          <w:rFonts w:ascii="Verdana" w:hAnsi="Verdana"/>
          <w:sz w:val="20"/>
          <w:szCs w:val="20"/>
          <w:lang w:val="es-CR"/>
        </w:rPr>
        <w:t xml:space="preserve">. </w:t>
      </w:r>
      <w:r w:rsidRPr="00E66DD7">
        <w:rPr>
          <w:rFonts w:ascii="Verdana" w:hAnsi="Verdana"/>
          <w:sz w:val="20"/>
          <w:szCs w:val="20"/>
          <w:lang w:val="es-CR"/>
        </w:rPr>
        <w:t>Adicionalmente, el Estado resaltó que en relación con los recurso presentados con posterioridad a julio de 1996, estos “no estaban contemplados en el ordenamiento jurídico o fueron presentados extemporáneamente, por tanto, su ineficiencia era previsible”</w:t>
      </w:r>
      <w:r w:rsidR="00AA39BC">
        <w:rPr>
          <w:rFonts w:ascii="Verdana" w:hAnsi="Verdana"/>
          <w:sz w:val="20"/>
          <w:szCs w:val="20"/>
          <w:lang w:val="es-CR"/>
        </w:rPr>
        <w:t>.</w:t>
      </w:r>
      <w:r w:rsidRPr="00E66DD7">
        <w:rPr>
          <w:rFonts w:ascii="Verdana" w:hAnsi="Verdana"/>
          <w:sz w:val="20"/>
          <w:szCs w:val="20"/>
          <w:lang w:val="es-CR"/>
        </w:rPr>
        <w:t xml:space="preserve"> El Estado señaló que muchos de estos recursos fueron presentados con serios defectos en su elaboración y en cumplimiento de los requisitos procesales, es decir, estaban destinados a ser declarados improcedentes de plano</w:t>
      </w:r>
      <w:r w:rsidR="00EE4766">
        <w:rPr>
          <w:rFonts w:ascii="Verdana" w:hAnsi="Verdana"/>
          <w:sz w:val="20"/>
          <w:szCs w:val="20"/>
          <w:lang w:val="es-CR"/>
        </w:rPr>
        <w:t xml:space="preserve"> </w:t>
      </w:r>
      <w:r w:rsidR="0013567C">
        <w:rPr>
          <w:rFonts w:ascii="Verdana" w:hAnsi="Verdana"/>
          <w:sz w:val="20"/>
          <w:szCs w:val="20"/>
          <w:lang w:val="es-CR"/>
        </w:rPr>
        <w:t>[…]</w:t>
      </w:r>
      <w:r w:rsidRPr="00E66DD7">
        <w:rPr>
          <w:rFonts w:ascii="Verdana" w:hAnsi="Verdana"/>
          <w:sz w:val="20"/>
          <w:szCs w:val="20"/>
          <w:lang w:val="es-CR"/>
        </w:rPr>
        <w:t>”</w:t>
      </w:r>
      <w:r w:rsidR="0013567C">
        <w:rPr>
          <w:rFonts w:ascii="Verdana" w:hAnsi="Verdana"/>
          <w:sz w:val="20"/>
          <w:szCs w:val="20"/>
          <w:lang w:val="es-CR"/>
        </w:rPr>
        <w:t>.</w:t>
      </w:r>
      <w:r w:rsidRPr="00E66DD7">
        <w:rPr>
          <w:rFonts w:ascii="Verdana" w:hAnsi="Verdana"/>
          <w:sz w:val="20"/>
          <w:szCs w:val="20"/>
          <w:lang w:val="es-CR"/>
        </w:rPr>
        <w:t xml:space="preserve"> </w:t>
      </w:r>
    </w:p>
    <w:p w14:paraId="25C3FBE6" w14:textId="77777777" w:rsidR="00E66DD7" w:rsidRPr="00E66DD7" w:rsidRDefault="00E66DD7" w:rsidP="00E66DD7">
      <w:pPr>
        <w:jc w:val="both"/>
        <w:rPr>
          <w:rFonts w:ascii="Verdana" w:hAnsi="Verdana"/>
          <w:b/>
          <w:sz w:val="20"/>
          <w:szCs w:val="20"/>
          <w:lang w:val="es-CR"/>
        </w:rPr>
      </w:pPr>
    </w:p>
    <w:p w14:paraId="6AA3748E" w14:textId="77777777" w:rsidR="00E66DD7" w:rsidRPr="00E66DD7" w:rsidRDefault="00E66DD7" w:rsidP="00E66DD7">
      <w:pPr>
        <w:numPr>
          <w:ilvl w:val="0"/>
          <w:numId w:val="1"/>
        </w:numPr>
        <w:ind w:left="0" w:firstLine="0"/>
        <w:contextualSpacing/>
        <w:jc w:val="both"/>
        <w:rPr>
          <w:rFonts w:ascii="Verdana" w:hAnsi="Verdana"/>
          <w:sz w:val="20"/>
          <w:szCs w:val="20"/>
          <w:lang w:val="es-CR"/>
        </w:rPr>
      </w:pPr>
      <w:r w:rsidRPr="00E66DD7">
        <w:rPr>
          <w:rFonts w:ascii="Verdana" w:hAnsi="Verdana"/>
          <w:sz w:val="20"/>
          <w:szCs w:val="20"/>
          <w:lang w:val="es-CR"/>
        </w:rPr>
        <w:t xml:space="preserve">La </w:t>
      </w:r>
      <w:r w:rsidRPr="00E66DD7">
        <w:rPr>
          <w:rFonts w:ascii="Verdana" w:hAnsi="Verdana"/>
          <w:b/>
          <w:i/>
          <w:sz w:val="20"/>
          <w:szCs w:val="20"/>
          <w:lang w:val="es-CR"/>
        </w:rPr>
        <w:t>Comisión</w:t>
      </w:r>
      <w:r w:rsidRPr="00E66DD7">
        <w:rPr>
          <w:rFonts w:ascii="Verdana" w:hAnsi="Verdana"/>
          <w:sz w:val="20"/>
          <w:szCs w:val="20"/>
          <w:lang w:val="es-CR"/>
        </w:rPr>
        <w:t xml:space="preserve"> no se pronunció al respecto. </w:t>
      </w:r>
    </w:p>
    <w:p w14:paraId="1BBB48CD" w14:textId="77777777" w:rsidR="00E66DD7" w:rsidRPr="00E66DD7" w:rsidRDefault="00E66DD7" w:rsidP="00E66DD7">
      <w:pPr>
        <w:jc w:val="both"/>
        <w:rPr>
          <w:rFonts w:ascii="Verdana" w:hAnsi="Verdana"/>
          <w:b/>
          <w:i/>
          <w:sz w:val="20"/>
          <w:szCs w:val="20"/>
        </w:rPr>
      </w:pPr>
    </w:p>
    <w:p w14:paraId="7AE49272" w14:textId="77777777" w:rsidR="00E66DD7" w:rsidRPr="00E66DD7" w:rsidRDefault="00E66DD7" w:rsidP="00E66DD7">
      <w:pPr>
        <w:pStyle w:val="Heading2"/>
        <w:numPr>
          <w:ilvl w:val="0"/>
          <w:numId w:val="23"/>
        </w:numPr>
        <w:rPr>
          <w:i/>
          <w:szCs w:val="20"/>
        </w:rPr>
      </w:pPr>
      <w:bookmarkStart w:id="60" w:name="_Toc498333516"/>
      <w:r w:rsidRPr="00E66DD7">
        <w:rPr>
          <w:i/>
          <w:szCs w:val="20"/>
        </w:rPr>
        <w:t>Consideraciones de la Corte</w:t>
      </w:r>
      <w:bookmarkEnd w:id="60"/>
    </w:p>
    <w:p w14:paraId="2DD3258A" w14:textId="77777777" w:rsidR="00E66DD7" w:rsidRPr="00E66DD7" w:rsidRDefault="00E66DD7" w:rsidP="00E66DD7">
      <w:pPr>
        <w:contextualSpacing/>
        <w:jc w:val="both"/>
        <w:rPr>
          <w:rFonts w:ascii="Verdana" w:hAnsi="Verdana"/>
          <w:sz w:val="20"/>
          <w:szCs w:val="20"/>
          <w:lang w:val="es-MX"/>
        </w:rPr>
      </w:pPr>
    </w:p>
    <w:p w14:paraId="1853D7DB" w14:textId="0AA144CF" w:rsidR="00E66DD7" w:rsidRPr="00E66DD7" w:rsidRDefault="00E66DD7" w:rsidP="00E66DD7">
      <w:pPr>
        <w:numPr>
          <w:ilvl w:val="0"/>
          <w:numId w:val="1"/>
        </w:numPr>
        <w:ind w:left="0" w:firstLine="0"/>
        <w:contextualSpacing/>
        <w:jc w:val="both"/>
        <w:rPr>
          <w:rFonts w:ascii="Verdana" w:hAnsi="Verdana"/>
          <w:b/>
          <w:color w:val="800000"/>
          <w:sz w:val="20"/>
          <w:szCs w:val="20"/>
        </w:rPr>
      </w:pPr>
      <w:r w:rsidRPr="00E66DD7">
        <w:rPr>
          <w:rFonts w:ascii="Verdana" w:hAnsi="Verdana"/>
          <w:sz w:val="20"/>
          <w:szCs w:val="20"/>
        </w:rPr>
        <w:t>La Corte recuerda</w:t>
      </w:r>
      <w:r w:rsidR="004747DD">
        <w:rPr>
          <w:rFonts w:ascii="Verdana" w:hAnsi="Verdana"/>
          <w:sz w:val="20"/>
          <w:szCs w:val="20"/>
        </w:rPr>
        <w:t xml:space="preserve"> </w:t>
      </w:r>
      <w:r w:rsidR="004747DD" w:rsidRPr="00333304">
        <w:rPr>
          <w:rFonts w:ascii="Verdana" w:hAnsi="Verdana"/>
          <w:sz w:val="20"/>
          <w:szCs w:val="20"/>
        </w:rPr>
        <w:t>que</w:t>
      </w:r>
      <w:r w:rsidRPr="00E66DD7">
        <w:rPr>
          <w:rFonts w:ascii="Verdana" w:hAnsi="Verdana"/>
          <w:sz w:val="20"/>
          <w:szCs w:val="20"/>
        </w:rPr>
        <w:t xml:space="preserve"> con la decisión de segunda instancia</w:t>
      </w:r>
      <w:r w:rsidR="0013567C">
        <w:rPr>
          <w:rFonts w:ascii="Verdana" w:hAnsi="Verdana"/>
          <w:sz w:val="20"/>
          <w:szCs w:val="20"/>
        </w:rPr>
        <w:t>, el Estado</w:t>
      </w:r>
      <w:r w:rsidRPr="00E66DD7">
        <w:rPr>
          <w:rFonts w:ascii="Verdana" w:hAnsi="Verdana"/>
          <w:sz w:val="20"/>
          <w:szCs w:val="20"/>
        </w:rPr>
        <w:t xml:space="preserve"> </w:t>
      </w:r>
      <w:r w:rsidR="004C5CF1" w:rsidRPr="00333304">
        <w:rPr>
          <w:rFonts w:ascii="Verdana" w:hAnsi="Verdana"/>
          <w:sz w:val="20"/>
          <w:szCs w:val="20"/>
        </w:rPr>
        <w:t>revocó la sentencia del inferior y</w:t>
      </w:r>
      <w:r w:rsidRPr="00333304">
        <w:rPr>
          <w:rFonts w:ascii="Verdana" w:hAnsi="Verdana"/>
          <w:sz w:val="20"/>
          <w:szCs w:val="20"/>
        </w:rPr>
        <w:t xml:space="preserve"> </w:t>
      </w:r>
      <w:r w:rsidR="004C5CF1" w:rsidRPr="00333304">
        <w:rPr>
          <w:rFonts w:ascii="Verdana" w:hAnsi="Verdana"/>
          <w:sz w:val="20"/>
          <w:szCs w:val="20"/>
        </w:rPr>
        <w:t>declaró</w:t>
      </w:r>
      <w:r w:rsidRPr="00E66DD7">
        <w:rPr>
          <w:rFonts w:ascii="Verdana" w:hAnsi="Verdana"/>
          <w:sz w:val="20"/>
          <w:szCs w:val="20"/>
        </w:rPr>
        <w:t xml:space="preserve"> “justificado” el despido del señor Lagos del Campo, por lo que el mismo recurrió a varias instancias a fin de hacer valer los derechos alegados (</w:t>
      </w:r>
      <w:r w:rsidRPr="00E66DD7">
        <w:rPr>
          <w:rFonts w:ascii="Verdana" w:hAnsi="Verdana"/>
          <w:i/>
          <w:sz w:val="20"/>
          <w:szCs w:val="20"/>
        </w:rPr>
        <w:t>supra</w:t>
      </w:r>
      <w:r w:rsidRPr="00E66DD7">
        <w:rPr>
          <w:rFonts w:ascii="Verdana" w:hAnsi="Verdana"/>
          <w:sz w:val="20"/>
          <w:szCs w:val="20"/>
        </w:rPr>
        <w:t xml:space="preserve"> </w:t>
      </w:r>
      <w:proofErr w:type="spellStart"/>
      <w:r w:rsidRPr="00E66DD7">
        <w:rPr>
          <w:rFonts w:ascii="Verdana" w:hAnsi="Verdana"/>
          <w:sz w:val="20"/>
          <w:szCs w:val="20"/>
        </w:rPr>
        <w:t>párr</w:t>
      </w:r>
      <w:r w:rsidR="00EE4766">
        <w:rPr>
          <w:rFonts w:ascii="Verdana" w:hAnsi="Verdana"/>
          <w:sz w:val="20"/>
          <w:szCs w:val="20"/>
        </w:rPr>
        <w:t>s</w:t>
      </w:r>
      <w:proofErr w:type="spellEnd"/>
      <w:r w:rsidRPr="00444E07">
        <w:rPr>
          <w:rFonts w:ascii="Verdana" w:hAnsi="Verdana"/>
          <w:sz w:val="20"/>
          <w:szCs w:val="20"/>
        </w:rPr>
        <w:t xml:space="preserve">. </w:t>
      </w:r>
      <w:r w:rsidR="00444E07" w:rsidRPr="00333304">
        <w:rPr>
          <w:rFonts w:ascii="Verdana" w:hAnsi="Verdana"/>
          <w:sz w:val="20"/>
          <w:szCs w:val="20"/>
        </w:rPr>
        <w:t xml:space="preserve">63 a </w:t>
      </w:r>
      <w:r w:rsidR="00444E07" w:rsidRPr="00333304">
        <w:rPr>
          <w:rFonts w:ascii="Verdana" w:hAnsi="Verdana"/>
          <w:sz w:val="20"/>
          <w:szCs w:val="20"/>
        </w:rPr>
        <w:lastRenderedPageBreak/>
        <w:t>70</w:t>
      </w:r>
      <w:r w:rsidR="00444E07" w:rsidRPr="00444E07">
        <w:rPr>
          <w:rFonts w:ascii="Verdana" w:hAnsi="Verdana"/>
          <w:sz w:val="20"/>
          <w:szCs w:val="20"/>
        </w:rPr>
        <w:t>).</w:t>
      </w:r>
      <w:r w:rsidR="00444E07" w:rsidRPr="00E66DD7">
        <w:rPr>
          <w:rFonts w:ascii="Verdana" w:hAnsi="Verdana"/>
          <w:sz w:val="20"/>
          <w:szCs w:val="20"/>
        </w:rPr>
        <w:t xml:space="preserve"> </w:t>
      </w:r>
      <w:r w:rsidRPr="00E66DD7">
        <w:rPr>
          <w:rFonts w:ascii="Verdana" w:hAnsi="Verdana"/>
          <w:sz w:val="20"/>
          <w:szCs w:val="20"/>
        </w:rPr>
        <w:t xml:space="preserve">En relación con lo anterior, </w:t>
      </w:r>
      <w:r w:rsidRPr="00A532BE">
        <w:rPr>
          <w:rFonts w:ascii="Verdana" w:hAnsi="Verdana"/>
          <w:sz w:val="20"/>
          <w:szCs w:val="22"/>
        </w:rPr>
        <w:t>l</w:t>
      </w:r>
      <w:r w:rsidRPr="00E66DD7">
        <w:rPr>
          <w:rFonts w:ascii="Verdana" w:hAnsi="Verdana"/>
          <w:sz w:val="20"/>
          <w:szCs w:val="22"/>
        </w:rPr>
        <w:t>a controversia de este apartado</w:t>
      </w:r>
      <w:r w:rsidRPr="00E66DD7">
        <w:rPr>
          <w:rFonts w:ascii="Verdana" w:hAnsi="Verdana"/>
          <w:sz w:val="20"/>
          <w:szCs w:val="20"/>
        </w:rPr>
        <w:t xml:space="preserve"> consiste en determinar si el señor Lagos del Campo tuvo acceso</w:t>
      </w:r>
      <w:r w:rsidR="002C4F7B">
        <w:rPr>
          <w:rFonts w:ascii="Verdana" w:hAnsi="Verdana"/>
          <w:sz w:val="20"/>
          <w:szCs w:val="20"/>
        </w:rPr>
        <w:t xml:space="preserve"> </w:t>
      </w:r>
      <w:r w:rsidR="002C4F7B" w:rsidRPr="00333304">
        <w:rPr>
          <w:rFonts w:ascii="Verdana" w:hAnsi="Verdana"/>
          <w:sz w:val="20"/>
          <w:szCs w:val="20"/>
        </w:rPr>
        <w:t>efectivo</w:t>
      </w:r>
      <w:r w:rsidRPr="00E66DD7">
        <w:rPr>
          <w:rFonts w:ascii="Verdana" w:hAnsi="Verdana"/>
          <w:sz w:val="20"/>
          <w:szCs w:val="20"/>
        </w:rPr>
        <w:t xml:space="preserve"> a la justicia para tutelar sus derechos laborales, en particular el derecho a la estabilidad laboral frente al despido, derecho reconocido en la propia legislación interna del Estado. </w:t>
      </w:r>
    </w:p>
    <w:p w14:paraId="638CB34A" w14:textId="77777777" w:rsidR="00E66DD7" w:rsidRPr="00E66DD7" w:rsidRDefault="00E66DD7" w:rsidP="00E66DD7">
      <w:pPr>
        <w:contextualSpacing/>
        <w:jc w:val="both"/>
        <w:rPr>
          <w:rFonts w:ascii="Verdana" w:hAnsi="Verdana"/>
          <w:b/>
          <w:sz w:val="20"/>
          <w:szCs w:val="20"/>
        </w:rPr>
      </w:pPr>
    </w:p>
    <w:p w14:paraId="27C709B5" w14:textId="0E1D1805" w:rsidR="00E66DD7" w:rsidRPr="00E66DD7" w:rsidRDefault="00E66DD7" w:rsidP="00E66DD7">
      <w:pPr>
        <w:numPr>
          <w:ilvl w:val="0"/>
          <w:numId w:val="1"/>
        </w:numPr>
        <w:ind w:left="0" w:firstLine="0"/>
        <w:contextualSpacing/>
        <w:jc w:val="both"/>
        <w:rPr>
          <w:rFonts w:ascii="Verdana" w:hAnsi="Verdana"/>
          <w:b/>
          <w:sz w:val="20"/>
          <w:szCs w:val="20"/>
        </w:rPr>
      </w:pPr>
      <w:r w:rsidRPr="00E66DD7">
        <w:rPr>
          <w:rFonts w:ascii="Verdana" w:hAnsi="Verdana"/>
          <w:sz w:val="20"/>
          <w:szCs w:val="20"/>
          <w:lang w:val="es-MX"/>
        </w:rPr>
        <w:t>En el presente caso, la Corte nota que si bien ante esta instancia</w:t>
      </w:r>
      <w:r w:rsidRPr="00E66DD7">
        <w:rPr>
          <w:rFonts w:ascii="Verdana" w:hAnsi="Verdana"/>
          <w:sz w:val="20"/>
          <w:szCs w:val="20"/>
          <w:vertAlign w:val="superscript"/>
          <w:lang w:val="es-MX"/>
        </w:rPr>
        <w:footnoteReference w:id="237"/>
      </w:r>
      <w:r w:rsidRPr="00E66DD7">
        <w:rPr>
          <w:rFonts w:ascii="Verdana" w:hAnsi="Verdana"/>
          <w:sz w:val="20"/>
          <w:szCs w:val="20"/>
          <w:lang w:val="es-MX"/>
        </w:rPr>
        <w:t xml:space="preserve"> los representantes hicieron alusión a la falta de recurso para impugnar el fallo definitivo a la luz del artículo 8 convencional, este Tribunal estima que, con base en el principio </w:t>
      </w:r>
      <w:proofErr w:type="spellStart"/>
      <w:r w:rsidRPr="00E66DD7">
        <w:rPr>
          <w:rFonts w:ascii="Verdana" w:hAnsi="Verdana"/>
          <w:i/>
          <w:sz w:val="20"/>
          <w:szCs w:val="20"/>
          <w:lang w:val="es-MX"/>
        </w:rPr>
        <w:t>iura</w:t>
      </w:r>
      <w:proofErr w:type="spellEnd"/>
      <w:r w:rsidRPr="00E66DD7">
        <w:rPr>
          <w:rFonts w:ascii="Verdana" w:hAnsi="Verdana"/>
          <w:i/>
          <w:sz w:val="20"/>
          <w:szCs w:val="20"/>
          <w:lang w:val="es-MX"/>
        </w:rPr>
        <w:t xml:space="preserve"> </w:t>
      </w:r>
      <w:proofErr w:type="spellStart"/>
      <w:r w:rsidRPr="00E66DD7">
        <w:rPr>
          <w:rFonts w:ascii="Verdana" w:hAnsi="Verdana"/>
          <w:i/>
          <w:sz w:val="20"/>
          <w:szCs w:val="20"/>
          <w:lang w:val="es-MX"/>
        </w:rPr>
        <w:t>novit</w:t>
      </w:r>
      <w:proofErr w:type="spellEnd"/>
      <w:r w:rsidRPr="00E66DD7">
        <w:rPr>
          <w:rFonts w:ascii="Verdana" w:hAnsi="Verdana"/>
          <w:i/>
          <w:sz w:val="20"/>
          <w:szCs w:val="20"/>
          <w:lang w:val="es-MX"/>
        </w:rPr>
        <w:t xml:space="preserve"> curia (supra,</w:t>
      </w:r>
      <w:r w:rsidRPr="00E66DD7">
        <w:rPr>
          <w:rFonts w:ascii="Verdana" w:hAnsi="Verdana"/>
          <w:sz w:val="20"/>
          <w:szCs w:val="20"/>
          <w:lang w:val="es-MX"/>
        </w:rPr>
        <w:t xml:space="preserve"> párr.</w:t>
      </w:r>
      <w:r w:rsidR="00DD5817">
        <w:rPr>
          <w:rFonts w:ascii="Verdana" w:hAnsi="Verdana"/>
          <w:sz w:val="20"/>
          <w:szCs w:val="20"/>
          <w:lang w:val="es-MX"/>
        </w:rPr>
        <w:t xml:space="preserve"> </w:t>
      </w:r>
      <w:r w:rsidR="00444E07" w:rsidRPr="00333304">
        <w:rPr>
          <w:rFonts w:ascii="Verdana" w:hAnsi="Verdana"/>
          <w:sz w:val="20"/>
          <w:szCs w:val="20"/>
          <w:lang w:val="es-MX"/>
        </w:rPr>
        <w:t>139</w:t>
      </w:r>
      <w:r w:rsidRPr="00E66DD7">
        <w:rPr>
          <w:rFonts w:ascii="Verdana" w:hAnsi="Verdana"/>
          <w:i/>
          <w:sz w:val="20"/>
          <w:szCs w:val="20"/>
          <w:lang w:val="es-MX"/>
        </w:rPr>
        <w:t xml:space="preserve">), </w:t>
      </w:r>
      <w:r w:rsidRPr="00E66DD7">
        <w:rPr>
          <w:rFonts w:ascii="Verdana" w:hAnsi="Verdana"/>
          <w:sz w:val="20"/>
          <w:szCs w:val="20"/>
          <w:lang w:val="es-MX"/>
        </w:rPr>
        <w:t xml:space="preserve">dichos alegatos relacionados con la fase recursiva posterior a la decisión definitiva del Segundo Tribunal del Trabajo, deben ser analizados al amparo de los artículos 8 y 25 (acceso a la justicia) de la </w:t>
      </w:r>
      <w:r w:rsidRPr="00E66DD7">
        <w:rPr>
          <w:rFonts w:ascii="Verdana" w:hAnsi="Verdana" w:cs="Arial"/>
          <w:sz w:val="20"/>
          <w:szCs w:val="20"/>
          <w:lang w:val="es-MX"/>
        </w:rPr>
        <w:t>Convención Americana.</w:t>
      </w:r>
    </w:p>
    <w:p w14:paraId="19CC26D8" w14:textId="77777777" w:rsidR="00E66DD7" w:rsidRPr="00E66DD7" w:rsidRDefault="00E66DD7" w:rsidP="00E66DD7">
      <w:pPr>
        <w:contextualSpacing/>
        <w:jc w:val="both"/>
        <w:rPr>
          <w:rFonts w:ascii="Verdana" w:hAnsi="Verdana"/>
          <w:b/>
          <w:sz w:val="20"/>
          <w:szCs w:val="20"/>
        </w:rPr>
      </w:pPr>
    </w:p>
    <w:p w14:paraId="47FAE7E3" w14:textId="35D5673D" w:rsidR="00E66DD7" w:rsidRPr="00E66DD7" w:rsidRDefault="00E66DD7" w:rsidP="00E66DD7">
      <w:pPr>
        <w:numPr>
          <w:ilvl w:val="0"/>
          <w:numId w:val="1"/>
        </w:numPr>
        <w:ind w:left="0" w:firstLine="0"/>
        <w:contextualSpacing/>
        <w:jc w:val="both"/>
        <w:rPr>
          <w:rFonts w:ascii="Verdana" w:hAnsi="Verdana"/>
          <w:sz w:val="20"/>
          <w:szCs w:val="20"/>
        </w:rPr>
      </w:pPr>
      <w:r w:rsidRPr="00E66DD7">
        <w:rPr>
          <w:rFonts w:ascii="Verdana" w:hAnsi="Verdana"/>
          <w:sz w:val="20"/>
          <w:szCs w:val="20"/>
        </w:rPr>
        <w:t xml:space="preserve">Al respecto, la Corte constata que </w:t>
      </w:r>
      <w:r w:rsidRPr="00E66DD7">
        <w:rPr>
          <w:rFonts w:ascii="Verdana" w:hAnsi="Verdana"/>
          <w:sz w:val="20"/>
          <w:szCs w:val="20"/>
          <w:lang w:val="es-MX"/>
        </w:rPr>
        <w:t>los hechos referentes a este análisis han sido ventilados en todo momento desde el trámite en el derecho interno</w:t>
      </w:r>
      <w:r w:rsidRPr="00E66DD7">
        <w:rPr>
          <w:rFonts w:ascii="Verdana" w:hAnsi="Verdana"/>
          <w:sz w:val="20"/>
          <w:szCs w:val="20"/>
          <w:vertAlign w:val="superscript"/>
          <w:lang w:val="es-MX"/>
        </w:rPr>
        <w:footnoteReference w:id="238"/>
      </w:r>
      <w:r w:rsidRPr="00E66DD7">
        <w:rPr>
          <w:rFonts w:ascii="Verdana" w:hAnsi="Verdana"/>
          <w:sz w:val="20"/>
          <w:szCs w:val="20"/>
          <w:lang w:val="es-MX"/>
        </w:rPr>
        <w:t xml:space="preserve"> como ante el Sistema Interamericano desde sus primeras solicitudes (</w:t>
      </w:r>
      <w:r w:rsidR="00730D77">
        <w:rPr>
          <w:rFonts w:ascii="Verdana" w:hAnsi="Verdana"/>
          <w:sz w:val="20"/>
          <w:szCs w:val="20"/>
          <w:lang w:val="es-MX"/>
        </w:rPr>
        <w:t>supra, párr</w:t>
      </w:r>
      <w:r w:rsidRPr="00444E07">
        <w:rPr>
          <w:rFonts w:ascii="Verdana" w:hAnsi="Verdana"/>
          <w:sz w:val="20"/>
          <w:szCs w:val="20"/>
          <w:lang w:val="es-MX"/>
        </w:rPr>
        <w:t xml:space="preserve">. </w:t>
      </w:r>
      <w:r w:rsidR="00444E07" w:rsidRPr="00333304">
        <w:rPr>
          <w:rFonts w:ascii="Verdana" w:hAnsi="Verdana"/>
          <w:sz w:val="20"/>
          <w:szCs w:val="20"/>
          <w:lang w:val="es-MX"/>
        </w:rPr>
        <w:t>133</w:t>
      </w:r>
      <w:r w:rsidR="00444E07" w:rsidRPr="00444E07">
        <w:rPr>
          <w:rFonts w:ascii="Verdana" w:hAnsi="Verdana"/>
          <w:sz w:val="20"/>
          <w:szCs w:val="20"/>
          <w:lang w:val="es-MX"/>
        </w:rPr>
        <w:t>)</w:t>
      </w:r>
      <w:r w:rsidR="00444E07" w:rsidRPr="00444E07">
        <w:rPr>
          <w:rFonts w:ascii="Verdana" w:hAnsi="Verdana"/>
          <w:sz w:val="20"/>
          <w:szCs w:val="20"/>
          <w:vertAlign w:val="superscript"/>
          <w:lang w:val="es-MX"/>
        </w:rPr>
        <w:footnoteReference w:id="239"/>
      </w:r>
      <w:r w:rsidR="00444E07" w:rsidRPr="00444E07">
        <w:rPr>
          <w:rFonts w:ascii="Verdana" w:hAnsi="Verdana"/>
          <w:sz w:val="20"/>
          <w:szCs w:val="20"/>
          <w:lang w:val="es-MX"/>
        </w:rPr>
        <w:t>.</w:t>
      </w:r>
      <w:r w:rsidR="00444E07" w:rsidRPr="00E66DD7">
        <w:rPr>
          <w:rFonts w:ascii="Verdana" w:hAnsi="Verdana"/>
          <w:sz w:val="20"/>
          <w:szCs w:val="20"/>
          <w:lang w:val="es-MX"/>
        </w:rPr>
        <w:t xml:space="preserve"> </w:t>
      </w:r>
      <w:r w:rsidRPr="00E66DD7">
        <w:rPr>
          <w:rFonts w:ascii="Verdana" w:hAnsi="Verdana"/>
          <w:sz w:val="20"/>
          <w:szCs w:val="20"/>
          <w:lang w:val="es-MX"/>
        </w:rPr>
        <w:t xml:space="preserve">En este sentido, las partes han tenido amplia posibilidad de hacer referencia al alcance de los derechos que involucran los hechos analizados. </w:t>
      </w:r>
    </w:p>
    <w:p w14:paraId="7F9ECAE0" w14:textId="77777777" w:rsidR="00E66DD7" w:rsidRPr="00E66DD7" w:rsidRDefault="00E66DD7" w:rsidP="00E66DD7">
      <w:pPr>
        <w:contextualSpacing/>
        <w:jc w:val="both"/>
        <w:rPr>
          <w:rFonts w:ascii="Verdana" w:hAnsi="Verdana"/>
          <w:b/>
          <w:sz w:val="20"/>
          <w:szCs w:val="20"/>
        </w:rPr>
      </w:pPr>
    </w:p>
    <w:p w14:paraId="09D9E44C" w14:textId="2A33EDE5" w:rsidR="00E66DD7" w:rsidRPr="00E66DD7" w:rsidRDefault="00E66DD7" w:rsidP="00F656E0">
      <w:pPr>
        <w:pStyle w:val="Heading3"/>
        <w:numPr>
          <w:ilvl w:val="0"/>
          <w:numId w:val="24"/>
        </w:numPr>
        <w:jc w:val="both"/>
        <w:rPr>
          <w:i/>
          <w:szCs w:val="20"/>
        </w:rPr>
      </w:pPr>
      <w:bookmarkStart w:id="61" w:name="_Toc498333517"/>
      <w:r w:rsidRPr="00E66DD7">
        <w:rPr>
          <w:rFonts w:cs="Verdana"/>
          <w:i/>
          <w:szCs w:val="20"/>
          <w:lang w:val="es-MX" w:eastAsia="es-MX"/>
        </w:rPr>
        <w:t>El acceso a la justicia para tutelar la estabilidad laboral, como derecho reconocido en la Constitución</w:t>
      </w:r>
      <w:bookmarkEnd w:id="61"/>
    </w:p>
    <w:p w14:paraId="0717E0E6" w14:textId="77777777" w:rsidR="00E66DD7" w:rsidRPr="00E66DD7" w:rsidRDefault="00E66DD7" w:rsidP="00E66DD7">
      <w:pPr>
        <w:contextualSpacing/>
        <w:jc w:val="both"/>
        <w:rPr>
          <w:rFonts w:ascii="Verdana" w:hAnsi="Verdana"/>
          <w:sz w:val="20"/>
          <w:szCs w:val="20"/>
          <w:lang w:val="es-MX"/>
        </w:rPr>
      </w:pPr>
    </w:p>
    <w:p w14:paraId="3A1B8E41" w14:textId="597B9581" w:rsidR="00E66DD7" w:rsidRDefault="00E66DD7" w:rsidP="00E66DD7">
      <w:pPr>
        <w:numPr>
          <w:ilvl w:val="0"/>
          <w:numId w:val="1"/>
        </w:numPr>
        <w:ind w:left="0" w:firstLine="0"/>
        <w:contextualSpacing/>
        <w:jc w:val="both"/>
        <w:rPr>
          <w:rFonts w:ascii="Verdana" w:hAnsi="Verdana"/>
          <w:sz w:val="20"/>
          <w:szCs w:val="20"/>
          <w:lang w:val="es-MX"/>
        </w:rPr>
      </w:pPr>
      <w:r w:rsidRPr="00E66DD7">
        <w:rPr>
          <w:rFonts w:ascii="Verdana" w:hAnsi="Verdana"/>
          <w:sz w:val="20"/>
          <w:szCs w:val="20"/>
          <w:lang w:val="es-MX"/>
        </w:rPr>
        <w:t xml:space="preserve">El artículo 25 </w:t>
      </w:r>
      <w:r w:rsidR="002C4F7B" w:rsidRPr="00333304">
        <w:rPr>
          <w:rFonts w:ascii="Verdana" w:hAnsi="Verdana"/>
          <w:sz w:val="20"/>
          <w:szCs w:val="20"/>
          <w:lang w:val="es-MX"/>
        </w:rPr>
        <w:t>de la Convención</w:t>
      </w:r>
      <w:r w:rsidR="002C4F7B">
        <w:rPr>
          <w:rFonts w:ascii="Verdana" w:hAnsi="Verdana"/>
          <w:sz w:val="20"/>
          <w:szCs w:val="20"/>
          <w:lang w:val="es-MX"/>
        </w:rPr>
        <w:t xml:space="preserve"> </w:t>
      </w:r>
      <w:r w:rsidRPr="00E66DD7">
        <w:rPr>
          <w:rFonts w:ascii="Verdana" w:hAnsi="Verdana"/>
          <w:sz w:val="20"/>
          <w:szCs w:val="20"/>
          <w:lang w:val="es-MX"/>
        </w:rPr>
        <w:t xml:space="preserve">señala expresamente que: </w:t>
      </w:r>
    </w:p>
    <w:p w14:paraId="7348BAED" w14:textId="77777777" w:rsidR="002C4F7B" w:rsidRPr="00E66DD7" w:rsidRDefault="002C4F7B" w:rsidP="00B06027">
      <w:pPr>
        <w:contextualSpacing/>
        <w:jc w:val="both"/>
        <w:rPr>
          <w:rFonts w:ascii="Verdana" w:hAnsi="Verdana"/>
          <w:sz w:val="20"/>
          <w:szCs w:val="20"/>
          <w:lang w:val="es-MX"/>
        </w:rPr>
      </w:pPr>
    </w:p>
    <w:p w14:paraId="4E2D1E04" w14:textId="77777777" w:rsidR="00E66DD7" w:rsidRPr="00E66DD7" w:rsidRDefault="00E66DD7" w:rsidP="00334B6C">
      <w:pPr>
        <w:numPr>
          <w:ilvl w:val="0"/>
          <w:numId w:val="22"/>
        </w:numPr>
        <w:tabs>
          <w:tab w:val="left" w:pos="993"/>
        </w:tabs>
        <w:ind w:left="567" w:right="335" w:firstLine="0"/>
        <w:contextualSpacing/>
        <w:jc w:val="both"/>
        <w:rPr>
          <w:rFonts w:ascii="Verdana" w:eastAsia="Times New Roman" w:hAnsi="Verdana" w:cs="Tahoma"/>
          <w:color w:val="000000"/>
          <w:sz w:val="18"/>
          <w:szCs w:val="18"/>
          <w:lang w:val="es-MX" w:eastAsia="es-MX"/>
        </w:rPr>
      </w:pPr>
      <w:r w:rsidRPr="00E66DD7">
        <w:rPr>
          <w:rFonts w:ascii="Verdana" w:eastAsia="Times New Roman" w:hAnsi="Verdana" w:cs="Tahoma"/>
          <w:color w:val="000000"/>
          <w:sz w:val="18"/>
          <w:szCs w:val="18"/>
          <w:lang w:val="es-MX" w:eastAsia="es-MX"/>
        </w:rPr>
        <w:t xml:space="preserve">Toda persona tiene derecho a un recurso sencillo y rápido o a cualquier otro recurso efectivo ante los jueces o tribunales competentes, que la ampare contra actos que violen sus derechos fundamentales </w:t>
      </w:r>
      <w:r w:rsidRPr="00333304">
        <w:rPr>
          <w:rFonts w:ascii="Verdana" w:eastAsia="Times New Roman" w:hAnsi="Verdana" w:cs="Tahoma"/>
          <w:color w:val="000000"/>
          <w:sz w:val="18"/>
          <w:szCs w:val="18"/>
          <w:lang w:val="es-MX" w:eastAsia="es-MX"/>
        </w:rPr>
        <w:t>reconocidos por la Constitución, la ley</w:t>
      </w:r>
      <w:r w:rsidRPr="00E66DD7">
        <w:rPr>
          <w:rFonts w:ascii="Verdana" w:eastAsia="Times New Roman" w:hAnsi="Verdana" w:cs="Tahoma"/>
          <w:color w:val="000000"/>
          <w:sz w:val="18"/>
          <w:szCs w:val="18"/>
          <w:lang w:val="es-MX" w:eastAsia="es-MX"/>
        </w:rPr>
        <w:t xml:space="preserve"> o la presente Convención, aun cuando tal violación sea cometida por personas que actúen en ejercicio de sus funciones oficiales. </w:t>
      </w:r>
    </w:p>
    <w:p w14:paraId="33E56774" w14:textId="77777777" w:rsidR="00E66DD7" w:rsidRPr="00E66DD7" w:rsidRDefault="00E66DD7" w:rsidP="00334B6C">
      <w:pPr>
        <w:tabs>
          <w:tab w:val="left" w:pos="993"/>
        </w:tabs>
        <w:ind w:left="567" w:right="335"/>
        <w:contextualSpacing/>
        <w:jc w:val="both"/>
        <w:rPr>
          <w:rFonts w:ascii="Verdana" w:eastAsia="Times New Roman" w:hAnsi="Verdana" w:cs="Tahoma"/>
          <w:color w:val="000000"/>
          <w:sz w:val="18"/>
          <w:szCs w:val="18"/>
          <w:lang w:val="es-MX" w:eastAsia="es-MX"/>
        </w:rPr>
      </w:pPr>
    </w:p>
    <w:p w14:paraId="02BEAB7B" w14:textId="77777777" w:rsidR="00E66DD7" w:rsidRPr="00E66DD7" w:rsidRDefault="00E66DD7" w:rsidP="00334B6C">
      <w:pPr>
        <w:numPr>
          <w:ilvl w:val="0"/>
          <w:numId w:val="22"/>
        </w:numPr>
        <w:tabs>
          <w:tab w:val="left" w:pos="993"/>
        </w:tabs>
        <w:ind w:left="567" w:right="335" w:firstLine="0"/>
        <w:contextualSpacing/>
        <w:jc w:val="both"/>
        <w:rPr>
          <w:rFonts w:ascii="Verdana" w:eastAsia="Times New Roman" w:hAnsi="Verdana" w:cs="Tahoma"/>
          <w:color w:val="000000"/>
          <w:sz w:val="18"/>
          <w:szCs w:val="18"/>
          <w:lang w:val="es-MX" w:eastAsia="es-MX"/>
        </w:rPr>
      </w:pPr>
      <w:r w:rsidRPr="00E66DD7">
        <w:rPr>
          <w:rFonts w:ascii="Verdana" w:eastAsia="Times New Roman" w:hAnsi="Verdana" w:cs="Tahoma"/>
          <w:color w:val="000000"/>
          <w:sz w:val="18"/>
          <w:szCs w:val="18"/>
          <w:lang w:val="es-MX" w:eastAsia="es-MX"/>
        </w:rPr>
        <w:t xml:space="preserve">Los Estados Partes se comprometen: </w:t>
      </w:r>
    </w:p>
    <w:p w14:paraId="67C53518" w14:textId="21BB5230" w:rsidR="00E66DD7" w:rsidRPr="00E358F5" w:rsidRDefault="00E66DD7" w:rsidP="00334B6C">
      <w:pPr>
        <w:tabs>
          <w:tab w:val="left" w:pos="993"/>
        </w:tabs>
        <w:ind w:left="567" w:right="335"/>
        <w:contextualSpacing/>
        <w:jc w:val="both"/>
        <w:rPr>
          <w:rFonts w:ascii="Verdana" w:eastAsia="Times New Roman" w:hAnsi="Verdana" w:cs="Tahoma"/>
          <w:color w:val="000000"/>
          <w:sz w:val="18"/>
          <w:szCs w:val="18"/>
          <w:lang w:val="es-CR" w:eastAsia="es-MX"/>
        </w:rPr>
      </w:pPr>
      <w:r w:rsidRPr="00E66DD7">
        <w:rPr>
          <w:rFonts w:ascii="Verdana" w:eastAsia="Times New Roman" w:hAnsi="Verdana" w:cs="Tahoma"/>
          <w:color w:val="000000"/>
          <w:sz w:val="18"/>
          <w:szCs w:val="18"/>
          <w:lang w:val="es-MX" w:eastAsia="es-MX"/>
        </w:rPr>
        <w:t xml:space="preserve">a) a garantizar que la autoridad competente prevista por el sistema legal del Estado </w:t>
      </w:r>
      <w:r w:rsidRPr="00333304">
        <w:rPr>
          <w:rFonts w:ascii="Verdana" w:eastAsia="Times New Roman" w:hAnsi="Verdana" w:cs="Tahoma"/>
          <w:color w:val="000000"/>
          <w:sz w:val="18"/>
          <w:szCs w:val="18"/>
          <w:lang w:val="es-MX" w:eastAsia="es-MX"/>
        </w:rPr>
        <w:t>decidirá sobre los derechos</w:t>
      </w:r>
      <w:r w:rsidRPr="0013567C">
        <w:rPr>
          <w:rFonts w:ascii="Verdana" w:eastAsia="Times New Roman" w:hAnsi="Verdana" w:cs="Tahoma"/>
          <w:b/>
          <w:color w:val="000000"/>
          <w:sz w:val="18"/>
          <w:szCs w:val="18"/>
          <w:lang w:val="es-MX" w:eastAsia="es-MX"/>
        </w:rPr>
        <w:t xml:space="preserve"> </w:t>
      </w:r>
      <w:r w:rsidRPr="00E66DD7">
        <w:rPr>
          <w:rFonts w:ascii="Verdana" w:eastAsia="Times New Roman" w:hAnsi="Verdana" w:cs="Tahoma"/>
          <w:color w:val="000000"/>
          <w:sz w:val="18"/>
          <w:szCs w:val="18"/>
          <w:lang w:val="es-MX" w:eastAsia="es-MX"/>
        </w:rPr>
        <w:t>de toda persona que interponga tal recurso;</w:t>
      </w:r>
      <w:r w:rsidR="00E358F5">
        <w:rPr>
          <w:rFonts w:ascii="Verdana" w:eastAsia="Times New Roman" w:hAnsi="Verdana" w:cs="Tahoma"/>
          <w:color w:val="000000"/>
          <w:sz w:val="18"/>
          <w:szCs w:val="18"/>
          <w:lang w:val="es-MX" w:eastAsia="es-MX"/>
        </w:rPr>
        <w:t xml:space="preserve"> </w:t>
      </w:r>
      <w:r w:rsidR="00E358F5">
        <w:rPr>
          <w:rFonts w:ascii="Verdana" w:eastAsia="Times New Roman" w:hAnsi="Verdana" w:cs="Tahoma"/>
          <w:color w:val="000000"/>
          <w:sz w:val="18"/>
          <w:szCs w:val="18"/>
          <w:lang w:val="es-CR" w:eastAsia="es-MX"/>
        </w:rPr>
        <w:t>[…]</w:t>
      </w:r>
    </w:p>
    <w:p w14:paraId="1392C865" w14:textId="77777777" w:rsidR="00E66DD7" w:rsidRPr="00E66DD7" w:rsidRDefault="00E66DD7" w:rsidP="00E66DD7">
      <w:pPr>
        <w:contextualSpacing/>
        <w:jc w:val="both"/>
        <w:rPr>
          <w:rFonts w:ascii="Verdana" w:hAnsi="Verdana"/>
          <w:sz w:val="20"/>
          <w:szCs w:val="20"/>
          <w:lang w:val="es-MX"/>
        </w:rPr>
      </w:pPr>
    </w:p>
    <w:p w14:paraId="011E79AD" w14:textId="39419E12" w:rsidR="00E66DD7" w:rsidRPr="00E66DD7" w:rsidRDefault="00E66DD7" w:rsidP="00E66DD7">
      <w:pPr>
        <w:numPr>
          <w:ilvl w:val="0"/>
          <w:numId w:val="1"/>
        </w:numPr>
        <w:ind w:left="0" w:firstLine="0"/>
        <w:contextualSpacing/>
        <w:jc w:val="both"/>
        <w:rPr>
          <w:rFonts w:ascii="Verdana" w:hAnsi="Verdana"/>
          <w:sz w:val="20"/>
          <w:szCs w:val="20"/>
          <w:lang w:val="es-MX"/>
        </w:rPr>
      </w:pPr>
      <w:r w:rsidRPr="00E66DD7">
        <w:rPr>
          <w:rFonts w:ascii="Verdana" w:hAnsi="Verdana" w:cs="Helvetica"/>
          <w:sz w:val="20"/>
          <w:szCs w:val="20"/>
          <w:lang w:val="es-MX"/>
        </w:rPr>
        <w:t>Esta Corte ha declarado que la protección judicial, “constituye uno de los pilares básicos de la Convención Americana y del propio Estado de Derecho en una sociedad democrática</w:t>
      </w:r>
      <w:r w:rsidRPr="00E66DD7">
        <w:rPr>
          <w:rFonts w:ascii="Verdana" w:hAnsi="Verdana" w:cs="Helvetica"/>
          <w:sz w:val="20"/>
          <w:szCs w:val="20"/>
          <w:vertAlign w:val="superscript"/>
          <w:lang w:val="es-MX"/>
        </w:rPr>
        <w:footnoteReference w:id="240"/>
      </w:r>
      <w:r w:rsidRPr="00E66DD7">
        <w:rPr>
          <w:rFonts w:ascii="Verdana" w:hAnsi="Verdana" w:cs="Helvetica"/>
          <w:sz w:val="20"/>
          <w:szCs w:val="20"/>
          <w:lang w:val="es-MX"/>
        </w:rPr>
        <w:t>”</w:t>
      </w:r>
      <w:r w:rsidRPr="00E66DD7">
        <w:rPr>
          <w:rFonts w:ascii="Verdana" w:hAnsi="Verdana"/>
          <w:sz w:val="20"/>
          <w:szCs w:val="20"/>
          <w:lang w:val="es-MX"/>
        </w:rPr>
        <w:t xml:space="preserve">. </w:t>
      </w:r>
      <w:r w:rsidRPr="00E66DD7">
        <w:rPr>
          <w:rFonts w:ascii="Verdana" w:hAnsi="Verdana" w:cs="Helvetica"/>
          <w:sz w:val="20"/>
          <w:szCs w:val="20"/>
        </w:rPr>
        <w:t>L</w:t>
      </w:r>
      <w:r w:rsidRPr="00E66DD7">
        <w:rPr>
          <w:rFonts w:ascii="Verdana" w:hAnsi="Verdana"/>
          <w:sz w:val="20"/>
          <w:szCs w:val="20"/>
        </w:rPr>
        <w:t xml:space="preserve">a Corte ha señalado que “los artículos 8 y 25 de la Convención también consagran el derecho al </w:t>
      </w:r>
      <w:r w:rsidRPr="00E66DD7">
        <w:rPr>
          <w:rFonts w:ascii="Verdana" w:hAnsi="Verdana" w:cs="Helvetica"/>
          <w:sz w:val="20"/>
          <w:szCs w:val="20"/>
          <w:lang w:val="es-MX"/>
        </w:rPr>
        <w:t>acceso</w:t>
      </w:r>
      <w:r w:rsidRPr="00E66DD7">
        <w:rPr>
          <w:rFonts w:ascii="Verdana" w:hAnsi="Verdana"/>
          <w:sz w:val="20"/>
          <w:szCs w:val="20"/>
        </w:rPr>
        <w:t xml:space="preserve"> a la justicia, norma imperativa del Derecho Internacional</w:t>
      </w:r>
      <w:r w:rsidRPr="00E66DD7">
        <w:rPr>
          <w:rFonts w:ascii="Verdana" w:hAnsi="Verdana"/>
          <w:sz w:val="20"/>
          <w:szCs w:val="20"/>
          <w:vertAlign w:val="superscript"/>
        </w:rPr>
        <w:footnoteReference w:id="241"/>
      </w:r>
      <w:r w:rsidRPr="00E66DD7">
        <w:rPr>
          <w:rFonts w:ascii="Verdana" w:hAnsi="Verdana"/>
          <w:sz w:val="20"/>
          <w:szCs w:val="20"/>
        </w:rPr>
        <w:t xml:space="preserve">”. Asimismo, </w:t>
      </w:r>
      <w:r w:rsidRPr="00E66DD7">
        <w:rPr>
          <w:rFonts w:ascii="Verdana" w:hAnsi="Verdana" w:cs="Helvetica"/>
          <w:sz w:val="20"/>
          <w:szCs w:val="20"/>
        </w:rPr>
        <w:t>el principio de tutela judicial efectiva requiere que los procedimientos judiciales sean accesibles para las partes, sin obstáculos o demoras indebidas, a fin de que alcancen su objetivo de manera rápida, sencilla e integral</w:t>
      </w:r>
      <w:r w:rsidRPr="00E66DD7">
        <w:rPr>
          <w:rFonts w:ascii="Verdana" w:hAnsi="Verdana" w:cs="Helvetica"/>
          <w:sz w:val="20"/>
          <w:szCs w:val="20"/>
          <w:vertAlign w:val="superscript"/>
        </w:rPr>
        <w:footnoteReference w:id="242"/>
      </w:r>
      <w:r w:rsidRPr="00E66DD7">
        <w:rPr>
          <w:rFonts w:ascii="Verdana" w:hAnsi="Verdana" w:cs="Helvetica"/>
          <w:sz w:val="20"/>
          <w:szCs w:val="20"/>
        </w:rPr>
        <w:t xml:space="preserve">. Aunado a lo anterior, este Tribunal ha señalado que el artículo 25.1 de la </w:t>
      </w:r>
      <w:r w:rsidRPr="00E66DD7">
        <w:rPr>
          <w:rFonts w:ascii="Verdana" w:hAnsi="Verdana" w:cs="Helvetica"/>
          <w:sz w:val="20"/>
          <w:szCs w:val="20"/>
        </w:rPr>
        <w:lastRenderedPageBreak/>
        <w:t>Convención contempla la obligación de los Estados Partes de garantizar, a todas las personas bajo su jurisdicción, un recurso judicial efectivo contra actos violatorios de sus derechos fundamentales</w:t>
      </w:r>
      <w:r w:rsidR="0013567C" w:rsidRPr="00E66DD7">
        <w:rPr>
          <w:rFonts w:ascii="Verdana" w:hAnsi="Verdana" w:cs="Helvetica"/>
          <w:sz w:val="20"/>
          <w:szCs w:val="20"/>
          <w:vertAlign w:val="superscript"/>
        </w:rPr>
        <w:footnoteReference w:id="243"/>
      </w:r>
      <w:r w:rsidRPr="00E66DD7">
        <w:rPr>
          <w:rFonts w:ascii="Verdana" w:hAnsi="Verdana" w:cs="Helvetica"/>
          <w:sz w:val="20"/>
          <w:szCs w:val="20"/>
        </w:rPr>
        <w:t>, reconocidos ya sea en la Constitución, en las leyes o en la Convención</w:t>
      </w:r>
      <w:r w:rsidRPr="00E66DD7">
        <w:rPr>
          <w:rFonts w:ascii="Verdana" w:hAnsi="Verdana" w:cs="Helvetica"/>
          <w:sz w:val="20"/>
          <w:szCs w:val="20"/>
          <w:vertAlign w:val="superscript"/>
        </w:rPr>
        <w:footnoteReference w:id="244"/>
      </w:r>
      <w:r w:rsidRPr="00E66DD7">
        <w:rPr>
          <w:rFonts w:ascii="Verdana" w:hAnsi="Verdana" w:cs="Helvetica"/>
          <w:sz w:val="20"/>
          <w:szCs w:val="20"/>
        </w:rPr>
        <w:t xml:space="preserve">. </w:t>
      </w:r>
    </w:p>
    <w:p w14:paraId="092E910E" w14:textId="77777777" w:rsidR="00E66DD7" w:rsidRPr="00E66DD7" w:rsidRDefault="00E66DD7" w:rsidP="00E66DD7">
      <w:pPr>
        <w:contextualSpacing/>
        <w:jc w:val="both"/>
        <w:rPr>
          <w:rFonts w:ascii="Verdana" w:hAnsi="Verdana" w:cs="Helvetica"/>
          <w:sz w:val="20"/>
          <w:szCs w:val="20"/>
        </w:rPr>
      </w:pPr>
    </w:p>
    <w:p w14:paraId="5A7F8A32" w14:textId="2F08DD2A" w:rsidR="00E66DD7" w:rsidRPr="00E66DD7" w:rsidRDefault="00E66DD7" w:rsidP="00E66DD7">
      <w:pPr>
        <w:numPr>
          <w:ilvl w:val="0"/>
          <w:numId w:val="1"/>
        </w:numPr>
        <w:ind w:left="0" w:firstLine="0"/>
        <w:contextualSpacing/>
        <w:jc w:val="both"/>
        <w:rPr>
          <w:rFonts w:ascii="Verdana" w:hAnsi="Verdana"/>
          <w:sz w:val="20"/>
          <w:szCs w:val="20"/>
          <w:lang w:val="es-EC"/>
        </w:rPr>
      </w:pPr>
      <w:r w:rsidRPr="00E66DD7">
        <w:rPr>
          <w:rFonts w:ascii="Verdana" w:hAnsi="Verdana"/>
          <w:sz w:val="20"/>
          <w:szCs w:val="20"/>
          <w:lang w:val="es-MX"/>
        </w:rPr>
        <w:t xml:space="preserve">Como ya fue mencionado, </w:t>
      </w:r>
      <w:r w:rsidRPr="00E66DD7">
        <w:rPr>
          <w:rFonts w:ascii="Verdana" w:hAnsi="Verdana"/>
          <w:sz w:val="20"/>
          <w:szCs w:val="20"/>
        </w:rPr>
        <w:t xml:space="preserve">tanto la </w:t>
      </w:r>
      <w:r w:rsidRPr="00E66DD7">
        <w:rPr>
          <w:rFonts w:ascii="Verdana" w:hAnsi="Verdana" w:cs="Arial Narrow"/>
          <w:color w:val="000000"/>
          <w:sz w:val="20"/>
          <w:szCs w:val="20"/>
          <w:lang w:eastAsia="es-MX"/>
        </w:rPr>
        <w:t>Constitución Política de 1979 como la de 1993 de Perú, y la ley laboral al momento de los hechos, reconocían explícitamente el derecho a la estabilidad laboral</w:t>
      </w:r>
      <w:r w:rsidRPr="00E66DD7">
        <w:rPr>
          <w:rFonts w:ascii="Verdana" w:hAnsi="Verdana" w:cs="Arial Narrow"/>
          <w:color w:val="000000"/>
          <w:sz w:val="20"/>
          <w:szCs w:val="20"/>
          <w:vertAlign w:val="superscript"/>
          <w:lang w:eastAsia="es-MX"/>
        </w:rPr>
        <w:footnoteReference w:id="245"/>
      </w:r>
      <w:r w:rsidRPr="00E66DD7">
        <w:rPr>
          <w:rFonts w:ascii="Verdana" w:hAnsi="Verdana" w:cs="Arial Narrow"/>
          <w:color w:val="000000"/>
          <w:sz w:val="20"/>
          <w:szCs w:val="20"/>
          <w:lang w:eastAsia="es-MX"/>
        </w:rPr>
        <w:t xml:space="preserve"> (</w:t>
      </w:r>
      <w:r w:rsidRPr="00E66DD7">
        <w:rPr>
          <w:rFonts w:ascii="Verdana" w:hAnsi="Verdana" w:cs="Arial Narrow"/>
          <w:i/>
          <w:color w:val="000000"/>
          <w:sz w:val="20"/>
          <w:szCs w:val="20"/>
          <w:lang w:eastAsia="es-MX"/>
        </w:rPr>
        <w:t>supra</w:t>
      </w:r>
      <w:r w:rsidRPr="00E66DD7">
        <w:rPr>
          <w:rFonts w:ascii="Verdana" w:hAnsi="Verdana" w:cs="Arial Narrow"/>
          <w:color w:val="000000"/>
          <w:sz w:val="20"/>
          <w:szCs w:val="20"/>
          <w:lang w:eastAsia="es-MX"/>
        </w:rPr>
        <w:t xml:space="preserve">, párr. </w:t>
      </w:r>
      <w:r w:rsidR="00444E07">
        <w:rPr>
          <w:rFonts w:ascii="Verdana" w:hAnsi="Verdana" w:cs="Arial Narrow"/>
          <w:color w:val="000000"/>
          <w:sz w:val="20"/>
          <w:szCs w:val="20"/>
          <w:lang w:eastAsia="es-MX"/>
        </w:rPr>
        <w:t>138</w:t>
      </w:r>
      <w:r w:rsidR="00444E07" w:rsidRPr="00E66DD7">
        <w:rPr>
          <w:rFonts w:ascii="Verdana" w:hAnsi="Verdana" w:cs="Arial Narrow"/>
          <w:color w:val="000000"/>
          <w:sz w:val="20"/>
          <w:szCs w:val="20"/>
          <w:lang w:eastAsia="es-MX"/>
        </w:rPr>
        <w:t>).</w:t>
      </w:r>
    </w:p>
    <w:p w14:paraId="69E589C6" w14:textId="77777777" w:rsidR="00E66DD7" w:rsidRPr="00E66DD7" w:rsidRDefault="00E66DD7" w:rsidP="00E66DD7">
      <w:pPr>
        <w:contextualSpacing/>
        <w:jc w:val="both"/>
        <w:rPr>
          <w:rFonts w:ascii="Verdana" w:hAnsi="Verdana"/>
          <w:sz w:val="20"/>
          <w:szCs w:val="20"/>
          <w:lang w:val="es-EC"/>
        </w:rPr>
      </w:pPr>
    </w:p>
    <w:p w14:paraId="25E35EDA" w14:textId="02195BAB" w:rsidR="00E66DD7" w:rsidRPr="00E66DD7" w:rsidRDefault="00E66DD7" w:rsidP="00E66DD7">
      <w:pPr>
        <w:numPr>
          <w:ilvl w:val="0"/>
          <w:numId w:val="1"/>
        </w:numPr>
        <w:ind w:left="0" w:firstLine="0"/>
        <w:contextualSpacing/>
        <w:jc w:val="both"/>
        <w:rPr>
          <w:rFonts w:ascii="Verdana" w:hAnsi="Verdana"/>
          <w:sz w:val="20"/>
          <w:szCs w:val="20"/>
          <w:lang w:val="es-MX"/>
        </w:rPr>
      </w:pPr>
      <w:r w:rsidRPr="00E66DD7">
        <w:rPr>
          <w:rFonts w:ascii="Verdana" w:hAnsi="Verdana"/>
          <w:sz w:val="20"/>
          <w:szCs w:val="20"/>
          <w:lang w:val="es-EC"/>
        </w:rPr>
        <w:t xml:space="preserve">En atención a lo anterior, </w:t>
      </w:r>
      <w:r w:rsidRPr="00E66DD7">
        <w:rPr>
          <w:rFonts w:ascii="Verdana" w:hAnsi="Verdana"/>
          <w:color w:val="000000"/>
          <w:sz w:val="20"/>
          <w:szCs w:val="20"/>
          <w:lang w:val="es-MX"/>
        </w:rPr>
        <w:t>l</w:t>
      </w:r>
      <w:r w:rsidRPr="00E66DD7">
        <w:rPr>
          <w:rFonts w:ascii="Verdana" w:hAnsi="Verdana"/>
          <w:color w:val="000000"/>
          <w:sz w:val="20"/>
          <w:szCs w:val="20"/>
        </w:rPr>
        <w:t>a jurisprudencia de la Corte ha trazado un estrecho vínculo entre los alcances de los derechos consagrados en los artículos 8 y 25 de la Convención Americana. De esta manera, se ha establecido que los Estados tienen la obligación de diseñar y consagrar normativamente recursos efectivos para la cabal protección de los derechos humanos, pero también la obligación de asegurar la debida aplicación de dichos recursos por parte de sus autoridades judiciales, en procedimientos con las garantías adecuadas</w:t>
      </w:r>
      <w:r w:rsidRPr="00E66DD7">
        <w:rPr>
          <w:rFonts w:ascii="Verdana" w:hAnsi="Verdana"/>
          <w:color w:val="000000"/>
          <w:sz w:val="20"/>
          <w:szCs w:val="20"/>
          <w:vertAlign w:val="superscript"/>
        </w:rPr>
        <w:footnoteReference w:id="246"/>
      </w:r>
      <w:r w:rsidRPr="00E66DD7">
        <w:rPr>
          <w:rFonts w:ascii="Verdana" w:hAnsi="Verdana" w:cs="Helvetica"/>
          <w:sz w:val="20"/>
          <w:szCs w:val="20"/>
        </w:rPr>
        <w:t xml:space="preserve"> y deben ser sustanciados de conformidad con las reglas del debido proceso legal</w:t>
      </w:r>
      <w:r w:rsidRPr="00E66DD7">
        <w:rPr>
          <w:rFonts w:ascii="Verdana" w:hAnsi="Verdana" w:cs="Helvetica"/>
          <w:sz w:val="20"/>
          <w:szCs w:val="20"/>
          <w:vertAlign w:val="superscript"/>
        </w:rPr>
        <w:footnoteReference w:id="247"/>
      </w:r>
      <w:r w:rsidRPr="00E66DD7">
        <w:rPr>
          <w:rFonts w:ascii="Verdana" w:hAnsi="Verdana"/>
          <w:color w:val="000000"/>
          <w:sz w:val="20"/>
          <w:szCs w:val="20"/>
        </w:rPr>
        <w:t>.</w:t>
      </w:r>
      <w:r w:rsidRPr="00E66DD7">
        <w:rPr>
          <w:rFonts w:ascii="Verdana" w:hAnsi="Verdana" w:cs="Helvetica"/>
          <w:sz w:val="20"/>
          <w:szCs w:val="20"/>
        </w:rPr>
        <w:t xml:space="preserve"> As</w:t>
      </w:r>
      <w:r w:rsidRPr="002C4F7B">
        <w:rPr>
          <w:rFonts w:ascii="Verdana" w:hAnsi="Verdana" w:cs="Helvetica"/>
          <w:sz w:val="20"/>
          <w:szCs w:val="20"/>
        </w:rPr>
        <w:t>í</w:t>
      </w:r>
      <w:r w:rsidRPr="00B06027">
        <w:rPr>
          <w:rFonts w:ascii="Verdana" w:hAnsi="Verdana" w:cs="Helvetica"/>
          <w:sz w:val="20"/>
          <w:szCs w:val="20"/>
        </w:rPr>
        <w:t>, un recurso efectivo implica que el análisis por la autoridad competente de un recurso judicial no puede reducirse a una mera formalidad, sino que debe examinar las razones invocadas por el demandante y manifestarse expresamente sobre ellas</w:t>
      </w:r>
      <w:r w:rsidRPr="00B06027">
        <w:rPr>
          <w:rFonts w:ascii="Verdana" w:hAnsi="Verdana" w:cs="Helvetica"/>
          <w:sz w:val="20"/>
          <w:szCs w:val="20"/>
          <w:vertAlign w:val="superscript"/>
        </w:rPr>
        <w:footnoteReference w:id="248"/>
      </w:r>
      <w:r w:rsidRPr="00B06027">
        <w:rPr>
          <w:rFonts w:ascii="Verdana" w:hAnsi="Verdana" w:cs="Helvetica"/>
          <w:sz w:val="20"/>
          <w:szCs w:val="20"/>
        </w:rPr>
        <w:t xml:space="preserve">, </w:t>
      </w:r>
      <w:r w:rsidRPr="00E66DD7">
        <w:rPr>
          <w:rFonts w:ascii="Verdana" w:hAnsi="Verdana" w:cs="Helvetica"/>
          <w:sz w:val="20"/>
          <w:szCs w:val="20"/>
        </w:rPr>
        <w:t xml:space="preserve">por lo que esta efectividad supone que, además de la existencia formal de los recursos, éstos den resultados o respuestas a las violaciones de derechos contemplados ya sea en la Convención, en la Constitución o en las leyes. </w:t>
      </w:r>
    </w:p>
    <w:p w14:paraId="1EBA9695" w14:textId="77777777" w:rsidR="00E66DD7" w:rsidRPr="00E66DD7" w:rsidRDefault="00E66DD7" w:rsidP="00E66DD7">
      <w:pPr>
        <w:contextualSpacing/>
        <w:jc w:val="both"/>
        <w:rPr>
          <w:rFonts w:ascii="Verdana" w:hAnsi="Verdana"/>
          <w:sz w:val="20"/>
          <w:szCs w:val="20"/>
          <w:lang w:val="es-MX"/>
        </w:rPr>
      </w:pPr>
    </w:p>
    <w:p w14:paraId="772F8D3F" w14:textId="77777777" w:rsidR="00E66DD7" w:rsidRPr="00E66DD7" w:rsidRDefault="00E66DD7" w:rsidP="00E66DD7">
      <w:pPr>
        <w:numPr>
          <w:ilvl w:val="0"/>
          <w:numId w:val="1"/>
        </w:numPr>
        <w:ind w:left="0" w:firstLine="0"/>
        <w:contextualSpacing/>
        <w:jc w:val="both"/>
        <w:rPr>
          <w:rFonts w:ascii="Verdana" w:hAnsi="Verdana"/>
          <w:sz w:val="20"/>
          <w:szCs w:val="20"/>
          <w:lang w:val="es-EC"/>
        </w:rPr>
      </w:pPr>
      <w:r w:rsidRPr="00E66DD7">
        <w:rPr>
          <w:rFonts w:ascii="Verdana" w:hAnsi="Verdana"/>
          <w:sz w:val="20"/>
          <w:szCs w:val="20"/>
          <w:lang w:val="es-MX"/>
        </w:rPr>
        <w:t>A continuación, la Corte analizará si al señor Lagos del Campo se le garantizó el acceso a la justicia respecto de los derechos alegados en la etapa recursiva con motivo del despido.</w:t>
      </w:r>
    </w:p>
    <w:p w14:paraId="764A8FC9" w14:textId="77777777" w:rsidR="00E66DD7" w:rsidRPr="00E66DD7" w:rsidRDefault="00E66DD7" w:rsidP="00E66DD7">
      <w:pPr>
        <w:contextualSpacing/>
        <w:jc w:val="both"/>
        <w:rPr>
          <w:rFonts w:ascii="Verdana" w:hAnsi="Verdana" w:cs="Helvetica"/>
          <w:sz w:val="20"/>
          <w:szCs w:val="20"/>
          <w:lang w:val="es-MX"/>
        </w:rPr>
      </w:pPr>
    </w:p>
    <w:p w14:paraId="257B136C" w14:textId="55EECF8B" w:rsidR="00E66DD7" w:rsidRPr="00E66DD7" w:rsidRDefault="00E66DD7" w:rsidP="00E66DD7">
      <w:pPr>
        <w:numPr>
          <w:ilvl w:val="0"/>
          <w:numId w:val="1"/>
        </w:numPr>
        <w:ind w:left="0" w:firstLine="0"/>
        <w:contextualSpacing/>
        <w:jc w:val="both"/>
        <w:rPr>
          <w:rFonts w:ascii="Verdana" w:hAnsi="Verdana"/>
          <w:sz w:val="20"/>
          <w:szCs w:val="20"/>
        </w:rPr>
      </w:pPr>
      <w:r w:rsidRPr="00E66DD7">
        <w:rPr>
          <w:rFonts w:ascii="Verdana" w:hAnsi="Verdana"/>
          <w:sz w:val="20"/>
          <w:szCs w:val="20"/>
          <w:lang w:val="es-MX"/>
        </w:rPr>
        <w:t xml:space="preserve">La Corte recuerda que frente a la determinación de despido injustificado del juez de primera instancia, el 25 de junio de 1991 la empresa </w:t>
      </w:r>
      <w:proofErr w:type="spellStart"/>
      <w:r w:rsidRPr="00E66DD7">
        <w:rPr>
          <w:rFonts w:ascii="Verdana" w:hAnsi="Verdana"/>
          <w:sz w:val="20"/>
          <w:szCs w:val="20"/>
          <w:lang w:val="es-MX"/>
        </w:rPr>
        <w:t>Ceper-Pirelli</w:t>
      </w:r>
      <w:proofErr w:type="spellEnd"/>
      <w:r w:rsidRPr="00E66DD7">
        <w:rPr>
          <w:rFonts w:ascii="Verdana" w:hAnsi="Verdana"/>
          <w:sz w:val="20"/>
          <w:szCs w:val="20"/>
          <w:lang w:val="es-MX"/>
        </w:rPr>
        <w:t xml:space="preserve"> solicitó al Segundo Tribunal de Trabajo, mediante recurso de apelación, revocar la sentencia de primera instancia</w:t>
      </w:r>
      <w:r w:rsidRPr="00E66DD7">
        <w:rPr>
          <w:rFonts w:ascii="Verdana" w:hAnsi="Verdana"/>
          <w:sz w:val="20"/>
          <w:szCs w:val="20"/>
          <w:vertAlign w:val="superscript"/>
          <w:lang w:val="es-MX"/>
        </w:rPr>
        <w:footnoteReference w:id="249"/>
      </w:r>
      <w:r w:rsidRPr="00E66DD7">
        <w:rPr>
          <w:rFonts w:ascii="Verdana" w:hAnsi="Verdana"/>
          <w:sz w:val="20"/>
          <w:szCs w:val="20"/>
          <w:lang w:val="es-MX"/>
        </w:rPr>
        <w:t xml:space="preserve">. Ese mismo día </w:t>
      </w:r>
      <w:r w:rsidRPr="00E66DD7">
        <w:rPr>
          <w:rFonts w:ascii="Verdana" w:hAnsi="Verdana"/>
          <w:sz w:val="20"/>
          <w:szCs w:val="20"/>
          <w:lang w:val="es-CR"/>
        </w:rPr>
        <w:t>el Segundo Tribunal de Trabajo, escuchó los informes orales de los representantes de la empresa</w:t>
      </w:r>
      <w:r w:rsidRPr="00E66DD7">
        <w:rPr>
          <w:rFonts w:ascii="Verdana" w:hAnsi="Verdana"/>
          <w:sz w:val="20"/>
          <w:szCs w:val="20"/>
          <w:lang w:val="es-MX"/>
        </w:rPr>
        <w:t xml:space="preserve">. Posteriormente, fueron presentados dos escritos por parte de la empresa </w:t>
      </w:r>
      <w:r w:rsidRPr="00E66DD7">
        <w:rPr>
          <w:rFonts w:ascii="Verdana" w:hAnsi="Verdana"/>
          <w:sz w:val="20"/>
          <w:szCs w:val="20"/>
          <w:lang w:val="es-CR"/>
        </w:rPr>
        <w:t xml:space="preserve">de 25 de junio y 3 de julio de 1991, los cuales fueron </w:t>
      </w:r>
      <w:r w:rsidRPr="00E66DD7">
        <w:rPr>
          <w:rFonts w:ascii="Verdana" w:hAnsi="Verdana"/>
          <w:sz w:val="20"/>
          <w:szCs w:val="20"/>
        </w:rPr>
        <w:t xml:space="preserve">proveídos el 15 de julio de 1991. El señor Lagos del Campo recibió dicha notificación el 23 de julio de 1991. </w:t>
      </w:r>
    </w:p>
    <w:p w14:paraId="7DA4E462" w14:textId="77777777" w:rsidR="00E66DD7" w:rsidRPr="00E66DD7" w:rsidRDefault="00E66DD7" w:rsidP="00E66DD7">
      <w:pPr>
        <w:contextualSpacing/>
        <w:jc w:val="both"/>
        <w:rPr>
          <w:rFonts w:ascii="Verdana" w:hAnsi="Verdana"/>
          <w:sz w:val="20"/>
          <w:szCs w:val="20"/>
        </w:rPr>
      </w:pPr>
    </w:p>
    <w:p w14:paraId="39DA6EC0" w14:textId="77777777" w:rsidR="00E66DD7" w:rsidRPr="00E66DD7" w:rsidRDefault="00E66DD7" w:rsidP="00E66DD7">
      <w:pPr>
        <w:numPr>
          <w:ilvl w:val="0"/>
          <w:numId w:val="1"/>
        </w:numPr>
        <w:ind w:left="0" w:firstLine="0"/>
        <w:contextualSpacing/>
        <w:jc w:val="both"/>
        <w:rPr>
          <w:rFonts w:ascii="Verdana" w:hAnsi="Verdana"/>
          <w:sz w:val="20"/>
          <w:szCs w:val="20"/>
          <w:lang w:val="es-MX"/>
        </w:rPr>
      </w:pPr>
      <w:r w:rsidRPr="00E66DD7">
        <w:rPr>
          <w:rFonts w:ascii="Verdana" w:hAnsi="Verdana"/>
          <w:sz w:val="20"/>
          <w:szCs w:val="20"/>
          <w:lang w:val="es-MX"/>
        </w:rPr>
        <w:t>Frente a dichos escritos, el señor Lagos del Campo presentó su contestación el 1 de agosto de 1991</w:t>
      </w:r>
      <w:r w:rsidRPr="00E66DD7">
        <w:rPr>
          <w:rFonts w:ascii="Verdana" w:hAnsi="Verdana"/>
          <w:sz w:val="20"/>
          <w:szCs w:val="20"/>
          <w:vertAlign w:val="superscript"/>
          <w:lang w:val="es-MX"/>
        </w:rPr>
        <w:footnoteReference w:id="250"/>
      </w:r>
      <w:r w:rsidRPr="00E66DD7">
        <w:rPr>
          <w:rFonts w:ascii="Verdana" w:hAnsi="Verdana"/>
          <w:sz w:val="20"/>
          <w:szCs w:val="20"/>
          <w:lang w:val="es-MX"/>
        </w:rPr>
        <w:t>, ante el Segundo Tribunal de Trabajo. Sin embargo, este escrito fue proveído por el Tribunal de Trabajo el 9 de agosto de 1991, fecha posterior a la emisión de la sentencia, que resolvió revocar el fallo de primera instancia (8 de agosto de 1991).</w:t>
      </w:r>
    </w:p>
    <w:p w14:paraId="0BD78BDA" w14:textId="77777777" w:rsidR="00E66DD7" w:rsidRPr="00E66DD7" w:rsidRDefault="00E66DD7" w:rsidP="00E66DD7">
      <w:pPr>
        <w:contextualSpacing/>
        <w:jc w:val="both"/>
        <w:rPr>
          <w:rFonts w:ascii="Verdana" w:hAnsi="Verdana"/>
          <w:sz w:val="20"/>
          <w:szCs w:val="20"/>
          <w:lang w:val="es-MX"/>
        </w:rPr>
      </w:pPr>
    </w:p>
    <w:p w14:paraId="671CE456" w14:textId="20D752B1" w:rsidR="00E66DD7" w:rsidRPr="00E66DD7" w:rsidRDefault="00E66DD7" w:rsidP="00E66DD7">
      <w:pPr>
        <w:numPr>
          <w:ilvl w:val="0"/>
          <w:numId w:val="1"/>
        </w:numPr>
        <w:ind w:left="0" w:firstLine="0"/>
        <w:contextualSpacing/>
        <w:jc w:val="both"/>
        <w:rPr>
          <w:rFonts w:ascii="Verdana" w:hAnsi="Verdana"/>
          <w:sz w:val="20"/>
          <w:szCs w:val="20"/>
        </w:rPr>
      </w:pPr>
      <w:r w:rsidRPr="00E66DD7">
        <w:rPr>
          <w:rFonts w:ascii="Verdana" w:hAnsi="Verdana"/>
          <w:sz w:val="20"/>
          <w:szCs w:val="20"/>
        </w:rPr>
        <w:t xml:space="preserve">Al respecto, la Corte reitera el deber de los Estados de asegurar la </w:t>
      </w:r>
      <w:r w:rsidR="00562583">
        <w:rPr>
          <w:rFonts w:ascii="Verdana" w:hAnsi="Verdana"/>
          <w:sz w:val="20"/>
          <w:szCs w:val="20"/>
        </w:rPr>
        <w:t>efectividad</w:t>
      </w:r>
      <w:r w:rsidRPr="00E66DD7">
        <w:rPr>
          <w:rFonts w:ascii="Verdana" w:hAnsi="Verdana"/>
          <w:sz w:val="20"/>
          <w:szCs w:val="20"/>
        </w:rPr>
        <w:t xml:space="preserve"> de dichos recursos con las garantías adecuadas</w:t>
      </w:r>
      <w:r w:rsidR="00562583">
        <w:rPr>
          <w:rFonts w:ascii="Verdana" w:hAnsi="Verdana"/>
          <w:sz w:val="20"/>
          <w:szCs w:val="20"/>
        </w:rPr>
        <w:t xml:space="preserve"> y</w:t>
      </w:r>
      <w:r w:rsidRPr="00E66DD7">
        <w:rPr>
          <w:rFonts w:ascii="Verdana" w:hAnsi="Verdana"/>
          <w:sz w:val="20"/>
          <w:szCs w:val="20"/>
        </w:rPr>
        <w:t xml:space="preserve"> con las reglas del debido proceso legal</w:t>
      </w:r>
      <w:r w:rsidR="00AF0B80">
        <w:rPr>
          <w:rFonts w:ascii="Verdana" w:hAnsi="Verdana"/>
          <w:sz w:val="20"/>
          <w:szCs w:val="20"/>
        </w:rPr>
        <w:t xml:space="preserve"> (</w:t>
      </w:r>
      <w:r w:rsidR="00AF0B80" w:rsidRPr="00333304">
        <w:rPr>
          <w:rFonts w:ascii="Verdana" w:hAnsi="Verdana"/>
          <w:i/>
          <w:sz w:val="20"/>
          <w:szCs w:val="20"/>
        </w:rPr>
        <w:t>supra</w:t>
      </w:r>
      <w:r w:rsidR="00AF0B80">
        <w:rPr>
          <w:rFonts w:ascii="Verdana" w:hAnsi="Verdana"/>
          <w:sz w:val="20"/>
          <w:szCs w:val="20"/>
        </w:rPr>
        <w:t>, párr. 76)</w:t>
      </w:r>
      <w:r w:rsidRPr="00E66DD7">
        <w:rPr>
          <w:rFonts w:ascii="Verdana" w:hAnsi="Verdana"/>
          <w:sz w:val="20"/>
          <w:szCs w:val="20"/>
        </w:rPr>
        <w:t>.</w:t>
      </w:r>
      <w:r w:rsidRPr="00E66DD7">
        <w:rPr>
          <w:rFonts w:ascii="Verdana" w:hAnsi="Verdana"/>
          <w:color w:val="000000"/>
          <w:sz w:val="20"/>
          <w:szCs w:val="20"/>
        </w:rPr>
        <w:t xml:space="preserve"> Cabe señalar que, de conformidad con lo establecido en el </w:t>
      </w:r>
      <w:r w:rsidRPr="00E66DD7">
        <w:rPr>
          <w:rFonts w:ascii="Verdana" w:hAnsi="Verdana"/>
          <w:sz w:val="20"/>
          <w:szCs w:val="20"/>
          <w:lang w:val="es-MX"/>
        </w:rPr>
        <w:t xml:space="preserve">artículo 233 de la Constitución Peruana de 1979, </w:t>
      </w:r>
      <w:r w:rsidRPr="00E66DD7">
        <w:rPr>
          <w:rFonts w:ascii="Verdana" w:hAnsi="Verdana"/>
          <w:color w:val="000000"/>
          <w:sz w:val="20"/>
          <w:szCs w:val="20"/>
        </w:rPr>
        <w:t xml:space="preserve">para la buena administración de justicia, se requería “motivación escrita de las resoluciones, en todas las instancias, con mención expresa de la ley aplicable y de los fundamentos en que se </w:t>
      </w:r>
      <w:proofErr w:type="gramStart"/>
      <w:r w:rsidRPr="00E66DD7">
        <w:rPr>
          <w:rFonts w:ascii="Verdana" w:hAnsi="Verdana"/>
          <w:color w:val="000000"/>
          <w:sz w:val="20"/>
          <w:szCs w:val="20"/>
        </w:rPr>
        <w:t>sustenta[</w:t>
      </w:r>
      <w:proofErr w:type="spellStart"/>
      <w:proofErr w:type="gramEnd"/>
      <w:r w:rsidRPr="00E66DD7">
        <w:rPr>
          <w:rFonts w:ascii="Verdana" w:hAnsi="Verdana"/>
          <w:color w:val="000000"/>
          <w:sz w:val="20"/>
          <w:szCs w:val="20"/>
        </w:rPr>
        <w:t>ba</w:t>
      </w:r>
      <w:proofErr w:type="spellEnd"/>
      <w:r w:rsidRPr="00E66DD7">
        <w:rPr>
          <w:rFonts w:ascii="Verdana" w:hAnsi="Verdana"/>
          <w:color w:val="000000"/>
          <w:sz w:val="20"/>
          <w:szCs w:val="20"/>
        </w:rPr>
        <w:t xml:space="preserve">]” la </w:t>
      </w:r>
      <w:r w:rsidR="00730D77" w:rsidRPr="00E66DD7">
        <w:rPr>
          <w:rFonts w:ascii="Verdana" w:hAnsi="Verdana"/>
          <w:color w:val="000000"/>
          <w:sz w:val="20"/>
          <w:szCs w:val="20"/>
        </w:rPr>
        <w:t>decisión</w:t>
      </w:r>
      <w:r w:rsidRPr="00E66DD7">
        <w:rPr>
          <w:rFonts w:ascii="Verdana" w:hAnsi="Verdana"/>
          <w:color w:val="000000"/>
          <w:sz w:val="20"/>
          <w:szCs w:val="20"/>
          <w:vertAlign w:val="superscript"/>
        </w:rPr>
        <w:footnoteReference w:id="251"/>
      </w:r>
      <w:r w:rsidRPr="00E66DD7">
        <w:rPr>
          <w:rFonts w:ascii="Verdana" w:hAnsi="Verdana"/>
          <w:color w:val="000000"/>
          <w:sz w:val="20"/>
          <w:szCs w:val="20"/>
        </w:rPr>
        <w:t>.</w:t>
      </w:r>
    </w:p>
    <w:p w14:paraId="5A70B5A5" w14:textId="77777777" w:rsidR="00E66DD7" w:rsidRPr="00E66DD7" w:rsidRDefault="00E66DD7" w:rsidP="00E66DD7">
      <w:pPr>
        <w:contextualSpacing/>
        <w:jc w:val="both"/>
        <w:rPr>
          <w:rFonts w:ascii="Verdana" w:hAnsi="Verdana"/>
          <w:sz w:val="20"/>
          <w:szCs w:val="20"/>
        </w:rPr>
      </w:pPr>
    </w:p>
    <w:p w14:paraId="30F56531" w14:textId="206DFBA1" w:rsidR="00E66DD7" w:rsidRPr="00E66DD7" w:rsidRDefault="00E66DD7" w:rsidP="00E66DD7">
      <w:pPr>
        <w:numPr>
          <w:ilvl w:val="0"/>
          <w:numId w:val="1"/>
        </w:numPr>
        <w:ind w:left="0" w:firstLine="0"/>
        <w:contextualSpacing/>
        <w:jc w:val="both"/>
        <w:rPr>
          <w:rFonts w:ascii="Verdana" w:hAnsi="Verdana"/>
          <w:sz w:val="20"/>
          <w:szCs w:val="20"/>
          <w:lang w:val="es-MX"/>
        </w:rPr>
      </w:pPr>
      <w:r w:rsidRPr="00E66DD7">
        <w:rPr>
          <w:rFonts w:ascii="Verdana" w:hAnsi="Verdana"/>
          <w:sz w:val="20"/>
          <w:szCs w:val="20"/>
          <w:lang w:val="es-MX"/>
        </w:rPr>
        <w:t xml:space="preserve">La Corte nota que a nivel interno el </w:t>
      </w:r>
      <w:r w:rsidRPr="00E66DD7">
        <w:rPr>
          <w:rFonts w:ascii="Verdana" w:hAnsi="Verdana"/>
          <w:sz w:val="20"/>
          <w:szCs w:val="20"/>
          <w:lang w:val="es-EC"/>
        </w:rPr>
        <w:t>señor Lagos del Campo interpuso al menos siete recursos judiciales y varias solicitudes ante los órganos judiciales de Perú</w:t>
      </w:r>
      <w:r w:rsidRPr="00E66DD7">
        <w:rPr>
          <w:rFonts w:ascii="Verdana" w:hAnsi="Verdana"/>
          <w:sz w:val="20"/>
          <w:szCs w:val="20"/>
          <w:vertAlign w:val="superscript"/>
          <w:lang w:val="es-EC"/>
        </w:rPr>
        <w:footnoteReference w:id="252"/>
      </w:r>
      <w:r w:rsidRPr="00E66DD7">
        <w:rPr>
          <w:rFonts w:ascii="Verdana" w:hAnsi="Verdana"/>
          <w:sz w:val="20"/>
          <w:szCs w:val="20"/>
          <w:lang w:val="es-EC"/>
        </w:rPr>
        <w:t xml:space="preserve">, los cuales fueron todos denegados por distintos motivos procesales, mediante los cuales intentó dejar sin efectos la </w:t>
      </w:r>
      <w:r w:rsidR="00685D4D">
        <w:rPr>
          <w:rFonts w:ascii="Verdana" w:hAnsi="Verdana"/>
          <w:sz w:val="20"/>
          <w:szCs w:val="20"/>
          <w:lang w:val="es-EC"/>
        </w:rPr>
        <w:t>S</w:t>
      </w:r>
      <w:r w:rsidRPr="00E66DD7">
        <w:rPr>
          <w:rFonts w:ascii="Verdana" w:hAnsi="Verdana"/>
          <w:sz w:val="20"/>
          <w:szCs w:val="20"/>
          <w:lang w:val="es-EC"/>
        </w:rPr>
        <w:t>entencia que avaló el alegado despido injustificado, haciendo alusión particular a sus derechos constitucionales</w:t>
      </w:r>
      <w:r w:rsidRPr="00E66DD7">
        <w:rPr>
          <w:rFonts w:ascii="Verdana" w:hAnsi="Verdana"/>
          <w:i/>
          <w:sz w:val="20"/>
          <w:szCs w:val="20"/>
          <w:lang w:val="es-EC"/>
        </w:rPr>
        <w:t xml:space="preserve"> a la estabilidad laboral y el debido proceso</w:t>
      </w:r>
      <w:r w:rsidRPr="00E66DD7">
        <w:rPr>
          <w:rFonts w:ascii="Verdana" w:hAnsi="Verdana"/>
          <w:sz w:val="20"/>
          <w:szCs w:val="20"/>
          <w:lang w:val="es-EC"/>
        </w:rPr>
        <w:t xml:space="preserve">. </w:t>
      </w:r>
      <w:r w:rsidRPr="00B06027">
        <w:rPr>
          <w:rFonts w:ascii="Verdana" w:hAnsi="Verdana"/>
          <w:sz w:val="20"/>
          <w:szCs w:val="20"/>
          <w:lang w:val="es-EC"/>
        </w:rPr>
        <w:t>Este Tribunal encuentra de particular relevancia en la fase recursiva la interposición de los recursos de nulidad y amparo.</w:t>
      </w:r>
      <w:r w:rsidRPr="002C4F7B">
        <w:rPr>
          <w:rFonts w:ascii="Verdana" w:hAnsi="Verdana"/>
          <w:sz w:val="20"/>
          <w:szCs w:val="20"/>
          <w:lang w:val="es-EC"/>
        </w:rPr>
        <w:t xml:space="preserve"> </w:t>
      </w:r>
      <w:r w:rsidRPr="00E66DD7">
        <w:rPr>
          <w:rFonts w:ascii="Verdana" w:hAnsi="Verdana"/>
          <w:sz w:val="20"/>
          <w:szCs w:val="20"/>
          <w:lang w:val="es-EC"/>
        </w:rPr>
        <w:t>Al respecto, la Corte hace notar las siguientes omisiones relevantes frente a dichos recursos.</w:t>
      </w:r>
    </w:p>
    <w:p w14:paraId="5137D201" w14:textId="77777777" w:rsidR="00E66DD7" w:rsidRPr="00E66DD7" w:rsidRDefault="00E66DD7" w:rsidP="00E66DD7">
      <w:pPr>
        <w:contextualSpacing/>
        <w:jc w:val="both"/>
        <w:rPr>
          <w:rFonts w:ascii="Verdana" w:hAnsi="Verdana"/>
          <w:sz w:val="20"/>
          <w:szCs w:val="20"/>
          <w:lang w:val="es-MX"/>
        </w:rPr>
      </w:pPr>
    </w:p>
    <w:p w14:paraId="65805BF5" w14:textId="2F28A40E" w:rsidR="00E66DD7" w:rsidRPr="00E66DD7" w:rsidRDefault="00E66DD7" w:rsidP="00E66DD7">
      <w:pPr>
        <w:numPr>
          <w:ilvl w:val="0"/>
          <w:numId w:val="1"/>
        </w:numPr>
        <w:ind w:left="0" w:firstLine="0"/>
        <w:contextualSpacing/>
        <w:jc w:val="both"/>
        <w:rPr>
          <w:rFonts w:ascii="Verdana" w:hAnsi="Verdana"/>
          <w:sz w:val="20"/>
          <w:szCs w:val="20"/>
          <w:lang w:val="es-MX"/>
        </w:rPr>
      </w:pPr>
      <w:r w:rsidRPr="00E66DD7">
        <w:rPr>
          <w:rFonts w:ascii="Verdana" w:hAnsi="Verdana"/>
          <w:sz w:val="20"/>
          <w:szCs w:val="20"/>
          <w:lang w:val="es-MX"/>
        </w:rPr>
        <w:t xml:space="preserve">En primer lugar, ya que no se consideró su escrito de defensa de 1 de agosto de 1991 ante el Segundo Tribunal, mediante el cual alegó los motivos que sustentaban el despido injustificado, en </w:t>
      </w:r>
      <w:r w:rsidRPr="00E66DD7">
        <w:rPr>
          <w:rFonts w:ascii="Verdana" w:hAnsi="Verdana"/>
          <w:sz w:val="20"/>
          <w:szCs w:val="20"/>
        </w:rPr>
        <w:t>contravención del artículo 9º del D.S. 03-80-TR</w:t>
      </w:r>
      <w:r w:rsidRPr="00E66DD7">
        <w:rPr>
          <w:rFonts w:ascii="Verdana" w:hAnsi="Verdana"/>
          <w:sz w:val="20"/>
          <w:szCs w:val="20"/>
          <w:vertAlign w:val="superscript"/>
        </w:rPr>
        <w:footnoteReference w:id="253"/>
      </w:r>
      <w:r w:rsidRPr="00E66DD7">
        <w:rPr>
          <w:rFonts w:ascii="Verdana" w:hAnsi="Verdana"/>
          <w:sz w:val="20"/>
          <w:szCs w:val="20"/>
          <w:lang w:val="es-MX"/>
        </w:rPr>
        <w:t xml:space="preserve">, el señor Lagos continuó impugnando ante diversos órganos esta omisión. La Corte nota que frente al recurso de nulidad contemplado en el </w:t>
      </w:r>
      <w:r w:rsidRPr="00333304">
        <w:rPr>
          <w:rFonts w:ascii="Verdana" w:hAnsi="Verdana"/>
          <w:sz w:val="20"/>
          <w:szCs w:val="20"/>
          <w:lang w:val="es-MX"/>
        </w:rPr>
        <w:t xml:space="preserve">D.S. </w:t>
      </w:r>
      <w:r w:rsidR="002628BE" w:rsidRPr="00333304">
        <w:rPr>
          <w:rFonts w:ascii="Verdana" w:hAnsi="Verdana"/>
          <w:sz w:val="20"/>
          <w:szCs w:val="20"/>
          <w:lang w:val="es-MX"/>
        </w:rPr>
        <w:t>0</w:t>
      </w:r>
      <w:r w:rsidRPr="00333304">
        <w:rPr>
          <w:rFonts w:ascii="Verdana" w:hAnsi="Verdana"/>
          <w:sz w:val="20"/>
          <w:szCs w:val="20"/>
          <w:lang w:val="es-MX"/>
        </w:rPr>
        <w:t>3-80</w:t>
      </w:r>
      <w:r w:rsidR="002628BE" w:rsidRPr="00AA39BC">
        <w:rPr>
          <w:rFonts w:ascii="Verdana" w:hAnsi="Verdana"/>
          <w:sz w:val="20"/>
          <w:szCs w:val="20"/>
          <w:lang w:val="es-MX"/>
        </w:rPr>
        <w:t>-</w:t>
      </w:r>
      <w:r w:rsidR="002628BE">
        <w:rPr>
          <w:rFonts w:ascii="Verdana" w:hAnsi="Verdana"/>
          <w:sz w:val="20"/>
          <w:szCs w:val="20"/>
          <w:lang w:val="es-MX"/>
        </w:rPr>
        <w:t>TR</w:t>
      </w:r>
      <w:r w:rsidRPr="00E66DD7">
        <w:rPr>
          <w:rFonts w:ascii="Verdana" w:hAnsi="Verdana"/>
          <w:sz w:val="20"/>
          <w:szCs w:val="20"/>
          <w:lang w:val="es-MX"/>
        </w:rPr>
        <w:t xml:space="preserve"> (</w:t>
      </w:r>
      <w:r w:rsidRPr="00E66DD7">
        <w:rPr>
          <w:rFonts w:ascii="Verdana" w:hAnsi="Verdana"/>
          <w:i/>
          <w:sz w:val="20"/>
          <w:szCs w:val="20"/>
          <w:lang w:val="es-MX"/>
        </w:rPr>
        <w:t>supra</w:t>
      </w:r>
      <w:r w:rsidRPr="00E66DD7">
        <w:rPr>
          <w:rFonts w:ascii="Verdana" w:hAnsi="Verdana"/>
          <w:sz w:val="20"/>
          <w:szCs w:val="20"/>
          <w:lang w:val="es-MX"/>
        </w:rPr>
        <w:t xml:space="preserve">, párr. </w:t>
      </w:r>
      <w:r w:rsidR="00474F8F">
        <w:rPr>
          <w:rFonts w:ascii="Verdana" w:hAnsi="Verdana"/>
          <w:sz w:val="20"/>
          <w:szCs w:val="20"/>
          <w:lang w:val="es-MX"/>
        </w:rPr>
        <w:t>62</w:t>
      </w:r>
      <w:r w:rsidR="00474F8F" w:rsidRPr="00E66DD7">
        <w:rPr>
          <w:rFonts w:ascii="Verdana" w:hAnsi="Verdana"/>
          <w:sz w:val="20"/>
          <w:szCs w:val="20"/>
          <w:lang w:val="es-MX"/>
        </w:rPr>
        <w:t xml:space="preserve">), </w:t>
      </w:r>
      <w:r w:rsidRPr="00E66DD7">
        <w:rPr>
          <w:rFonts w:ascii="Verdana" w:hAnsi="Verdana"/>
          <w:sz w:val="20"/>
          <w:szCs w:val="20"/>
          <w:lang w:val="es-MX"/>
        </w:rPr>
        <w:t xml:space="preserve">el mismo tribunal que avaló el despido se limitó a señalar que no se habría incurrido en ninguna causal de nulidad, sin mayor motivación y sin pronunciarse sobre los alegatos del señor Lagos del Campo ni sus derechos constitucionales. Posteriormente, con el amparo interpuesto, </w:t>
      </w:r>
      <w:r w:rsidRPr="00E66DD7">
        <w:rPr>
          <w:rFonts w:ascii="Verdana" w:hAnsi="Verdana" w:cs="Verdana"/>
          <w:color w:val="000000"/>
          <w:sz w:val="20"/>
          <w:szCs w:val="20"/>
        </w:rPr>
        <w:t xml:space="preserve">la Quinta Sala Civil de la Corte Superior de Lima señaló que dicho escrito de contestación únicamente correspondía a alegatos y no a medios probatorios. También fue alegada esta omisión expresamente ante la </w:t>
      </w:r>
      <w:r w:rsidRPr="00E66DD7">
        <w:rPr>
          <w:rFonts w:ascii="Verdana" w:hAnsi="Verdana"/>
          <w:sz w:val="20"/>
          <w:szCs w:val="20"/>
          <w:lang w:val="es-MX"/>
        </w:rPr>
        <w:t xml:space="preserve">Sala de Derecho Constitucional y Social de la Corte Suprema, la cual no se pronunció al respecto. La Corte nota que, según la prueba aportada en el presente caso, al resolver el recurso de </w:t>
      </w:r>
      <w:r w:rsidRPr="00E66DD7">
        <w:rPr>
          <w:rFonts w:ascii="Verdana" w:hAnsi="Verdana"/>
          <w:sz w:val="20"/>
          <w:szCs w:val="20"/>
          <w:lang w:val="es-MX"/>
        </w:rPr>
        <w:lastRenderedPageBreak/>
        <w:t xml:space="preserve">apelación, </w:t>
      </w:r>
      <w:r w:rsidRPr="00E66DD7">
        <w:rPr>
          <w:rFonts w:ascii="Verdana" w:hAnsi="Verdana" w:cs="Verdana"/>
          <w:sz w:val="20"/>
          <w:szCs w:val="20"/>
        </w:rPr>
        <w:t xml:space="preserve">el Segundo Tribunal de Trabajo no valoró el escrito presentado por el señor Lagos del Campo ni sus argumentos, vulnerando el </w:t>
      </w:r>
      <w:r w:rsidRPr="00E66DD7">
        <w:rPr>
          <w:rFonts w:ascii="Verdana" w:hAnsi="Verdana" w:cs="Verdana"/>
          <w:color w:val="000000"/>
          <w:sz w:val="20"/>
          <w:szCs w:val="20"/>
        </w:rPr>
        <w:t>principio de contradictorio, respecto de los derechos alegados frente al despido.</w:t>
      </w:r>
      <w:r w:rsidRPr="00E66DD7">
        <w:rPr>
          <w:rFonts w:ascii="Verdana" w:hAnsi="Verdana"/>
          <w:sz w:val="20"/>
          <w:szCs w:val="20"/>
          <w:lang w:val="es-MX"/>
        </w:rPr>
        <w:t xml:space="preserve"> (</w:t>
      </w:r>
      <w:r w:rsidRPr="00E66DD7">
        <w:rPr>
          <w:rFonts w:ascii="Verdana" w:hAnsi="Verdana"/>
          <w:i/>
          <w:sz w:val="20"/>
          <w:szCs w:val="20"/>
          <w:lang w:val="es-MX"/>
        </w:rPr>
        <w:t xml:space="preserve">supra </w:t>
      </w:r>
      <w:r w:rsidRPr="00E66DD7">
        <w:rPr>
          <w:rFonts w:ascii="Verdana" w:hAnsi="Verdana"/>
          <w:sz w:val="20"/>
          <w:szCs w:val="20"/>
          <w:lang w:val="es-MX"/>
        </w:rPr>
        <w:t>párr.</w:t>
      </w:r>
      <w:r w:rsidR="00446B52">
        <w:rPr>
          <w:rFonts w:ascii="Verdana" w:hAnsi="Verdana"/>
          <w:sz w:val="20"/>
          <w:szCs w:val="20"/>
          <w:lang w:val="es-MX"/>
        </w:rPr>
        <w:t xml:space="preserve"> </w:t>
      </w:r>
      <w:r w:rsidR="00AF0B80">
        <w:rPr>
          <w:rFonts w:ascii="Verdana" w:hAnsi="Verdana"/>
          <w:sz w:val="20"/>
          <w:szCs w:val="20"/>
          <w:lang w:val="es-MX"/>
        </w:rPr>
        <w:t>66</w:t>
      </w:r>
      <w:r w:rsidRPr="00E66DD7">
        <w:rPr>
          <w:rFonts w:ascii="Verdana" w:hAnsi="Verdana"/>
          <w:sz w:val="20"/>
          <w:szCs w:val="20"/>
          <w:lang w:val="es-MX"/>
        </w:rPr>
        <w:t>)</w:t>
      </w:r>
      <w:r w:rsidRPr="00E66DD7">
        <w:rPr>
          <w:rFonts w:ascii="Verdana" w:hAnsi="Verdana" w:cs="Verdana"/>
          <w:sz w:val="20"/>
          <w:szCs w:val="20"/>
        </w:rPr>
        <w:t>.</w:t>
      </w:r>
    </w:p>
    <w:p w14:paraId="0854BFEA" w14:textId="77777777" w:rsidR="00E66DD7" w:rsidRPr="00E66DD7" w:rsidRDefault="00E66DD7" w:rsidP="00E66DD7">
      <w:pPr>
        <w:contextualSpacing/>
        <w:jc w:val="both"/>
        <w:rPr>
          <w:rFonts w:ascii="Verdana" w:hAnsi="Verdana" w:cs="Verdana"/>
          <w:color w:val="000000"/>
          <w:sz w:val="20"/>
          <w:szCs w:val="20"/>
          <w:lang w:val="es-MX"/>
        </w:rPr>
      </w:pPr>
    </w:p>
    <w:p w14:paraId="36533BCA" w14:textId="38178F08" w:rsidR="00E66DD7" w:rsidRPr="00E66DD7" w:rsidRDefault="00E66DD7" w:rsidP="00E66DD7">
      <w:pPr>
        <w:numPr>
          <w:ilvl w:val="0"/>
          <w:numId w:val="1"/>
        </w:numPr>
        <w:ind w:left="0" w:firstLine="0"/>
        <w:contextualSpacing/>
        <w:jc w:val="both"/>
        <w:rPr>
          <w:rFonts w:ascii="Verdana" w:hAnsi="Verdana"/>
          <w:sz w:val="20"/>
          <w:szCs w:val="20"/>
          <w:lang w:val="es-EC"/>
        </w:rPr>
      </w:pPr>
      <w:r w:rsidRPr="00E66DD7">
        <w:rPr>
          <w:rFonts w:ascii="Verdana" w:hAnsi="Verdana" w:cs="Verdana"/>
          <w:color w:val="000000"/>
          <w:sz w:val="20"/>
          <w:szCs w:val="20"/>
        </w:rPr>
        <w:t>En segundo lugar, el señor Lagos interpuso un primer recurso de amparo (1991) a</w:t>
      </w:r>
      <w:r w:rsidRPr="00E66DD7">
        <w:rPr>
          <w:rFonts w:ascii="Verdana" w:hAnsi="Verdana"/>
          <w:color w:val="000000"/>
          <w:sz w:val="20"/>
          <w:szCs w:val="20"/>
        </w:rPr>
        <w:t xml:space="preserve">nte la Sala Civil de la Corte Superior de Lima en la cual alegó, entre otros, violaciones de su </w:t>
      </w:r>
      <w:r w:rsidRPr="00333304">
        <w:rPr>
          <w:rFonts w:ascii="Verdana" w:hAnsi="Verdana"/>
          <w:color w:val="000000"/>
          <w:sz w:val="20"/>
          <w:szCs w:val="20"/>
        </w:rPr>
        <w:t>derecho a la estabilidad laboral y debido proceso legal</w:t>
      </w:r>
      <w:r w:rsidRPr="00E66DD7">
        <w:rPr>
          <w:rFonts w:ascii="Verdana" w:hAnsi="Verdana"/>
          <w:color w:val="000000"/>
          <w:sz w:val="20"/>
          <w:szCs w:val="20"/>
        </w:rPr>
        <w:t xml:space="preserve">, consagrados en los artículos 48 y 233 de la Constitución. Dicha Sala no resolvió los alegatos relacionados con los derechos sustantivos (constitucionales), sino que se limitó a </w:t>
      </w:r>
      <w:r w:rsidR="00474F8F" w:rsidRPr="00AF0B80">
        <w:rPr>
          <w:rFonts w:ascii="Verdana" w:hAnsi="Verdana"/>
          <w:color w:val="000000"/>
          <w:sz w:val="20"/>
          <w:szCs w:val="20"/>
        </w:rPr>
        <w:t>indicar</w:t>
      </w:r>
      <w:r w:rsidRPr="00AF0B80">
        <w:rPr>
          <w:rFonts w:ascii="Verdana" w:hAnsi="Verdana"/>
          <w:color w:val="000000"/>
          <w:sz w:val="20"/>
          <w:szCs w:val="20"/>
        </w:rPr>
        <w:t xml:space="preserve"> </w:t>
      </w:r>
      <w:r w:rsidRPr="00E66DD7">
        <w:rPr>
          <w:rFonts w:ascii="Verdana" w:hAnsi="Verdana"/>
          <w:color w:val="000000"/>
          <w:sz w:val="20"/>
          <w:szCs w:val="20"/>
        </w:rPr>
        <w:t>que no se determinaba un agravio a su debido proceso y por tanto declaró el recurso como improcedente (</w:t>
      </w:r>
      <w:r w:rsidRPr="00E66DD7">
        <w:rPr>
          <w:rFonts w:ascii="Verdana" w:hAnsi="Verdana"/>
          <w:i/>
          <w:color w:val="000000"/>
          <w:sz w:val="20"/>
          <w:szCs w:val="20"/>
        </w:rPr>
        <w:t>supra</w:t>
      </w:r>
      <w:r w:rsidRPr="00E66DD7">
        <w:rPr>
          <w:rFonts w:ascii="Verdana" w:hAnsi="Verdana"/>
          <w:color w:val="000000"/>
          <w:sz w:val="20"/>
          <w:szCs w:val="20"/>
        </w:rPr>
        <w:t xml:space="preserve">, párr. </w:t>
      </w:r>
      <w:r w:rsidR="00AF0B80">
        <w:rPr>
          <w:rFonts w:ascii="Verdana" w:hAnsi="Verdana"/>
          <w:color w:val="000000"/>
          <w:sz w:val="20"/>
          <w:szCs w:val="20"/>
        </w:rPr>
        <w:t>63</w:t>
      </w:r>
      <w:r w:rsidR="00AF0B80" w:rsidRPr="00E66DD7">
        <w:rPr>
          <w:rFonts w:ascii="Verdana" w:hAnsi="Verdana"/>
          <w:color w:val="000000"/>
          <w:sz w:val="20"/>
          <w:szCs w:val="20"/>
        </w:rPr>
        <w:t xml:space="preserve">). </w:t>
      </w:r>
      <w:r w:rsidRPr="00E66DD7">
        <w:rPr>
          <w:rFonts w:ascii="Verdana" w:hAnsi="Verdana"/>
          <w:sz w:val="20"/>
          <w:szCs w:val="20"/>
        </w:rPr>
        <w:t>Al respecto, e</w:t>
      </w:r>
      <w:r w:rsidRPr="00E66DD7">
        <w:rPr>
          <w:rFonts w:ascii="Verdana" w:hAnsi="Verdana"/>
          <w:sz w:val="20"/>
          <w:szCs w:val="20"/>
          <w:lang w:val="es-EC"/>
        </w:rPr>
        <w:t>l Artículo 295 de la Constitución</w:t>
      </w:r>
      <w:r w:rsidRPr="00E66DD7">
        <w:rPr>
          <w:rFonts w:ascii="Verdana" w:hAnsi="Verdana"/>
          <w:sz w:val="20"/>
          <w:szCs w:val="20"/>
          <w:vertAlign w:val="superscript"/>
          <w:lang w:val="es-EC"/>
        </w:rPr>
        <w:footnoteReference w:id="254"/>
      </w:r>
      <w:r w:rsidRPr="00E66DD7">
        <w:rPr>
          <w:rFonts w:ascii="Verdana" w:hAnsi="Verdana"/>
          <w:sz w:val="20"/>
          <w:szCs w:val="20"/>
          <w:lang w:val="es-EC"/>
        </w:rPr>
        <w:t>, contemplaba la acción de amparo, cuya finalidad consistía en tutelar los derechos reconocidos por la Constitución.</w:t>
      </w:r>
    </w:p>
    <w:p w14:paraId="32298EAC" w14:textId="77777777" w:rsidR="00E66DD7" w:rsidRPr="00E66DD7" w:rsidRDefault="00E66DD7" w:rsidP="00E66DD7">
      <w:pPr>
        <w:contextualSpacing/>
        <w:jc w:val="both"/>
        <w:rPr>
          <w:rFonts w:ascii="Verdana" w:hAnsi="Verdana"/>
          <w:color w:val="000000"/>
          <w:sz w:val="20"/>
          <w:szCs w:val="20"/>
        </w:rPr>
      </w:pPr>
    </w:p>
    <w:p w14:paraId="7F533199" w14:textId="493DEE0E" w:rsidR="00E66DD7" w:rsidRPr="00E66DD7" w:rsidRDefault="00E66DD7" w:rsidP="00E66DD7">
      <w:pPr>
        <w:numPr>
          <w:ilvl w:val="0"/>
          <w:numId w:val="1"/>
        </w:numPr>
        <w:ind w:left="0" w:firstLine="0"/>
        <w:contextualSpacing/>
        <w:jc w:val="both"/>
        <w:rPr>
          <w:rFonts w:ascii="Verdana" w:hAnsi="Verdana"/>
          <w:sz w:val="20"/>
          <w:szCs w:val="20"/>
          <w:lang w:val="es-MX"/>
        </w:rPr>
      </w:pPr>
      <w:r w:rsidRPr="00E66DD7">
        <w:rPr>
          <w:rFonts w:ascii="Verdana" w:hAnsi="Verdana"/>
          <w:color w:val="000000"/>
          <w:sz w:val="20"/>
          <w:szCs w:val="20"/>
        </w:rPr>
        <w:t>Así, el Tribunal estima</w:t>
      </w:r>
      <w:r w:rsidR="00446B52">
        <w:rPr>
          <w:rFonts w:ascii="Verdana" w:hAnsi="Verdana"/>
          <w:color w:val="000000"/>
          <w:sz w:val="20"/>
          <w:szCs w:val="20"/>
        </w:rPr>
        <w:t>,</w:t>
      </w:r>
      <w:r w:rsidRPr="00E66DD7">
        <w:rPr>
          <w:rFonts w:ascii="Verdana" w:hAnsi="Verdana"/>
          <w:color w:val="000000"/>
          <w:sz w:val="20"/>
          <w:szCs w:val="20"/>
        </w:rPr>
        <w:t xml:space="preserve"> que si bien el recurso de amparo estaba diseñado para tutelar los derechos constitucionales, en el presente caso, la falta de consideración de los </w:t>
      </w:r>
      <w:r w:rsidRPr="00E66DD7">
        <w:rPr>
          <w:rFonts w:ascii="Verdana" w:hAnsi="Verdana"/>
          <w:i/>
          <w:color w:val="000000"/>
          <w:sz w:val="20"/>
          <w:szCs w:val="20"/>
        </w:rPr>
        <w:t>derechos a la estabilidad laboral y debido proceso</w:t>
      </w:r>
      <w:r w:rsidRPr="00E66DD7">
        <w:rPr>
          <w:rFonts w:ascii="Verdana" w:hAnsi="Verdana"/>
          <w:color w:val="000000"/>
          <w:sz w:val="20"/>
          <w:szCs w:val="20"/>
        </w:rPr>
        <w:t>, impidieron que el recurso de amparo pudiera producir el resultado para el cual fue concebido</w:t>
      </w:r>
      <w:r w:rsidRPr="00E66DD7">
        <w:rPr>
          <w:rFonts w:ascii="Verdana" w:hAnsi="Verdana"/>
          <w:color w:val="000000"/>
          <w:sz w:val="20"/>
          <w:szCs w:val="20"/>
          <w:vertAlign w:val="superscript"/>
        </w:rPr>
        <w:footnoteReference w:id="255"/>
      </w:r>
      <w:r w:rsidRPr="00E66DD7">
        <w:rPr>
          <w:rFonts w:ascii="Verdana" w:hAnsi="Verdana"/>
          <w:color w:val="000000"/>
          <w:sz w:val="20"/>
          <w:szCs w:val="20"/>
        </w:rPr>
        <w:t xml:space="preserve">. </w:t>
      </w:r>
      <w:r w:rsidRPr="00E66DD7">
        <w:rPr>
          <w:rFonts w:ascii="Verdana" w:hAnsi="Verdana" w:cs="Verdana"/>
          <w:sz w:val="20"/>
          <w:szCs w:val="20"/>
        </w:rPr>
        <w:t>En este sentido, la Corte ha sostenido que el análisis por la autoridad competente de un recurso judicial</w:t>
      </w:r>
      <w:r w:rsidR="00AF0B80" w:rsidRPr="00AF0B80">
        <w:rPr>
          <w:rFonts w:ascii="Arial" w:hAnsi="Arial" w:cs="Arial"/>
          <w:color w:val="545454"/>
          <w:shd w:val="clear" w:color="auto" w:fill="FFFFFF"/>
        </w:rPr>
        <w:t xml:space="preserve"> </w:t>
      </w:r>
      <w:r w:rsidR="00AF0B80" w:rsidRPr="00C73350">
        <w:rPr>
          <w:rFonts w:ascii="Verdana" w:hAnsi="Verdana" w:cs="Verdana"/>
          <w:sz w:val="20"/>
          <w:szCs w:val="20"/>
        </w:rPr>
        <w:t>—</w:t>
      </w:r>
      <w:r w:rsidRPr="00C73350">
        <w:rPr>
          <w:rFonts w:ascii="Verdana" w:hAnsi="Verdana" w:cs="Verdana"/>
          <w:sz w:val="20"/>
          <w:szCs w:val="20"/>
        </w:rPr>
        <w:t>que controvierte derechos constitucionales como la estabilidad laboral y el derecho al debido proceso</w:t>
      </w:r>
      <w:r w:rsidR="00AF0B80" w:rsidRPr="00A532BE">
        <w:rPr>
          <w:rFonts w:ascii="Verdana" w:hAnsi="Verdana" w:cs="Arial"/>
          <w:sz w:val="20"/>
          <w:szCs w:val="20"/>
          <w:shd w:val="clear" w:color="auto" w:fill="FFFFFF"/>
        </w:rPr>
        <w:t>—</w:t>
      </w:r>
      <w:r w:rsidRPr="00C73350">
        <w:rPr>
          <w:rFonts w:ascii="Verdana" w:hAnsi="Verdana" w:cs="Verdana"/>
          <w:sz w:val="20"/>
          <w:szCs w:val="20"/>
        </w:rPr>
        <w:t>,</w:t>
      </w:r>
      <w:r w:rsidRPr="00E66DD7">
        <w:rPr>
          <w:rFonts w:ascii="Verdana" w:hAnsi="Verdana" w:cs="Verdana"/>
          <w:sz w:val="20"/>
          <w:szCs w:val="20"/>
        </w:rPr>
        <w:t xml:space="preserve"> no puede reducirse a una mera formalidad y omitir argumentos de las partes, ya que debe examinar sus razones y manifestarse sobre ellas conforme a los parámetros establecidos por la Convención Americana</w:t>
      </w:r>
      <w:r w:rsidRPr="00E66DD7">
        <w:rPr>
          <w:rFonts w:ascii="Verdana" w:hAnsi="Verdana" w:cs="Verdana"/>
          <w:sz w:val="20"/>
          <w:szCs w:val="20"/>
          <w:vertAlign w:val="superscript"/>
        </w:rPr>
        <w:footnoteReference w:id="256"/>
      </w:r>
      <w:r w:rsidRPr="00E66DD7">
        <w:rPr>
          <w:rFonts w:ascii="Verdana" w:hAnsi="Verdana" w:cs="Verdana"/>
          <w:sz w:val="20"/>
          <w:szCs w:val="20"/>
        </w:rPr>
        <w:t>.</w:t>
      </w:r>
    </w:p>
    <w:p w14:paraId="35A2C7F9" w14:textId="77777777" w:rsidR="00E66DD7" w:rsidRPr="00E66DD7" w:rsidRDefault="00E66DD7" w:rsidP="00E66DD7">
      <w:pPr>
        <w:contextualSpacing/>
        <w:jc w:val="both"/>
        <w:rPr>
          <w:rFonts w:ascii="Verdana" w:hAnsi="Verdana"/>
          <w:color w:val="000000"/>
          <w:sz w:val="20"/>
          <w:szCs w:val="20"/>
        </w:rPr>
      </w:pPr>
    </w:p>
    <w:p w14:paraId="40DE6C01" w14:textId="1B5F4E0E" w:rsidR="00E66DD7" w:rsidRPr="00E66DD7" w:rsidRDefault="00E66DD7" w:rsidP="00E66DD7">
      <w:pPr>
        <w:numPr>
          <w:ilvl w:val="0"/>
          <w:numId w:val="1"/>
        </w:numPr>
        <w:ind w:left="0" w:firstLine="0"/>
        <w:contextualSpacing/>
        <w:jc w:val="both"/>
        <w:rPr>
          <w:rFonts w:ascii="Verdana" w:hAnsi="Verdana" w:cs="Verdana"/>
          <w:sz w:val="20"/>
          <w:szCs w:val="20"/>
        </w:rPr>
      </w:pPr>
      <w:r w:rsidRPr="00E66DD7">
        <w:rPr>
          <w:rFonts w:ascii="Verdana" w:hAnsi="Verdana"/>
          <w:color w:val="000000"/>
          <w:sz w:val="20"/>
          <w:szCs w:val="20"/>
        </w:rPr>
        <w:t xml:space="preserve">En tercer lugar, el señor Lagos interpuso otro recurso de nulidad (1993) ante </w:t>
      </w:r>
      <w:r w:rsidRPr="00E66DD7">
        <w:rPr>
          <w:rFonts w:ascii="Verdana" w:hAnsi="Verdana" w:cs="Verdana"/>
          <w:sz w:val="20"/>
          <w:szCs w:val="20"/>
        </w:rPr>
        <w:t xml:space="preserve">la Sala Constitucional y Social de la Corte Suprema, la cual declaró no haber nulidad de la </w:t>
      </w:r>
      <w:r w:rsidR="00474F8F">
        <w:rPr>
          <w:rFonts w:ascii="Verdana" w:hAnsi="Verdana" w:cs="Verdana"/>
          <w:sz w:val="20"/>
          <w:szCs w:val="20"/>
        </w:rPr>
        <w:t>S</w:t>
      </w:r>
      <w:r w:rsidRPr="00E66DD7">
        <w:rPr>
          <w:rFonts w:ascii="Verdana" w:hAnsi="Verdana" w:cs="Verdana"/>
          <w:sz w:val="20"/>
          <w:szCs w:val="20"/>
        </w:rPr>
        <w:t xml:space="preserve">entencia de la Quinta Sala Civil. En su resolución de 15 de marzo de 1993 la Sala se limitó a señalar “que conforme a lo dictaminado por el señor Fiscal [Supremo de lo Contencioso Administrativo]; [tomando en cuenta] sus </w:t>
      </w:r>
      <w:proofErr w:type="gramStart"/>
      <w:r w:rsidRPr="00E66DD7">
        <w:rPr>
          <w:rFonts w:ascii="Verdana" w:hAnsi="Verdana" w:cs="Verdana"/>
          <w:sz w:val="20"/>
          <w:szCs w:val="20"/>
        </w:rPr>
        <w:t>fundamentos[</w:t>
      </w:r>
      <w:proofErr w:type="gramEnd"/>
      <w:r w:rsidRPr="00E66DD7">
        <w:rPr>
          <w:rFonts w:ascii="Verdana" w:hAnsi="Verdana" w:cs="Verdana"/>
          <w:sz w:val="20"/>
          <w:szCs w:val="20"/>
        </w:rPr>
        <w:t xml:space="preserve">,] </w:t>
      </w:r>
      <w:proofErr w:type="spellStart"/>
      <w:r w:rsidRPr="00E66DD7">
        <w:rPr>
          <w:rFonts w:ascii="Verdana" w:hAnsi="Verdana" w:cs="Verdana"/>
          <w:sz w:val="20"/>
          <w:szCs w:val="20"/>
        </w:rPr>
        <w:t>declar</w:t>
      </w:r>
      <w:proofErr w:type="spellEnd"/>
      <w:r w:rsidRPr="00E66DD7">
        <w:rPr>
          <w:rFonts w:ascii="Verdana" w:hAnsi="Verdana" w:cs="Verdana"/>
          <w:sz w:val="20"/>
          <w:szCs w:val="20"/>
        </w:rPr>
        <w:t>[</w:t>
      </w:r>
      <w:proofErr w:type="spellStart"/>
      <w:r w:rsidRPr="00E66DD7">
        <w:rPr>
          <w:rFonts w:ascii="Verdana" w:hAnsi="Verdana" w:cs="Verdana"/>
          <w:sz w:val="20"/>
          <w:szCs w:val="20"/>
        </w:rPr>
        <w:t>ó</w:t>
      </w:r>
      <w:proofErr w:type="spellEnd"/>
      <w:r w:rsidRPr="00E66DD7">
        <w:rPr>
          <w:rFonts w:ascii="Verdana" w:hAnsi="Verdana" w:cs="Verdana"/>
          <w:sz w:val="20"/>
          <w:szCs w:val="20"/>
        </w:rPr>
        <w:t>] no haber nulidad”. Dicho dictamen del Fiscal señaló que “las decisiones judiciales del Fuero de Trabajo y Comunidades Laborales que queden consentidas y ejecutoriadas tienen autoridad de cosa juzgada”, por lo que revisarla comportaría revivir un proceso fenecido y por ende un atentado contra la cosa juzgada. Al respecto, la Corte nota que de acuerdo con dicha decisión, luego de la segunda instancia en materia laboral, no habría posibilidad de revisar o controvertir aspectos medulares de la decisión definitiva.</w:t>
      </w:r>
    </w:p>
    <w:p w14:paraId="2FE24652" w14:textId="77777777" w:rsidR="00E66DD7" w:rsidRPr="00E66DD7" w:rsidRDefault="00E66DD7" w:rsidP="00E66DD7">
      <w:pPr>
        <w:contextualSpacing/>
        <w:jc w:val="both"/>
        <w:rPr>
          <w:rFonts w:ascii="Verdana" w:hAnsi="Verdana" w:cs="Verdana"/>
          <w:color w:val="000000"/>
          <w:sz w:val="20"/>
          <w:szCs w:val="20"/>
          <w:lang w:val="es-MX"/>
        </w:rPr>
      </w:pPr>
    </w:p>
    <w:p w14:paraId="16B0771B" w14:textId="77777777" w:rsidR="00E66DD7" w:rsidRPr="00E66DD7" w:rsidRDefault="00E66DD7" w:rsidP="00E66DD7">
      <w:pPr>
        <w:numPr>
          <w:ilvl w:val="0"/>
          <w:numId w:val="1"/>
        </w:numPr>
        <w:ind w:left="0" w:firstLine="0"/>
        <w:contextualSpacing/>
        <w:jc w:val="both"/>
        <w:rPr>
          <w:rFonts w:ascii="Verdana" w:hAnsi="Verdana" w:cs="Arial"/>
          <w:sz w:val="20"/>
          <w:szCs w:val="20"/>
        </w:rPr>
      </w:pPr>
      <w:r w:rsidRPr="00E66DD7">
        <w:rPr>
          <w:rFonts w:ascii="Verdana" w:hAnsi="Verdana" w:cs="Verdana"/>
          <w:color w:val="000000"/>
          <w:sz w:val="20"/>
          <w:szCs w:val="20"/>
        </w:rPr>
        <w:t xml:space="preserve">En cuarto lugar, luego de que fue negado el recurso de amparo en el año 1992, el señor Lagos del Campo continuó interponiendo diversos recursos. </w:t>
      </w:r>
      <w:r w:rsidRPr="00E66DD7">
        <w:rPr>
          <w:rFonts w:ascii="Verdana" w:hAnsi="Verdana"/>
          <w:color w:val="000000"/>
          <w:sz w:val="20"/>
          <w:szCs w:val="20"/>
        </w:rPr>
        <w:t xml:space="preserve">Una vez establecido el Tribunal Constitucional en 1996, éste solicitó que el proceso de amparo </w:t>
      </w:r>
      <w:r w:rsidRPr="00E66DD7">
        <w:rPr>
          <w:rFonts w:ascii="Verdana" w:hAnsi="Verdana" w:cs="Arial"/>
          <w:sz w:val="20"/>
          <w:szCs w:val="20"/>
        </w:rPr>
        <w:t>fuera elevado ante dicho tribunal</w:t>
      </w:r>
      <w:r w:rsidRPr="00E66DD7">
        <w:rPr>
          <w:rFonts w:ascii="Verdana" w:hAnsi="Verdana"/>
          <w:color w:val="000000"/>
          <w:sz w:val="20"/>
          <w:szCs w:val="20"/>
        </w:rPr>
        <w:t xml:space="preserve">, pero la Tercera Sala Civil Especializada declaró improcedente su solicitud, al exigirle haber interpuesto un recurso de casación en el plazo de 15 días posterior a su denegatoria (3 de agosto de 1992). </w:t>
      </w:r>
    </w:p>
    <w:p w14:paraId="0AD60CF2" w14:textId="77777777" w:rsidR="00E66DD7" w:rsidRPr="00E66DD7" w:rsidRDefault="00E66DD7" w:rsidP="00E66DD7">
      <w:pPr>
        <w:contextualSpacing/>
        <w:jc w:val="both"/>
        <w:rPr>
          <w:rFonts w:ascii="Verdana" w:hAnsi="Verdana" w:cs="Arial"/>
          <w:sz w:val="20"/>
          <w:szCs w:val="20"/>
        </w:rPr>
      </w:pPr>
    </w:p>
    <w:p w14:paraId="50BB53FD" w14:textId="324223B0" w:rsidR="00E66DD7" w:rsidRPr="00E66DD7" w:rsidRDefault="00E66DD7" w:rsidP="00E66DD7">
      <w:pPr>
        <w:numPr>
          <w:ilvl w:val="0"/>
          <w:numId w:val="1"/>
        </w:numPr>
        <w:ind w:left="0" w:firstLine="0"/>
        <w:contextualSpacing/>
        <w:jc w:val="both"/>
        <w:rPr>
          <w:rFonts w:ascii="Verdana" w:hAnsi="Verdana" w:cs="Arial"/>
          <w:sz w:val="20"/>
          <w:szCs w:val="20"/>
        </w:rPr>
      </w:pPr>
      <w:r w:rsidRPr="00E66DD7">
        <w:rPr>
          <w:rFonts w:ascii="Verdana" w:hAnsi="Verdana"/>
          <w:color w:val="000000"/>
          <w:sz w:val="20"/>
          <w:szCs w:val="20"/>
        </w:rPr>
        <w:t xml:space="preserve">Al respecto, la Corte nota </w:t>
      </w:r>
      <w:r w:rsidRPr="00E66DD7">
        <w:rPr>
          <w:rFonts w:ascii="Verdana" w:hAnsi="Verdana" w:cs="Arial"/>
          <w:sz w:val="20"/>
          <w:szCs w:val="20"/>
        </w:rPr>
        <w:t xml:space="preserve">que en la época que le fue negado el amparo el Tribunal de Garantías Constitucionales se encontraba suspendido, en virtud del cese de los magistrados, </w:t>
      </w:r>
      <w:r w:rsidRPr="00E66DD7">
        <w:rPr>
          <w:rFonts w:ascii="Verdana" w:hAnsi="Verdana" w:cs="Arial"/>
          <w:sz w:val="20"/>
          <w:szCs w:val="20"/>
        </w:rPr>
        <w:lastRenderedPageBreak/>
        <w:t xml:space="preserve">mediante el Decreto Ley </w:t>
      </w:r>
      <w:r w:rsidRPr="00333304">
        <w:rPr>
          <w:rFonts w:ascii="Verdana" w:hAnsi="Verdana" w:cs="Arial"/>
          <w:sz w:val="20"/>
          <w:szCs w:val="20"/>
        </w:rPr>
        <w:t>No. 25422</w:t>
      </w:r>
      <w:r w:rsidRPr="00E66DD7">
        <w:rPr>
          <w:rFonts w:ascii="Verdana" w:hAnsi="Verdana" w:cs="Arial"/>
          <w:sz w:val="20"/>
          <w:szCs w:val="20"/>
        </w:rPr>
        <w:t xml:space="preserve"> de 9 de abril de 1992</w:t>
      </w:r>
      <w:r w:rsidRPr="00E66DD7">
        <w:rPr>
          <w:rFonts w:ascii="Verdana" w:hAnsi="Verdana" w:cs="Verdana"/>
          <w:color w:val="000000"/>
          <w:sz w:val="20"/>
          <w:szCs w:val="20"/>
          <w:vertAlign w:val="superscript"/>
        </w:rPr>
        <w:footnoteReference w:id="257"/>
      </w:r>
      <w:r w:rsidRPr="00E66DD7">
        <w:rPr>
          <w:rFonts w:ascii="Verdana" w:hAnsi="Verdana" w:cs="Arial"/>
          <w:sz w:val="20"/>
          <w:szCs w:val="20"/>
        </w:rPr>
        <w:t xml:space="preserve">. En vista de lo anterior, no era exigible que la víctima debiera agotar un recurso que, al momento de los hechos, no se encontraba disponible o que sería ilusorio agotarlo siendo que el Tribunal no estaba en funciones </w:t>
      </w:r>
      <w:r w:rsidRPr="00E66DD7">
        <w:rPr>
          <w:rFonts w:ascii="Verdana" w:hAnsi="Verdana" w:cs="Verdana"/>
          <w:color w:val="000000"/>
          <w:sz w:val="20"/>
          <w:szCs w:val="20"/>
        </w:rPr>
        <w:t>(artículo 46.2 b de la Convención</w:t>
      </w:r>
      <w:r w:rsidRPr="00E66DD7">
        <w:rPr>
          <w:rFonts w:ascii="Verdana" w:hAnsi="Verdana" w:cs="Verdana"/>
          <w:color w:val="000000"/>
          <w:sz w:val="20"/>
          <w:szCs w:val="20"/>
          <w:vertAlign w:val="superscript"/>
        </w:rPr>
        <w:footnoteReference w:id="258"/>
      </w:r>
      <w:r w:rsidRPr="00E66DD7">
        <w:rPr>
          <w:rFonts w:ascii="Verdana" w:hAnsi="Verdana" w:cs="Verdana"/>
          <w:color w:val="000000"/>
          <w:sz w:val="20"/>
          <w:szCs w:val="20"/>
        </w:rPr>
        <w:t>).</w:t>
      </w:r>
      <w:r w:rsidRPr="00E66DD7">
        <w:rPr>
          <w:rFonts w:ascii="Verdana" w:hAnsi="Verdana" w:cs="Arial"/>
          <w:sz w:val="20"/>
          <w:szCs w:val="20"/>
        </w:rPr>
        <w:t xml:space="preserve"> </w:t>
      </w:r>
    </w:p>
    <w:p w14:paraId="3D91F3F7" w14:textId="77777777" w:rsidR="00E66DD7" w:rsidRPr="00E66DD7" w:rsidRDefault="00E66DD7" w:rsidP="00E66DD7">
      <w:pPr>
        <w:contextualSpacing/>
        <w:jc w:val="both"/>
        <w:rPr>
          <w:rFonts w:ascii="Verdana" w:hAnsi="Verdana" w:cs="Arial"/>
          <w:sz w:val="20"/>
          <w:szCs w:val="20"/>
        </w:rPr>
      </w:pPr>
    </w:p>
    <w:p w14:paraId="23492984" w14:textId="77777777" w:rsidR="00E66DD7" w:rsidRPr="00E66DD7" w:rsidRDefault="00E66DD7" w:rsidP="00E66DD7">
      <w:pPr>
        <w:numPr>
          <w:ilvl w:val="0"/>
          <w:numId w:val="1"/>
        </w:numPr>
        <w:ind w:left="0" w:firstLine="0"/>
        <w:contextualSpacing/>
        <w:jc w:val="both"/>
        <w:rPr>
          <w:rFonts w:ascii="Verdana" w:hAnsi="Verdana"/>
          <w:sz w:val="20"/>
          <w:szCs w:val="20"/>
          <w:lang w:val="es-MX"/>
        </w:rPr>
      </w:pPr>
      <w:r w:rsidRPr="00E66DD7">
        <w:rPr>
          <w:rFonts w:ascii="Verdana" w:hAnsi="Verdana" w:cs="Verdana"/>
          <w:sz w:val="20"/>
          <w:szCs w:val="20"/>
        </w:rPr>
        <w:t>La Corte recuerda que la inexistencia de un recurso efectivo contra las violaciones a los derechos reconocidos por la Convención, constituye una transgresión de la misma por el Estado Parte. En ese sentido, debe subrayarse que, para que tal recurso exista, no basta con que esté previsto por la Constitución o la ley o con que sea formalmente admisible, sino que se requiere que sea realmente idóneo para establecer si se ha incurrido en una violación a los derechos humanos y proveer lo necesario para remediarla. No pueden considerarse efectivos aquellos recursos que, por las condiciones generales del país o incluso por las circunstancias particulares de un caso dado, resulten ilusorios</w:t>
      </w:r>
      <w:r w:rsidRPr="00E66DD7">
        <w:rPr>
          <w:rFonts w:ascii="Verdana" w:hAnsi="Verdana" w:cs="Verdana"/>
          <w:sz w:val="20"/>
          <w:szCs w:val="20"/>
          <w:vertAlign w:val="superscript"/>
        </w:rPr>
        <w:footnoteReference w:id="259"/>
      </w:r>
      <w:r w:rsidRPr="00E66DD7">
        <w:rPr>
          <w:rFonts w:ascii="Verdana" w:hAnsi="Verdana" w:cs="Verdana"/>
          <w:sz w:val="20"/>
          <w:szCs w:val="20"/>
        </w:rPr>
        <w:t>.</w:t>
      </w:r>
    </w:p>
    <w:p w14:paraId="012FAFD7" w14:textId="77777777" w:rsidR="00E66DD7" w:rsidRPr="00E66DD7" w:rsidRDefault="00E66DD7" w:rsidP="00E66DD7">
      <w:pPr>
        <w:contextualSpacing/>
        <w:jc w:val="both"/>
        <w:rPr>
          <w:rFonts w:ascii="Verdana" w:hAnsi="Verdana"/>
          <w:sz w:val="20"/>
          <w:szCs w:val="20"/>
        </w:rPr>
      </w:pPr>
    </w:p>
    <w:p w14:paraId="1D796E40" w14:textId="2ED6344C" w:rsidR="00E66DD7" w:rsidRPr="00E66DD7" w:rsidRDefault="00E66DD7" w:rsidP="00E66DD7">
      <w:pPr>
        <w:numPr>
          <w:ilvl w:val="0"/>
          <w:numId w:val="1"/>
        </w:numPr>
        <w:ind w:left="0" w:firstLine="0"/>
        <w:contextualSpacing/>
        <w:jc w:val="both"/>
        <w:rPr>
          <w:rFonts w:ascii="Verdana" w:hAnsi="Verdana"/>
          <w:sz w:val="20"/>
          <w:szCs w:val="20"/>
          <w:lang w:val="es-CR"/>
        </w:rPr>
      </w:pPr>
      <w:r w:rsidRPr="00E66DD7">
        <w:rPr>
          <w:rFonts w:ascii="Verdana" w:hAnsi="Verdana"/>
          <w:sz w:val="20"/>
          <w:szCs w:val="20"/>
        </w:rPr>
        <w:t>Resulta relevante mencionar que</w:t>
      </w:r>
      <w:r w:rsidRPr="00E66DD7">
        <w:rPr>
          <w:rFonts w:ascii="Verdana" w:hAnsi="Verdana"/>
          <w:sz w:val="20"/>
          <w:szCs w:val="20"/>
          <w:lang w:val="es-CR"/>
        </w:rPr>
        <w:t xml:space="preserve"> la sanción </w:t>
      </w:r>
      <w:r w:rsidR="00474F8F">
        <w:rPr>
          <w:rFonts w:ascii="Verdana" w:hAnsi="Verdana"/>
          <w:sz w:val="20"/>
          <w:szCs w:val="20"/>
          <w:lang w:val="es-CR"/>
        </w:rPr>
        <w:t>establecida</w:t>
      </w:r>
      <w:r w:rsidRPr="00E66DD7">
        <w:rPr>
          <w:rFonts w:ascii="Verdana" w:hAnsi="Verdana"/>
          <w:sz w:val="20"/>
          <w:szCs w:val="20"/>
          <w:lang w:val="es-CR"/>
        </w:rPr>
        <w:t xml:space="preserve"> en el caso fue la máxima conminada por </w:t>
      </w:r>
      <w:r w:rsidR="00474F8F">
        <w:rPr>
          <w:rFonts w:ascii="Verdana" w:hAnsi="Verdana"/>
          <w:sz w:val="20"/>
          <w:szCs w:val="20"/>
          <w:lang w:val="es-CR"/>
        </w:rPr>
        <w:t xml:space="preserve">las </w:t>
      </w:r>
      <w:r w:rsidRPr="00E66DD7">
        <w:rPr>
          <w:rFonts w:ascii="Verdana" w:hAnsi="Verdana"/>
          <w:sz w:val="20"/>
          <w:szCs w:val="20"/>
          <w:lang w:val="es-CR"/>
        </w:rPr>
        <w:t xml:space="preserve">normas del derecho del trabajo, que es el despido justificado o legal, en que a título sancionatorio se hace cesar la condición misma de trabajador, o sea, se lo expulsa de una categoría y se le priva de un derecho fundamental y en ocasiones indispensable para la supervivencia y realización de otros derechos. La lesión arbitraria a la estabilidad laboral es susceptible de afectar incluso la propia identidad subjetiva de la persona </w:t>
      </w:r>
      <w:r w:rsidR="00474F8F">
        <w:rPr>
          <w:rFonts w:ascii="Verdana" w:hAnsi="Verdana"/>
          <w:sz w:val="20"/>
          <w:szCs w:val="20"/>
          <w:lang w:val="es-CR"/>
        </w:rPr>
        <w:t>e incluso</w:t>
      </w:r>
      <w:r w:rsidRPr="00E66DD7">
        <w:rPr>
          <w:rFonts w:ascii="Verdana" w:hAnsi="Verdana"/>
          <w:sz w:val="20"/>
          <w:szCs w:val="20"/>
          <w:lang w:val="es-CR"/>
        </w:rPr>
        <w:t xml:space="preserve"> trascender, afectando a terceros vinculados.</w:t>
      </w:r>
    </w:p>
    <w:p w14:paraId="568747FE" w14:textId="77777777" w:rsidR="00E66DD7" w:rsidRPr="00E66DD7" w:rsidRDefault="00E66DD7" w:rsidP="00E66DD7">
      <w:pPr>
        <w:contextualSpacing/>
        <w:jc w:val="both"/>
        <w:rPr>
          <w:rFonts w:ascii="Verdana" w:hAnsi="Verdana"/>
          <w:sz w:val="20"/>
          <w:szCs w:val="20"/>
        </w:rPr>
      </w:pPr>
    </w:p>
    <w:p w14:paraId="1EE1D034" w14:textId="67E27DAE" w:rsidR="00E66DD7" w:rsidRPr="00E66DD7" w:rsidRDefault="00E66DD7" w:rsidP="00E66DD7">
      <w:pPr>
        <w:numPr>
          <w:ilvl w:val="0"/>
          <w:numId w:val="1"/>
        </w:numPr>
        <w:ind w:left="0" w:firstLine="0"/>
        <w:contextualSpacing/>
        <w:jc w:val="both"/>
        <w:rPr>
          <w:rFonts w:ascii="Verdana" w:hAnsi="Verdana"/>
          <w:sz w:val="20"/>
          <w:szCs w:val="20"/>
          <w:lang w:val="es-CR"/>
        </w:rPr>
      </w:pPr>
      <w:r w:rsidRPr="00E66DD7">
        <w:rPr>
          <w:rFonts w:ascii="Verdana" w:hAnsi="Verdana"/>
          <w:sz w:val="20"/>
          <w:szCs w:val="20"/>
          <w:lang w:val="es-CR"/>
        </w:rPr>
        <w:t>Si bien todo despido importa una sanción de máxima gravedad, se destaca que en algunos casos se presenta con particulares caracteres sancionatorios de mayor o especia</w:t>
      </w:r>
      <w:r w:rsidR="00446B52">
        <w:rPr>
          <w:rFonts w:ascii="Verdana" w:hAnsi="Verdana"/>
          <w:sz w:val="20"/>
          <w:szCs w:val="20"/>
          <w:lang w:val="es-CR"/>
        </w:rPr>
        <w:t>l</w:t>
      </w:r>
      <w:r w:rsidRPr="00E66DD7">
        <w:rPr>
          <w:rFonts w:ascii="Verdana" w:hAnsi="Verdana"/>
          <w:sz w:val="20"/>
          <w:szCs w:val="20"/>
          <w:lang w:val="es-CR"/>
        </w:rPr>
        <w:t xml:space="preserve"> gravedad, que requieren ampliamente una protección judicial. En el presente caso</w:t>
      </w:r>
      <w:r w:rsidR="00474F8F">
        <w:rPr>
          <w:rFonts w:ascii="Verdana" w:hAnsi="Verdana"/>
          <w:sz w:val="20"/>
          <w:szCs w:val="20"/>
          <w:lang w:val="es-CR"/>
        </w:rPr>
        <w:t>,</w:t>
      </w:r>
      <w:r w:rsidRPr="00E66DD7">
        <w:rPr>
          <w:rFonts w:ascii="Verdana" w:hAnsi="Verdana"/>
          <w:sz w:val="20"/>
          <w:szCs w:val="20"/>
          <w:lang w:val="es-CR"/>
        </w:rPr>
        <w:t xml:space="preserve"> la particular gravedad sancionatoria del despido se halla en el reforzamiento de la estabilidad laboral con la condición de representante democráticamente electo de la persona afectada y con la violación del derecho a expresar libremente sus ideas. </w:t>
      </w:r>
    </w:p>
    <w:p w14:paraId="57FD0C7E" w14:textId="77777777" w:rsidR="00E66DD7" w:rsidRPr="00E66DD7" w:rsidRDefault="00E66DD7" w:rsidP="00E66DD7">
      <w:pPr>
        <w:contextualSpacing/>
        <w:jc w:val="both"/>
        <w:rPr>
          <w:rFonts w:ascii="Verdana" w:hAnsi="Verdana"/>
          <w:sz w:val="20"/>
          <w:szCs w:val="20"/>
          <w:lang w:val="es-CR"/>
        </w:rPr>
      </w:pPr>
    </w:p>
    <w:p w14:paraId="21D5210E" w14:textId="77777777" w:rsidR="00E66DD7" w:rsidRPr="00E66DD7" w:rsidRDefault="00E66DD7" w:rsidP="00E66DD7">
      <w:pPr>
        <w:pStyle w:val="Heading3"/>
        <w:numPr>
          <w:ilvl w:val="0"/>
          <w:numId w:val="24"/>
        </w:numPr>
        <w:rPr>
          <w:i/>
          <w:szCs w:val="20"/>
          <w:lang w:val="es-MX"/>
        </w:rPr>
      </w:pPr>
      <w:bookmarkStart w:id="62" w:name="_Toc498333518"/>
      <w:r w:rsidRPr="00E66DD7">
        <w:rPr>
          <w:i/>
          <w:szCs w:val="20"/>
          <w:lang w:val="es-MX"/>
        </w:rPr>
        <w:t>Conclusión</w:t>
      </w:r>
      <w:bookmarkEnd w:id="62"/>
    </w:p>
    <w:p w14:paraId="0861E36A" w14:textId="77777777" w:rsidR="00E66DD7" w:rsidRPr="00E66DD7" w:rsidRDefault="00E66DD7" w:rsidP="00E66DD7">
      <w:pPr>
        <w:contextualSpacing/>
        <w:jc w:val="both"/>
        <w:rPr>
          <w:rFonts w:ascii="Verdana" w:hAnsi="Verdana"/>
          <w:sz w:val="20"/>
          <w:szCs w:val="20"/>
        </w:rPr>
      </w:pPr>
    </w:p>
    <w:p w14:paraId="336CC57D" w14:textId="6424A778" w:rsidR="00D9601C" w:rsidRPr="00E66DD7" w:rsidRDefault="00E66DD7" w:rsidP="00E66DD7">
      <w:pPr>
        <w:numPr>
          <w:ilvl w:val="0"/>
          <w:numId w:val="1"/>
        </w:numPr>
        <w:ind w:left="0" w:firstLine="0"/>
        <w:contextualSpacing/>
        <w:jc w:val="both"/>
        <w:rPr>
          <w:rFonts w:ascii="Calibri" w:hAnsi="Calibri"/>
          <w:sz w:val="22"/>
          <w:szCs w:val="22"/>
          <w:lang w:val="es-MX"/>
        </w:rPr>
      </w:pPr>
      <w:r w:rsidRPr="00E66DD7">
        <w:rPr>
          <w:rFonts w:ascii="Verdana" w:hAnsi="Verdana"/>
          <w:sz w:val="20"/>
          <w:szCs w:val="20"/>
        </w:rPr>
        <w:t xml:space="preserve">En vista de lo anterior, quedó establecido que: i) en el proceso de segunda instancia no se valoraron los alegatos de defensa de la víctima, lo cual </w:t>
      </w:r>
      <w:r w:rsidR="00052F47">
        <w:rPr>
          <w:rFonts w:ascii="Verdana" w:hAnsi="Verdana"/>
          <w:sz w:val="20"/>
          <w:szCs w:val="20"/>
        </w:rPr>
        <w:t>no</w:t>
      </w:r>
      <w:r w:rsidRPr="00E66DD7">
        <w:rPr>
          <w:rFonts w:ascii="Verdana" w:hAnsi="Verdana"/>
          <w:sz w:val="20"/>
          <w:szCs w:val="20"/>
        </w:rPr>
        <w:t xml:space="preserve"> fue corregido</w:t>
      </w:r>
      <w:r w:rsidR="00880163">
        <w:rPr>
          <w:rFonts w:ascii="Verdana" w:hAnsi="Verdana"/>
          <w:sz w:val="20"/>
          <w:szCs w:val="20"/>
        </w:rPr>
        <w:t xml:space="preserve"> en las diversas instancias</w:t>
      </w:r>
      <w:r w:rsidRPr="00E66DD7">
        <w:rPr>
          <w:rFonts w:ascii="Verdana" w:hAnsi="Verdana"/>
          <w:sz w:val="20"/>
          <w:szCs w:val="20"/>
        </w:rPr>
        <w:t>; ii) el primer recurso de nulidad fue conocido y denegado por el mismo Tribunal que avaló el despido; iii) el recurso de amparo no se pronunció sobre los derechos sustantivos (Constitucionales) alegados por el señor Lagos</w:t>
      </w:r>
      <w:r w:rsidR="00880163">
        <w:rPr>
          <w:rFonts w:ascii="Verdana" w:hAnsi="Verdana"/>
          <w:sz w:val="20"/>
          <w:szCs w:val="20"/>
        </w:rPr>
        <w:t xml:space="preserve"> del Campo</w:t>
      </w:r>
      <w:r w:rsidRPr="00E66DD7">
        <w:rPr>
          <w:rFonts w:ascii="Verdana" w:hAnsi="Verdana"/>
          <w:sz w:val="20"/>
          <w:szCs w:val="20"/>
        </w:rPr>
        <w:t>, al considerar</w:t>
      </w:r>
      <w:r w:rsidR="002C4F7B">
        <w:rPr>
          <w:rFonts w:ascii="Verdana" w:hAnsi="Verdana"/>
          <w:sz w:val="20"/>
          <w:szCs w:val="20"/>
        </w:rPr>
        <w:t xml:space="preserve"> </w:t>
      </w:r>
      <w:r w:rsidR="002C4F7B" w:rsidRPr="00333304">
        <w:rPr>
          <w:rFonts w:ascii="Verdana" w:hAnsi="Verdana"/>
          <w:sz w:val="20"/>
          <w:szCs w:val="20"/>
        </w:rPr>
        <w:t>que</w:t>
      </w:r>
      <w:r w:rsidRPr="00E66DD7">
        <w:rPr>
          <w:rFonts w:ascii="Verdana" w:hAnsi="Verdana"/>
          <w:sz w:val="20"/>
          <w:szCs w:val="20"/>
        </w:rPr>
        <w:t xml:space="preserve"> era cosa juzgada, y</w:t>
      </w:r>
      <w:r w:rsidR="00880163">
        <w:rPr>
          <w:rFonts w:ascii="Verdana" w:hAnsi="Verdana"/>
          <w:sz w:val="20"/>
          <w:szCs w:val="20"/>
        </w:rPr>
        <w:t xml:space="preserve"> iv) </w:t>
      </w:r>
      <w:r w:rsidRPr="00E66DD7">
        <w:rPr>
          <w:rFonts w:ascii="Verdana" w:hAnsi="Verdana"/>
          <w:sz w:val="20"/>
          <w:szCs w:val="20"/>
        </w:rPr>
        <w:t>se le exigió que agotará un recurso que a la época de los hechos era ilusorio.</w:t>
      </w:r>
      <w:r w:rsidRPr="00E66DD7">
        <w:rPr>
          <w:rFonts w:ascii="Calibri" w:hAnsi="Calibri"/>
          <w:sz w:val="22"/>
          <w:szCs w:val="22"/>
          <w:lang w:val="es-MX"/>
        </w:rPr>
        <w:t xml:space="preserve"> </w:t>
      </w:r>
      <w:r w:rsidRPr="00E66DD7">
        <w:rPr>
          <w:rFonts w:ascii="Verdana" w:hAnsi="Verdana"/>
          <w:sz w:val="20"/>
          <w:szCs w:val="20"/>
          <w:lang w:val="es-CR"/>
        </w:rPr>
        <w:t>Por</w:t>
      </w:r>
      <w:r w:rsidRPr="00E66DD7">
        <w:rPr>
          <w:rFonts w:ascii="Verdana" w:hAnsi="Verdana" w:cs="Verdana"/>
          <w:sz w:val="20"/>
          <w:szCs w:val="20"/>
        </w:rPr>
        <w:t xml:space="preserve"> tanto, este Tribunal considera que </w:t>
      </w:r>
      <w:r w:rsidRPr="00E66DD7">
        <w:rPr>
          <w:rFonts w:ascii="Verdana" w:hAnsi="Verdana"/>
          <w:sz w:val="20"/>
          <w:szCs w:val="20"/>
          <w:lang w:val="es-CR"/>
        </w:rPr>
        <w:t xml:space="preserve">el Estado </w:t>
      </w:r>
      <w:r w:rsidR="002C4F7B" w:rsidRPr="00333304">
        <w:rPr>
          <w:rFonts w:ascii="Verdana" w:hAnsi="Verdana"/>
          <w:sz w:val="20"/>
          <w:szCs w:val="20"/>
          <w:lang w:val="es-CR"/>
        </w:rPr>
        <w:t>v</w:t>
      </w:r>
      <w:r w:rsidR="001D4D46" w:rsidRPr="00333304">
        <w:rPr>
          <w:rFonts w:ascii="Verdana" w:hAnsi="Verdana"/>
          <w:sz w:val="20"/>
          <w:szCs w:val="20"/>
          <w:lang w:val="es-CR"/>
        </w:rPr>
        <w:t>ioló</w:t>
      </w:r>
      <w:r w:rsidR="002C4F7B">
        <w:rPr>
          <w:rFonts w:ascii="Verdana" w:hAnsi="Verdana"/>
          <w:sz w:val="20"/>
          <w:szCs w:val="20"/>
          <w:lang w:val="es-CR"/>
        </w:rPr>
        <w:t xml:space="preserve"> </w:t>
      </w:r>
      <w:r w:rsidRPr="00E66DD7">
        <w:rPr>
          <w:rFonts w:ascii="Verdana" w:hAnsi="Verdana" w:cs="Verdana"/>
          <w:sz w:val="20"/>
          <w:szCs w:val="20"/>
        </w:rPr>
        <w:t xml:space="preserve">los artículos 8.1 y 25.1 de dicha Convención, en relación con </w:t>
      </w:r>
      <w:r w:rsidR="001D4D46" w:rsidRPr="00333304">
        <w:rPr>
          <w:rFonts w:ascii="Verdana" w:hAnsi="Verdana" w:cs="Verdana"/>
          <w:sz w:val="20"/>
          <w:szCs w:val="20"/>
        </w:rPr>
        <w:t>el</w:t>
      </w:r>
      <w:r w:rsidR="001D4D46" w:rsidRPr="00B06027">
        <w:rPr>
          <w:rFonts w:ascii="Verdana" w:hAnsi="Verdana" w:cs="Verdana"/>
          <w:b/>
          <w:sz w:val="20"/>
          <w:szCs w:val="20"/>
        </w:rPr>
        <w:t xml:space="preserve"> </w:t>
      </w:r>
      <w:r w:rsidRPr="00E66DD7">
        <w:rPr>
          <w:rFonts w:ascii="Verdana" w:hAnsi="Verdana" w:cs="Verdana"/>
          <w:sz w:val="20"/>
          <w:szCs w:val="20"/>
        </w:rPr>
        <w:t>artículo 1.1</w:t>
      </w:r>
      <w:r w:rsidR="00334B6C">
        <w:rPr>
          <w:rFonts w:ascii="Verdana" w:hAnsi="Verdana" w:cs="Verdana"/>
          <w:sz w:val="20"/>
          <w:szCs w:val="20"/>
        </w:rPr>
        <w:t xml:space="preserve"> de la misma</w:t>
      </w:r>
      <w:r w:rsidR="001D4D46">
        <w:rPr>
          <w:rFonts w:ascii="Verdana" w:hAnsi="Verdana" w:cs="Verdana"/>
          <w:sz w:val="20"/>
          <w:szCs w:val="20"/>
        </w:rPr>
        <w:t xml:space="preserve">, </w:t>
      </w:r>
      <w:r w:rsidRPr="00E66DD7">
        <w:rPr>
          <w:rFonts w:ascii="Verdana" w:hAnsi="Verdana" w:cs="Verdana"/>
          <w:sz w:val="20"/>
          <w:szCs w:val="20"/>
        </w:rPr>
        <w:t xml:space="preserve">en perjuicio del señor Lagos del Campo. </w:t>
      </w:r>
    </w:p>
    <w:p w14:paraId="44DA5CA7" w14:textId="77777777" w:rsidR="00880261" w:rsidRPr="00E66DD7" w:rsidRDefault="00880261" w:rsidP="00DF09C1">
      <w:pPr>
        <w:contextualSpacing/>
        <w:jc w:val="both"/>
        <w:rPr>
          <w:rFonts w:ascii="Verdana" w:hAnsi="Verdana" w:cs="Verdana"/>
          <w:spacing w:val="-2"/>
          <w:sz w:val="20"/>
          <w:szCs w:val="20"/>
          <w:lang w:val="es-MX"/>
        </w:rPr>
      </w:pPr>
    </w:p>
    <w:p w14:paraId="1CC83FE7" w14:textId="6A756ED2" w:rsidR="009C5D55" w:rsidRPr="00C0187C" w:rsidRDefault="00374FC9" w:rsidP="00C0187C">
      <w:pPr>
        <w:pStyle w:val="Heading1"/>
        <w:tabs>
          <w:tab w:val="left" w:pos="851"/>
        </w:tabs>
        <w:spacing w:before="0"/>
        <w:jc w:val="center"/>
        <w:rPr>
          <w:rFonts w:cs="Verdana"/>
          <w:caps/>
          <w:snapToGrid w:val="0"/>
          <w:szCs w:val="20"/>
        </w:rPr>
      </w:pPr>
      <w:bookmarkStart w:id="63" w:name="_Toc498333519"/>
      <w:r>
        <w:rPr>
          <w:rFonts w:cs="Verdana"/>
          <w:caps/>
          <w:snapToGrid w:val="0"/>
          <w:szCs w:val="20"/>
        </w:rPr>
        <w:lastRenderedPageBreak/>
        <w:t>VIII</w:t>
      </w:r>
      <w:bookmarkEnd w:id="63"/>
    </w:p>
    <w:p w14:paraId="4948543D" w14:textId="77777777" w:rsidR="009C5D55" w:rsidRPr="00C0187C" w:rsidRDefault="009C5D55" w:rsidP="00C0187C">
      <w:pPr>
        <w:pStyle w:val="Heading1"/>
        <w:tabs>
          <w:tab w:val="left" w:pos="851"/>
        </w:tabs>
        <w:spacing w:before="0"/>
        <w:jc w:val="center"/>
        <w:rPr>
          <w:rFonts w:cs="Verdana"/>
          <w:caps/>
          <w:snapToGrid w:val="0"/>
          <w:szCs w:val="20"/>
        </w:rPr>
      </w:pPr>
      <w:bookmarkStart w:id="64" w:name="_Toc482355945"/>
      <w:bookmarkStart w:id="65" w:name="_Toc498333520"/>
      <w:r w:rsidRPr="00C0187C">
        <w:rPr>
          <w:rFonts w:cs="Verdana"/>
          <w:caps/>
          <w:snapToGrid w:val="0"/>
          <w:szCs w:val="20"/>
        </w:rPr>
        <w:t>REPARACIONES</w:t>
      </w:r>
      <w:bookmarkEnd w:id="64"/>
      <w:bookmarkEnd w:id="65"/>
    </w:p>
    <w:p w14:paraId="76D48166" w14:textId="77777777" w:rsidR="009C5D55" w:rsidRPr="00C0187C" w:rsidRDefault="009C5D55" w:rsidP="00C0187C">
      <w:pPr>
        <w:pStyle w:val="Heading1"/>
        <w:tabs>
          <w:tab w:val="left" w:pos="851"/>
        </w:tabs>
        <w:spacing w:before="0"/>
        <w:jc w:val="center"/>
        <w:rPr>
          <w:rFonts w:cs="Verdana"/>
          <w:caps/>
          <w:snapToGrid w:val="0"/>
          <w:szCs w:val="20"/>
        </w:rPr>
      </w:pPr>
      <w:bookmarkStart w:id="66" w:name="_Toc498333521"/>
      <w:r w:rsidRPr="00C0187C">
        <w:rPr>
          <w:rFonts w:cs="Verdana"/>
          <w:caps/>
          <w:snapToGrid w:val="0"/>
          <w:szCs w:val="20"/>
        </w:rPr>
        <w:t>(Aplicación del artículo 63.1 de la Convención Americana)</w:t>
      </w:r>
      <w:bookmarkEnd w:id="66"/>
    </w:p>
    <w:p w14:paraId="51750CB5" w14:textId="77777777" w:rsidR="009C5D55" w:rsidRPr="009C5D55" w:rsidRDefault="009C5D55" w:rsidP="009C5D55">
      <w:pPr>
        <w:widowControl w:val="0"/>
        <w:tabs>
          <w:tab w:val="center" w:pos="567"/>
        </w:tabs>
        <w:autoSpaceDE w:val="0"/>
        <w:autoSpaceDN w:val="0"/>
        <w:adjustRightInd w:val="0"/>
        <w:ind w:right="-90"/>
        <w:contextualSpacing/>
        <w:jc w:val="both"/>
        <w:rPr>
          <w:rFonts w:ascii="Verdana" w:hAnsi="Verdana"/>
          <w:sz w:val="20"/>
          <w:szCs w:val="20"/>
          <w:lang w:val="es-CR"/>
        </w:rPr>
      </w:pPr>
    </w:p>
    <w:p w14:paraId="12754FC0" w14:textId="32DCB363" w:rsidR="009C5D55" w:rsidRPr="009C5D55" w:rsidRDefault="009C5D55" w:rsidP="00E66DD7">
      <w:pPr>
        <w:widowControl w:val="0"/>
        <w:numPr>
          <w:ilvl w:val="0"/>
          <w:numId w:val="1"/>
        </w:numPr>
        <w:tabs>
          <w:tab w:val="center" w:pos="0"/>
        </w:tabs>
        <w:autoSpaceDE w:val="0"/>
        <w:autoSpaceDN w:val="0"/>
        <w:adjustRightInd w:val="0"/>
        <w:ind w:left="0" w:firstLine="0"/>
        <w:contextualSpacing/>
        <w:jc w:val="both"/>
        <w:rPr>
          <w:rFonts w:ascii="Verdana" w:hAnsi="Verdana"/>
          <w:sz w:val="20"/>
          <w:szCs w:val="20"/>
          <w:lang w:val="es-CR"/>
        </w:rPr>
      </w:pPr>
      <w:r w:rsidRPr="009C5D55">
        <w:rPr>
          <w:rFonts w:ascii="Verdana" w:hAnsi="Verdana"/>
          <w:sz w:val="20"/>
          <w:szCs w:val="20"/>
          <w:lang w:val="es-CR" w:bidi="en-US"/>
        </w:rPr>
        <w:t>Con base en lo dispuesto en el artículo 63.1 de la Convención Americana</w:t>
      </w:r>
      <w:r w:rsidRPr="009C5D55">
        <w:rPr>
          <w:rFonts w:ascii="Verdana" w:hAnsi="Verdana"/>
          <w:caps/>
          <w:sz w:val="20"/>
          <w:szCs w:val="20"/>
          <w:vertAlign w:val="superscript"/>
          <w:lang w:val="es-CR"/>
        </w:rPr>
        <w:footnoteReference w:id="260"/>
      </w:r>
      <w:r w:rsidRPr="009C5D55">
        <w:rPr>
          <w:rFonts w:ascii="Verdana" w:hAnsi="Verdana"/>
          <w:sz w:val="20"/>
          <w:szCs w:val="20"/>
          <w:lang w:val="es-CR" w:bidi="en-US"/>
        </w:rPr>
        <w:t>, la Corte ha indicado que toda violación de una obligación internacional que haya producido daño comporta el deber de repararlo adecuadamente y que esa disposición “recoge una norma consuetudinaria que constituye uno de los principios fundamentales del Derecho Internacional contemporáneo sobre responsabilidad de un Estado”</w:t>
      </w:r>
      <w:r w:rsidRPr="009C5D55">
        <w:rPr>
          <w:rFonts w:ascii="Verdana" w:hAnsi="Verdana"/>
          <w:sz w:val="20"/>
          <w:szCs w:val="20"/>
          <w:vertAlign w:val="superscript"/>
          <w:lang w:val="es-CR"/>
        </w:rPr>
        <w:footnoteReference w:id="261"/>
      </w:r>
      <w:r w:rsidRPr="009C5D55">
        <w:rPr>
          <w:rFonts w:ascii="Verdana" w:hAnsi="Verdana"/>
          <w:sz w:val="20"/>
          <w:szCs w:val="20"/>
          <w:lang w:val="es-CR" w:bidi="en-US"/>
        </w:rPr>
        <w:t xml:space="preserve">. </w:t>
      </w:r>
    </w:p>
    <w:p w14:paraId="398143FB" w14:textId="77777777" w:rsidR="009C5D55" w:rsidRPr="009C5D55" w:rsidRDefault="009C5D55" w:rsidP="00C0187C">
      <w:pPr>
        <w:tabs>
          <w:tab w:val="center" w:pos="0"/>
        </w:tabs>
        <w:contextualSpacing/>
        <w:rPr>
          <w:rFonts w:ascii="Verdana" w:hAnsi="Verdana"/>
          <w:sz w:val="20"/>
          <w:szCs w:val="20"/>
          <w:lang w:val="es-CR" w:bidi="en-US"/>
        </w:rPr>
      </w:pPr>
    </w:p>
    <w:p w14:paraId="2F19B5BF" w14:textId="77777777" w:rsidR="009C5D55" w:rsidRPr="009C5D55" w:rsidRDefault="009C5D55" w:rsidP="00E66DD7">
      <w:pPr>
        <w:widowControl w:val="0"/>
        <w:numPr>
          <w:ilvl w:val="0"/>
          <w:numId w:val="1"/>
        </w:numPr>
        <w:tabs>
          <w:tab w:val="center" w:pos="0"/>
        </w:tabs>
        <w:autoSpaceDE w:val="0"/>
        <w:autoSpaceDN w:val="0"/>
        <w:adjustRightInd w:val="0"/>
        <w:ind w:left="0" w:firstLine="0"/>
        <w:contextualSpacing/>
        <w:jc w:val="both"/>
        <w:rPr>
          <w:rFonts w:ascii="Verdana" w:hAnsi="Verdana"/>
          <w:sz w:val="20"/>
          <w:szCs w:val="20"/>
          <w:lang w:val="es-CR"/>
        </w:rPr>
      </w:pPr>
      <w:r w:rsidRPr="009C5D55">
        <w:rPr>
          <w:rFonts w:ascii="Verdana" w:hAnsi="Verdana"/>
          <w:sz w:val="20"/>
          <w:szCs w:val="20"/>
          <w:lang w:val="es-CR" w:bidi="en-US"/>
        </w:rPr>
        <w:t>La Corte ha establecido que las reparaciones deben tener</w:t>
      </w:r>
      <w:r w:rsidRPr="009C5D55">
        <w:rPr>
          <w:rFonts w:ascii="Verdana" w:hAnsi="Verdana"/>
          <w:sz w:val="20"/>
          <w:szCs w:val="20"/>
          <w:lang w:val="es-CR"/>
        </w:rPr>
        <w:t xml:space="preserve"> </w:t>
      </w:r>
      <w:r w:rsidRPr="009C5D55">
        <w:rPr>
          <w:rFonts w:ascii="Verdana" w:hAnsi="Verdana"/>
          <w:sz w:val="20"/>
          <w:szCs w:val="20"/>
          <w:lang w:val="es-CR" w:bidi="en-US"/>
        </w:rPr>
        <w:t>un nexo causal con los hechos del caso, las violaciones declaradas, los daños acreditados, así como con las medidas solicitadas para reparar l</w:t>
      </w:r>
      <w:r w:rsidRPr="009C5D55">
        <w:rPr>
          <w:rFonts w:ascii="Verdana" w:hAnsi="Verdana"/>
          <w:sz w:val="20"/>
          <w:szCs w:val="20"/>
          <w:lang w:val="es-CR"/>
        </w:rPr>
        <w:t>o</w:t>
      </w:r>
      <w:r w:rsidRPr="009C5D55">
        <w:rPr>
          <w:rFonts w:ascii="Verdana" w:hAnsi="Verdana"/>
          <w:sz w:val="20"/>
          <w:szCs w:val="20"/>
          <w:lang w:val="es-CR" w:bidi="en-US"/>
        </w:rPr>
        <w:t>s daños respectivos. Por lo tanto, la Corte deberá analizar dicha concurrencia para pronunciarse debidamente y conforme a derecho</w:t>
      </w:r>
      <w:r w:rsidRPr="009C5D55">
        <w:rPr>
          <w:rFonts w:ascii="Verdana" w:hAnsi="Verdana"/>
          <w:sz w:val="20"/>
          <w:szCs w:val="20"/>
          <w:vertAlign w:val="superscript"/>
          <w:lang w:val="es-CR" w:bidi="en-US"/>
        </w:rPr>
        <w:footnoteReference w:id="262"/>
      </w:r>
      <w:r w:rsidRPr="009C5D55">
        <w:rPr>
          <w:rFonts w:ascii="Verdana" w:hAnsi="Verdana"/>
          <w:sz w:val="20"/>
          <w:szCs w:val="20"/>
          <w:lang w:val="es-CR" w:bidi="en-US"/>
        </w:rPr>
        <w:t>.</w:t>
      </w:r>
      <w:r w:rsidRPr="009C5D55">
        <w:rPr>
          <w:rFonts w:ascii="Verdana" w:hAnsi="Verdana"/>
          <w:sz w:val="20"/>
          <w:szCs w:val="20"/>
          <w:lang w:val="es-CR"/>
        </w:rPr>
        <w:t xml:space="preserve"> </w:t>
      </w:r>
    </w:p>
    <w:p w14:paraId="085E37C2" w14:textId="77777777" w:rsidR="009C5D55" w:rsidRPr="009C5D55" w:rsidRDefault="009C5D55" w:rsidP="00C0187C">
      <w:pPr>
        <w:widowControl w:val="0"/>
        <w:tabs>
          <w:tab w:val="center" w:pos="0"/>
          <w:tab w:val="center" w:pos="567"/>
        </w:tabs>
        <w:autoSpaceDE w:val="0"/>
        <w:autoSpaceDN w:val="0"/>
        <w:adjustRightInd w:val="0"/>
        <w:contextualSpacing/>
        <w:jc w:val="both"/>
        <w:rPr>
          <w:rFonts w:ascii="Verdana" w:hAnsi="Verdana"/>
          <w:sz w:val="20"/>
          <w:szCs w:val="20"/>
          <w:lang w:val="es-CR"/>
        </w:rPr>
      </w:pPr>
    </w:p>
    <w:p w14:paraId="218DB903" w14:textId="77777777" w:rsidR="009C5D55" w:rsidRPr="009C5D55" w:rsidRDefault="009C5D55" w:rsidP="00E66DD7">
      <w:pPr>
        <w:widowControl w:val="0"/>
        <w:numPr>
          <w:ilvl w:val="0"/>
          <w:numId w:val="1"/>
        </w:numPr>
        <w:tabs>
          <w:tab w:val="center" w:pos="0"/>
          <w:tab w:val="center" w:pos="567"/>
        </w:tabs>
        <w:autoSpaceDE w:val="0"/>
        <w:autoSpaceDN w:val="0"/>
        <w:adjustRightInd w:val="0"/>
        <w:ind w:left="0" w:firstLine="0"/>
        <w:contextualSpacing/>
        <w:jc w:val="both"/>
        <w:rPr>
          <w:rFonts w:ascii="Verdana" w:hAnsi="Verdana"/>
          <w:sz w:val="20"/>
          <w:szCs w:val="20"/>
          <w:lang w:val="es-CR"/>
        </w:rPr>
      </w:pPr>
      <w:r w:rsidRPr="009C5D55">
        <w:rPr>
          <w:rFonts w:ascii="Verdana" w:hAnsi="Verdana"/>
          <w:sz w:val="20"/>
          <w:szCs w:val="20"/>
          <w:lang w:val="es-CR" w:bidi="en-US"/>
        </w:rPr>
        <w:t>La reparación del daño ocasionado por la infracción</w:t>
      </w:r>
      <w:r w:rsidRPr="009C5D55">
        <w:rPr>
          <w:rFonts w:ascii="Verdana" w:hAnsi="Verdana"/>
          <w:sz w:val="20"/>
          <w:szCs w:val="20"/>
          <w:lang w:val="es-CR"/>
        </w:rPr>
        <w:t xml:space="preserve"> </w:t>
      </w:r>
      <w:r w:rsidRPr="009C5D55">
        <w:rPr>
          <w:rFonts w:ascii="Verdana" w:hAnsi="Verdana"/>
          <w:sz w:val="20"/>
          <w:szCs w:val="20"/>
          <w:lang w:val="es-CR" w:bidi="en-US"/>
        </w:rPr>
        <w:t>de una obl</w:t>
      </w:r>
      <w:r w:rsidRPr="009C5D55">
        <w:rPr>
          <w:rFonts w:ascii="Verdana" w:hAnsi="Verdana"/>
          <w:sz w:val="20"/>
          <w:szCs w:val="20"/>
          <w:lang w:val="es-CR"/>
        </w:rPr>
        <w:t xml:space="preserve">igación internacional requiere, siempre que sea posible, la plena restitución, que consiste en el restablecimiento de la situación anterior. De no ser esto factible, el Tribunal determinará </w:t>
      </w:r>
      <w:r w:rsidRPr="009C5D55">
        <w:rPr>
          <w:rFonts w:ascii="Verdana" w:hAnsi="Verdana"/>
          <w:sz w:val="20"/>
          <w:szCs w:val="20"/>
          <w:lang w:val="es-CR" w:bidi="en-US"/>
        </w:rPr>
        <w:t>medidas</w:t>
      </w:r>
      <w:r w:rsidRPr="009C5D55">
        <w:rPr>
          <w:rFonts w:ascii="Verdana" w:hAnsi="Verdana"/>
          <w:sz w:val="20"/>
          <w:szCs w:val="20"/>
          <w:lang w:val="es-CR"/>
        </w:rPr>
        <w:t xml:space="preserve"> para garantizar los derechos conculcado</w:t>
      </w:r>
      <w:r w:rsidRPr="009C5D55">
        <w:rPr>
          <w:rFonts w:ascii="Verdana" w:hAnsi="Verdana"/>
          <w:sz w:val="20"/>
          <w:szCs w:val="20"/>
          <w:lang w:val="es-CR" w:bidi="en-US"/>
        </w:rPr>
        <w:t>s</w:t>
      </w:r>
      <w:r w:rsidRPr="009C5D55">
        <w:rPr>
          <w:rFonts w:ascii="Verdana" w:hAnsi="Verdana"/>
          <w:sz w:val="20"/>
          <w:szCs w:val="20"/>
          <w:lang w:val="es-CR"/>
        </w:rPr>
        <w:t xml:space="preserve"> y reparar las consecuencias que las infracciones produjeron</w:t>
      </w:r>
      <w:r w:rsidRPr="009C5D55">
        <w:rPr>
          <w:rFonts w:ascii="Verdana" w:eastAsia="MS Mincho" w:hAnsi="Verdana"/>
          <w:sz w:val="20"/>
          <w:szCs w:val="20"/>
          <w:vertAlign w:val="superscript"/>
          <w:lang w:val="es-CR"/>
        </w:rPr>
        <w:footnoteReference w:id="263"/>
      </w:r>
      <w:r w:rsidRPr="009C5D55">
        <w:rPr>
          <w:rFonts w:ascii="Verdana" w:hAnsi="Verdana"/>
          <w:sz w:val="20"/>
          <w:szCs w:val="20"/>
          <w:lang w:val="es-CR"/>
        </w:rPr>
        <w:t xml:space="preserve">. </w:t>
      </w:r>
    </w:p>
    <w:p w14:paraId="54FF7005" w14:textId="77777777" w:rsidR="009C5D55" w:rsidRPr="009C5D55" w:rsidRDefault="009C5D55" w:rsidP="009C5D55">
      <w:pPr>
        <w:tabs>
          <w:tab w:val="center" w:pos="0"/>
        </w:tabs>
        <w:contextualSpacing/>
        <w:rPr>
          <w:rFonts w:ascii="Verdana" w:hAnsi="Verdana"/>
          <w:sz w:val="20"/>
          <w:szCs w:val="20"/>
          <w:lang w:val="es-CR" w:bidi="en-US"/>
        </w:rPr>
      </w:pPr>
    </w:p>
    <w:p w14:paraId="6679580A" w14:textId="77777777" w:rsidR="009C5D55" w:rsidRPr="009C5D55" w:rsidRDefault="009C5D55" w:rsidP="00E66DD7">
      <w:pPr>
        <w:widowControl w:val="0"/>
        <w:numPr>
          <w:ilvl w:val="0"/>
          <w:numId w:val="1"/>
        </w:numPr>
        <w:tabs>
          <w:tab w:val="center" w:pos="0"/>
          <w:tab w:val="center" w:pos="567"/>
        </w:tabs>
        <w:autoSpaceDE w:val="0"/>
        <w:autoSpaceDN w:val="0"/>
        <w:adjustRightInd w:val="0"/>
        <w:ind w:left="0" w:firstLine="0"/>
        <w:contextualSpacing/>
        <w:jc w:val="both"/>
        <w:rPr>
          <w:rFonts w:ascii="Verdana" w:hAnsi="Verdana"/>
          <w:sz w:val="20"/>
          <w:szCs w:val="20"/>
          <w:lang w:val="es-CR"/>
        </w:rPr>
      </w:pPr>
      <w:r w:rsidRPr="009C5D55">
        <w:rPr>
          <w:rFonts w:ascii="Verdana" w:hAnsi="Verdana"/>
          <w:sz w:val="20"/>
          <w:szCs w:val="20"/>
          <w:lang w:val="es-CR" w:bidi="en-US"/>
        </w:rPr>
        <w:t>En consideración de las violaciones a la Convención declaradas en los capítulos anteriores, la Corte procede a analizar las pretensiones presentadas por la Comisión y los representantes, así como los argumentos del Estado, a la luz de los criterios fijados en su jurisprudencia en relación con la naturaleza y alcance de la obligación de reparar</w:t>
      </w:r>
      <w:r w:rsidRPr="009C5D55">
        <w:rPr>
          <w:rFonts w:ascii="Verdana" w:hAnsi="Verdana"/>
          <w:sz w:val="20"/>
          <w:szCs w:val="20"/>
          <w:vertAlign w:val="superscript"/>
          <w:lang w:val="es-CR" w:bidi="en-US"/>
        </w:rPr>
        <w:footnoteReference w:id="264"/>
      </w:r>
      <w:r w:rsidRPr="009C5D55">
        <w:rPr>
          <w:rFonts w:ascii="Verdana" w:hAnsi="Verdana"/>
          <w:sz w:val="20"/>
          <w:szCs w:val="20"/>
          <w:lang w:val="es-CR" w:bidi="en-US"/>
        </w:rPr>
        <w:t>, con el objeto de disponer las medidas dirigidas a reparar los daños ocasionados a la víctima.</w:t>
      </w:r>
      <w:r w:rsidRPr="009C5D55">
        <w:rPr>
          <w:rFonts w:ascii="Verdana" w:hAnsi="Verdana"/>
          <w:sz w:val="20"/>
          <w:szCs w:val="20"/>
          <w:lang w:val="es-CR"/>
        </w:rPr>
        <w:t xml:space="preserve"> </w:t>
      </w:r>
    </w:p>
    <w:p w14:paraId="58336ADF" w14:textId="77777777" w:rsidR="009C5D55" w:rsidRPr="009C5D55" w:rsidRDefault="009C5D55" w:rsidP="009C5D55">
      <w:pPr>
        <w:rPr>
          <w:rFonts w:ascii="Verdana" w:hAnsi="Verdana"/>
          <w:sz w:val="20"/>
          <w:szCs w:val="20"/>
          <w:lang w:val="es-CR"/>
        </w:rPr>
      </w:pPr>
    </w:p>
    <w:p w14:paraId="4797D4CA" w14:textId="77777777" w:rsidR="009C5D55" w:rsidRPr="009C5D55" w:rsidRDefault="009C5D55" w:rsidP="00E66DD7">
      <w:pPr>
        <w:pStyle w:val="Heading2"/>
        <w:numPr>
          <w:ilvl w:val="0"/>
          <w:numId w:val="13"/>
        </w:numPr>
        <w:rPr>
          <w:b w:val="0"/>
          <w:bCs w:val="0"/>
          <w:i/>
          <w:szCs w:val="20"/>
        </w:rPr>
      </w:pPr>
      <w:bookmarkStart w:id="67" w:name="_Toc498333522"/>
      <w:r w:rsidRPr="00C0187C">
        <w:rPr>
          <w:i/>
          <w:szCs w:val="20"/>
        </w:rPr>
        <w:t>Parte lesionada</w:t>
      </w:r>
      <w:bookmarkEnd w:id="67"/>
    </w:p>
    <w:p w14:paraId="26CB12D0" w14:textId="77777777" w:rsidR="009C5D55" w:rsidRPr="009C5D55" w:rsidRDefault="009C5D55" w:rsidP="009C5D55">
      <w:pPr>
        <w:contextualSpacing/>
        <w:rPr>
          <w:rFonts w:ascii="Verdana" w:eastAsia="Batang" w:hAnsi="Verdana"/>
          <w:color w:val="000000"/>
          <w:sz w:val="20"/>
          <w:szCs w:val="20"/>
          <w:lang w:val="es-CR"/>
        </w:rPr>
      </w:pPr>
    </w:p>
    <w:p w14:paraId="579D8FB3" w14:textId="53FDBD1B" w:rsidR="009C5D55" w:rsidRPr="009C5D55" w:rsidRDefault="009C5D55" w:rsidP="00E66DD7">
      <w:pPr>
        <w:widowControl w:val="0"/>
        <w:numPr>
          <w:ilvl w:val="0"/>
          <w:numId w:val="1"/>
        </w:numPr>
        <w:tabs>
          <w:tab w:val="center" w:pos="0"/>
        </w:tabs>
        <w:autoSpaceDE w:val="0"/>
        <w:autoSpaceDN w:val="0"/>
        <w:adjustRightInd w:val="0"/>
        <w:ind w:left="0" w:firstLine="0"/>
        <w:contextualSpacing/>
        <w:jc w:val="both"/>
        <w:rPr>
          <w:rFonts w:ascii="Verdana" w:hAnsi="Verdana"/>
          <w:sz w:val="20"/>
          <w:szCs w:val="20"/>
          <w:lang w:val="es-CR"/>
        </w:rPr>
      </w:pPr>
      <w:r w:rsidRPr="009C5D55">
        <w:rPr>
          <w:rFonts w:ascii="Verdana" w:eastAsia="Batang" w:hAnsi="Verdana"/>
          <w:color w:val="000000"/>
          <w:sz w:val="20"/>
          <w:szCs w:val="20"/>
          <w:lang w:val="es-CR"/>
        </w:rPr>
        <w:t xml:space="preserve">La Corte constata que en virtud del artículo 35.1 del Reglamento, solamente el señor </w:t>
      </w:r>
      <w:r w:rsidR="00334B6C" w:rsidRPr="00334B6C">
        <w:rPr>
          <w:rFonts w:ascii="Verdana" w:eastAsia="Batang" w:hAnsi="Verdana"/>
          <w:color w:val="000000"/>
          <w:sz w:val="20"/>
          <w:szCs w:val="20"/>
          <w:lang w:val="es-CR"/>
        </w:rPr>
        <w:t xml:space="preserve">Alfredo </w:t>
      </w:r>
      <w:r w:rsidRPr="009C5D55">
        <w:rPr>
          <w:rFonts w:ascii="Verdana" w:eastAsia="Batang" w:hAnsi="Verdana"/>
          <w:color w:val="000000"/>
          <w:sz w:val="20"/>
          <w:szCs w:val="20"/>
          <w:lang w:val="es-CR"/>
        </w:rPr>
        <w:t>Lagos del Campo en su carácter de víctima de las violaciones declaradas en la presente Sentencia, será considerado beneficiario de las reparaciones que ordene el Tribunal.</w:t>
      </w:r>
      <w:r w:rsidRPr="009C5D55">
        <w:rPr>
          <w:rFonts w:ascii="Verdana" w:hAnsi="Verdana"/>
          <w:sz w:val="20"/>
          <w:szCs w:val="20"/>
          <w:lang w:val="es-CR"/>
        </w:rPr>
        <w:t xml:space="preserve"> En vista de lo anterior, </w:t>
      </w:r>
      <w:r w:rsidR="00A07203">
        <w:rPr>
          <w:rFonts w:ascii="Verdana" w:hAnsi="Verdana"/>
          <w:sz w:val="20"/>
          <w:szCs w:val="20"/>
          <w:lang w:val="es-CR"/>
        </w:rPr>
        <w:t xml:space="preserve">en </w:t>
      </w:r>
      <w:r w:rsidRPr="009C5D55">
        <w:rPr>
          <w:rFonts w:ascii="Verdana" w:hAnsi="Verdana"/>
          <w:sz w:val="20"/>
          <w:szCs w:val="20"/>
          <w:lang w:val="es-CR"/>
        </w:rPr>
        <w:t xml:space="preserve">la presente no se referirá a los alegatos en beneficio de otras personas. </w:t>
      </w:r>
    </w:p>
    <w:p w14:paraId="529EB392" w14:textId="77777777" w:rsidR="009C5D55" w:rsidRPr="009C5D55" w:rsidRDefault="009C5D55" w:rsidP="009C5D55">
      <w:pPr>
        <w:widowControl w:val="0"/>
        <w:tabs>
          <w:tab w:val="center" w:pos="567"/>
        </w:tabs>
        <w:autoSpaceDE w:val="0"/>
        <w:autoSpaceDN w:val="0"/>
        <w:adjustRightInd w:val="0"/>
        <w:ind w:left="360" w:right="-90"/>
        <w:contextualSpacing/>
        <w:jc w:val="both"/>
        <w:rPr>
          <w:rFonts w:ascii="Verdana" w:hAnsi="Verdana"/>
          <w:sz w:val="20"/>
          <w:szCs w:val="20"/>
          <w:lang w:val="es-CR"/>
        </w:rPr>
      </w:pPr>
    </w:p>
    <w:p w14:paraId="2D5BD74F" w14:textId="77777777" w:rsidR="009C5D55" w:rsidRPr="00C0187C" w:rsidRDefault="009C5D55" w:rsidP="00E66DD7">
      <w:pPr>
        <w:pStyle w:val="Heading2"/>
        <w:numPr>
          <w:ilvl w:val="0"/>
          <w:numId w:val="13"/>
        </w:numPr>
        <w:rPr>
          <w:i/>
          <w:szCs w:val="20"/>
        </w:rPr>
      </w:pPr>
      <w:bookmarkStart w:id="68" w:name="_Toc498333523"/>
      <w:r w:rsidRPr="00C0187C">
        <w:rPr>
          <w:i/>
          <w:szCs w:val="20"/>
        </w:rPr>
        <w:t>Medidas de satisfacción</w:t>
      </w:r>
      <w:bookmarkEnd w:id="68"/>
    </w:p>
    <w:p w14:paraId="375FC16C" w14:textId="77777777" w:rsidR="009C5D55" w:rsidRDefault="009C5D55" w:rsidP="009C5D55">
      <w:pPr>
        <w:contextualSpacing/>
        <w:rPr>
          <w:rFonts w:ascii="Verdana" w:hAnsi="Verdana"/>
          <w:sz w:val="20"/>
          <w:szCs w:val="20"/>
          <w:lang w:val="es-CR"/>
        </w:rPr>
      </w:pPr>
    </w:p>
    <w:p w14:paraId="303754C4" w14:textId="77777777" w:rsidR="00A63638" w:rsidRPr="00C0187C" w:rsidRDefault="00A63638" w:rsidP="00E66DD7">
      <w:pPr>
        <w:pStyle w:val="Heading3"/>
        <w:numPr>
          <w:ilvl w:val="0"/>
          <w:numId w:val="14"/>
        </w:numPr>
        <w:rPr>
          <w:i/>
          <w:lang w:val="es-MX"/>
        </w:rPr>
      </w:pPr>
      <w:bookmarkStart w:id="69" w:name="_Toc498333524"/>
      <w:r w:rsidRPr="00C0187C">
        <w:rPr>
          <w:i/>
          <w:lang w:val="es-MX"/>
        </w:rPr>
        <w:t>Publicaciones</w:t>
      </w:r>
      <w:bookmarkEnd w:id="69"/>
    </w:p>
    <w:p w14:paraId="396158A0" w14:textId="77777777" w:rsidR="00A63638" w:rsidRPr="009C5D55" w:rsidRDefault="00A63638" w:rsidP="009C5D55">
      <w:pPr>
        <w:contextualSpacing/>
        <w:rPr>
          <w:rFonts w:ascii="Verdana" w:hAnsi="Verdana"/>
          <w:sz w:val="20"/>
          <w:szCs w:val="20"/>
          <w:lang w:val="es-CR"/>
        </w:rPr>
      </w:pPr>
    </w:p>
    <w:p w14:paraId="6F8C3043" w14:textId="384D77F4" w:rsidR="009C5D55" w:rsidRPr="009C5D55" w:rsidRDefault="009C5D55" w:rsidP="00E66DD7">
      <w:pPr>
        <w:widowControl w:val="0"/>
        <w:numPr>
          <w:ilvl w:val="0"/>
          <w:numId w:val="1"/>
        </w:numPr>
        <w:tabs>
          <w:tab w:val="center" w:pos="0"/>
        </w:tabs>
        <w:autoSpaceDE w:val="0"/>
        <w:autoSpaceDN w:val="0"/>
        <w:adjustRightInd w:val="0"/>
        <w:ind w:left="0" w:firstLine="0"/>
        <w:contextualSpacing/>
        <w:jc w:val="both"/>
        <w:rPr>
          <w:rFonts w:ascii="Verdana" w:hAnsi="Verdana" w:cstheme="minorBidi"/>
          <w:bCs/>
          <w:sz w:val="20"/>
          <w:szCs w:val="20"/>
          <w:lang w:val="es-MX"/>
        </w:rPr>
      </w:pPr>
      <w:r w:rsidRPr="009C5D55">
        <w:rPr>
          <w:rFonts w:ascii="Verdana" w:hAnsi="Verdana" w:cstheme="minorBidi"/>
          <w:bCs/>
          <w:sz w:val="20"/>
          <w:szCs w:val="20"/>
          <w:lang w:val="es-MX"/>
        </w:rPr>
        <w:t xml:space="preserve">Los </w:t>
      </w:r>
      <w:r w:rsidRPr="009C5D55">
        <w:rPr>
          <w:rFonts w:ascii="Verdana" w:hAnsi="Verdana" w:cstheme="minorBidi"/>
          <w:b/>
          <w:bCs/>
          <w:i/>
          <w:sz w:val="20"/>
          <w:szCs w:val="20"/>
          <w:lang w:val="es-MX"/>
        </w:rPr>
        <w:t>representantes</w:t>
      </w:r>
      <w:r w:rsidRPr="009C5D55">
        <w:rPr>
          <w:rFonts w:ascii="Verdana" w:hAnsi="Verdana" w:cstheme="minorBidi"/>
          <w:bCs/>
          <w:i/>
          <w:sz w:val="20"/>
          <w:szCs w:val="20"/>
          <w:lang w:val="es-MX"/>
        </w:rPr>
        <w:t xml:space="preserve"> </w:t>
      </w:r>
      <w:r w:rsidRPr="009C5D55">
        <w:rPr>
          <w:rFonts w:ascii="Verdana" w:hAnsi="Verdana" w:cstheme="minorBidi"/>
          <w:bCs/>
          <w:sz w:val="20"/>
          <w:szCs w:val="20"/>
          <w:lang w:val="es-MX"/>
        </w:rPr>
        <w:t xml:space="preserve">solicitaron que se publique la sentencia de la Corte en el diario Oficial y en un diario de circulación nacional, dentro de un plazo de 6 meses, así como en la página web del Ministerio de Justicia y Derechos Humanos a no más de tres enlaces desde la página principal, y que se mantenga hasta que se cumpla integralmente la sentencia. En particular, solicitaron que por lo menos se publiquen las secciones de contexto, hechos </w:t>
      </w:r>
      <w:r w:rsidRPr="009C5D55">
        <w:rPr>
          <w:rFonts w:ascii="Verdana" w:hAnsi="Verdana" w:cstheme="minorBidi"/>
          <w:bCs/>
          <w:sz w:val="20"/>
          <w:szCs w:val="20"/>
          <w:lang w:val="es-MX"/>
        </w:rPr>
        <w:lastRenderedPageBreak/>
        <w:t>probados y parte resolutiva de la Sentencia.</w:t>
      </w:r>
    </w:p>
    <w:p w14:paraId="702466FC" w14:textId="77777777" w:rsidR="009C5D55" w:rsidRPr="009C5D55" w:rsidRDefault="009C5D55" w:rsidP="009C5D55">
      <w:pPr>
        <w:widowControl w:val="0"/>
        <w:tabs>
          <w:tab w:val="center" w:pos="0"/>
        </w:tabs>
        <w:autoSpaceDE w:val="0"/>
        <w:autoSpaceDN w:val="0"/>
        <w:adjustRightInd w:val="0"/>
        <w:contextualSpacing/>
        <w:jc w:val="both"/>
        <w:rPr>
          <w:rFonts w:ascii="Verdana" w:hAnsi="Verdana"/>
          <w:sz w:val="20"/>
          <w:szCs w:val="20"/>
          <w:lang w:val="es-CR"/>
        </w:rPr>
      </w:pPr>
    </w:p>
    <w:p w14:paraId="3F8FB9EC" w14:textId="5E5410E3" w:rsidR="009C5D55" w:rsidRPr="009C5D55" w:rsidRDefault="009C5D55" w:rsidP="00E66DD7">
      <w:pPr>
        <w:widowControl w:val="0"/>
        <w:numPr>
          <w:ilvl w:val="0"/>
          <w:numId w:val="1"/>
        </w:numPr>
        <w:tabs>
          <w:tab w:val="center" w:pos="0"/>
        </w:tabs>
        <w:autoSpaceDE w:val="0"/>
        <w:autoSpaceDN w:val="0"/>
        <w:adjustRightInd w:val="0"/>
        <w:ind w:left="0" w:firstLine="0"/>
        <w:contextualSpacing/>
        <w:jc w:val="both"/>
        <w:rPr>
          <w:rFonts w:ascii="Verdana" w:hAnsi="Verdana"/>
          <w:sz w:val="20"/>
          <w:szCs w:val="20"/>
          <w:lang w:val="es-MX"/>
        </w:rPr>
      </w:pPr>
      <w:r w:rsidRPr="009C5D55">
        <w:rPr>
          <w:rFonts w:ascii="Verdana" w:hAnsi="Verdana"/>
          <w:sz w:val="20"/>
          <w:szCs w:val="20"/>
          <w:lang w:val="es-MX"/>
        </w:rPr>
        <w:t xml:space="preserve">El </w:t>
      </w:r>
      <w:r w:rsidRPr="009C5D55">
        <w:rPr>
          <w:rFonts w:ascii="Verdana" w:hAnsi="Verdana"/>
          <w:b/>
          <w:i/>
          <w:sz w:val="20"/>
          <w:szCs w:val="20"/>
          <w:lang w:val="es-MX"/>
        </w:rPr>
        <w:t>Estado</w:t>
      </w:r>
      <w:r w:rsidRPr="009C5D55">
        <w:rPr>
          <w:rFonts w:ascii="Verdana" w:hAnsi="Verdana"/>
          <w:sz w:val="20"/>
          <w:szCs w:val="20"/>
          <w:lang w:val="es-MX"/>
        </w:rPr>
        <w:t xml:space="preserve"> señaló que no corresponde </w:t>
      </w:r>
      <w:r w:rsidR="00EB3278">
        <w:rPr>
          <w:rFonts w:ascii="Verdana" w:hAnsi="Verdana"/>
          <w:sz w:val="20"/>
          <w:szCs w:val="20"/>
          <w:lang w:val="es-MX"/>
        </w:rPr>
        <w:t xml:space="preserve">otorgar como medida de reparación </w:t>
      </w:r>
      <w:r w:rsidRPr="009C5D55">
        <w:rPr>
          <w:rFonts w:ascii="Verdana" w:hAnsi="Verdana"/>
          <w:sz w:val="20"/>
          <w:szCs w:val="20"/>
          <w:lang w:val="es-MX"/>
        </w:rPr>
        <w:t xml:space="preserve">la publicación de la sentencia porque no hay hechos que la publicación permitiría esclarecer. No obstante, en caso de que se ordenara, no procedería la inclusión del contexto del conflicto armado interno que vivió Perú entre 1980 y 2000, </w:t>
      </w:r>
      <w:r w:rsidR="001B481A" w:rsidRPr="00333304">
        <w:rPr>
          <w:rFonts w:ascii="Verdana" w:hAnsi="Verdana"/>
          <w:sz w:val="20"/>
          <w:szCs w:val="20"/>
          <w:lang w:val="es-MX"/>
        </w:rPr>
        <w:t xml:space="preserve">puesto </w:t>
      </w:r>
      <w:r w:rsidRPr="009C5D55">
        <w:rPr>
          <w:rFonts w:ascii="Verdana" w:hAnsi="Verdana"/>
          <w:sz w:val="20"/>
          <w:szCs w:val="20"/>
          <w:lang w:val="es-MX"/>
        </w:rPr>
        <w:t>que no forma parte del marco fáctico fijado por el Informe de Fondo</w:t>
      </w:r>
      <w:r w:rsidR="00A07203">
        <w:rPr>
          <w:rFonts w:ascii="Verdana" w:hAnsi="Verdana"/>
          <w:sz w:val="20"/>
          <w:szCs w:val="20"/>
          <w:lang w:val="es-MX"/>
        </w:rPr>
        <w:t xml:space="preserve">. </w:t>
      </w:r>
      <w:r w:rsidRPr="009C5D55">
        <w:rPr>
          <w:rFonts w:ascii="Verdana" w:hAnsi="Verdana"/>
          <w:sz w:val="20"/>
          <w:szCs w:val="20"/>
          <w:lang w:val="es-MX"/>
        </w:rPr>
        <w:t xml:space="preserve">Tampoco correspondería </w:t>
      </w:r>
      <w:r w:rsidR="00EB3278">
        <w:rPr>
          <w:rFonts w:ascii="Verdana" w:hAnsi="Verdana"/>
          <w:sz w:val="20"/>
          <w:szCs w:val="20"/>
          <w:lang w:val="es-MX"/>
        </w:rPr>
        <w:t>al</w:t>
      </w:r>
      <w:r w:rsidRPr="009C5D55">
        <w:rPr>
          <w:rFonts w:ascii="Verdana" w:hAnsi="Verdana"/>
          <w:sz w:val="20"/>
          <w:szCs w:val="20"/>
          <w:lang w:val="es-MX"/>
        </w:rPr>
        <w:t xml:space="preserve"> Ministerio del Poder Ejecutivo realizar la publicación, </w:t>
      </w:r>
      <w:r w:rsidR="00F830E9" w:rsidRPr="00333304">
        <w:rPr>
          <w:rFonts w:ascii="Verdana" w:hAnsi="Verdana"/>
          <w:sz w:val="20"/>
          <w:szCs w:val="20"/>
          <w:lang w:val="es-MX"/>
        </w:rPr>
        <w:t>debido a</w:t>
      </w:r>
      <w:r w:rsidR="001B481A">
        <w:rPr>
          <w:rFonts w:ascii="Verdana" w:hAnsi="Verdana"/>
          <w:sz w:val="20"/>
          <w:szCs w:val="20"/>
          <w:lang w:val="es-MX"/>
        </w:rPr>
        <w:t xml:space="preserve"> </w:t>
      </w:r>
      <w:r w:rsidR="00EB3278">
        <w:rPr>
          <w:rFonts w:ascii="Verdana" w:hAnsi="Verdana"/>
          <w:sz w:val="20"/>
          <w:szCs w:val="20"/>
          <w:lang w:val="es-MX"/>
        </w:rPr>
        <w:t>que dicha publicación ha estado siempre dentro del</w:t>
      </w:r>
      <w:r w:rsidRPr="009C5D55">
        <w:rPr>
          <w:rFonts w:ascii="Verdana" w:hAnsi="Verdana"/>
          <w:sz w:val="20"/>
          <w:szCs w:val="20"/>
          <w:lang w:val="es-MX"/>
        </w:rPr>
        <w:t xml:space="preserve"> legítimo margen de apreciación del Estado</w:t>
      </w:r>
      <w:r w:rsidR="00A07203">
        <w:rPr>
          <w:rFonts w:ascii="Verdana" w:hAnsi="Verdana"/>
          <w:sz w:val="20"/>
          <w:szCs w:val="20"/>
          <w:lang w:val="es-MX"/>
        </w:rPr>
        <w:t>.</w:t>
      </w:r>
    </w:p>
    <w:p w14:paraId="07DC6DA0" w14:textId="77777777" w:rsidR="009C5D55" w:rsidRPr="009C5D55" w:rsidRDefault="009C5D55" w:rsidP="009C5D55">
      <w:pPr>
        <w:widowControl w:val="0"/>
        <w:tabs>
          <w:tab w:val="center" w:pos="0"/>
        </w:tabs>
        <w:autoSpaceDE w:val="0"/>
        <w:autoSpaceDN w:val="0"/>
        <w:adjustRightInd w:val="0"/>
        <w:contextualSpacing/>
        <w:jc w:val="both"/>
        <w:rPr>
          <w:rFonts w:ascii="Verdana" w:hAnsi="Verdana"/>
          <w:sz w:val="20"/>
          <w:szCs w:val="20"/>
          <w:lang w:val="es-MX"/>
        </w:rPr>
      </w:pPr>
    </w:p>
    <w:p w14:paraId="2E665344" w14:textId="77777777" w:rsidR="009C5D55" w:rsidRPr="009C5D55" w:rsidRDefault="009C5D55" w:rsidP="00E66DD7">
      <w:pPr>
        <w:widowControl w:val="0"/>
        <w:numPr>
          <w:ilvl w:val="0"/>
          <w:numId w:val="1"/>
        </w:numPr>
        <w:tabs>
          <w:tab w:val="center" w:pos="0"/>
        </w:tabs>
        <w:autoSpaceDE w:val="0"/>
        <w:autoSpaceDN w:val="0"/>
        <w:adjustRightInd w:val="0"/>
        <w:ind w:left="0" w:firstLine="0"/>
        <w:contextualSpacing/>
        <w:jc w:val="both"/>
        <w:rPr>
          <w:rFonts w:ascii="Verdana" w:hAnsi="Verdana"/>
          <w:sz w:val="20"/>
          <w:szCs w:val="20"/>
          <w:lang w:val="es-MX"/>
        </w:rPr>
      </w:pPr>
      <w:r w:rsidRPr="009C5D55">
        <w:rPr>
          <w:rFonts w:ascii="Verdana" w:hAnsi="Verdana"/>
          <w:sz w:val="20"/>
          <w:szCs w:val="20"/>
          <w:lang w:val="es-MX"/>
        </w:rPr>
        <w:t xml:space="preserve">La </w:t>
      </w:r>
      <w:r w:rsidRPr="009C5D55">
        <w:rPr>
          <w:rFonts w:ascii="Verdana" w:hAnsi="Verdana"/>
          <w:b/>
          <w:i/>
          <w:sz w:val="20"/>
          <w:szCs w:val="20"/>
          <w:lang w:val="es-MX"/>
        </w:rPr>
        <w:t>Comisión</w:t>
      </w:r>
      <w:r w:rsidRPr="009C5D55">
        <w:rPr>
          <w:rFonts w:ascii="Verdana" w:hAnsi="Verdana"/>
          <w:sz w:val="20"/>
          <w:szCs w:val="20"/>
          <w:lang w:val="es-MX"/>
        </w:rPr>
        <w:t xml:space="preserve"> no se refirió al respecto.</w:t>
      </w:r>
    </w:p>
    <w:p w14:paraId="3BA3DEE0" w14:textId="77777777" w:rsidR="009C5D55" w:rsidRPr="009C5D55" w:rsidRDefault="009C5D55" w:rsidP="009C5D55">
      <w:pPr>
        <w:contextualSpacing/>
        <w:rPr>
          <w:rFonts w:ascii="Verdana" w:hAnsi="Verdana"/>
          <w:sz w:val="20"/>
          <w:szCs w:val="20"/>
          <w:lang w:val="es-CR"/>
        </w:rPr>
      </w:pPr>
    </w:p>
    <w:p w14:paraId="18AA15CA" w14:textId="6A7A7ECE" w:rsidR="009C5D55" w:rsidRPr="009C5D55" w:rsidRDefault="009C5D55" w:rsidP="00E66DD7">
      <w:pPr>
        <w:widowControl w:val="0"/>
        <w:numPr>
          <w:ilvl w:val="0"/>
          <w:numId w:val="1"/>
        </w:numPr>
        <w:tabs>
          <w:tab w:val="center" w:pos="567"/>
        </w:tabs>
        <w:autoSpaceDE w:val="0"/>
        <w:autoSpaceDN w:val="0"/>
        <w:adjustRightInd w:val="0"/>
        <w:ind w:left="0" w:firstLine="0"/>
        <w:contextualSpacing/>
        <w:jc w:val="both"/>
        <w:rPr>
          <w:rFonts w:ascii="Verdana" w:hAnsi="Verdana"/>
          <w:sz w:val="20"/>
          <w:szCs w:val="20"/>
          <w:lang w:val="es-CR"/>
        </w:rPr>
      </w:pPr>
      <w:r w:rsidRPr="009C5D55">
        <w:rPr>
          <w:rFonts w:ascii="Verdana" w:hAnsi="Verdana"/>
          <w:sz w:val="20"/>
          <w:szCs w:val="20"/>
          <w:lang w:val="es-CR"/>
        </w:rPr>
        <w:t xml:space="preserve">En este sentido, </w:t>
      </w:r>
      <w:r w:rsidRPr="00A07203">
        <w:rPr>
          <w:rFonts w:ascii="Verdana" w:hAnsi="Verdana"/>
          <w:sz w:val="20"/>
          <w:szCs w:val="20"/>
          <w:lang w:val="es-CR"/>
        </w:rPr>
        <w:t xml:space="preserve">la </w:t>
      </w:r>
      <w:r w:rsidRPr="00333304">
        <w:rPr>
          <w:rFonts w:ascii="Verdana" w:hAnsi="Verdana"/>
          <w:b/>
          <w:i/>
          <w:sz w:val="20"/>
          <w:szCs w:val="20"/>
          <w:lang w:val="es-CR"/>
        </w:rPr>
        <w:t>Corte</w:t>
      </w:r>
      <w:r w:rsidRPr="009C5D55">
        <w:rPr>
          <w:rFonts w:ascii="Verdana" w:hAnsi="Verdana"/>
          <w:sz w:val="20"/>
          <w:szCs w:val="20"/>
          <w:lang w:val="es-CR"/>
        </w:rPr>
        <w:t xml:space="preserve"> estima, como lo ha dispuesto en otros casos</w:t>
      </w:r>
      <w:r w:rsidRPr="00A07203">
        <w:rPr>
          <w:rFonts w:ascii="Verdana" w:hAnsi="Verdana"/>
          <w:sz w:val="20"/>
          <w:szCs w:val="20"/>
          <w:vertAlign w:val="superscript"/>
          <w:lang w:val="es-CR"/>
        </w:rPr>
        <w:footnoteReference w:id="265"/>
      </w:r>
      <w:r w:rsidRPr="009C5D55">
        <w:rPr>
          <w:rFonts w:ascii="Verdana" w:hAnsi="Verdana"/>
          <w:sz w:val="20"/>
          <w:szCs w:val="20"/>
          <w:lang w:val="es-CR"/>
        </w:rPr>
        <w:t xml:space="preserve">, que el Estado deberá publicar, en el plazo de seis meses, contado a partir de la notificación de la presente Sentencia: a) el resumen oficial de esta Sentencia elaborado por la Corte, por una sola vez, en el Diario Oficial </w:t>
      </w:r>
      <w:r w:rsidRPr="005D0F69">
        <w:rPr>
          <w:rFonts w:ascii="Verdana" w:hAnsi="Verdana"/>
          <w:sz w:val="20"/>
          <w:szCs w:val="20"/>
          <w:lang w:val="es-CR"/>
        </w:rPr>
        <w:t>en un tamaño de letra legible y adecuado</w:t>
      </w:r>
      <w:r w:rsidRPr="009C5D55">
        <w:rPr>
          <w:rFonts w:ascii="Verdana" w:hAnsi="Verdana"/>
          <w:sz w:val="20"/>
          <w:szCs w:val="20"/>
          <w:lang w:val="es-CR"/>
        </w:rPr>
        <w:t xml:space="preserve">; b) el resumen oficial de la Sentencia elaborado por la Corte, por una sola vez, en un diario de amplia circulación nacional </w:t>
      </w:r>
      <w:r w:rsidRPr="005D0F69">
        <w:rPr>
          <w:rFonts w:ascii="Verdana" w:hAnsi="Verdana"/>
          <w:sz w:val="20"/>
          <w:szCs w:val="20"/>
          <w:lang w:val="es-CR"/>
        </w:rPr>
        <w:t>en un</w:t>
      </w:r>
      <w:r w:rsidRPr="009C5D55">
        <w:rPr>
          <w:rFonts w:ascii="Verdana" w:hAnsi="Verdana"/>
          <w:b/>
          <w:sz w:val="20"/>
          <w:szCs w:val="20"/>
          <w:lang w:val="es-CR"/>
        </w:rPr>
        <w:t xml:space="preserve"> </w:t>
      </w:r>
      <w:r w:rsidRPr="005D0F69">
        <w:rPr>
          <w:rFonts w:ascii="Verdana" w:hAnsi="Verdana"/>
          <w:sz w:val="20"/>
          <w:szCs w:val="20"/>
          <w:lang w:val="es-CR"/>
        </w:rPr>
        <w:t>tamaño de letra legible y adecuado</w:t>
      </w:r>
      <w:r w:rsidRPr="009C5D55">
        <w:rPr>
          <w:rFonts w:ascii="Verdana" w:hAnsi="Verdana"/>
          <w:sz w:val="20"/>
          <w:szCs w:val="20"/>
          <w:lang w:val="es-CR"/>
        </w:rPr>
        <w:t>, y c) la presente Sentencia en su integridad, disponible por un período de un año, en un sitio web oficial</w:t>
      </w:r>
      <w:r w:rsidRPr="005D0F69">
        <w:rPr>
          <w:rFonts w:ascii="Verdana" w:hAnsi="Verdana"/>
          <w:sz w:val="20"/>
          <w:szCs w:val="20"/>
          <w:lang w:val="es-CR"/>
        </w:rPr>
        <w:t>, de manera accesible al público</w:t>
      </w:r>
      <w:r w:rsidR="00925FE5">
        <w:rPr>
          <w:rFonts w:ascii="Verdana" w:hAnsi="Verdana"/>
          <w:sz w:val="20"/>
          <w:szCs w:val="20"/>
          <w:lang w:val="es-CR"/>
        </w:rPr>
        <w:t xml:space="preserve"> y desde la página de inicio del sitio web</w:t>
      </w:r>
      <w:r w:rsidRPr="009C5D55">
        <w:rPr>
          <w:rFonts w:ascii="Verdana" w:hAnsi="Verdana"/>
          <w:sz w:val="20"/>
          <w:szCs w:val="20"/>
          <w:lang w:val="es-CR"/>
        </w:rPr>
        <w:t>.</w:t>
      </w:r>
    </w:p>
    <w:p w14:paraId="501294C3" w14:textId="77777777" w:rsidR="009C5D55" w:rsidRPr="009C5D55" w:rsidRDefault="009C5D55" w:rsidP="009C5D55">
      <w:pPr>
        <w:widowControl w:val="0"/>
        <w:tabs>
          <w:tab w:val="center" w:pos="567"/>
        </w:tabs>
        <w:autoSpaceDE w:val="0"/>
        <w:autoSpaceDN w:val="0"/>
        <w:adjustRightInd w:val="0"/>
        <w:contextualSpacing/>
        <w:jc w:val="both"/>
        <w:rPr>
          <w:rFonts w:ascii="Verdana" w:hAnsi="Verdana"/>
          <w:sz w:val="20"/>
          <w:szCs w:val="20"/>
          <w:lang w:val="es-CR"/>
        </w:rPr>
      </w:pPr>
    </w:p>
    <w:p w14:paraId="0325815D" w14:textId="452A692E" w:rsidR="009C5D55" w:rsidRPr="009C5D55" w:rsidRDefault="009C5D55" w:rsidP="00E66DD7">
      <w:pPr>
        <w:widowControl w:val="0"/>
        <w:numPr>
          <w:ilvl w:val="0"/>
          <w:numId w:val="1"/>
        </w:numPr>
        <w:tabs>
          <w:tab w:val="center" w:pos="567"/>
        </w:tabs>
        <w:autoSpaceDE w:val="0"/>
        <w:autoSpaceDN w:val="0"/>
        <w:adjustRightInd w:val="0"/>
        <w:ind w:left="0" w:firstLine="0"/>
        <w:contextualSpacing/>
        <w:jc w:val="both"/>
        <w:rPr>
          <w:rFonts w:ascii="Verdana" w:hAnsi="Verdana"/>
          <w:b/>
          <w:sz w:val="20"/>
          <w:szCs w:val="20"/>
          <w:lang w:val="es-CR"/>
        </w:rPr>
      </w:pPr>
      <w:r w:rsidRPr="009C5D55">
        <w:rPr>
          <w:rFonts w:ascii="Verdana" w:hAnsi="Verdana"/>
          <w:sz w:val="20"/>
          <w:szCs w:val="20"/>
          <w:lang w:val="es-ES"/>
        </w:rPr>
        <w:t xml:space="preserve">El Estado deberá informar de forma inmediata a esta Corte una vez que proceda a realizar cada una de las publicaciones dispuestas, independientemente del plazo de un año para presentar su primer informe dispuesto en el </w:t>
      </w:r>
      <w:r w:rsidR="00B31162">
        <w:rPr>
          <w:rFonts w:ascii="Verdana" w:hAnsi="Verdana"/>
          <w:sz w:val="20"/>
          <w:szCs w:val="20"/>
          <w:lang w:val="es-ES"/>
        </w:rPr>
        <w:t>P</w:t>
      </w:r>
      <w:r w:rsidRPr="009C5D55">
        <w:rPr>
          <w:rFonts w:ascii="Verdana" w:hAnsi="Verdana"/>
          <w:sz w:val="20"/>
          <w:szCs w:val="20"/>
          <w:lang w:val="es-ES"/>
        </w:rPr>
        <w:t xml:space="preserve">unto </w:t>
      </w:r>
      <w:r w:rsidR="00B31162">
        <w:rPr>
          <w:rFonts w:ascii="Verdana" w:hAnsi="Verdana"/>
          <w:sz w:val="20"/>
          <w:szCs w:val="20"/>
          <w:lang w:val="es-ES"/>
        </w:rPr>
        <w:t>R</w:t>
      </w:r>
      <w:r w:rsidRPr="009C5D55">
        <w:rPr>
          <w:rFonts w:ascii="Verdana" w:hAnsi="Verdana"/>
          <w:sz w:val="20"/>
          <w:szCs w:val="20"/>
          <w:lang w:val="es-ES"/>
        </w:rPr>
        <w:t xml:space="preserve">esolutivo </w:t>
      </w:r>
      <w:r w:rsidR="00A07203">
        <w:rPr>
          <w:rFonts w:ascii="Verdana" w:hAnsi="Verdana"/>
          <w:sz w:val="20"/>
          <w:szCs w:val="20"/>
          <w:lang w:val="es-ES"/>
        </w:rPr>
        <w:t>1</w:t>
      </w:r>
      <w:r w:rsidR="00EE4766">
        <w:rPr>
          <w:rFonts w:ascii="Verdana" w:hAnsi="Verdana"/>
          <w:sz w:val="20"/>
          <w:szCs w:val="20"/>
          <w:lang w:val="es-ES"/>
        </w:rPr>
        <w:t>3</w:t>
      </w:r>
      <w:r w:rsidRPr="009C5D55">
        <w:rPr>
          <w:rFonts w:ascii="Verdana" w:hAnsi="Verdana"/>
          <w:sz w:val="20"/>
          <w:szCs w:val="20"/>
          <w:lang w:val="es-ES"/>
        </w:rPr>
        <w:t xml:space="preserve"> de la Sentencia.</w:t>
      </w:r>
    </w:p>
    <w:p w14:paraId="0960716B" w14:textId="6251EBE8" w:rsidR="00564925" w:rsidRPr="002621F7" w:rsidRDefault="00564925" w:rsidP="005D0F69">
      <w:pPr>
        <w:widowControl w:val="0"/>
        <w:tabs>
          <w:tab w:val="center" w:pos="567"/>
        </w:tabs>
        <w:autoSpaceDE w:val="0"/>
        <w:autoSpaceDN w:val="0"/>
        <w:adjustRightInd w:val="0"/>
        <w:contextualSpacing/>
        <w:jc w:val="both"/>
        <w:rPr>
          <w:rFonts w:ascii="Verdana" w:eastAsiaTheme="minorHAnsi" w:hAnsi="Verdana" w:cstheme="minorBidi"/>
          <w:sz w:val="20"/>
          <w:szCs w:val="20"/>
          <w:lang w:val="es-CR"/>
        </w:rPr>
      </w:pPr>
    </w:p>
    <w:p w14:paraId="3D8A5977" w14:textId="0971F5BF" w:rsidR="00564925" w:rsidRDefault="00564925" w:rsidP="00E66DD7">
      <w:pPr>
        <w:pStyle w:val="Heading2"/>
        <w:numPr>
          <w:ilvl w:val="0"/>
          <w:numId w:val="13"/>
        </w:numPr>
        <w:rPr>
          <w:i/>
          <w:szCs w:val="20"/>
        </w:rPr>
      </w:pPr>
      <w:bookmarkStart w:id="70" w:name="_Toc498333525"/>
      <w:r>
        <w:rPr>
          <w:i/>
          <w:szCs w:val="20"/>
        </w:rPr>
        <w:t>Otras medidas solicitadas</w:t>
      </w:r>
      <w:bookmarkEnd w:id="70"/>
    </w:p>
    <w:p w14:paraId="1AB68A0F" w14:textId="77777777" w:rsidR="003F07AD" w:rsidRDefault="003F07AD" w:rsidP="005D0F69">
      <w:pPr>
        <w:widowControl w:val="0"/>
        <w:tabs>
          <w:tab w:val="center" w:pos="567"/>
        </w:tabs>
        <w:autoSpaceDE w:val="0"/>
        <w:autoSpaceDN w:val="0"/>
        <w:adjustRightInd w:val="0"/>
        <w:contextualSpacing/>
        <w:jc w:val="both"/>
        <w:rPr>
          <w:rFonts w:ascii="Verdana" w:eastAsiaTheme="minorHAnsi" w:hAnsi="Verdana" w:cstheme="minorBidi"/>
          <w:sz w:val="20"/>
          <w:szCs w:val="20"/>
          <w:lang w:val="es-MX"/>
        </w:rPr>
      </w:pPr>
    </w:p>
    <w:p w14:paraId="0A71BC24" w14:textId="250FF451" w:rsidR="000C6082" w:rsidRDefault="000C6082" w:rsidP="00E66DD7">
      <w:pPr>
        <w:widowControl w:val="0"/>
        <w:numPr>
          <w:ilvl w:val="0"/>
          <w:numId w:val="1"/>
        </w:numPr>
        <w:tabs>
          <w:tab w:val="center" w:pos="567"/>
          <w:tab w:val="num" w:pos="840"/>
        </w:tabs>
        <w:autoSpaceDE w:val="0"/>
        <w:autoSpaceDN w:val="0"/>
        <w:adjustRightInd w:val="0"/>
        <w:ind w:left="0" w:firstLine="0"/>
        <w:contextualSpacing/>
        <w:jc w:val="both"/>
        <w:rPr>
          <w:rFonts w:ascii="Verdana" w:eastAsiaTheme="minorHAnsi" w:hAnsi="Verdana" w:cstheme="minorBidi"/>
          <w:sz w:val="20"/>
          <w:szCs w:val="20"/>
        </w:rPr>
      </w:pPr>
      <w:r w:rsidRPr="000C6082">
        <w:rPr>
          <w:rFonts w:ascii="Verdana" w:eastAsiaTheme="minorHAnsi" w:hAnsi="Verdana" w:cstheme="minorBidi"/>
          <w:sz w:val="20"/>
          <w:szCs w:val="20"/>
        </w:rPr>
        <w:t xml:space="preserve">La jurisprudencia </w:t>
      </w:r>
      <w:r w:rsidRPr="00334B6C">
        <w:rPr>
          <w:rFonts w:ascii="Verdana" w:eastAsiaTheme="minorHAnsi" w:hAnsi="Verdana" w:cstheme="minorBidi"/>
          <w:sz w:val="20"/>
          <w:szCs w:val="20"/>
        </w:rPr>
        <w:t>internacional</w:t>
      </w:r>
      <w:r w:rsidRPr="000C6082">
        <w:rPr>
          <w:rFonts w:ascii="Verdana" w:eastAsiaTheme="minorHAnsi" w:hAnsi="Verdana" w:cstheme="minorBidi"/>
          <w:sz w:val="20"/>
          <w:szCs w:val="20"/>
        </w:rPr>
        <w:t xml:space="preserve">, y en particular de esta Corte, ha establecido reiteradamente que la sentencia constituye </w:t>
      </w:r>
      <w:r>
        <w:rPr>
          <w:rFonts w:ascii="Verdana" w:eastAsiaTheme="minorHAnsi" w:hAnsi="Verdana" w:cstheme="minorBidi"/>
          <w:sz w:val="20"/>
          <w:szCs w:val="20"/>
        </w:rPr>
        <w:t xml:space="preserve">por sí misma una forma de reparación. No obstante, la Corte nota las demás medidas solicitadas por las partes y se pronunciará al respecto. </w:t>
      </w:r>
    </w:p>
    <w:p w14:paraId="4474E3C0" w14:textId="77777777" w:rsidR="000C6082" w:rsidRPr="005D0F69" w:rsidRDefault="000C6082" w:rsidP="005D0F69">
      <w:pPr>
        <w:widowControl w:val="0"/>
        <w:tabs>
          <w:tab w:val="center" w:pos="567"/>
        </w:tabs>
        <w:autoSpaceDE w:val="0"/>
        <w:autoSpaceDN w:val="0"/>
        <w:adjustRightInd w:val="0"/>
        <w:contextualSpacing/>
        <w:jc w:val="both"/>
        <w:rPr>
          <w:rFonts w:ascii="Verdana" w:eastAsiaTheme="minorHAnsi" w:hAnsi="Verdana" w:cstheme="minorBidi"/>
          <w:sz w:val="20"/>
          <w:szCs w:val="20"/>
        </w:rPr>
      </w:pPr>
    </w:p>
    <w:p w14:paraId="4BCAE3DE" w14:textId="45C5BFA7" w:rsidR="00232AA2" w:rsidRDefault="003F07AD" w:rsidP="00E66DD7">
      <w:pPr>
        <w:widowControl w:val="0"/>
        <w:numPr>
          <w:ilvl w:val="0"/>
          <w:numId w:val="1"/>
        </w:numPr>
        <w:tabs>
          <w:tab w:val="center" w:pos="567"/>
          <w:tab w:val="num" w:pos="840"/>
        </w:tabs>
        <w:autoSpaceDE w:val="0"/>
        <w:autoSpaceDN w:val="0"/>
        <w:adjustRightInd w:val="0"/>
        <w:ind w:left="0" w:firstLine="0"/>
        <w:contextualSpacing/>
        <w:jc w:val="both"/>
        <w:rPr>
          <w:rFonts w:ascii="Verdana" w:eastAsiaTheme="minorHAnsi" w:hAnsi="Verdana" w:cstheme="minorBidi"/>
          <w:sz w:val="20"/>
          <w:szCs w:val="20"/>
          <w:lang w:val="es-MX"/>
        </w:rPr>
      </w:pPr>
      <w:r>
        <w:rPr>
          <w:rFonts w:ascii="Verdana" w:eastAsiaTheme="minorHAnsi" w:hAnsi="Verdana" w:cstheme="minorBidi"/>
          <w:sz w:val="20"/>
          <w:szCs w:val="20"/>
          <w:lang w:val="es-EC"/>
        </w:rPr>
        <w:t xml:space="preserve">En relación con las </w:t>
      </w:r>
      <w:r w:rsidR="000C6082">
        <w:rPr>
          <w:rFonts w:ascii="Verdana" w:eastAsiaTheme="minorHAnsi" w:hAnsi="Verdana" w:cstheme="minorBidi"/>
          <w:sz w:val="20"/>
          <w:szCs w:val="20"/>
          <w:lang w:val="es-EC"/>
        </w:rPr>
        <w:t>demás</w:t>
      </w:r>
      <w:r>
        <w:rPr>
          <w:rFonts w:ascii="Verdana" w:eastAsiaTheme="minorHAnsi" w:hAnsi="Verdana" w:cstheme="minorBidi"/>
          <w:sz w:val="20"/>
          <w:szCs w:val="20"/>
          <w:lang w:val="es-EC"/>
        </w:rPr>
        <w:t xml:space="preserve"> medidas de </w:t>
      </w:r>
      <w:r w:rsidRPr="005D0F69">
        <w:rPr>
          <w:rFonts w:ascii="Verdana" w:eastAsiaTheme="minorHAnsi" w:hAnsi="Verdana" w:cstheme="minorBidi"/>
          <w:i/>
          <w:sz w:val="20"/>
          <w:szCs w:val="20"/>
          <w:lang w:val="es-EC"/>
        </w:rPr>
        <w:t>satisfacción</w:t>
      </w:r>
      <w:r>
        <w:rPr>
          <w:rFonts w:ascii="Verdana" w:eastAsiaTheme="minorHAnsi" w:hAnsi="Verdana" w:cstheme="minorBidi"/>
          <w:sz w:val="20"/>
          <w:szCs w:val="20"/>
          <w:lang w:val="es-EC"/>
        </w:rPr>
        <w:t xml:space="preserve"> solicitadas, l</w:t>
      </w:r>
      <w:r w:rsidR="00564925" w:rsidRPr="005D0F69">
        <w:rPr>
          <w:rFonts w:ascii="Verdana" w:eastAsiaTheme="minorHAnsi" w:hAnsi="Verdana" w:cstheme="minorBidi"/>
          <w:sz w:val="20"/>
          <w:szCs w:val="20"/>
          <w:lang w:val="es-EC"/>
        </w:rPr>
        <w:t xml:space="preserve">os </w:t>
      </w:r>
      <w:r w:rsidR="00564925" w:rsidRPr="005D0F69">
        <w:rPr>
          <w:rFonts w:ascii="Verdana" w:eastAsiaTheme="minorHAnsi" w:hAnsi="Verdana" w:cstheme="minorBidi"/>
          <w:b/>
          <w:i/>
          <w:sz w:val="20"/>
          <w:szCs w:val="20"/>
          <w:lang w:val="es-EC"/>
        </w:rPr>
        <w:t>representantes</w:t>
      </w:r>
      <w:r w:rsidR="00564925" w:rsidRPr="005D0F69">
        <w:rPr>
          <w:rFonts w:ascii="Verdana" w:eastAsiaTheme="minorHAnsi" w:hAnsi="Verdana" w:cstheme="minorBidi"/>
          <w:sz w:val="20"/>
          <w:szCs w:val="20"/>
          <w:lang w:val="es-EC"/>
        </w:rPr>
        <w:t xml:space="preserve"> </w:t>
      </w:r>
      <w:r w:rsidR="000C6082">
        <w:rPr>
          <w:rFonts w:ascii="Verdana" w:eastAsiaTheme="minorHAnsi" w:hAnsi="Verdana" w:cstheme="minorBidi"/>
          <w:sz w:val="20"/>
          <w:szCs w:val="20"/>
          <w:lang w:val="es-EC"/>
        </w:rPr>
        <w:t xml:space="preserve">requirieron </w:t>
      </w:r>
      <w:r w:rsidR="00564925" w:rsidRPr="005D0F69">
        <w:rPr>
          <w:rFonts w:ascii="Verdana" w:eastAsiaTheme="minorHAnsi" w:hAnsi="Verdana" w:cstheme="minorBidi"/>
          <w:sz w:val="20"/>
          <w:szCs w:val="20"/>
          <w:lang w:val="es-EC"/>
        </w:rPr>
        <w:t>que se realice un acto de disculpas públicas por las más altas autoridades del Estado.</w:t>
      </w:r>
      <w:r w:rsidR="00564925">
        <w:rPr>
          <w:rFonts w:ascii="Verdana" w:eastAsiaTheme="minorHAnsi" w:hAnsi="Verdana" w:cstheme="minorBidi"/>
          <w:sz w:val="20"/>
          <w:szCs w:val="20"/>
          <w:lang w:val="es-EC"/>
        </w:rPr>
        <w:t xml:space="preserve"> El </w:t>
      </w:r>
      <w:r w:rsidR="00564925" w:rsidRPr="005D0F69">
        <w:rPr>
          <w:rFonts w:ascii="Verdana" w:eastAsiaTheme="minorHAnsi" w:hAnsi="Verdana" w:cstheme="minorBidi"/>
          <w:b/>
          <w:i/>
          <w:sz w:val="20"/>
          <w:szCs w:val="20"/>
          <w:lang w:val="es-EC"/>
        </w:rPr>
        <w:t>Estado</w:t>
      </w:r>
      <w:r w:rsidR="00564925">
        <w:rPr>
          <w:rFonts w:ascii="Verdana" w:eastAsiaTheme="minorHAnsi" w:hAnsi="Verdana" w:cstheme="minorBidi"/>
          <w:sz w:val="20"/>
          <w:szCs w:val="20"/>
          <w:lang w:val="es-EC"/>
        </w:rPr>
        <w:t xml:space="preserve"> </w:t>
      </w:r>
      <w:r w:rsidR="00564925" w:rsidRPr="00564925">
        <w:rPr>
          <w:rFonts w:ascii="Verdana" w:eastAsiaTheme="minorHAnsi" w:hAnsi="Verdana" w:cstheme="minorBidi"/>
          <w:sz w:val="20"/>
          <w:szCs w:val="20"/>
          <w:lang w:val="es-MX"/>
        </w:rPr>
        <w:t>sostuvo que no se otorgó un acto público de disculpas en el caso Aguado Alfaro</w:t>
      </w:r>
      <w:r w:rsidR="00A07203">
        <w:rPr>
          <w:rFonts w:ascii="Verdana" w:eastAsiaTheme="minorHAnsi" w:hAnsi="Verdana" w:cstheme="minorBidi"/>
          <w:sz w:val="20"/>
          <w:szCs w:val="20"/>
          <w:lang w:val="es-MX"/>
        </w:rPr>
        <w:t xml:space="preserve"> </w:t>
      </w:r>
      <w:r w:rsidR="00A07203" w:rsidRPr="00A07203">
        <w:rPr>
          <w:rFonts w:ascii="Verdana" w:eastAsiaTheme="minorHAnsi" w:hAnsi="Verdana" w:cstheme="minorBidi"/>
          <w:sz w:val="20"/>
          <w:szCs w:val="20"/>
          <w:lang w:val="es-MX"/>
        </w:rPr>
        <w:t>(</w:t>
      </w:r>
      <w:r w:rsidR="00A07203" w:rsidRPr="00333304">
        <w:rPr>
          <w:rFonts w:ascii="Verdana" w:hAnsi="Verdana"/>
          <w:i/>
          <w:sz w:val="20"/>
          <w:szCs w:val="20"/>
          <w:lang w:val="es-CR"/>
        </w:rPr>
        <w:t>Caso Trabajadores Cesados del Congreso Vs. Perú</w:t>
      </w:r>
      <w:r w:rsidR="00A07203" w:rsidRPr="00333304">
        <w:rPr>
          <w:rFonts w:ascii="Verdana" w:eastAsiaTheme="minorHAnsi" w:hAnsi="Verdana" w:cstheme="minorBidi"/>
          <w:i/>
          <w:sz w:val="20"/>
          <w:szCs w:val="20"/>
          <w:lang w:val="es-CR"/>
        </w:rPr>
        <w:t>,</w:t>
      </w:r>
      <w:r w:rsidR="00A07203">
        <w:rPr>
          <w:rFonts w:ascii="Verdana" w:eastAsiaTheme="minorHAnsi" w:hAnsi="Verdana" w:cstheme="minorBidi"/>
          <w:sz w:val="20"/>
          <w:szCs w:val="20"/>
          <w:lang w:val="es-CR"/>
        </w:rPr>
        <w:t xml:space="preserve"> de </w:t>
      </w:r>
      <w:r w:rsidR="00A07203" w:rsidRPr="00333304">
        <w:rPr>
          <w:rFonts w:ascii="Verdana" w:hAnsi="Verdana"/>
          <w:sz w:val="20"/>
          <w:szCs w:val="20"/>
          <w:lang w:val="es-CR"/>
        </w:rPr>
        <w:t>24 de noviembre de 2006)</w:t>
      </w:r>
      <w:r w:rsidR="00564925" w:rsidRPr="00564925">
        <w:rPr>
          <w:rFonts w:ascii="Verdana" w:eastAsiaTheme="minorHAnsi" w:hAnsi="Verdana" w:cstheme="minorBidi"/>
          <w:sz w:val="20"/>
          <w:szCs w:val="20"/>
          <w:lang w:val="es-MX"/>
        </w:rPr>
        <w:t>, sobre despido colectivo, por lo que con mayor razón no correspondería la realización de un acto en este caso en que la presunta víctima es una</w:t>
      </w:r>
      <w:r w:rsidR="00564925">
        <w:rPr>
          <w:rFonts w:ascii="Verdana" w:eastAsiaTheme="minorHAnsi" w:hAnsi="Verdana" w:cstheme="minorBidi"/>
          <w:sz w:val="20"/>
          <w:szCs w:val="20"/>
          <w:lang w:val="es-MX"/>
        </w:rPr>
        <w:t xml:space="preserve"> persona</w:t>
      </w:r>
      <w:r w:rsidR="00564925" w:rsidRPr="00564925">
        <w:rPr>
          <w:rFonts w:ascii="Verdana" w:eastAsiaTheme="minorHAnsi" w:hAnsi="Verdana" w:cstheme="minorBidi"/>
          <w:sz w:val="20"/>
          <w:szCs w:val="20"/>
          <w:lang w:val="es-MX"/>
        </w:rPr>
        <w:t>.</w:t>
      </w:r>
      <w:r w:rsidR="00564925">
        <w:rPr>
          <w:rFonts w:ascii="Verdana" w:eastAsiaTheme="minorHAnsi" w:hAnsi="Verdana" w:cstheme="minorBidi"/>
          <w:sz w:val="20"/>
          <w:szCs w:val="20"/>
          <w:lang w:val="es-MX"/>
        </w:rPr>
        <w:t xml:space="preserve"> </w:t>
      </w:r>
    </w:p>
    <w:p w14:paraId="6807B2FA" w14:textId="77777777" w:rsidR="00232AA2" w:rsidRDefault="00232AA2" w:rsidP="005D0F69">
      <w:pPr>
        <w:widowControl w:val="0"/>
        <w:tabs>
          <w:tab w:val="center" w:pos="567"/>
        </w:tabs>
        <w:autoSpaceDE w:val="0"/>
        <w:autoSpaceDN w:val="0"/>
        <w:adjustRightInd w:val="0"/>
        <w:contextualSpacing/>
        <w:jc w:val="both"/>
        <w:rPr>
          <w:rFonts w:ascii="Verdana" w:eastAsiaTheme="minorHAnsi" w:hAnsi="Verdana" w:cstheme="minorBidi"/>
          <w:sz w:val="20"/>
          <w:szCs w:val="20"/>
          <w:lang w:val="es-MX"/>
        </w:rPr>
      </w:pPr>
    </w:p>
    <w:p w14:paraId="5512710C" w14:textId="77777777" w:rsidR="0062065E" w:rsidRPr="005D0F69" w:rsidRDefault="00564925" w:rsidP="00E66DD7">
      <w:pPr>
        <w:widowControl w:val="0"/>
        <w:numPr>
          <w:ilvl w:val="0"/>
          <w:numId w:val="1"/>
        </w:numPr>
        <w:tabs>
          <w:tab w:val="center" w:pos="567"/>
          <w:tab w:val="num" w:pos="840"/>
        </w:tabs>
        <w:autoSpaceDE w:val="0"/>
        <w:autoSpaceDN w:val="0"/>
        <w:adjustRightInd w:val="0"/>
        <w:ind w:left="0" w:firstLine="0"/>
        <w:contextualSpacing/>
        <w:jc w:val="both"/>
        <w:rPr>
          <w:rFonts w:ascii="Verdana" w:eastAsiaTheme="minorHAnsi" w:hAnsi="Verdana" w:cstheme="minorBidi"/>
          <w:sz w:val="20"/>
          <w:szCs w:val="20"/>
          <w:lang w:val="es-MX"/>
        </w:rPr>
      </w:pPr>
      <w:r w:rsidRPr="0062065E">
        <w:rPr>
          <w:rFonts w:ascii="Verdana" w:eastAsiaTheme="minorHAnsi" w:hAnsi="Verdana" w:cstheme="minorBidi"/>
          <w:sz w:val="20"/>
          <w:szCs w:val="20"/>
          <w:lang w:val="es-EC"/>
        </w:rPr>
        <w:t xml:space="preserve">En el caso en particular, la Corte considera que la emisión de la presente Sentencia, así como la publicación de este Fallo en diversos medios, resultan medidas de satisfacción suficientes y adecuadas para remediar las violaciones </w:t>
      </w:r>
      <w:r w:rsidRPr="00AD7CB4">
        <w:rPr>
          <w:rFonts w:ascii="Verdana" w:eastAsiaTheme="minorHAnsi" w:hAnsi="Verdana" w:cstheme="minorBidi"/>
          <w:sz w:val="20"/>
          <w:szCs w:val="20"/>
          <w:lang w:val="es-EC"/>
        </w:rPr>
        <w:t xml:space="preserve">ocasionadas a la víctima y cumplir con la finalidad indicada por los representantes. </w:t>
      </w:r>
    </w:p>
    <w:p w14:paraId="1ADD8032" w14:textId="77777777" w:rsidR="00EB3278" w:rsidRPr="005D0F69" w:rsidRDefault="00EB3278" w:rsidP="005D0F69">
      <w:pPr>
        <w:widowControl w:val="0"/>
        <w:tabs>
          <w:tab w:val="center" w:pos="567"/>
        </w:tabs>
        <w:autoSpaceDE w:val="0"/>
        <w:autoSpaceDN w:val="0"/>
        <w:adjustRightInd w:val="0"/>
        <w:contextualSpacing/>
        <w:jc w:val="both"/>
        <w:rPr>
          <w:rFonts w:ascii="Verdana" w:eastAsiaTheme="minorHAnsi" w:hAnsi="Verdana" w:cstheme="minorBidi"/>
          <w:sz w:val="20"/>
          <w:szCs w:val="20"/>
          <w:lang w:val="es-MX"/>
        </w:rPr>
      </w:pPr>
    </w:p>
    <w:p w14:paraId="2C7A740F" w14:textId="76FC59F1" w:rsidR="00232AA2" w:rsidRDefault="003F07AD" w:rsidP="00E66DD7">
      <w:pPr>
        <w:widowControl w:val="0"/>
        <w:numPr>
          <w:ilvl w:val="0"/>
          <w:numId w:val="1"/>
        </w:numPr>
        <w:tabs>
          <w:tab w:val="center" w:pos="0"/>
        </w:tabs>
        <w:autoSpaceDE w:val="0"/>
        <w:autoSpaceDN w:val="0"/>
        <w:adjustRightInd w:val="0"/>
        <w:ind w:left="0" w:firstLine="0"/>
        <w:contextualSpacing/>
        <w:jc w:val="both"/>
        <w:rPr>
          <w:rFonts w:ascii="Verdana" w:eastAsiaTheme="minorHAnsi" w:hAnsi="Verdana" w:cstheme="minorBidi"/>
          <w:sz w:val="20"/>
          <w:szCs w:val="20"/>
          <w:lang w:val="es-CR"/>
        </w:rPr>
      </w:pPr>
      <w:r>
        <w:rPr>
          <w:rFonts w:ascii="Verdana" w:eastAsiaTheme="minorHAnsi" w:hAnsi="Verdana" w:cstheme="minorBidi"/>
          <w:sz w:val="20"/>
          <w:szCs w:val="20"/>
          <w:lang w:val="es-MX"/>
        </w:rPr>
        <w:t xml:space="preserve">Respecto de las medidas de </w:t>
      </w:r>
      <w:r w:rsidRPr="005D0F69">
        <w:rPr>
          <w:rFonts w:ascii="Verdana" w:eastAsiaTheme="minorHAnsi" w:hAnsi="Verdana" w:cstheme="minorBidi"/>
          <w:i/>
          <w:sz w:val="20"/>
          <w:szCs w:val="20"/>
          <w:lang w:val="es-MX"/>
        </w:rPr>
        <w:t>rehabilitación</w:t>
      </w:r>
      <w:r>
        <w:rPr>
          <w:rFonts w:ascii="Verdana" w:eastAsiaTheme="minorHAnsi" w:hAnsi="Verdana" w:cstheme="minorBidi"/>
          <w:sz w:val="20"/>
          <w:szCs w:val="20"/>
          <w:lang w:val="es-MX"/>
        </w:rPr>
        <w:t xml:space="preserve"> solicitadas, l</w:t>
      </w:r>
      <w:r w:rsidR="00EB3278" w:rsidRPr="009C5D55">
        <w:rPr>
          <w:rFonts w:ascii="Verdana" w:eastAsiaTheme="minorHAnsi" w:hAnsi="Verdana" w:cstheme="minorBidi"/>
          <w:sz w:val="20"/>
          <w:szCs w:val="20"/>
          <w:lang w:val="es-MX"/>
        </w:rPr>
        <w:t xml:space="preserve">os </w:t>
      </w:r>
      <w:r w:rsidR="00EB3278" w:rsidRPr="009C5D55">
        <w:rPr>
          <w:rFonts w:ascii="Verdana" w:eastAsiaTheme="minorHAnsi" w:hAnsi="Verdana" w:cstheme="minorBidi"/>
          <w:b/>
          <w:i/>
          <w:sz w:val="20"/>
          <w:szCs w:val="20"/>
          <w:lang w:val="es-MX"/>
        </w:rPr>
        <w:t>representantes</w:t>
      </w:r>
      <w:r w:rsidR="00EB3278" w:rsidRPr="009C5D55">
        <w:rPr>
          <w:rFonts w:ascii="Verdana" w:eastAsiaTheme="minorHAnsi" w:hAnsi="Verdana" w:cstheme="minorBidi"/>
          <w:sz w:val="20"/>
          <w:szCs w:val="20"/>
          <w:lang w:val="es-MX"/>
        </w:rPr>
        <w:t xml:space="preserve"> solicitaron también que el Estado garantice un tratamiento médico y psicológico gratuito y permanente a la víctima y su familia. En la audiencia y en sus alegatos finales escritos, los representantes señalaron, reiterando lo señalado por el perito Carlos </w:t>
      </w:r>
      <w:proofErr w:type="spellStart"/>
      <w:r w:rsidR="00EB3278" w:rsidRPr="009C5D55">
        <w:rPr>
          <w:rFonts w:ascii="Verdana" w:eastAsiaTheme="minorHAnsi" w:hAnsi="Verdana" w:cstheme="minorBidi"/>
          <w:sz w:val="20"/>
          <w:szCs w:val="20"/>
          <w:lang w:val="es-MX"/>
        </w:rPr>
        <w:t>Jibaja</w:t>
      </w:r>
      <w:proofErr w:type="spellEnd"/>
      <w:r w:rsidR="00EB3278" w:rsidRPr="009C5D55">
        <w:rPr>
          <w:rFonts w:ascii="Verdana" w:eastAsiaTheme="minorHAnsi" w:hAnsi="Verdana" w:cstheme="minorBidi"/>
          <w:sz w:val="20"/>
          <w:szCs w:val="20"/>
          <w:lang w:val="es-MX"/>
        </w:rPr>
        <w:t xml:space="preserve"> Zárate, que </w:t>
      </w:r>
      <w:r w:rsidR="00EB3278" w:rsidRPr="009C5D55">
        <w:rPr>
          <w:rFonts w:ascii="Verdana" w:eastAsiaTheme="minorHAnsi" w:hAnsi="Verdana" w:cstheme="minorBidi"/>
          <w:sz w:val="20"/>
          <w:szCs w:val="20"/>
          <w:lang w:val="es-CR"/>
        </w:rPr>
        <w:t xml:space="preserve">la situación de despido y de violación de sus derechos humanos, así como la imposibilidad de encontrar justicia hasta la fecha, han sido fuentes importantes de estrés, ansiedad, preocupación, lo cual a lo largo de los años ha venido afectando el estado de salud del señor Lagos del Campo y señalaron que actualmente, el señor Lagos del Campo se encuentra en una precaria situación de salud, por su </w:t>
      </w:r>
      <w:r w:rsidR="00EB3278" w:rsidRPr="009C5D55">
        <w:rPr>
          <w:rFonts w:ascii="Verdana" w:eastAsiaTheme="minorHAnsi" w:hAnsi="Verdana" w:cstheme="minorBidi"/>
          <w:sz w:val="20"/>
          <w:szCs w:val="20"/>
          <w:lang w:val="es-CR"/>
        </w:rPr>
        <w:lastRenderedPageBreak/>
        <w:t>edad pero sobre todo desde el</w:t>
      </w:r>
      <w:r w:rsidR="00EB3278" w:rsidRPr="009C5D55">
        <w:rPr>
          <w:rFonts w:ascii="Verdana" w:eastAsiaTheme="minorHAnsi" w:hAnsi="Verdana" w:cstheme="minorBidi"/>
          <w:sz w:val="20"/>
          <w:szCs w:val="20"/>
          <w:lang w:val="es-MX"/>
        </w:rPr>
        <w:t xml:space="preserve"> accidente de cerebro vascular hemorrágico</w:t>
      </w:r>
      <w:r w:rsidR="00A07203">
        <w:rPr>
          <w:rFonts w:ascii="Verdana" w:eastAsiaTheme="minorHAnsi" w:hAnsi="Verdana" w:cstheme="minorBidi"/>
          <w:sz w:val="20"/>
          <w:szCs w:val="20"/>
          <w:lang w:val="es-MX"/>
        </w:rPr>
        <w:t xml:space="preserve">. </w:t>
      </w:r>
      <w:r w:rsidR="00EB3278" w:rsidRPr="0033330B">
        <w:rPr>
          <w:rFonts w:ascii="Verdana" w:eastAsiaTheme="minorHAnsi" w:hAnsi="Verdana" w:cstheme="minorBidi"/>
          <w:sz w:val="20"/>
          <w:szCs w:val="20"/>
          <w:lang w:val="es-MX"/>
        </w:rPr>
        <w:t xml:space="preserve">El </w:t>
      </w:r>
      <w:r w:rsidR="00EB3278" w:rsidRPr="0033330B">
        <w:rPr>
          <w:rFonts w:ascii="Verdana" w:eastAsiaTheme="minorHAnsi" w:hAnsi="Verdana" w:cstheme="minorBidi"/>
          <w:b/>
          <w:sz w:val="20"/>
          <w:szCs w:val="20"/>
          <w:lang w:val="es-MX"/>
        </w:rPr>
        <w:t>Estado</w:t>
      </w:r>
      <w:r w:rsidR="00EB3278" w:rsidRPr="0033330B">
        <w:rPr>
          <w:rFonts w:ascii="Verdana" w:eastAsiaTheme="minorHAnsi" w:hAnsi="Verdana" w:cstheme="minorBidi"/>
          <w:sz w:val="20"/>
          <w:szCs w:val="20"/>
          <w:lang w:val="es-MX"/>
        </w:rPr>
        <w:t xml:space="preserve"> sostuvo que no existe un nexo causal entre los hechos u omisiones atribuidos al Estado y la situación familiar. La alegación de que el señor Lagos del Campo sufrió estigmatización no tiene fundamento en los hechos, como tampoco ha sido demostrado en circunstancias específicas. Además señaló que en otros casos sobre despidos, no se otorgó atención médica y psicológica. Sin perjuicio de lo anterior, existe atención médica y psicológica gratuita en Perú para personas en situación de pobreza</w:t>
      </w:r>
      <w:r w:rsidR="00446B52">
        <w:rPr>
          <w:rFonts w:ascii="Verdana" w:eastAsiaTheme="minorHAnsi" w:hAnsi="Verdana" w:cstheme="minorBidi"/>
          <w:sz w:val="20"/>
          <w:szCs w:val="20"/>
          <w:lang w:val="es-MX"/>
        </w:rPr>
        <w:t>.</w:t>
      </w:r>
      <w:r w:rsidR="00EB3278" w:rsidRPr="0033330B">
        <w:rPr>
          <w:rFonts w:ascii="Verdana" w:eastAsiaTheme="minorHAnsi" w:hAnsi="Verdana" w:cstheme="minorBidi"/>
          <w:sz w:val="20"/>
          <w:szCs w:val="20"/>
          <w:lang w:val="es-MX"/>
        </w:rPr>
        <w:t xml:space="preserve"> Por último, en sus alegatos finales escritos el estado señaló que en relación con el deterioro de la salud del señor Lagos del Campo, no se ha acreditado su situación luego de sufrir el derrame cerebral y que exista algún diagnóstico de un médico neurólogo que pueda sostener científicamente que el alegado episodio del derrame cerebral se haya debido al presente caso. </w:t>
      </w:r>
    </w:p>
    <w:p w14:paraId="0E88D00B" w14:textId="77777777" w:rsidR="00232AA2" w:rsidRDefault="00232AA2" w:rsidP="005D0F69">
      <w:pPr>
        <w:widowControl w:val="0"/>
        <w:tabs>
          <w:tab w:val="center" w:pos="0"/>
        </w:tabs>
        <w:autoSpaceDE w:val="0"/>
        <w:autoSpaceDN w:val="0"/>
        <w:adjustRightInd w:val="0"/>
        <w:contextualSpacing/>
        <w:jc w:val="both"/>
        <w:rPr>
          <w:rFonts w:ascii="Verdana" w:eastAsiaTheme="minorHAnsi" w:hAnsi="Verdana" w:cstheme="minorBidi"/>
          <w:sz w:val="20"/>
          <w:szCs w:val="20"/>
          <w:lang w:val="es-CR"/>
        </w:rPr>
      </w:pPr>
    </w:p>
    <w:p w14:paraId="316EFDF6" w14:textId="5DFE0600" w:rsidR="00232AA2" w:rsidRDefault="00EB3278" w:rsidP="00E66DD7">
      <w:pPr>
        <w:widowControl w:val="0"/>
        <w:numPr>
          <w:ilvl w:val="0"/>
          <w:numId w:val="1"/>
        </w:numPr>
        <w:tabs>
          <w:tab w:val="center" w:pos="0"/>
        </w:tabs>
        <w:autoSpaceDE w:val="0"/>
        <w:autoSpaceDN w:val="0"/>
        <w:adjustRightInd w:val="0"/>
        <w:ind w:left="0" w:firstLine="0"/>
        <w:contextualSpacing/>
        <w:jc w:val="both"/>
        <w:rPr>
          <w:rFonts w:ascii="Verdana" w:eastAsiaTheme="minorHAnsi" w:hAnsi="Verdana" w:cstheme="minorBidi"/>
          <w:sz w:val="20"/>
          <w:szCs w:val="20"/>
          <w:lang w:val="es-CR"/>
        </w:rPr>
      </w:pPr>
      <w:r w:rsidRPr="0033330B">
        <w:rPr>
          <w:rFonts w:ascii="Verdana" w:eastAsiaTheme="minorHAnsi" w:hAnsi="Verdana" w:cstheme="minorBidi"/>
          <w:sz w:val="20"/>
          <w:szCs w:val="20"/>
          <w:lang w:val="es-CR"/>
        </w:rPr>
        <w:t xml:space="preserve">En el presente caso, la Corte </w:t>
      </w:r>
      <w:r w:rsidR="0033330B">
        <w:rPr>
          <w:rFonts w:ascii="Verdana" w:eastAsiaTheme="minorHAnsi" w:hAnsi="Verdana" w:cstheme="minorBidi"/>
          <w:sz w:val="20"/>
          <w:szCs w:val="20"/>
          <w:lang w:val="es-CR"/>
        </w:rPr>
        <w:t xml:space="preserve">constata </w:t>
      </w:r>
      <w:r w:rsidR="0062065E">
        <w:rPr>
          <w:rFonts w:ascii="Verdana" w:eastAsiaTheme="minorHAnsi" w:hAnsi="Verdana" w:cstheme="minorBidi"/>
          <w:sz w:val="20"/>
          <w:szCs w:val="20"/>
          <w:lang w:val="es-CR"/>
        </w:rPr>
        <w:t xml:space="preserve">que si bien </w:t>
      </w:r>
      <w:r w:rsidR="0033330B">
        <w:rPr>
          <w:rFonts w:ascii="Verdana" w:eastAsiaTheme="minorHAnsi" w:hAnsi="Verdana" w:cstheme="minorBidi"/>
          <w:sz w:val="20"/>
          <w:szCs w:val="20"/>
          <w:lang w:val="es-CR"/>
        </w:rPr>
        <w:t xml:space="preserve">existe un nexo causal entre los hechos del caso y las afectaciones </w:t>
      </w:r>
      <w:r w:rsidR="0062065E">
        <w:rPr>
          <w:rFonts w:ascii="Verdana" w:eastAsiaTheme="minorHAnsi" w:hAnsi="Verdana" w:cstheme="minorBidi"/>
          <w:sz w:val="20"/>
          <w:szCs w:val="20"/>
          <w:lang w:val="es-CR"/>
        </w:rPr>
        <w:t xml:space="preserve">especialmente </w:t>
      </w:r>
      <w:r w:rsidR="00FA445A">
        <w:rPr>
          <w:rFonts w:ascii="Verdana" w:eastAsiaTheme="minorHAnsi" w:hAnsi="Verdana" w:cstheme="minorBidi"/>
          <w:sz w:val="20"/>
          <w:szCs w:val="20"/>
          <w:lang w:val="es-CR"/>
        </w:rPr>
        <w:t>psicológicas del señor Lagos,</w:t>
      </w:r>
      <w:r w:rsidR="0033330B">
        <w:rPr>
          <w:rFonts w:ascii="Verdana" w:eastAsiaTheme="minorHAnsi" w:hAnsi="Verdana" w:cstheme="minorBidi"/>
          <w:sz w:val="20"/>
          <w:szCs w:val="20"/>
          <w:lang w:val="es-CR"/>
        </w:rPr>
        <w:t xml:space="preserve"> </w:t>
      </w:r>
      <w:r w:rsidR="0033330B" w:rsidRPr="0033330B">
        <w:rPr>
          <w:rFonts w:ascii="Verdana" w:eastAsiaTheme="minorHAnsi" w:hAnsi="Verdana" w:cstheme="minorBidi"/>
          <w:sz w:val="20"/>
          <w:szCs w:val="20"/>
          <w:lang w:val="es-CR"/>
        </w:rPr>
        <w:t xml:space="preserve">considera que, atendiendo a la solicitud de los representantes y dado el tiempo transcurrido, no corresponde en este caso ordenar al Estado que brinde tratamiento adecuado, pudiendo considerarse ese rubro dentro de las indemnizaciones compensatorias </w:t>
      </w:r>
      <w:r w:rsidR="00087FDE" w:rsidRPr="009A3098">
        <w:rPr>
          <w:rFonts w:ascii="Verdana" w:eastAsiaTheme="minorHAnsi" w:hAnsi="Verdana" w:cstheme="minorBidi"/>
          <w:sz w:val="20"/>
          <w:szCs w:val="20"/>
          <w:lang w:val="es-CR"/>
        </w:rPr>
        <w:t>por daño inmaterial</w:t>
      </w:r>
      <w:r w:rsidR="0033330B" w:rsidRPr="0033330B">
        <w:rPr>
          <w:rFonts w:ascii="Verdana" w:eastAsiaTheme="minorHAnsi" w:hAnsi="Verdana" w:cstheme="minorBidi"/>
          <w:sz w:val="20"/>
          <w:szCs w:val="20"/>
          <w:lang w:val="es-CR"/>
        </w:rPr>
        <w:t>.</w:t>
      </w:r>
      <w:r w:rsidR="0062065E">
        <w:rPr>
          <w:rFonts w:ascii="Verdana" w:eastAsiaTheme="minorHAnsi" w:hAnsi="Verdana" w:cstheme="minorBidi"/>
          <w:sz w:val="20"/>
          <w:szCs w:val="20"/>
          <w:lang w:val="es-CR"/>
        </w:rPr>
        <w:t xml:space="preserve"> En relación con el daño físico, no estima se haya probado un nexo causal con las violaciones acreditadas. </w:t>
      </w:r>
    </w:p>
    <w:p w14:paraId="32AA849F" w14:textId="77777777" w:rsidR="00232AA2" w:rsidRDefault="00232AA2" w:rsidP="005D0F69">
      <w:pPr>
        <w:widowControl w:val="0"/>
        <w:tabs>
          <w:tab w:val="center" w:pos="0"/>
        </w:tabs>
        <w:autoSpaceDE w:val="0"/>
        <w:autoSpaceDN w:val="0"/>
        <w:adjustRightInd w:val="0"/>
        <w:contextualSpacing/>
        <w:jc w:val="both"/>
        <w:rPr>
          <w:rFonts w:ascii="Verdana" w:eastAsiaTheme="minorHAnsi" w:hAnsi="Verdana" w:cstheme="minorBidi"/>
          <w:sz w:val="20"/>
          <w:szCs w:val="20"/>
          <w:lang w:val="es-CR"/>
        </w:rPr>
      </w:pPr>
    </w:p>
    <w:p w14:paraId="4BC651A8" w14:textId="5D0D7CF1" w:rsidR="00232AA2" w:rsidRPr="009C5D55" w:rsidRDefault="003F07AD" w:rsidP="00E66DD7">
      <w:pPr>
        <w:widowControl w:val="0"/>
        <w:numPr>
          <w:ilvl w:val="0"/>
          <w:numId w:val="1"/>
        </w:numPr>
        <w:tabs>
          <w:tab w:val="center" w:pos="0"/>
        </w:tabs>
        <w:autoSpaceDE w:val="0"/>
        <w:autoSpaceDN w:val="0"/>
        <w:adjustRightInd w:val="0"/>
        <w:ind w:left="0" w:firstLine="0"/>
        <w:contextualSpacing/>
        <w:jc w:val="both"/>
        <w:rPr>
          <w:rFonts w:ascii="Verdana" w:eastAsiaTheme="minorHAnsi" w:hAnsi="Verdana" w:cstheme="minorBidi"/>
          <w:sz w:val="20"/>
          <w:szCs w:val="20"/>
          <w:lang w:val="es-ES"/>
        </w:rPr>
      </w:pPr>
      <w:r>
        <w:rPr>
          <w:rFonts w:ascii="Verdana" w:eastAsiaTheme="minorHAnsi" w:hAnsi="Verdana" w:cstheme="minorBidi"/>
          <w:sz w:val="20"/>
          <w:szCs w:val="20"/>
          <w:lang w:val="es-ES"/>
        </w:rPr>
        <w:t>En relación con la</w:t>
      </w:r>
      <w:r w:rsidR="0062065E">
        <w:rPr>
          <w:rFonts w:ascii="Verdana" w:eastAsiaTheme="minorHAnsi" w:hAnsi="Verdana" w:cstheme="minorBidi"/>
          <w:sz w:val="20"/>
          <w:szCs w:val="20"/>
          <w:lang w:val="es-ES"/>
        </w:rPr>
        <w:t xml:space="preserve"> solicitud de </w:t>
      </w:r>
      <w:r w:rsidR="0062065E" w:rsidRPr="005D0F69">
        <w:rPr>
          <w:rFonts w:ascii="Verdana" w:eastAsiaTheme="minorHAnsi" w:hAnsi="Verdana" w:cstheme="minorBidi"/>
          <w:i/>
          <w:sz w:val="20"/>
          <w:szCs w:val="20"/>
          <w:lang w:val="es-ES"/>
        </w:rPr>
        <w:t>garantías</w:t>
      </w:r>
      <w:r w:rsidRPr="005D0F69">
        <w:rPr>
          <w:rFonts w:ascii="Verdana" w:eastAsiaTheme="minorHAnsi" w:hAnsi="Verdana" w:cstheme="minorBidi"/>
          <w:i/>
          <w:sz w:val="20"/>
          <w:szCs w:val="20"/>
          <w:lang w:val="es-ES"/>
        </w:rPr>
        <w:t xml:space="preserve"> de no repetición</w:t>
      </w:r>
      <w:r>
        <w:rPr>
          <w:rFonts w:ascii="Verdana" w:eastAsiaTheme="minorHAnsi" w:hAnsi="Verdana" w:cstheme="minorBidi"/>
          <w:sz w:val="20"/>
          <w:szCs w:val="20"/>
          <w:lang w:val="es-ES"/>
        </w:rPr>
        <w:t xml:space="preserve">, </w:t>
      </w:r>
      <w:r w:rsidR="0062065E">
        <w:rPr>
          <w:rFonts w:ascii="Verdana" w:eastAsiaTheme="minorHAnsi" w:hAnsi="Verdana" w:cstheme="minorBidi"/>
          <w:sz w:val="20"/>
          <w:szCs w:val="20"/>
          <w:lang w:val="es-ES"/>
        </w:rPr>
        <w:t>l</w:t>
      </w:r>
      <w:r w:rsidR="00232AA2" w:rsidRPr="00232AA2">
        <w:rPr>
          <w:rFonts w:ascii="Verdana" w:eastAsiaTheme="minorHAnsi" w:hAnsi="Verdana" w:cstheme="minorBidi"/>
          <w:sz w:val="20"/>
          <w:szCs w:val="20"/>
          <w:lang w:val="es-ES"/>
        </w:rPr>
        <w:t xml:space="preserve">a </w:t>
      </w:r>
      <w:r w:rsidR="00232AA2" w:rsidRPr="00232AA2">
        <w:rPr>
          <w:rFonts w:ascii="Verdana" w:eastAsiaTheme="minorHAnsi" w:hAnsi="Verdana" w:cstheme="minorBidi"/>
          <w:b/>
          <w:i/>
          <w:sz w:val="20"/>
          <w:szCs w:val="20"/>
          <w:lang w:val="es-ES"/>
        </w:rPr>
        <w:t>Comisión</w:t>
      </w:r>
      <w:r w:rsidR="00232AA2" w:rsidRPr="00232AA2">
        <w:rPr>
          <w:rFonts w:ascii="Verdana" w:eastAsiaTheme="minorHAnsi" w:hAnsi="Verdana" w:cstheme="minorBidi"/>
          <w:sz w:val="20"/>
          <w:szCs w:val="20"/>
          <w:lang w:val="es-ES"/>
        </w:rPr>
        <w:t xml:space="preserve"> </w:t>
      </w:r>
      <w:r w:rsidR="0062065E">
        <w:rPr>
          <w:rFonts w:ascii="Verdana" w:eastAsiaTheme="minorHAnsi" w:hAnsi="Verdana" w:cstheme="minorBidi"/>
          <w:sz w:val="20"/>
          <w:szCs w:val="20"/>
          <w:lang w:val="es-ES"/>
        </w:rPr>
        <w:t>requirió</w:t>
      </w:r>
      <w:r w:rsidR="00232AA2" w:rsidRPr="00232AA2">
        <w:rPr>
          <w:rFonts w:ascii="Verdana" w:eastAsiaTheme="minorHAnsi" w:hAnsi="Verdana" w:cstheme="minorBidi"/>
          <w:sz w:val="20"/>
          <w:szCs w:val="20"/>
          <w:lang w:val="es-ES"/>
        </w:rPr>
        <w:t xml:space="preserve"> </w:t>
      </w:r>
      <w:r w:rsidR="00232AA2" w:rsidRPr="00232AA2">
        <w:rPr>
          <w:rFonts w:ascii="Verdana" w:eastAsiaTheme="minorHAnsi" w:hAnsi="Verdana" w:cstheme="minorBidi"/>
          <w:sz w:val="20"/>
          <w:szCs w:val="20"/>
          <w:lang w:val="es-MX"/>
        </w:rPr>
        <w:t>adoptar medidas de no repetición a fin de asegurar que los representantes de los trabajadores y líderes sindicales puedan gozar de su derecho a la libertad de expresión, de conformidad con los estándares establecidos en el Informe de Fondo, así como adoptar medidas para asegurar que la legislación y su aplicación por parte de los tribunales internos se adecue a los principios establecidos por el derecho internacional de los derechos humanos en materia de libertad de expresión en contextos laborales</w:t>
      </w:r>
      <w:r w:rsidR="00A07203">
        <w:rPr>
          <w:rFonts w:ascii="Verdana" w:eastAsiaTheme="minorHAnsi" w:hAnsi="Verdana" w:cstheme="minorBidi"/>
          <w:sz w:val="20"/>
          <w:szCs w:val="20"/>
          <w:lang w:val="es-MX"/>
        </w:rPr>
        <w:t xml:space="preserve">. </w:t>
      </w:r>
      <w:r w:rsidR="00232AA2" w:rsidRPr="009C5D55">
        <w:rPr>
          <w:rFonts w:ascii="Verdana" w:eastAsiaTheme="minorHAnsi" w:hAnsi="Verdana" w:cstheme="minorBidi"/>
          <w:sz w:val="20"/>
          <w:szCs w:val="20"/>
          <w:lang w:val="es-ES"/>
        </w:rPr>
        <w:t xml:space="preserve">Los </w:t>
      </w:r>
      <w:r w:rsidR="00232AA2" w:rsidRPr="009C5D55">
        <w:rPr>
          <w:rFonts w:ascii="Verdana" w:eastAsiaTheme="minorHAnsi" w:hAnsi="Verdana" w:cstheme="minorBidi"/>
          <w:b/>
          <w:i/>
          <w:sz w:val="20"/>
          <w:szCs w:val="20"/>
          <w:lang w:val="es-ES"/>
        </w:rPr>
        <w:t>representantes</w:t>
      </w:r>
      <w:r w:rsidR="00232AA2" w:rsidRPr="009C5D55">
        <w:rPr>
          <w:rFonts w:ascii="Verdana" w:eastAsiaTheme="minorHAnsi" w:hAnsi="Verdana" w:cstheme="minorBidi"/>
          <w:sz w:val="20"/>
          <w:szCs w:val="20"/>
          <w:lang w:val="es-ES"/>
        </w:rPr>
        <w:t xml:space="preserve"> solicitaron que la Corte ordene, igualmente, asegurar que los representantes de los trabajadores y líderes sindicales puedan gozar de su derecho a la libertad de expresión, de conformidad con los estándares establecidos en el Informe de Fondo, así como adoptar medidas para asegurar que la legislación y su aplicación por parte de los tribunales internos se adecue a los principios establecidos por el derecho internacional de los derechos humanos en materia de libertad de expresión en contextos laborales</w:t>
      </w:r>
      <w:r w:rsidR="00E54DBC">
        <w:rPr>
          <w:rFonts w:ascii="Verdana" w:eastAsiaTheme="minorHAnsi" w:hAnsi="Verdana" w:cstheme="minorBidi"/>
          <w:sz w:val="20"/>
          <w:szCs w:val="20"/>
          <w:lang w:val="es-ES"/>
        </w:rPr>
        <w:t xml:space="preserve">. </w:t>
      </w:r>
      <w:r w:rsidR="00E54DBC" w:rsidRPr="00333304">
        <w:rPr>
          <w:rFonts w:ascii="Verdana" w:eastAsiaTheme="minorHAnsi" w:hAnsi="Verdana" w:cstheme="minorBidi"/>
          <w:sz w:val="20"/>
          <w:szCs w:val="20"/>
          <w:lang w:val="es-ES"/>
        </w:rPr>
        <w:t xml:space="preserve">En particular los representantes hicieron referencia a lo establecido por la Comisión en su Informe de Fondo sobre el Decreto Legislativo 24514, específicamente por </w:t>
      </w:r>
      <w:r w:rsidR="00F830E9" w:rsidRPr="00333304">
        <w:rPr>
          <w:rFonts w:ascii="Verdana" w:eastAsiaTheme="minorHAnsi" w:hAnsi="Verdana" w:cstheme="minorBidi"/>
          <w:sz w:val="20"/>
          <w:szCs w:val="20"/>
          <w:lang w:val="es-ES"/>
        </w:rPr>
        <w:t>la supuesta</w:t>
      </w:r>
      <w:r w:rsidR="00E54DBC" w:rsidRPr="00333304">
        <w:rPr>
          <w:rFonts w:ascii="Verdana" w:eastAsiaTheme="minorHAnsi" w:hAnsi="Verdana" w:cstheme="minorBidi"/>
          <w:sz w:val="20"/>
          <w:szCs w:val="20"/>
          <w:lang w:val="es-ES"/>
        </w:rPr>
        <w:t xml:space="preserve"> </w:t>
      </w:r>
      <w:r w:rsidR="001D4D46" w:rsidRPr="00333304">
        <w:rPr>
          <w:rFonts w:ascii="Verdana" w:eastAsiaTheme="minorHAnsi" w:hAnsi="Verdana" w:cstheme="minorBidi"/>
          <w:sz w:val="20"/>
          <w:szCs w:val="20"/>
          <w:lang w:val="es-ES"/>
        </w:rPr>
        <w:t>vaguedad</w:t>
      </w:r>
      <w:r w:rsidR="00E54DBC" w:rsidRPr="00333304">
        <w:rPr>
          <w:rFonts w:ascii="Verdana" w:eastAsiaTheme="minorHAnsi" w:hAnsi="Verdana" w:cstheme="minorBidi"/>
          <w:sz w:val="20"/>
          <w:szCs w:val="20"/>
          <w:lang w:val="es-ES"/>
        </w:rPr>
        <w:t xml:space="preserve"> e imprecis</w:t>
      </w:r>
      <w:r w:rsidR="00F830E9" w:rsidRPr="00333304">
        <w:rPr>
          <w:rFonts w:ascii="Verdana" w:eastAsiaTheme="minorHAnsi" w:hAnsi="Verdana" w:cstheme="minorBidi"/>
          <w:sz w:val="20"/>
          <w:szCs w:val="20"/>
          <w:lang w:val="es-ES"/>
        </w:rPr>
        <w:t>ión de esta norma</w:t>
      </w:r>
      <w:r w:rsidR="00E54DBC" w:rsidRPr="00333304">
        <w:rPr>
          <w:rFonts w:ascii="Verdana" w:eastAsiaTheme="minorHAnsi" w:hAnsi="Verdana" w:cstheme="minorBidi"/>
          <w:sz w:val="20"/>
          <w:szCs w:val="20"/>
          <w:lang w:val="es-ES"/>
        </w:rPr>
        <w:t xml:space="preserve"> </w:t>
      </w:r>
      <w:r w:rsidR="00F830E9" w:rsidRPr="00333304">
        <w:rPr>
          <w:rFonts w:ascii="Verdana" w:eastAsiaTheme="minorHAnsi" w:hAnsi="Verdana" w:cstheme="minorBidi"/>
          <w:sz w:val="20"/>
          <w:szCs w:val="20"/>
          <w:lang w:val="es-ES"/>
        </w:rPr>
        <w:t>y su alegado incumplimiento</w:t>
      </w:r>
      <w:r w:rsidR="00E54DBC" w:rsidRPr="00333304">
        <w:rPr>
          <w:rFonts w:ascii="Verdana" w:eastAsiaTheme="minorHAnsi" w:hAnsi="Verdana" w:cstheme="minorBidi"/>
          <w:sz w:val="20"/>
          <w:szCs w:val="20"/>
          <w:lang w:val="es-ES"/>
        </w:rPr>
        <w:t xml:space="preserve"> </w:t>
      </w:r>
      <w:r w:rsidR="00F830E9" w:rsidRPr="00333304">
        <w:rPr>
          <w:rFonts w:ascii="Verdana" w:eastAsiaTheme="minorHAnsi" w:hAnsi="Verdana" w:cstheme="minorBidi"/>
          <w:sz w:val="20"/>
          <w:szCs w:val="20"/>
          <w:lang w:val="es-ES"/>
        </w:rPr>
        <w:t>d</w:t>
      </w:r>
      <w:r w:rsidR="00E54DBC" w:rsidRPr="00333304">
        <w:rPr>
          <w:rFonts w:ascii="Verdana" w:eastAsiaTheme="minorHAnsi" w:hAnsi="Verdana" w:cstheme="minorBidi"/>
          <w:sz w:val="20"/>
          <w:szCs w:val="20"/>
          <w:lang w:val="es-ES"/>
        </w:rPr>
        <w:t>el artículo 2 de la Convención</w:t>
      </w:r>
      <w:r w:rsidR="00232AA2" w:rsidRPr="009C5D55">
        <w:rPr>
          <w:rFonts w:ascii="Verdana" w:eastAsiaTheme="minorHAnsi" w:hAnsi="Verdana" w:cstheme="minorBidi"/>
          <w:sz w:val="20"/>
          <w:szCs w:val="20"/>
          <w:lang w:val="es-ES"/>
        </w:rPr>
        <w:t xml:space="preserve">. El </w:t>
      </w:r>
      <w:r w:rsidR="00232AA2" w:rsidRPr="009C5D55">
        <w:rPr>
          <w:rFonts w:ascii="Verdana" w:eastAsiaTheme="minorHAnsi" w:hAnsi="Verdana" w:cstheme="minorBidi"/>
          <w:b/>
          <w:i/>
          <w:sz w:val="20"/>
          <w:szCs w:val="20"/>
          <w:lang w:val="es-ES"/>
        </w:rPr>
        <w:t>Estado</w:t>
      </w:r>
      <w:r w:rsidR="00232AA2" w:rsidRPr="009C5D55">
        <w:rPr>
          <w:rFonts w:ascii="Verdana" w:eastAsiaTheme="minorHAnsi" w:hAnsi="Verdana" w:cstheme="minorBidi"/>
          <w:sz w:val="20"/>
          <w:szCs w:val="20"/>
          <w:lang w:val="es-ES"/>
        </w:rPr>
        <w:t xml:space="preserve"> sostuvo que su derecho a defensa efectiva se vio afectado, pues no contó con la posibilidad real de saber qué tipo específico de medida se le requería adoptar</w:t>
      </w:r>
      <w:r w:rsidR="00A57AE0">
        <w:rPr>
          <w:rFonts w:ascii="Verdana" w:eastAsiaTheme="minorHAnsi" w:hAnsi="Verdana" w:cstheme="minorBidi"/>
          <w:sz w:val="20"/>
          <w:szCs w:val="20"/>
          <w:lang w:val="es-ES"/>
        </w:rPr>
        <w:t>,</w:t>
      </w:r>
      <w:r w:rsidR="00232AA2" w:rsidRPr="009C5D55">
        <w:rPr>
          <w:rFonts w:ascii="Verdana" w:eastAsiaTheme="minorHAnsi" w:hAnsi="Verdana" w:cstheme="minorBidi"/>
          <w:sz w:val="20"/>
          <w:szCs w:val="20"/>
          <w:lang w:val="es-ES"/>
        </w:rPr>
        <w:t xml:space="preserve"> </w:t>
      </w:r>
      <w:r w:rsidR="00F830E9" w:rsidRPr="00333304">
        <w:rPr>
          <w:rFonts w:ascii="Verdana" w:eastAsiaTheme="minorHAnsi" w:hAnsi="Verdana" w:cstheme="minorBidi"/>
          <w:sz w:val="20"/>
          <w:szCs w:val="20"/>
          <w:lang w:val="es-ES"/>
        </w:rPr>
        <w:t>puesto</w:t>
      </w:r>
      <w:r w:rsidR="00E54DBC" w:rsidRPr="00333304">
        <w:rPr>
          <w:rFonts w:ascii="Verdana" w:eastAsiaTheme="minorHAnsi" w:hAnsi="Verdana" w:cstheme="minorBidi"/>
          <w:sz w:val="20"/>
          <w:szCs w:val="20"/>
          <w:lang w:val="es-ES"/>
        </w:rPr>
        <w:t xml:space="preserve"> que la Comisión no precisó las medidas en concreto que debía implementar el Estado.</w:t>
      </w:r>
      <w:r w:rsidR="00E54DBC" w:rsidRPr="00E54DBC">
        <w:rPr>
          <w:rFonts w:ascii="Verdana" w:eastAsiaTheme="minorHAnsi" w:hAnsi="Verdana" w:cstheme="minorBidi"/>
          <w:b/>
          <w:sz w:val="20"/>
          <w:szCs w:val="20"/>
          <w:lang w:val="es-ES"/>
        </w:rPr>
        <w:t xml:space="preserve"> </w:t>
      </w:r>
    </w:p>
    <w:p w14:paraId="1237851B" w14:textId="77777777" w:rsidR="00232AA2" w:rsidRPr="009C5D55" w:rsidRDefault="00232AA2" w:rsidP="00232AA2">
      <w:pPr>
        <w:widowControl w:val="0"/>
        <w:tabs>
          <w:tab w:val="center" w:pos="567"/>
        </w:tabs>
        <w:autoSpaceDE w:val="0"/>
        <w:autoSpaceDN w:val="0"/>
        <w:adjustRightInd w:val="0"/>
        <w:contextualSpacing/>
        <w:jc w:val="both"/>
        <w:rPr>
          <w:rFonts w:ascii="Verdana" w:eastAsiaTheme="minorHAnsi" w:hAnsi="Verdana" w:cstheme="minorBidi"/>
          <w:sz w:val="20"/>
          <w:szCs w:val="20"/>
          <w:lang w:val="es-ES"/>
        </w:rPr>
      </w:pPr>
    </w:p>
    <w:p w14:paraId="76FA25F0" w14:textId="4B2768AD" w:rsidR="00232AA2" w:rsidRDefault="00A57AE0" w:rsidP="00E66DD7">
      <w:pPr>
        <w:widowControl w:val="0"/>
        <w:numPr>
          <w:ilvl w:val="0"/>
          <w:numId w:val="1"/>
        </w:numPr>
        <w:tabs>
          <w:tab w:val="center" w:pos="0"/>
        </w:tabs>
        <w:autoSpaceDE w:val="0"/>
        <w:autoSpaceDN w:val="0"/>
        <w:adjustRightInd w:val="0"/>
        <w:ind w:left="0" w:firstLine="0"/>
        <w:contextualSpacing/>
        <w:jc w:val="both"/>
        <w:rPr>
          <w:rFonts w:ascii="Verdana" w:eastAsiaTheme="minorHAnsi" w:hAnsi="Verdana" w:cstheme="minorBidi"/>
          <w:sz w:val="20"/>
          <w:szCs w:val="20"/>
          <w:lang w:val="es-EC"/>
        </w:rPr>
      </w:pPr>
      <w:r w:rsidRPr="00333304">
        <w:rPr>
          <w:rFonts w:ascii="Verdana" w:eastAsiaTheme="minorHAnsi" w:hAnsi="Verdana" w:cstheme="minorBidi"/>
          <w:sz w:val="20"/>
          <w:szCs w:val="20"/>
          <w:lang w:val="es-EC"/>
        </w:rPr>
        <w:t xml:space="preserve">La Corte </w:t>
      </w:r>
      <w:r w:rsidR="00A07203" w:rsidRPr="00333304">
        <w:rPr>
          <w:rFonts w:ascii="Verdana" w:eastAsiaTheme="minorHAnsi" w:hAnsi="Verdana" w:cstheme="minorBidi"/>
          <w:sz w:val="20"/>
          <w:szCs w:val="20"/>
          <w:lang w:val="es-EC"/>
        </w:rPr>
        <w:t xml:space="preserve">nota </w:t>
      </w:r>
      <w:r w:rsidRPr="00333304">
        <w:rPr>
          <w:rFonts w:ascii="Verdana" w:eastAsiaTheme="minorHAnsi" w:hAnsi="Verdana" w:cstheme="minorBidi"/>
          <w:sz w:val="20"/>
          <w:szCs w:val="20"/>
          <w:lang w:val="es-EC"/>
        </w:rPr>
        <w:t xml:space="preserve">que ni los representantes ni la Comisión realizaron una precisión expresa sobre </w:t>
      </w:r>
      <w:r w:rsidR="00F830E9" w:rsidRPr="00333304">
        <w:rPr>
          <w:rFonts w:ascii="Verdana" w:eastAsiaTheme="minorHAnsi" w:hAnsi="Verdana" w:cstheme="minorBidi"/>
          <w:sz w:val="20"/>
          <w:szCs w:val="20"/>
          <w:lang w:val="es-EC"/>
        </w:rPr>
        <w:t xml:space="preserve">el alcance de las </w:t>
      </w:r>
      <w:r w:rsidRPr="00333304">
        <w:rPr>
          <w:rFonts w:ascii="Verdana" w:eastAsiaTheme="minorHAnsi" w:hAnsi="Verdana" w:cstheme="minorBidi"/>
          <w:sz w:val="20"/>
          <w:szCs w:val="20"/>
          <w:lang w:val="es-EC"/>
        </w:rPr>
        <w:t xml:space="preserve">medidas </w:t>
      </w:r>
      <w:r w:rsidR="00F830E9" w:rsidRPr="00333304">
        <w:rPr>
          <w:rFonts w:ascii="Verdana" w:eastAsiaTheme="minorHAnsi" w:hAnsi="Verdana" w:cstheme="minorBidi"/>
          <w:sz w:val="20"/>
          <w:szCs w:val="20"/>
          <w:lang w:val="es-EC"/>
        </w:rPr>
        <w:t xml:space="preserve">que </w:t>
      </w:r>
      <w:r w:rsidRPr="00333304">
        <w:rPr>
          <w:rFonts w:ascii="Verdana" w:eastAsiaTheme="minorHAnsi" w:hAnsi="Verdana" w:cstheme="minorBidi"/>
          <w:sz w:val="20"/>
          <w:szCs w:val="20"/>
          <w:lang w:val="es-EC"/>
        </w:rPr>
        <w:t>deb</w:t>
      </w:r>
      <w:r w:rsidR="00F830E9" w:rsidRPr="00333304">
        <w:rPr>
          <w:rFonts w:ascii="Verdana" w:eastAsiaTheme="minorHAnsi" w:hAnsi="Verdana" w:cstheme="minorBidi"/>
          <w:sz w:val="20"/>
          <w:szCs w:val="20"/>
          <w:lang w:val="es-EC"/>
        </w:rPr>
        <w:t>erían</w:t>
      </w:r>
      <w:r w:rsidRPr="00333304">
        <w:rPr>
          <w:rFonts w:ascii="Verdana" w:eastAsiaTheme="minorHAnsi" w:hAnsi="Verdana" w:cstheme="minorBidi"/>
          <w:sz w:val="20"/>
          <w:szCs w:val="20"/>
          <w:lang w:val="es-EC"/>
        </w:rPr>
        <w:t xml:space="preserve"> ser aplicadas por el Estado. No obstante,</w:t>
      </w:r>
      <w:r w:rsidRPr="00A07203">
        <w:rPr>
          <w:rFonts w:ascii="Verdana" w:eastAsiaTheme="minorHAnsi" w:hAnsi="Verdana" w:cstheme="minorBidi"/>
          <w:sz w:val="20"/>
          <w:szCs w:val="20"/>
          <w:lang w:val="es-EC"/>
        </w:rPr>
        <w:t xml:space="preserve"> </w:t>
      </w:r>
      <w:r w:rsidRPr="00333304">
        <w:rPr>
          <w:rFonts w:ascii="Verdana" w:eastAsiaTheme="minorHAnsi" w:hAnsi="Verdana" w:cstheme="minorBidi"/>
          <w:sz w:val="20"/>
          <w:szCs w:val="20"/>
          <w:lang w:val="es-EC"/>
        </w:rPr>
        <w:t>e</w:t>
      </w:r>
      <w:r w:rsidR="00232AA2" w:rsidRPr="00A07203">
        <w:rPr>
          <w:rFonts w:ascii="Verdana" w:eastAsiaTheme="minorHAnsi" w:hAnsi="Verdana" w:cstheme="minorBidi"/>
          <w:sz w:val="20"/>
          <w:szCs w:val="20"/>
          <w:lang w:val="es-EC"/>
        </w:rPr>
        <w:t xml:space="preserve">n </w:t>
      </w:r>
      <w:r w:rsidR="00232AA2">
        <w:rPr>
          <w:rFonts w:ascii="Verdana" w:eastAsiaTheme="minorHAnsi" w:hAnsi="Verdana" w:cstheme="minorBidi"/>
          <w:sz w:val="20"/>
          <w:szCs w:val="20"/>
          <w:lang w:val="es-EC"/>
        </w:rPr>
        <w:t xml:space="preserve">el presente caso, la Corte concluyó que el inciso h) del artículo 5 de la Ley 24514 no era </w:t>
      </w:r>
      <w:r w:rsidR="00232AA2">
        <w:rPr>
          <w:rFonts w:ascii="Verdana" w:eastAsiaTheme="minorHAnsi" w:hAnsi="Verdana" w:cstheme="minorBidi"/>
          <w:i/>
          <w:sz w:val="20"/>
          <w:szCs w:val="20"/>
          <w:lang w:val="es-EC"/>
        </w:rPr>
        <w:t xml:space="preserve">per se </w:t>
      </w:r>
      <w:r w:rsidR="00232AA2">
        <w:rPr>
          <w:rFonts w:ascii="Verdana" w:eastAsiaTheme="minorHAnsi" w:hAnsi="Verdana" w:cstheme="minorBidi"/>
          <w:sz w:val="20"/>
          <w:szCs w:val="20"/>
          <w:lang w:val="es-EC"/>
        </w:rPr>
        <w:t>incompatible con el requisito de legalidad del artículo 13.2 de la Convención</w:t>
      </w:r>
      <w:r w:rsidR="0062065E">
        <w:rPr>
          <w:rFonts w:ascii="Verdana" w:eastAsiaTheme="minorHAnsi" w:hAnsi="Verdana" w:cstheme="minorBidi"/>
          <w:sz w:val="20"/>
          <w:szCs w:val="20"/>
          <w:lang w:val="es-EC"/>
        </w:rPr>
        <w:t>.</w:t>
      </w:r>
      <w:r w:rsidR="00232AA2">
        <w:rPr>
          <w:rFonts w:ascii="Verdana" w:eastAsiaTheme="minorHAnsi" w:hAnsi="Verdana" w:cstheme="minorBidi"/>
          <w:sz w:val="20"/>
          <w:szCs w:val="20"/>
          <w:lang w:val="es-EC"/>
        </w:rPr>
        <w:t xml:space="preserve"> Asimismo, determinó que no le corresponde pronunciarse sobre la compatibilidad </w:t>
      </w:r>
      <w:r w:rsidR="0062065E">
        <w:rPr>
          <w:rFonts w:ascii="Verdana" w:eastAsiaTheme="minorHAnsi" w:hAnsi="Verdana" w:cstheme="minorBidi"/>
          <w:sz w:val="20"/>
          <w:szCs w:val="20"/>
          <w:lang w:val="es-EC"/>
        </w:rPr>
        <w:t xml:space="preserve">de la norma actualmente vigente </w:t>
      </w:r>
      <w:r w:rsidR="00232AA2">
        <w:rPr>
          <w:rFonts w:ascii="Verdana" w:eastAsiaTheme="minorHAnsi" w:hAnsi="Verdana" w:cstheme="minorBidi"/>
          <w:sz w:val="20"/>
          <w:szCs w:val="20"/>
          <w:lang w:val="es-EC"/>
        </w:rPr>
        <w:t>(</w:t>
      </w:r>
      <w:r w:rsidR="00224537" w:rsidRPr="00224537">
        <w:rPr>
          <w:rFonts w:ascii="Verdana" w:eastAsiaTheme="minorHAnsi" w:hAnsi="Verdana" w:cstheme="minorBidi"/>
          <w:i/>
          <w:sz w:val="20"/>
          <w:szCs w:val="20"/>
          <w:lang w:val="es-EC"/>
        </w:rPr>
        <w:t>supra</w:t>
      </w:r>
      <w:r w:rsidR="00232AA2">
        <w:rPr>
          <w:rFonts w:ascii="Verdana" w:eastAsiaTheme="minorHAnsi" w:hAnsi="Verdana" w:cstheme="minorBidi"/>
          <w:sz w:val="20"/>
          <w:szCs w:val="20"/>
          <w:lang w:val="es-EC"/>
        </w:rPr>
        <w:t xml:space="preserve"> párr.</w:t>
      </w:r>
      <w:r w:rsidR="00B31162" w:rsidRPr="00333304">
        <w:rPr>
          <w:rFonts w:ascii="Verdana" w:eastAsiaTheme="minorHAnsi" w:hAnsi="Verdana" w:cstheme="minorBidi"/>
          <w:sz w:val="20"/>
          <w:szCs w:val="20"/>
          <w:lang w:val="es-EC"/>
        </w:rPr>
        <w:t xml:space="preserve"> 165</w:t>
      </w:r>
      <w:r w:rsidR="00232AA2">
        <w:rPr>
          <w:rFonts w:ascii="Verdana" w:eastAsiaTheme="minorHAnsi" w:hAnsi="Verdana" w:cstheme="minorBidi"/>
          <w:sz w:val="20"/>
          <w:szCs w:val="20"/>
          <w:lang w:val="es-EC"/>
        </w:rPr>
        <w:t>). En consecuencia, en el presente caso, no procede ordenar la adopción, modificación o adecuación de normas específicas de derecho interno.</w:t>
      </w:r>
      <w:r w:rsidR="00A07203">
        <w:rPr>
          <w:rFonts w:ascii="Verdana" w:eastAsiaTheme="minorHAnsi" w:hAnsi="Verdana" w:cstheme="minorBidi"/>
          <w:sz w:val="20"/>
          <w:szCs w:val="20"/>
          <w:lang w:val="es-EC"/>
        </w:rPr>
        <w:t xml:space="preserve"> Lo anterior, sin perjuicio de lo dispuesto en </w:t>
      </w:r>
      <w:r w:rsidR="00B31162">
        <w:rPr>
          <w:rFonts w:ascii="Verdana" w:eastAsiaTheme="minorHAnsi" w:hAnsi="Verdana" w:cstheme="minorBidi"/>
          <w:sz w:val="20"/>
          <w:szCs w:val="20"/>
          <w:lang w:val="es-EC"/>
        </w:rPr>
        <w:t>el párrafo 122</w:t>
      </w:r>
      <w:r w:rsidR="00A07203">
        <w:rPr>
          <w:rFonts w:ascii="Verdana" w:eastAsiaTheme="minorHAnsi" w:hAnsi="Verdana" w:cstheme="minorBidi"/>
          <w:sz w:val="20"/>
          <w:szCs w:val="20"/>
          <w:lang w:val="es-EC"/>
        </w:rPr>
        <w:t xml:space="preserve"> de la presente Sentencia. </w:t>
      </w:r>
    </w:p>
    <w:p w14:paraId="04CD50C9" w14:textId="77777777" w:rsidR="000C6082" w:rsidRDefault="000C6082" w:rsidP="000C6082"/>
    <w:p w14:paraId="2BB1E4E7" w14:textId="22D4B6C0" w:rsidR="000C6082" w:rsidRPr="005D0F69" w:rsidRDefault="000C6082" w:rsidP="00E66DD7">
      <w:pPr>
        <w:widowControl w:val="0"/>
        <w:numPr>
          <w:ilvl w:val="0"/>
          <w:numId w:val="1"/>
        </w:numPr>
        <w:tabs>
          <w:tab w:val="center" w:pos="567"/>
          <w:tab w:val="num" w:pos="840"/>
        </w:tabs>
        <w:autoSpaceDE w:val="0"/>
        <w:autoSpaceDN w:val="0"/>
        <w:adjustRightInd w:val="0"/>
        <w:ind w:left="0" w:firstLine="0"/>
        <w:contextualSpacing/>
        <w:jc w:val="both"/>
        <w:rPr>
          <w:rFonts w:ascii="Verdana" w:eastAsiaTheme="minorHAnsi" w:hAnsi="Verdana" w:cstheme="minorBidi"/>
          <w:sz w:val="20"/>
          <w:szCs w:val="20"/>
          <w:lang w:val="es-MX"/>
        </w:rPr>
      </w:pPr>
      <w:r>
        <w:rPr>
          <w:rFonts w:ascii="Verdana" w:eastAsiaTheme="minorHAnsi" w:hAnsi="Verdana" w:cstheme="minorBidi"/>
          <w:sz w:val="20"/>
          <w:szCs w:val="20"/>
        </w:rPr>
        <w:t>En conc</w:t>
      </w:r>
      <w:r w:rsidR="00087FDE">
        <w:rPr>
          <w:rFonts w:ascii="Verdana" w:eastAsiaTheme="minorHAnsi" w:hAnsi="Verdana" w:cstheme="minorBidi"/>
          <w:sz w:val="20"/>
          <w:szCs w:val="20"/>
        </w:rPr>
        <w:t>l</w:t>
      </w:r>
      <w:r>
        <w:rPr>
          <w:rFonts w:ascii="Verdana" w:eastAsiaTheme="minorHAnsi" w:hAnsi="Verdana" w:cstheme="minorBidi"/>
          <w:sz w:val="20"/>
          <w:szCs w:val="20"/>
        </w:rPr>
        <w:t xml:space="preserve">usión, la Corte reitera que </w:t>
      </w:r>
      <w:r w:rsidRPr="003F07AD">
        <w:rPr>
          <w:rFonts w:ascii="Verdana" w:eastAsiaTheme="minorHAnsi" w:hAnsi="Verdana" w:cstheme="minorBidi"/>
          <w:sz w:val="20"/>
          <w:szCs w:val="20"/>
        </w:rPr>
        <w:t xml:space="preserve">la emisión de la presente Sentencia y las reparaciones ordenadas en este capítulo resultan suficientes y adecuadas para remediar las violaciones sufridas por las víctimas, por lo que no considera necesario ordenar </w:t>
      </w:r>
      <w:r>
        <w:rPr>
          <w:rFonts w:ascii="Verdana" w:eastAsiaTheme="minorHAnsi" w:hAnsi="Verdana" w:cstheme="minorBidi"/>
          <w:sz w:val="20"/>
          <w:szCs w:val="20"/>
        </w:rPr>
        <w:t xml:space="preserve">otras </w:t>
      </w:r>
      <w:r w:rsidRPr="003F07AD">
        <w:rPr>
          <w:rFonts w:ascii="Verdana" w:eastAsiaTheme="minorHAnsi" w:hAnsi="Verdana" w:cstheme="minorBidi"/>
          <w:sz w:val="20"/>
          <w:szCs w:val="20"/>
        </w:rPr>
        <w:t>medidas</w:t>
      </w:r>
      <w:r w:rsidR="000828BB">
        <w:rPr>
          <w:rFonts w:ascii="Verdana" w:eastAsiaTheme="minorHAnsi" w:hAnsi="Verdana" w:cstheme="minorBidi"/>
          <w:sz w:val="20"/>
          <w:szCs w:val="20"/>
        </w:rPr>
        <w:t xml:space="preserve"> de naturaleza integral</w:t>
      </w:r>
      <w:r w:rsidRPr="003F07AD">
        <w:rPr>
          <w:rFonts w:ascii="Verdana" w:eastAsiaTheme="minorHAnsi" w:hAnsi="Verdana" w:cstheme="minorBidi"/>
          <w:sz w:val="20"/>
          <w:szCs w:val="20"/>
        </w:rPr>
        <w:t>.</w:t>
      </w:r>
    </w:p>
    <w:p w14:paraId="008DD2F4" w14:textId="77777777" w:rsidR="00564925" w:rsidRPr="005D0F69" w:rsidRDefault="00564925" w:rsidP="005D0F69"/>
    <w:p w14:paraId="3B1794ED" w14:textId="77777777" w:rsidR="009C5D55" w:rsidRPr="009C5D55" w:rsidRDefault="009C5D55" w:rsidP="00E66DD7">
      <w:pPr>
        <w:pStyle w:val="Heading2"/>
        <w:numPr>
          <w:ilvl w:val="0"/>
          <w:numId w:val="13"/>
        </w:numPr>
        <w:rPr>
          <w:b w:val="0"/>
          <w:bCs w:val="0"/>
          <w:i/>
          <w:szCs w:val="20"/>
        </w:rPr>
      </w:pPr>
      <w:bookmarkStart w:id="71" w:name="_Toc498333526"/>
      <w:r w:rsidRPr="00C0187C">
        <w:rPr>
          <w:i/>
          <w:szCs w:val="20"/>
        </w:rPr>
        <w:t>Indemnización compensatoria</w:t>
      </w:r>
      <w:bookmarkEnd w:id="71"/>
    </w:p>
    <w:p w14:paraId="12B92CBB" w14:textId="77777777" w:rsidR="009C5D55" w:rsidRPr="009C5D55" w:rsidRDefault="009C5D55" w:rsidP="009C5D55">
      <w:pPr>
        <w:contextualSpacing/>
        <w:jc w:val="both"/>
        <w:rPr>
          <w:rFonts w:ascii="Verdana" w:hAnsi="Verdana"/>
          <w:sz w:val="20"/>
          <w:szCs w:val="20"/>
          <w:lang w:val="es-CR"/>
        </w:rPr>
      </w:pPr>
    </w:p>
    <w:p w14:paraId="64F5B33C" w14:textId="77777777" w:rsidR="009C5D55" w:rsidRPr="00C0187C" w:rsidRDefault="009C5D55" w:rsidP="00E66DD7">
      <w:pPr>
        <w:pStyle w:val="Heading3"/>
        <w:numPr>
          <w:ilvl w:val="0"/>
          <w:numId w:val="15"/>
        </w:numPr>
        <w:rPr>
          <w:i/>
          <w:lang w:val="es-MX"/>
        </w:rPr>
      </w:pPr>
      <w:bookmarkStart w:id="72" w:name="_Toc498333527"/>
      <w:r w:rsidRPr="00C0187C">
        <w:rPr>
          <w:i/>
          <w:lang w:val="es-MX"/>
        </w:rPr>
        <w:lastRenderedPageBreak/>
        <w:t>Daño material</w:t>
      </w:r>
      <w:bookmarkEnd w:id="72"/>
    </w:p>
    <w:p w14:paraId="40E9F291" w14:textId="77777777" w:rsidR="009C5D55" w:rsidRPr="009C5D55" w:rsidRDefault="009C5D55" w:rsidP="009C5D55">
      <w:pPr>
        <w:rPr>
          <w:rFonts w:ascii="Verdana" w:hAnsi="Verdana"/>
          <w:sz w:val="20"/>
          <w:szCs w:val="20"/>
          <w:lang w:val="es-CR"/>
        </w:rPr>
      </w:pPr>
    </w:p>
    <w:p w14:paraId="6A0B827C" w14:textId="057B8D27" w:rsidR="009C5D55" w:rsidRPr="009C5D55" w:rsidRDefault="009C5D55" w:rsidP="00E66DD7">
      <w:pPr>
        <w:widowControl w:val="0"/>
        <w:numPr>
          <w:ilvl w:val="0"/>
          <w:numId w:val="1"/>
        </w:numPr>
        <w:tabs>
          <w:tab w:val="center" w:pos="0"/>
        </w:tabs>
        <w:autoSpaceDE w:val="0"/>
        <w:autoSpaceDN w:val="0"/>
        <w:adjustRightInd w:val="0"/>
        <w:ind w:left="0" w:firstLine="0"/>
        <w:contextualSpacing/>
        <w:jc w:val="both"/>
        <w:rPr>
          <w:rFonts w:ascii="Verdana" w:hAnsi="Verdana"/>
          <w:sz w:val="20"/>
          <w:szCs w:val="20"/>
          <w:lang w:val="es-ES"/>
        </w:rPr>
      </w:pPr>
      <w:r w:rsidRPr="009C5D55">
        <w:rPr>
          <w:rFonts w:ascii="Verdana" w:hAnsi="Verdana"/>
          <w:sz w:val="20"/>
          <w:szCs w:val="20"/>
          <w:lang w:val="es-CR"/>
        </w:rPr>
        <w:t xml:space="preserve">La </w:t>
      </w:r>
      <w:r w:rsidRPr="009C5D55">
        <w:rPr>
          <w:rFonts w:ascii="Verdana" w:hAnsi="Verdana"/>
          <w:b/>
          <w:i/>
          <w:sz w:val="20"/>
          <w:szCs w:val="20"/>
          <w:lang w:val="es-CR"/>
        </w:rPr>
        <w:t>Comisión</w:t>
      </w:r>
      <w:r w:rsidRPr="009C5D55">
        <w:rPr>
          <w:rFonts w:ascii="Verdana" w:hAnsi="Verdana"/>
          <w:sz w:val="20"/>
          <w:szCs w:val="20"/>
          <w:lang w:val="es-CR"/>
        </w:rPr>
        <w:t xml:space="preserve"> </w:t>
      </w:r>
      <w:r w:rsidRPr="009C5D55">
        <w:rPr>
          <w:rFonts w:ascii="Verdana" w:hAnsi="Verdana"/>
          <w:sz w:val="20"/>
          <w:szCs w:val="20"/>
          <w:lang w:val="es-MX"/>
        </w:rPr>
        <w:t>solicitó incorporar en la reparación tanto el daño material como moral</w:t>
      </w:r>
      <w:r w:rsidR="00315E10">
        <w:rPr>
          <w:rFonts w:ascii="Verdana" w:hAnsi="Verdana"/>
          <w:sz w:val="20"/>
          <w:szCs w:val="20"/>
          <w:lang w:val="es-MX"/>
        </w:rPr>
        <w:t>.</w:t>
      </w:r>
    </w:p>
    <w:p w14:paraId="5699B8C5" w14:textId="77777777" w:rsidR="009C5D55" w:rsidRPr="009C5D55" w:rsidRDefault="009C5D55" w:rsidP="009C5D55">
      <w:pPr>
        <w:widowControl w:val="0"/>
        <w:tabs>
          <w:tab w:val="center" w:pos="0"/>
        </w:tabs>
        <w:autoSpaceDE w:val="0"/>
        <w:autoSpaceDN w:val="0"/>
        <w:adjustRightInd w:val="0"/>
        <w:contextualSpacing/>
        <w:jc w:val="both"/>
        <w:rPr>
          <w:rFonts w:ascii="Verdana" w:hAnsi="Verdana"/>
          <w:sz w:val="20"/>
          <w:szCs w:val="20"/>
          <w:lang w:val="es-CR"/>
        </w:rPr>
      </w:pPr>
    </w:p>
    <w:p w14:paraId="625242B8" w14:textId="77981C17" w:rsidR="009C5D55" w:rsidRPr="009C5D55" w:rsidRDefault="009C5D55" w:rsidP="00E66DD7">
      <w:pPr>
        <w:widowControl w:val="0"/>
        <w:numPr>
          <w:ilvl w:val="0"/>
          <w:numId w:val="1"/>
        </w:numPr>
        <w:tabs>
          <w:tab w:val="center" w:pos="0"/>
        </w:tabs>
        <w:autoSpaceDE w:val="0"/>
        <w:autoSpaceDN w:val="0"/>
        <w:adjustRightInd w:val="0"/>
        <w:ind w:left="0" w:firstLine="0"/>
        <w:contextualSpacing/>
        <w:jc w:val="both"/>
        <w:rPr>
          <w:rFonts w:ascii="Verdana" w:hAnsi="Verdana"/>
          <w:sz w:val="20"/>
          <w:szCs w:val="20"/>
          <w:lang w:val="es-MX"/>
        </w:rPr>
      </w:pPr>
      <w:r w:rsidRPr="009C5D55">
        <w:rPr>
          <w:rFonts w:ascii="Verdana" w:hAnsi="Verdana"/>
          <w:sz w:val="20"/>
          <w:szCs w:val="20"/>
          <w:lang w:val="es-CR"/>
        </w:rPr>
        <w:t xml:space="preserve">Los </w:t>
      </w:r>
      <w:r w:rsidRPr="009C5D55">
        <w:rPr>
          <w:rFonts w:ascii="Verdana" w:hAnsi="Verdana"/>
          <w:b/>
          <w:i/>
          <w:sz w:val="20"/>
          <w:szCs w:val="20"/>
          <w:lang w:val="es-CR"/>
        </w:rPr>
        <w:t xml:space="preserve">representantes </w:t>
      </w:r>
      <w:r w:rsidRPr="009C5D55">
        <w:rPr>
          <w:rFonts w:ascii="Verdana" w:hAnsi="Verdana"/>
          <w:sz w:val="20"/>
          <w:szCs w:val="20"/>
          <w:lang w:val="es-MX"/>
        </w:rPr>
        <w:t>solicitaron que se indemnicen los gastos incurridos por la víctima en su búsqueda de la justicia fijando un monto en equidad. Asimismo</w:t>
      </w:r>
      <w:r w:rsidR="00315E10">
        <w:rPr>
          <w:rFonts w:ascii="Verdana" w:hAnsi="Verdana"/>
          <w:sz w:val="20"/>
          <w:szCs w:val="20"/>
          <w:lang w:val="es-MX"/>
        </w:rPr>
        <w:t>,</w:t>
      </w:r>
      <w:r w:rsidRPr="009C5D55">
        <w:rPr>
          <w:rFonts w:ascii="Verdana" w:hAnsi="Verdana"/>
          <w:sz w:val="20"/>
          <w:szCs w:val="20"/>
          <w:lang w:val="es-MX"/>
        </w:rPr>
        <w:t xml:space="preserve"> solicitaron que se fije el lucro cesante en equidad considerando que el señor Lagos del Campo no fue repuesto a su centro de labores, truncando sus derechos laborales. </w:t>
      </w:r>
      <w:r w:rsidR="00274C5F" w:rsidRPr="00FA445A">
        <w:rPr>
          <w:rFonts w:ascii="Verdana" w:hAnsi="Verdana"/>
          <w:sz w:val="20"/>
          <w:szCs w:val="20"/>
          <w:lang w:val="es-MX"/>
        </w:rPr>
        <w:t>Al respecto</w:t>
      </w:r>
      <w:r w:rsidR="00925FE5" w:rsidRPr="00FA445A">
        <w:rPr>
          <w:rFonts w:ascii="Verdana" w:hAnsi="Verdana"/>
          <w:sz w:val="20"/>
          <w:szCs w:val="20"/>
          <w:lang w:val="es-MX"/>
        </w:rPr>
        <w:t xml:space="preserve">, los representantes alegaron </w:t>
      </w:r>
      <w:r w:rsidR="00EE08D5" w:rsidRPr="00FA445A">
        <w:rPr>
          <w:rFonts w:ascii="Verdana" w:hAnsi="Verdana"/>
          <w:sz w:val="20"/>
          <w:szCs w:val="20"/>
          <w:lang w:val="es-MX"/>
        </w:rPr>
        <w:t>en audiencia</w:t>
      </w:r>
      <w:r w:rsidR="00EE08D5">
        <w:rPr>
          <w:rFonts w:ascii="Verdana" w:hAnsi="Verdana"/>
          <w:sz w:val="20"/>
          <w:szCs w:val="20"/>
          <w:lang w:val="es-MX"/>
        </w:rPr>
        <w:t xml:space="preserve"> </w:t>
      </w:r>
      <w:r w:rsidR="00925FE5" w:rsidRPr="00274C5F">
        <w:rPr>
          <w:rFonts w:ascii="Verdana" w:hAnsi="Verdana"/>
          <w:sz w:val="20"/>
          <w:szCs w:val="20"/>
          <w:lang w:val="es-MX"/>
        </w:rPr>
        <w:t>que el señor Lagos del Campo no cuenta con los años necesarios para acceder a una legítima pensión, así como a un seguro de salud, al haber quedado dicha expectativa truncada consecuencia del despido</w:t>
      </w:r>
      <w:r w:rsidR="00315E10">
        <w:rPr>
          <w:rFonts w:ascii="Verdana" w:hAnsi="Verdana"/>
          <w:sz w:val="20"/>
          <w:szCs w:val="20"/>
          <w:lang w:val="es-MX"/>
        </w:rPr>
        <w:t xml:space="preserve">. </w:t>
      </w:r>
      <w:r w:rsidRPr="009C5D55">
        <w:rPr>
          <w:rFonts w:ascii="Verdana" w:hAnsi="Verdana"/>
          <w:sz w:val="20"/>
          <w:szCs w:val="20"/>
          <w:lang w:val="es-MX"/>
        </w:rPr>
        <w:t>En sus alegatos finales escritos, los representantes señalaron que dado a que los gastos incurridos por el señor Lagos del Campo se han originado en un lapso de casi 28 años, el señor Lagos del Campo no conserva recibos de los mismos.</w:t>
      </w:r>
      <w:r w:rsidR="00925FE5">
        <w:rPr>
          <w:rFonts w:ascii="Verdana" w:hAnsi="Verdana"/>
          <w:sz w:val="20"/>
          <w:szCs w:val="20"/>
          <w:lang w:val="es-MX"/>
        </w:rPr>
        <w:t xml:space="preserve"> </w:t>
      </w:r>
    </w:p>
    <w:p w14:paraId="08D66EEE" w14:textId="77777777" w:rsidR="009C5D55" w:rsidRPr="009C5D55" w:rsidRDefault="009C5D55" w:rsidP="009C5D55">
      <w:pPr>
        <w:widowControl w:val="0"/>
        <w:tabs>
          <w:tab w:val="center" w:pos="0"/>
        </w:tabs>
        <w:autoSpaceDE w:val="0"/>
        <w:autoSpaceDN w:val="0"/>
        <w:adjustRightInd w:val="0"/>
        <w:contextualSpacing/>
        <w:jc w:val="both"/>
        <w:rPr>
          <w:rFonts w:ascii="Verdana" w:hAnsi="Verdana"/>
          <w:sz w:val="20"/>
          <w:szCs w:val="20"/>
          <w:lang w:val="es-CR"/>
        </w:rPr>
      </w:pPr>
    </w:p>
    <w:p w14:paraId="256A4B06" w14:textId="4C276F57" w:rsidR="009C5D55" w:rsidRPr="00DE3D07" w:rsidRDefault="009C5D55" w:rsidP="00E66DD7">
      <w:pPr>
        <w:widowControl w:val="0"/>
        <w:numPr>
          <w:ilvl w:val="0"/>
          <w:numId w:val="1"/>
        </w:numPr>
        <w:tabs>
          <w:tab w:val="center" w:pos="0"/>
        </w:tabs>
        <w:autoSpaceDE w:val="0"/>
        <w:autoSpaceDN w:val="0"/>
        <w:adjustRightInd w:val="0"/>
        <w:ind w:left="0" w:firstLine="0"/>
        <w:contextualSpacing/>
        <w:jc w:val="both"/>
        <w:rPr>
          <w:rFonts w:ascii="Verdana" w:hAnsi="Verdana"/>
          <w:sz w:val="18"/>
          <w:szCs w:val="20"/>
          <w:lang w:val="es-MX"/>
        </w:rPr>
      </w:pPr>
      <w:r w:rsidRPr="009C5D55">
        <w:rPr>
          <w:rFonts w:ascii="Verdana" w:hAnsi="Verdana"/>
          <w:sz w:val="20"/>
          <w:szCs w:val="20"/>
          <w:lang w:val="es-CR"/>
        </w:rPr>
        <w:t xml:space="preserve">El </w:t>
      </w:r>
      <w:r w:rsidRPr="009C5D55">
        <w:rPr>
          <w:rFonts w:ascii="Verdana" w:hAnsi="Verdana"/>
          <w:b/>
          <w:i/>
          <w:sz w:val="20"/>
          <w:szCs w:val="20"/>
          <w:lang w:val="es-CR"/>
        </w:rPr>
        <w:t>Estado</w:t>
      </w:r>
      <w:r w:rsidRPr="009C5D55">
        <w:rPr>
          <w:rFonts w:ascii="Verdana" w:hAnsi="Verdana"/>
          <w:sz w:val="20"/>
          <w:szCs w:val="20"/>
          <w:lang w:val="es-CR"/>
        </w:rPr>
        <w:t xml:space="preserve"> </w:t>
      </w:r>
      <w:r w:rsidRPr="009C5D55">
        <w:rPr>
          <w:rFonts w:ascii="Verdana" w:hAnsi="Verdana"/>
          <w:sz w:val="20"/>
          <w:szCs w:val="20"/>
          <w:lang w:val="es-MX"/>
        </w:rPr>
        <w:t>sostuvo que los representantes omitieron señalar cuál es la relación de causalidad entre los actos u omisiones del Estado y los daños alegados. Alegó que no es posible indemnizar alegaciones genéricas e irrazonables. Además de que los procedimientos laborales y de amparo eran gratuitos en Perú</w:t>
      </w:r>
      <w:r w:rsidR="00315E10">
        <w:rPr>
          <w:rFonts w:ascii="Verdana" w:hAnsi="Verdana"/>
          <w:sz w:val="20"/>
          <w:szCs w:val="20"/>
          <w:lang w:val="es-MX"/>
        </w:rPr>
        <w:t>.</w:t>
      </w:r>
      <w:r w:rsidRPr="009C5D55">
        <w:rPr>
          <w:rFonts w:ascii="Verdana" w:hAnsi="Verdana"/>
          <w:b/>
          <w:sz w:val="20"/>
          <w:szCs w:val="20"/>
          <w:lang w:val="es-MX"/>
        </w:rPr>
        <w:t xml:space="preserve"> </w:t>
      </w:r>
      <w:r w:rsidRPr="009C5D55">
        <w:rPr>
          <w:rFonts w:ascii="Verdana" w:hAnsi="Verdana"/>
          <w:sz w:val="20"/>
          <w:szCs w:val="20"/>
          <w:lang w:val="es-MX"/>
        </w:rPr>
        <w:t>Asimismo</w:t>
      </w:r>
      <w:r w:rsidR="00315E10">
        <w:rPr>
          <w:rFonts w:ascii="Verdana" w:hAnsi="Verdana"/>
          <w:sz w:val="20"/>
          <w:szCs w:val="20"/>
          <w:lang w:val="es-MX"/>
        </w:rPr>
        <w:t>,</w:t>
      </w:r>
      <w:r w:rsidRPr="009C5D55">
        <w:rPr>
          <w:rFonts w:ascii="Verdana" w:hAnsi="Verdana"/>
          <w:sz w:val="20"/>
          <w:szCs w:val="20"/>
          <w:lang w:val="es-MX"/>
        </w:rPr>
        <w:t xml:space="preserve"> sostuvo que la fuente del trabajo era particular, no pública, por lo que el Estado nada debe a la presunta víctima. Respecto del lucro cesante, sostuvo que no corresponde analizar los daños que se derivarían de una violación a su derecho al trabajo, siendo que lo discutido es una violación a su derecho a la libre expresión. Alegó también, que no existe argumentación ni prueba alguna sobre el salario que recibía la presunta víctima. </w:t>
      </w:r>
      <w:r w:rsidR="00274C5F" w:rsidRPr="00333304">
        <w:rPr>
          <w:rFonts w:ascii="Verdana" w:hAnsi="Verdana"/>
          <w:sz w:val="20"/>
          <w:szCs w:val="20"/>
          <w:lang w:val="es-MX"/>
        </w:rPr>
        <w:t>En relación con los derechos a la jubilación del señor Lagos del Campo y a recibir una pensión, el Estado observó, en sus alegatos finales, que en el escrito de solicitudes y argumentos los representantes no argumentaron ni aportaron medio probatorios en este sentido.</w:t>
      </w:r>
      <w:r w:rsidR="00274C5F" w:rsidRPr="009C5D55">
        <w:rPr>
          <w:rFonts w:ascii="Verdana" w:hAnsi="Verdana"/>
          <w:sz w:val="20"/>
          <w:szCs w:val="20"/>
          <w:lang w:val="es-MX"/>
        </w:rPr>
        <w:t xml:space="preserve"> </w:t>
      </w:r>
    </w:p>
    <w:p w14:paraId="79CCDF3F" w14:textId="77777777" w:rsidR="009C5D55" w:rsidRPr="009C5D55" w:rsidRDefault="009C5D55" w:rsidP="009C5D55">
      <w:pPr>
        <w:widowControl w:val="0"/>
        <w:tabs>
          <w:tab w:val="center" w:pos="0"/>
        </w:tabs>
        <w:autoSpaceDE w:val="0"/>
        <w:autoSpaceDN w:val="0"/>
        <w:adjustRightInd w:val="0"/>
        <w:contextualSpacing/>
        <w:jc w:val="both"/>
        <w:rPr>
          <w:rFonts w:ascii="Verdana" w:hAnsi="Verdana"/>
          <w:sz w:val="20"/>
          <w:szCs w:val="20"/>
          <w:lang w:val="es-MX"/>
        </w:rPr>
      </w:pPr>
    </w:p>
    <w:p w14:paraId="439D6B53" w14:textId="1FE74043" w:rsidR="009C5D55" w:rsidRPr="009C5D55" w:rsidRDefault="009C5D55" w:rsidP="00E66DD7">
      <w:pPr>
        <w:widowControl w:val="0"/>
        <w:numPr>
          <w:ilvl w:val="0"/>
          <w:numId w:val="1"/>
        </w:numPr>
        <w:tabs>
          <w:tab w:val="center" w:pos="0"/>
        </w:tabs>
        <w:autoSpaceDE w:val="0"/>
        <w:autoSpaceDN w:val="0"/>
        <w:adjustRightInd w:val="0"/>
        <w:ind w:left="0" w:firstLine="0"/>
        <w:contextualSpacing/>
        <w:jc w:val="both"/>
        <w:rPr>
          <w:lang w:val="es-ES"/>
        </w:rPr>
      </w:pPr>
      <w:r w:rsidRPr="009C5D55">
        <w:rPr>
          <w:rFonts w:ascii="Verdana" w:hAnsi="Verdana"/>
          <w:sz w:val="20"/>
          <w:szCs w:val="20"/>
          <w:lang w:val="es-ES"/>
        </w:rPr>
        <w:t>La Corte ha desarrollado el concepto de daño material</w:t>
      </w:r>
      <w:r w:rsidRPr="009C5D55">
        <w:rPr>
          <w:rFonts w:ascii="Verdana" w:hAnsi="Verdana"/>
          <w:sz w:val="20"/>
          <w:szCs w:val="20"/>
          <w:vertAlign w:val="superscript"/>
          <w:lang w:val="es-ES"/>
        </w:rPr>
        <w:footnoteReference w:id="266"/>
      </w:r>
      <w:r w:rsidRPr="009C5D55">
        <w:rPr>
          <w:rFonts w:ascii="Verdana" w:hAnsi="Verdana"/>
          <w:sz w:val="20"/>
          <w:szCs w:val="20"/>
          <w:lang w:val="es-ES"/>
        </w:rPr>
        <w:t xml:space="preserve"> e inmaterial</w:t>
      </w:r>
      <w:r w:rsidRPr="009C5D55">
        <w:rPr>
          <w:rFonts w:ascii="Verdana" w:hAnsi="Verdana"/>
          <w:bCs/>
          <w:sz w:val="20"/>
          <w:szCs w:val="20"/>
          <w:vertAlign w:val="superscript"/>
          <w:lang w:val="es-ES"/>
        </w:rPr>
        <w:footnoteReference w:id="267"/>
      </w:r>
      <w:r w:rsidRPr="009C5D55">
        <w:rPr>
          <w:rFonts w:ascii="Verdana" w:hAnsi="Verdana"/>
          <w:sz w:val="20"/>
          <w:szCs w:val="20"/>
          <w:lang w:val="es-ES"/>
        </w:rPr>
        <w:t xml:space="preserve"> y los supuestos en </w:t>
      </w:r>
      <w:r w:rsidRPr="009C5D55">
        <w:rPr>
          <w:rFonts w:ascii="Verdana" w:eastAsia="Times New Roman" w:hAnsi="Verdana"/>
          <w:sz w:val="20"/>
          <w:szCs w:val="20"/>
          <w:lang w:val="es-ES"/>
        </w:rPr>
        <w:t>que</w:t>
      </w:r>
      <w:r w:rsidRPr="009C5D55">
        <w:rPr>
          <w:rFonts w:ascii="Verdana" w:hAnsi="Verdana"/>
          <w:sz w:val="20"/>
          <w:szCs w:val="20"/>
          <w:lang w:val="es-ES"/>
        </w:rPr>
        <w:t xml:space="preserve"> corresponde indemnizarlos.</w:t>
      </w:r>
      <w:r w:rsidRPr="009C5D55">
        <w:rPr>
          <w:rFonts w:ascii="Verdana" w:hAnsi="Verdana"/>
          <w:b/>
          <w:i/>
          <w:sz w:val="20"/>
          <w:szCs w:val="20"/>
          <w:lang w:val="es-ES"/>
        </w:rPr>
        <w:t xml:space="preserve"> </w:t>
      </w:r>
      <w:r w:rsidRPr="009C5D55">
        <w:rPr>
          <w:rFonts w:ascii="Verdana" w:hAnsi="Verdana"/>
          <w:sz w:val="20"/>
          <w:szCs w:val="20"/>
          <w:lang w:val="es-ES"/>
        </w:rPr>
        <w:t>En particular,</w:t>
      </w:r>
      <w:r w:rsidRPr="009C5D55">
        <w:rPr>
          <w:rFonts w:ascii="Verdana" w:hAnsi="Verdana"/>
          <w:b/>
          <w:i/>
          <w:sz w:val="20"/>
          <w:szCs w:val="20"/>
          <w:lang w:val="es-ES"/>
        </w:rPr>
        <w:t xml:space="preserve"> </w:t>
      </w:r>
      <w:r w:rsidRPr="009C5D55">
        <w:rPr>
          <w:rFonts w:ascii="Verdana" w:hAnsi="Verdana" w:cs="Verdana"/>
          <w:sz w:val="20"/>
          <w:szCs w:val="20"/>
          <w:lang w:bidi="en-US"/>
        </w:rPr>
        <w:t xml:space="preserve">la Corte ha desarrollado en su jurisprudencia el concepto de daño material y </w:t>
      </w:r>
      <w:r w:rsidRPr="009C5D55">
        <w:rPr>
          <w:rFonts w:ascii="Verdana" w:hAnsi="Verdana"/>
          <w:bCs/>
          <w:sz w:val="20"/>
          <w:szCs w:val="20"/>
        </w:rPr>
        <w:t>ha establecido que supone “la pérdida o detrimento de los ingresos de las víctimas, los gastos efectuados con motivo de los hechos y las consecuencias de carácter pecuniario que tengan un nexo causal con los hechos del caso</w:t>
      </w:r>
      <w:r w:rsidR="00315E10">
        <w:rPr>
          <w:rFonts w:ascii="Verdana" w:hAnsi="Verdana"/>
          <w:bCs/>
          <w:sz w:val="20"/>
          <w:szCs w:val="20"/>
        </w:rPr>
        <w:t>”</w:t>
      </w:r>
      <w:r w:rsidR="00341FCF">
        <w:rPr>
          <w:rStyle w:val="FootnoteReference"/>
          <w:bCs/>
          <w:szCs w:val="20"/>
        </w:rPr>
        <w:footnoteReference w:id="268"/>
      </w:r>
      <w:r w:rsidRPr="009C5D55">
        <w:rPr>
          <w:rFonts w:ascii="Verdana" w:hAnsi="Verdana"/>
          <w:bCs/>
          <w:sz w:val="20"/>
          <w:szCs w:val="20"/>
        </w:rPr>
        <w:t xml:space="preserve"> </w:t>
      </w:r>
      <w:r w:rsidRPr="009C5D55">
        <w:rPr>
          <w:rFonts w:ascii="Verdana" w:hAnsi="Verdana"/>
          <w:sz w:val="20"/>
          <w:szCs w:val="20"/>
          <w:lang w:val="es-ES"/>
        </w:rPr>
        <w:t>En razón de ello, la Corte determinará la pertinencia de otorgar reparaciones pecuniarias y los montos respectivos debidos en este caso.</w:t>
      </w:r>
    </w:p>
    <w:p w14:paraId="092B1729" w14:textId="77777777" w:rsidR="009C5D55" w:rsidRPr="009C5D55" w:rsidRDefault="009C5D55" w:rsidP="009C5D55">
      <w:pPr>
        <w:widowControl w:val="0"/>
        <w:tabs>
          <w:tab w:val="center" w:pos="0"/>
        </w:tabs>
        <w:autoSpaceDE w:val="0"/>
        <w:autoSpaceDN w:val="0"/>
        <w:adjustRightInd w:val="0"/>
        <w:contextualSpacing/>
        <w:jc w:val="both"/>
        <w:rPr>
          <w:rFonts w:ascii="Verdana" w:hAnsi="Verdana"/>
          <w:sz w:val="20"/>
          <w:szCs w:val="20"/>
          <w:lang w:val="es-ES"/>
        </w:rPr>
      </w:pPr>
    </w:p>
    <w:p w14:paraId="552448B9" w14:textId="5CA6A60F" w:rsidR="009C5D55" w:rsidRPr="009C5D55" w:rsidRDefault="009C5D55" w:rsidP="00E66DD7">
      <w:pPr>
        <w:widowControl w:val="0"/>
        <w:numPr>
          <w:ilvl w:val="0"/>
          <w:numId w:val="1"/>
        </w:numPr>
        <w:tabs>
          <w:tab w:val="center" w:pos="0"/>
        </w:tabs>
        <w:autoSpaceDE w:val="0"/>
        <w:autoSpaceDN w:val="0"/>
        <w:adjustRightInd w:val="0"/>
        <w:ind w:left="0" w:firstLine="0"/>
        <w:contextualSpacing/>
        <w:jc w:val="both"/>
        <w:rPr>
          <w:rFonts w:ascii="Verdana" w:hAnsi="Verdana"/>
          <w:sz w:val="20"/>
          <w:szCs w:val="20"/>
          <w:lang w:val="es-CR"/>
        </w:rPr>
      </w:pPr>
      <w:r w:rsidRPr="009C5D55">
        <w:rPr>
          <w:rFonts w:ascii="Verdana" w:hAnsi="Verdana"/>
          <w:sz w:val="20"/>
          <w:szCs w:val="20"/>
          <w:lang w:val="es-CR"/>
        </w:rPr>
        <w:t xml:space="preserve">En cuanto al </w:t>
      </w:r>
      <w:r w:rsidRPr="009C5D55">
        <w:rPr>
          <w:rFonts w:ascii="Verdana" w:hAnsi="Verdana"/>
          <w:i/>
          <w:sz w:val="20"/>
          <w:szCs w:val="20"/>
          <w:lang w:val="es-CR"/>
        </w:rPr>
        <w:t>daño emergente</w:t>
      </w:r>
      <w:r w:rsidRPr="009C5D55">
        <w:rPr>
          <w:rFonts w:ascii="Verdana" w:hAnsi="Verdana"/>
          <w:sz w:val="20"/>
          <w:szCs w:val="20"/>
          <w:lang w:val="es-CR"/>
        </w:rPr>
        <w:t xml:space="preserve">, esta Corte considera que </w:t>
      </w:r>
      <w:r w:rsidR="00F535E6">
        <w:rPr>
          <w:rFonts w:ascii="Verdana" w:hAnsi="Verdana"/>
          <w:sz w:val="20"/>
          <w:szCs w:val="20"/>
          <w:lang w:val="es-CR"/>
        </w:rPr>
        <w:t>el alegato de los representantes se refiere a los gastos incurridos por el señor Lagos del Campo en el proceso judicial interno, por lo que será analizado en el acápite de “costas</w:t>
      </w:r>
      <w:r w:rsidR="004471D4" w:rsidRPr="004471D4">
        <w:rPr>
          <w:rFonts w:ascii="Verdana" w:hAnsi="Verdana"/>
          <w:sz w:val="20"/>
          <w:szCs w:val="20"/>
          <w:lang w:val="es-CR"/>
        </w:rPr>
        <w:t xml:space="preserve"> </w:t>
      </w:r>
      <w:r w:rsidR="004471D4">
        <w:rPr>
          <w:rFonts w:ascii="Verdana" w:hAnsi="Verdana"/>
          <w:sz w:val="20"/>
          <w:szCs w:val="20"/>
          <w:lang w:val="es-CR"/>
        </w:rPr>
        <w:t>y gastos</w:t>
      </w:r>
      <w:r w:rsidR="00F535E6">
        <w:rPr>
          <w:rFonts w:ascii="Verdana" w:hAnsi="Verdana"/>
          <w:sz w:val="20"/>
          <w:szCs w:val="20"/>
          <w:lang w:val="es-CR"/>
        </w:rPr>
        <w:t>” (</w:t>
      </w:r>
      <w:r w:rsidR="00F535E6" w:rsidRPr="00EB5530">
        <w:rPr>
          <w:rFonts w:ascii="Verdana" w:hAnsi="Verdana"/>
          <w:i/>
          <w:sz w:val="20"/>
          <w:szCs w:val="20"/>
          <w:lang w:val="es-CR"/>
        </w:rPr>
        <w:t>i</w:t>
      </w:r>
      <w:r w:rsidR="00F535E6" w:rsidRPr="00184C1D">
        <w:rPr>
          <w:rFonts w:ascii="Verdana" w:hAnsi="Verdana"/>
          <w:i/>
          <w:sz w:val="20"/>
          <w:szCs w:val="20"/>
          <w:lang w:val="es-CR"/>
        </w:rPr>
        <w:t>nfra</w:t>
      </w:r>
      <w:r w:rsidR="00F535E6">
        <w:rPr>
          <w:rFonts w:ascii="Verdana" w:hAnsi="Verdana"/>
          <w:sz w:val="20"/>
          <w:szCs w:val="20"/>
          <w:lang w:val="es-CR"/>
        </w:rPr>
        <w:t xml:space="preserve">, </w:t>
      </w:r>
      <w:proofErr w:type="spellStart"/>
      <w:r w:rsidR="00F535E6">
        <w:rPr>
          <w:rFonts w:ascii="Verdana" w:hAnsi="Verdana"/>
          <w:sz w:val="20"/>
          <w:szCs w:val="20"/>
          <w:lang w:val="es-CR"/>
        </w:rPr>
        <w:t>párr</w:t>
      </w:r>
      <w:r w:rsidR="00315E10">
        <w:rPr>
          <w:rFonts w:ascii="Verdana" w:hAnsi="Verdana"/>
          <w:sz w:val="20"/>
          <w:szCs w:val="20"/>
          <w:lang w:val="es-CR"/>
        </w:rPr>
        <w:t>s</w:t>
      </w:r>
      <w:proofErr w:type="spellEnd"/>
      <w:r w:rsidR="00315E10">
        <w:rPr>
          <w:rFonts w:ascii="Verdana" w:hAnsi="Verdana"/>
          <w:sz w:val="20"/>
          <w:szCs w:val="20"/>
          <w:lang w:val="es-CR"/>
        </w:rPr>
        <w:t xml:space="preserve">. 223 </w:t>
      </w:r>
      <w:r w:rsidR="00B31162">
        <w:rPr>
          <w:rFonts w:ascii="Verdana" w:hAnsi="Verdana"/>
          <w:sz w:val="20"/>
          <w:szCs w:val="20"/>
          <w:lang w:val="es-CR"/>
        </w:rPr>
        <w:t>a</w:t>
      </w:r>
      <w:r w:rsidR="00315E10">
        <w:rPr>
          <w:rFonts w:ascii="Verdana" w:hAnsi="Verdana"/>
          <w:sz w:val="20"/>
          <w:szCs w:val="20"/>
          <w:lang w:val="es-CR"/>
        </w:rPr>
        <w:t xml:space="preserve"> 227</w:t>
      </w:r>
      <w:r w:rsidR="00F535E6">
        <w:rPr>
          <w:rFonts w:ascii="Verdana" w:hAnsi="Verdana"/>
          <w:sz w:val="20"/>
          <w:szCs w:val="20"/>
          <w:lang w:val="es-CR"/>
        </w:rPr>
        <w:t>)</w:t>
      </w:r>
      <w:r w:rsidRPr="009C5D55">
        <w:rPr>
          <w:rFonts w:ascii="Verdana" w:hAnsi="Verdana"/>
          <w:sz w:val="20"/>
          <w:szCs w:val="20"/>
          <w:lang w:val="es-CR"/>
        </w:rPr>
        <w:t>.</w:t>
      </w:r>
    </w:p>
    <w:p w14:paraId="6C06D053" w14:textId="77777777" w:rsidR="009C5D55" w:rsidRPr="009C5D55" w:rsidRDefault="009C5D55" w:rsidP="009C5D55">
      <w:pPr>
        <w:widowControl w:val="0"/>
        <w:tabs>
          <w:tab w:val="center" w:pos="567"/>
        </w:tabs>
        <w:autoSpaceDE w:val="0"/>
        <w:autoSpaceDN w:val="0"/>
        <w:adjustRightInd w:val="0"/>
        <w:contextualSpacing/>
        <w:jc w:val="both"/>
        <w:rPr>
          <w:rFonts w:ascii="Verdana" w:hAnsi="Verdana"/>
          <w:sz w:val="20"/>
          <w:szCs w:val="20"/>
          <w:lang w:val="es-CR"/>
        </w:rPr>
      </w:pPr>
    </w:p>
    <w:p w14:paraId="5C72E84D" w14:textId="0711D71E" w:rsidR="009C5D55" w:rsidRPr="00333304" w:rsidRDefault="009C5D55" w:rsidP="00E66DD7">
      <w:pPr>
        <w:widowControl w:val="0"/>
        <w:numPr>
          <w:ilvl w:val="0"/>
          <w:numId w:val="1"/>
        </w:numPr>
        <w:tabs>
          <w:tab w:val="center" w:pos="0"/>
        </w:tabs>
        <w:autoSpaceDE w:val="0"/>
        <w:autoSpaceDN w:val="0"/>
        <w:adjustRightInd w:val="0"/>
        <w:ind w:left="0" w:firstLine="0"/>
        <w:contextualSpacing/>
        <w:jc w:val="both"/>
        <w:rPr>
          <w:rFonts w:ascii="Verdana" w:hAnsi="Verdana"/>
          <w:sz w:val="20"/>
          <w:szCs w:val="20"/>
          <w:u w:val="single"/>
          <w:lang w:val="es-CR"/>
        </w:rPr>
      </w:pPr>
      <w:r w:rsidRPr="009C5D55">
        <w:rPr>
          <w:rFonts w:ascii="Verdana" w:hAnsi="Verdana"/>
          <w:sz w:val="20"/>
          <w:szCs w:val="20"/>
          <w:lang w:val="es-CR"/>
        </w:rPr>
        <w:t xml:space="preserve">En cuanto al </w:t>
      </w:r>
      <w:r w:rsidRPr="009C5D55">
        <w:rPr>
          <w:rFonts w:ascii="Verdana" w:hAnsi="Verdana"/>
          <w:i/>
          <w:sz w:val="20"/>
          <w:szCs w:val="20"/>
          <w:lang w:val="es-CR"/>
        </w:rPr>
        <w:t>lucro cesante</w:t>
      </w:r>
      <w:r w:rsidRPr="009C5D55">
        <w:rPr>
          <w:rFonts w:ascii="Verdana" w:hAnsi="Verdana"/>
          <w:sz w:val="20"/>
          <w:szCs w:val="20"/>
          <w:lang w:val="es-CR"/>
        </w:rPr>
        <w:t xml:space="preserve"> o pérdida de ingreso, esta Corte observa que los representantes se limitaron a indicar que “el señor Lagos del Campo no fue repuesto a su centro de labores, truncando sus derechos laborales y consecuentemente sus derechos y beneficios sociales”, sin embargo no aportaron prueba específica en su escrito de argumentos y pruebas </w:t>
      </w:r>
      <w:r w:rsidRPr="009C5D55">
        <w:rPr>
          <w:rFonts w:ascii="Verdana" w:hAnsi="Verdana"/>
          <w:sz w:val="20"/>
          <w:szCs w:val="20"/>
          <w:lang w:val="es-CR"/>
        </w:rPr>
        <w:lastRenderedPageBreak/>
        <w:t>sobre los salarios percibidos por el señor Lagos del Campo previo al hecho, al igual que no se cuenta con información específica sobre el tiempo en que estuvo desempleado y las repercusiones económicas</w:t>
      </w:r>
      <w:r w:rsidR="008846D2">
        <w:rPr>
          <w:rFonts w:ascii="Verdana" w:hAnsi="Verdana"/>
          <w:sz w:val="20"/>
          <w:szCs w:val="20"/>
          <w:lang w:val="es-CR"/>
        </w:rPr>
        <w:t xml:space="preserve"> </w:t>
      </w:r>
      <w:r w:rsidRPr="009C5D55">
        <w:rPr>
          <w:rFonts w:ascii="Verdana" w:hAnsi="Verdana"/>
          <w:sz w:val="20"/>
          <w:szCs w:val="20"/>
          <w:lang w:val="es-CR"/>
        </w:rPr>
        <w:t xml:space="preserve">derivadas de los hechos del presente caso. No obstante lo anterior, se observa que en el anexo 2 del Informe de Fondo se aportó “la Boleta de Pago del señor Lagos del Campo. Semana del 26 de junio al 2 de julio de 1989” y en anexo 8 del Informe de Fondo se aportó </w:t>
      </w:r>
      <w:r w:rsidRPr="009C5D55">
        <w:rPr>
          <w:rFonts w:ascii="Verdana" w:hAnsi="Verdana"/>
          <w:sz w:val="20"/>
          <w:szCs w:val="20"/>
        </w:rPr>
        <w:t xml:space="preserve">la resolución del Juez del Décimo Quinto Juzgado de Trabajo en Lima de 5 de marzo de 1991 </w:t>
      </w:r>
      <w:r w:rsidRPr="009C5D55">
        <w:rPr>
          <w:rFonts w:ascii="Verdana" w:hAnsi="Verdana"/>
          <w:sz w:val="20"/>
          <w:szCs w:val="20"/>
          <w:lang w:val="es-CR"/>
        </w:rPr>
        <w:t xml:space="preserve">en donde consta que al momento de los hechos el señor Lagos percibió como su último jornal </w:t>
      </w:r>
      <w:r w:rsidR="00215464" w:rsidRPr="00333304">
        <w:rPr>
          <w:rFonts w:ascii="Verdana" w:hAnsi="Verdana"/>
          <w:sz w:val="20"/>
          <w:szCs w:val="20"/>
          <w:lang w:val="es-CR"/>
        </w:rPr>
        <w:t>diario la cantidad de 19,258</w:t>
      </w:r>
      <w:r w:rsidR="008846D2">
        <w:rPr>
          <w:rFonts w:ascii="Verdana" w:hAnsi="Verdana"/>
          <w:sz w:val="20"/>
          <w:szCs w:val="20"/>
          <w:lang w:val="es-CR"/>
        </w:rPr>
        <w:t>.53</w:t>
      </w:r>
      <w:r w:rsidR="00215464" w:rsidRPr="00333304">
        <w:rPr>
          <w:rFonts w:ascii="Verdana" w:hAnsi="Verdana"/>
          <w:sz w:val="20"/>
          <w:szCs w:val="20"/>
          <w:lang w:val="es-CR"/>
        </w:rPr>
        <w:t xml:space="preserve"> Intis</w:t>
      </w:r>
      <w:r w:rsidR="00215464" w:rsidRPr="00333304">
        <w:rPr>
          <w:rStyle w:val="FootnoteReference"/>
          <w:szCs w:val="20"/>
          <w:lang w:val="es-CR"/>
        </w:rPr>
        <w:footnoteReference w:id="269"/>
      </w:r>
      <w:r w:rsidR="00215464" w:rsidRPr="00DE3D07">
        <w:rPr>
          <w:rFonts w:ascii="Verdana" w:hAnsi="Verdana"/>
          <w:sz w:val="20"/>
          <w:szCs w:val="20"/>
          <w:lang w:val="es-CR"/>
        </w:rPr>
        <w:t>.</w:t>
      </w:r>
      <w:r w:rsidRPr="009C5D55">
        <w:rPr>
          <w:rFonts w:ascii="Verdana" w:hAnsi="Verdana"/>
          <w:sz w:val="20"/>
          <w:szCs w:val="20"/>
          <w:lang w:val="es-CR"/>
        </w:rPr>
        <w:t xml:space="preserve"> </w:t>
      </w:r>
      <w:r w:rsidR="003B4ECF" w:rsidRPr="003B4ECF">
        <w:rPr>
          <w:rFonts w:ascii="Verdana" w:hAnsi="Verdana"/>
          <w:sz w:val="20"/>
          <w:szCs w:val="20"/>
          <w:lang w:val="es-CR"/>
        </w:rPr>
        <w:t>L</w:t>
      </w:r>
      <w:r w:rsidR="003B4ECF">
        <w:rPr>
          <w:rFonts w:ascii="Verdana" w:hAnsi="Verdana"/>
          <w:sz w:val="20"/>
          <w:szCs w:val="20"/>
          <w:lang w:val="es-CR"/>
        </w:rPr>
        <w:t>a Corte estima que</w:t>
      </w:r>
      <w:r w:rsidRPr="003B4ECF">
        <w:rPr>
          <w:rFonts w:ascii="Verdana" w:hAnsi="Verdana"/>
          <w:sz w:val="20"/>
          <w:szCs w:val="20"/>
          <w:lang w:val="es-CR"/>
        </w:rPr>
        <w:t xml:space="preserve"> </w:t>
      </w:r>
      <w:r w:rsidR="003B4ECF" w:rsidRPr="003B4ECF">
        <w:rPr>
          <w:rFonts w:ascii="Verdana" w:hAnsi="Verdana"/>
          <w:sz w:val="20"/>
          <w:szCs w:val="20"/>
          <w:lang w:val="es-CR"/>
        </w:rPr>
        <w:t>con motivo del despido y desprotección judicial,</w:t>
      </w:r>
      <w:r w:rsidR="003B4ECF">
        <w:rPr>
          <w:rFonts w:ascii="Verdana" w:hAnsi="Verdana"/>
          <w:sz w:val="20"/>
          <w:szCs w:val="20"/>
          <w:lang w:val="es-CR"/>
        </w:rPr>
        <w:t xml:space="preserve"> </w:t>
      </w:r>
      <w:r w:rsidRPr="009C5D55">
        <w:rPr>
          <w:rFonts w:ascii="Verdana" w:hAnsi="Verdana"/>
          <w:sz w:val="20"/>
          <w:szCs w:val="20"/>
          <w:lang w:val="es-CR"/>
        </w:rPr>
        <w:t xml:space="preserve">la víctima se vio en una situación </w:t>
      </w:r>
      <w:r w:rsidRPr="00900CB9">
        <w:rPr>
          <w:rFonts w:ascii="Verdana" w:hAnsi="Verdana"/>
          <w:sz w:val="20"/>
          <w:szCs w:val="20"/>
          <w:lang w:val="es-CR"/>
        </w:rPr>
        <w:t>de des</w:t>
      </w:r>
      <w:r w:rsidR="00900CB9" w:rsidRPr="00900CB9">
        <w:rPr>
          <w:rFonts w:ascii="Verdana" w:hAnsi="Verdana"/>
          <w:sz w:val="20"/>
          <w:szCs w:val="20"/>
          <w:lang w:val="es-CR"/>
        </w:rPr>
        <w:t>amparo</w:t>
      </w:r>
      <w:r w:rsidRPr="00900CB9">
        <w:rPr>
          <w:rFonts w:ascii="Verdana" w:hAnsi="Verdana"/>
          <w:sz w:val="20"/>
          <w:szCs w:val="20"/>
          <w:lang w:val="es-CR"/>
        </w:rPr>
        <w:t xml:space="preserve"> </w:t>
      </w:r>
      <w:r w:rsidRPr="009C5D55">
        <w:rPr>
          <w:rFonts w:ascii="Verdana" w:hAnsi="Verdana"/>
          <w:sz w:val="20"/>
          <w:szCs w:val="20"/>
          <w:lang w:val="es-CR"/>
        </w:rPr>
        <w:t xml:space="preserve">acerca de su </w:t>
      </w:r>
      <w:r w:rsidR="003B4ECF">
        <w:rPr>
          <w:rFonts w:ascii="Verdana" w:hAnsi="Verdana"/>
          <w:sz w:val="20"/>
          <w:szCs w:val="20"/>
          <w:lang w:val="es-CR"/>
        </w:rPr>
        <w:t>situación</w:t>
      </w:r>
      <w:r w:rsidRPr="009C5D55">
        <w:rPr>
          <w:rFonts w:ascii="Verdana" w:hAnsi="Verdana"/>
          <w:sz w:val="20"/>
          <w:szCs w:val="20"/>
          <w:lang w:val="es-CR"/>
        </w:rPr>
        <w:t xml:space="preserve"> laboral, </w:t>
      </w:r>
      <w:r w:rsidR="008A7A52">
        <w:rPr>
          <w:rFonts w:ascii="Verdana" w:hAnsi="Verdana"/>
          <w:sz w:val="20"/>
          <w:szCs w:val="20"/>
          <w:lang w:val="es-CR"/>
        </w:rPr>
        <w:t xml:space="preserve">lo cual afectó </w:t>
      </w:r>
      <w:r w:rsidR="003B4ECF">
        <w:rPr>
          <w:rFonts w:ascii="Verdana" w:hAnsi="Verdana"/>
          <w:sz w:val="20"/>
          <w:szCs w:val="20"/>
          <w:lang w:val="es-CR"/>
        </w:rPr>
        <w:t xml:space="preserve">sus </w:t>
      </w:r>
      <w:r w:rsidRPr="009C5D55">
        <w:rPr>
          <w:rFonts w:ascii="Verdana" w:hAnsi="Verdana"/>
          <w:sz w:val="20"/>
          <w:szCs w:val="20"/>
          <w:lang w:val="es-CR"/>
        </w:rPr>
        <w:t>condiciones de vida. Por lo que la Corte esti</w:t>
      </w:r>
      <w:r w:rsidR="00215464">
        <w:rPr>
          <w:rFonts w:ascii="Verdana" w:hAnsi="Verdana"/>
          <w:sz w:val="20"/>
          <w:szCs w:val="20"/>
          <w:lang w:val="es-CR"/>
        </w:rPr>
        <w:t xml:space="preserve">ma que se otorgue </w:t>
      </w:r>
      <w:r w:rsidR="001D4D46" w:rsidRPr="00333304">
        <w:rPr>
          <w:rFonts w:ascii="Verdana" w:hAnsi="Verdana"/>
          <w:sz w:val="20"/>
          <w:szCs w:val="20"/>
          <w:lang w:val="es-CR"/>
        </w:rPr>
        <w:t>el monto</w:t>
      </w:r>
      <w:r w:rsidR="00DE3D07">
        <w:rPr>
          <w:rFonts w:ascii="Verdana" w:hAnsi="Verdana"/>
          <w:sz w:val="20"/>
          <w:szCs w:val="20"/>
          <w:lang w:val="es-CR"/>
        </w:rPr>
        <w:t xml:space="preserve"> </w:t>
      </w:r>
      <w:r w:rsidR="00215464" w:rsidRPr="00DE3D07">
        <w:rPr>
          <w:rFonts w:ascii="Verdana" w:hAnsi="Verdana"/>
          <w:sz w:val="20"/>
          <w:szCs w:val="20"/>
          <w:lang w:val="es-CR"/>
        </w:rPr>
        <w:t>de</w:t>
      </w:r>
      <w:r w:rsidRPr="00DE3D07">
        <w:rPr>
          <w:rFonts w:ascii="Verdana" w:hAnsi="Verdana"/>
          <w:sz w:val="20"/>
          <w:szCs w:val="20"/>
          <w:lang w:val="es-CR"/>
        </w:rPr>
        <w:t xml:space="preserve"> </w:t>
      </w:r>
      <w:r w:rsidR="00215464" w:rsidRPr="00333304">
        <w:rPr>
          <w:rFonts w:ascii="Verdana" w:hAnsi="Verdana"/>
          <w:sz w:val="20"/>
          <w:szCs w:val="20"/>
          <w:lang w:val="es-CR"/>
        </w:rPr>
        <w:t>USD $2</w:t>
      </w:r>
      <w:r w:rsidR="00A57AE0" w:rsidRPr="00333304">
        <w:rPr>
          <w:rFonts w:ascii="Verdana" w:hAnsi="Verdana"/>
          <w:sz w:val="20"/>
          <w:szCs w:val="20"/>
          <w:lang w:val="es-CR"/>
        </w:rPr>
        <w:t>8</w:t>
      </w:r>
      <w:r w:rsidR="00215464" w:rsidRPr="00333304">
        <w:rPr>
          <w:rFonts w:ascii="Verdana" w:hAnsi="Verdana"/>
          <w:sz w:val="20"/>
          <w:szCs w:val="20"/>
          <w:lang w:val="es-CR"/>
        </w:rPr>
        <w:t>,</w:t>
      </w:r>
      <w:r w:rsidR="00A57AE0" w:rsidRPr="00333304">
        <w:rPr>
          <w:rFonts w:ascii="Verdana" w:hAnsi="Verdana"/>
          <w:sz w:val="20"/>
          <w:szCs w:val="20"/>
          <w:lang w:val="es-CR"/>
        </w:rPr>
        <w:t>000</w:t>
      </w:r>
      <w:r w:rsidR="00215464" w:rsidRPr="00333304">
        <w:rPr>
          <w:rFonts w:ascii="Verdana" w:hAnsi="Verdana"/>
          <w:sz w:val="20"/>
          <w:szCs w:val="20"/>
          <w:lang w:val="es-CR"/>
        </w:rPr>
        <w:t xml:space="preserve"> (</w:t>
      </w:r>
      <w:r w:rsidR="00A57AE0" w:rsidRPr="00333304">
        <w:rPr>
          <w:rFonts w:ascii="Verdana" w:hAnsi="Verdana"/>
          <w:sz w:val="20"/>
          <w:szCs w:val="20"/>
          <w:lang w:val="es-CR"/>
        </w:rPr>
        <w:t>veintiocho mil dólares de los Estados Unidos de América</w:t>
      </w:r>
      <w:r w:rsidR="00215464" w:rsidRPr="00333304">
        <w:rPr>
          <w:rFonts w:ascii="Verdana" w:hAnsi="Verdana"/>
          <w:sz w:val="20"/>
          <w:szCs w:val="20"/>
          <w:lang w:val="es-CR"/>
        </w:rPr>
        <w:t>)</w:t>
      </w:r>
      <w:r w:rsidRPr="00333304">
        <w:rPr>
          <w:rFonts w:ascii="Verdana" w:hAnsi="Verdana"/>
          <w:sz w:val="20"/>
          <w:szCs w:val="20"/>
          <w:lang w:val="es-CR"/>
        </w:rPr>
        <w:t>.</w:t>
      </w:r>
    </w:p>
    <w:p w14:paraId="3F46BE3F" w14:textId="77777777" w:rsidR="009C5D55" w:rsidRPr="009C5D55" w:rsidRDefault="009C5D55" w:rsidP="009C5D55">
      <w:pPr>
        <w:widowControl w:val="0"/>
        <w:tabs>
          <w:tab w:val="center" w:pos="0"/>
        </w:tabs>
        <w:autoSpaceDE w:val="0"/>
        <w:autoSpaceDN w:val="0"/>
        <w:adjustRightInd w:val="0"/>
        <w:contextualSpacing/>
        <w:jc w:val="both"/>
        <w:rPr>
          <w:rFonts w:ascii="Verdana" w:hAnsi="Verdana"/>
          <w:sz w:val="20"/>
          <w:szCs w:val="20"/>
          <w:lang w:val="es-CR"/>
        </w:rPr>
      </w:pPr>
    </w:p>
    <w:p w14:paraId="3F1C7CA9" w14:textId="2E2A0099" w:rsidR="007C10CE" w:rsidRPr="008846D2" w:rsidRDefault="009C5D55" w:rsidP="00E66DD7">
      <w:pPr>
        <w:widowControl w:val="0"/>
        <w:numPr>
          <w:ilvl w:val="0"/>
          <w:numId w:val="1"/>
        </w:numPr>
        <w:tabs>
          <w:tab w:val="center" w:pos="567"/>
        </w:tabs>
        <w:autoSpaceDE w:val="0"/>
        <w:autoSpaceDN w:val="0"/>
        <w:adjustRightInd w:val="0"/>
        <w:ind w:left="0" w:firstLine="0"/>
        <w:jc w:val="both"/>
        <w:rPr>
          <w:rFonts w:ascii="Verdana" w:hAnsi="Verdana"/>
          <w:sz w:val="20"/>
          <w:szCs w:val="20"/>
          <w:lang w:val="es-CR"/>
        </w:rPr>
      </w:pPr>
      <w:r w:rsidRPr="00EE08D5">
        <w:rPr>
          <w:rFonts w:ascii="Verdana" w:hAnsi="Verdana"/>
          <w:sz w:val="20"/>
          <w:szCs w:val="20"/>
          <w:lang w:val="es-CR"/>
        </w:rPr>
        <w:t>En relación con el alegato sobre el acceso del señor Lagos del Campo</w:t>
      </w:r>
      <w:r w:rsidRPr="00EE08D5">
        <w:rPr>
          <w:rFonts w:ascii="Verdana" w:hAnsi="Verdana"/>
          <w:sz w:val="20"/>
          <w:szCs w:val="20"/>
          <w:lang w:val="es-MX"/>
        </w:rPr>
        <w:t xml:space="preserve"> </w:t>
      </w:r>
      <w:r w:rsidR="00EE08D5" w:rsidRPr="00EE08D5">
        <w:rPr>
          <w:rFonts w:ascii="Verdana" w:hAnsi="Verdana"/>
          <w:sz w:val="20"/>
          <w:szCs w:val="20"/>
          <w:lang w:val="es-MX"/>
        </w:rPr>
        <w:t xml:space="preserve">a </w:t>
      </w:r>
      <w:r w:rsidR="007C10CE" w:rsidRPr="00333304">
        <w:rPr>
          <w:rFonts w:ascii="Verdana" w:hAnsi="Verdana"/>
          <w:sz w:val="20"/>
          <w:szCs w:val="20"/>
          <w:lang w:val="es-MX"/>
        </w:rPr>
        <w:t>la legítima pensión de jubilación, la Corte estima que,</w:t>
      </w:r>
      <w:r w:rsidR="00F830E9" w:rsidRPr="00333304">
        <w:rPr>
          <w:rFonts w:ascii="Verdana" w:hAnsi="Verdana"/>
          <w:sz w:val="20"/>
          <w:szCs w:val="20"/>
          <w:lang w:val="es-MX"/>
        </w:rPr>
        <w:t xml:space="preserve"> </w:t>
      </w:r>
      <w:r w:rsidR="00895F4C" w:rsidRPr="00333304">
        <w:rPr>
          <w:rFonts w:ascii="Verdana" w:hAnsi="Verdana"/>
          <w:sz w:val="20"/>
          <w:szCs w:val="20"/>
          <w:lang w:val="es-MX"/>
        </w:rPr>
        <w:t>con motivo</w:t>
      </w:r>
      <w:r w:rsidR="00F830E9" w:rsidRPr="00333304">
        <w:rPr>
          <w:rFonts w:ascii="Verdana" w:hAnsi="Verdana"/>
          <w:sz w:val="20"/>
          <w:szCs w:val="20"/>
          <w:lang w:val="es-MX"/>
        </w:rPr>
        <w:t xml:space="preserve"> de las violaciones </w:t>
      </w:r>
      <w:r w:rsidR="00875782" w:rsidRPr="00333304">
        <w:rPr>
          <w:rFonts w:ascii="Verdana" w:hAnsi="Verdana"/>
          <w:sz w:val="20"/>
          <w:szCs w:val="20"/>
          <w:lang w:val="es-MX"/>
        </w:rPr>
        <w:t>fijadas</w:t>
      </w:r>
      <w:r w:rsidR="00F830E9" w:rsidRPr="00333304">
        <w:rPr>
          <w:rFonts w:ascii="Verdana" w:hAnsi="Verdana"/>
          <w:sz w:val="20"/>
          <w:szCs w:val="20"/>
          <w:lang w:val="es-MX"/>
        </w:rPr>
        <w:t>,</w:t>
      </w:r>
      <w:r w:rsidR="007C10CE" w:rsidRPr="00333304">
        <w:rPr>
          <w:rFonts w:ascii="Verdana" w:hAnsi="Verdana"/>
          <w:sz w:val="20"/>
          <w:szCs w:val="20"/>
          <w:lang w:val="es-MX"/>
        </w:rPr>
        <w:t xml:space="preserve"> </w:t>
      </w:r>
      <w:r w:rsidR="00F67F8B" w:rsidRPr="00333304">
        <w:rPr>
          <w:rFonts w:ascii="Verdana" w:hAnsi="Verdana"/>
          <w:sz w:val="20"/>
          <w:szCs w:val="20"/>
          <w:lang w:val="es-MX"/>
        </w:rPr>
        <w:t>derivadas</w:t>
      </w:r>
      <w:r w:rsidR="007C10CE" w:rsidRPr="00333304">
        <w:rPr>
          <w:rFonts w:ascii="Verdana" w:hAnsi="Verdana"/>
          <w:sz w:val="20"/>
          <w:szCs w:val="20"/>
          <w:lang w:val="es-MX"/>
        </w:rPr>
        <w:t xml:space="preserve"> de</w:t>
      </w:r>
      <w:r w:rsidR="00895F4C" w:rsidRPr="00333304">
        <w:rPr>
          <w:rFonts w:ascii="Verdana" w:hAnsi="Verdana"/>
          <w:sz w:val="20"/>
          <w:szCs w:val="20"/>
          <w:lang w:val="es-MX"/>
        </w:rPr>
        <w:t>l</w:t>
      </w:r>
      <w:r w:rsidR="007C10CE" w:rsidRPr="00333304">
        <w:rPr>
          <w:rFonts w:ascii="Verdana" w:hAnsi="Verdana"/>
          <w:sz w:val="20"/>
          <w:szCs w:val="20"/>
          <w:lang w:val="es-MX"/>
        </w:rPr>
        <w:t xml:space="preserve"> despido</w:t>
      </w:r>
      <w:r w:rsidR="00895F4C" w:rsidRPr="00333304">
        <w:rPr>
          <w:rFonts w:ascii="Verdana" w:hAnsi="Verdana"/>
          <w:sz w:val="20"/>
          <w:szCs w:val="20"/>
          <w:lang w:val="es-MX"/>
        </w:rPr>
        <w:t xml:space="preserve"> arbitrario</w:t>
      </w:r>
      <w:r w:rsidR="00F830E9" w:rsidRPr="00333304">
        <w:rPr>
          <w:rFonts w:ascii="Verdana" w:hAnsi="Verdana"/>
          <w:sz w:val="20"/>
          <w:szCs w:val="20"/>
          <w:lang w:val="es-MX"/>
        </w:rPr>
        <w:t>, la vulneración de la estabilidad laboral</w:t>
      </w:r>
      <w:r w:rsidR="007C10CE" w:rsidRPr="00333304">
        <w:rPr>
          <w:rFonts w:ascii="Verdana" w:hAnsi="Verdana"/>
          <w:sz w:val="20"/>
          <w:szCs w:val="20"/>
          <w:lang w:val="es-MX"/>
        </w:rPr>
        <w:t xml:space="preserve"> y la subsecuente desprotección judicial, el señor Lagos del Campo perdió la posibilidad de acceder a una pensión</w:t>
      </w:r>
      <w:r w:rsidR="00F830E9" w:rsidRPr="00333304">
        <w:rPr>
          <w:rFonts w:ascii="Verdana" w:hAnsi="Verdana"/>
          <w:sz w:val="20"/>
          <w:szCs w:val="20"/>
          <w:lang w:val="es-MX"/>
        </w:rPr>
        <w:t xml:space="preserve"> y beneficios sociales.</w:t>
      </w:r>
      <w:r w:rsidR="007C10CE" w:rsidRPr="00333304">
        <w:rPr>
          <w:rFonts w:ascii="Verdana" w:hAnsi="Verdana"/>
          <w:sz w:val="20"/>
          <w:szCs w:val="20"/>
          <w:lang w:val="es-MX"/>
        </w:rPr>
        <w:t xml:space="preserve"> En razón de lo anterior, la Corte estima que se le otorgue un monto razonable de </w:t>
      </w:r>
      <w:r w:rsidR="007C10CE" w:rsidRPr="00333304">
        <w:rPr>
          <w:rFonts w:ascii="Verdana" w:hAnsi="Verdana"/>
          <w:sz w:val="20"/>
          <w:szCs w:val="20"/>
          <w:lang w:val="es-CR"/>
        </w:rPr>
        <w:t>USD $30,000 (treinta mil dólares de los Estados Unidos de América).</w:t>
      </w:r>
    </w:p>
    <w:p w14:paraId="3EDD25E8" w14:textId="77777777" w:rsidR="003610EB" w:rsidRPr="009C5D55" w:rsidRDefault="003610EB" w:rsidP="009C5D55">
      <w:pPr>
        <w:contextualSpacing/>
        <w:jc w:val="both"/>
        <w:rPr>
          <w:rFonts w:ascii="Verdana" w:hAnsi="Verdana"/>
          <w:sz w:val="20"/>
          <w:szCs w:val="20"/>
          <w:lang w:val="es-CR"/>
        </w:rPr>
      </w:pPr>
    </w:p>
    <w:p w14:paraId="508E288B" w14:textId="77777777" w:rsidR="009C5D55" w:rsidRPr="00C0187C" w:rsidRDefault="009C5D55" w:rsidP="00E66DD7">
      <w:pPr>
        <w:pStyle w:val="Heading3"/>
        <w:numPr>
          <w:ilvl w:val="0"/>
          <w:numId w:val="15"/>
        </w:numPr>
        <w:rPr>
          <w:i/>
          <w:lang w:val="es-MX"/>
        </w:rPr>
      </w:pPr>
      <w:bookmarkStart w:id="73" w:name="_Toc498333528"/>
      <w:r w:rsidRPr="00C0187C">
        <w:rPr>
          <w:i/>
          <w:lang w:val="es-MX"/>
        </w:rPr>
        <w:t>Daño inmaterial</w:t>
      </w:r>
      <w:bookmarkEnd w:id="73"/>
    </w:p>
    <w:p w14:paraId="78B63848" w14:textId="77777777" w:rsidR="009C5D55" w:rsidRPr="009C5D55" w:rsidRDefault="009C5D55" w:rsidP="009C5D55">
      <w:pPr>
        <w:contextualSpacing/>
        <w:rPr>
          <w:rFonts w:ascii="Verdana" w:hAnsi="Verdana"/>
          <w:sz w:val="20"/>
          <w:szCs w:val="20"/>
          <w:lang w:val="es-CR"/>
        </w:rPr>
      </w:pPr>
    </w:p>
    <w:p w14:paraId="43236ADA" w14:textId="77777777" w:rsidR="000A123A" w:rsidRDefault="009C5D55" w:rsidP="00333304">
      <w:pPr>
        <w:numPr>
          <w:ilvl w:val="0"/>
          <w:numId w:val="1"/>
        </w:numPr>
        <w:ind w:left="0" w:firstLine="0"/>
        <w:contextualSpacing/>
        <w:rPr>
          <w:rFonts w:ascii="Verdana" w:hAnsi="Verdana"/>
          <w:sz w:val="20"/>
          <w:szCs w:val="20"/>
          <w:lang w:val="es-CR"/>
        </w:rPr>
      </w:pPr>
      <w:r w:rsidRPr="000A123A">
        <w:rPr>
          <w:rFonts w:ascii="Verdana" w:hAnsi="Verdana"/>
          <w:sz w:val="20"/>
          <w:szCs w:val="20"/>
        </w:rPr>
        <w:t xml:space="preserve">La </w:t>
      </w:r>
      <w:r w:rsidRPr="000A123A">
        <w:rPr>
          <w:rFonts w:ascii="Verdana" w:hAnsi="Verdana"/>
          <w:b/>
          <w:i/>
          <w:sz w:val="20"/>
          <w:szCs w:val="20"/>
        </w:rPr>
        <w:t>Comisión</w:t>
      </w:r>
      <w:r w:rsidRPr="000A123A">
        <w:rPr>
          <w:rFonts w:ascii="Verdana" w:hAnsi="Verdana"/>
          <w:sz w:val="20"/>
          <w:szCs w:val="20"/>
        </w:rPr>
        <w:t xml:space="preserve"> </w:t>
      </w:r>
      <w:r w:rsidRPr="000A123A">
        <w:rPr>
          <w:rFonts w:ascii="Verdana" w:hAnsi="Verdana"/>
          <w:sz w:val="20"/>
          <w:szCs w:val="20"/>
          <w:lang w:val="es-CR"/>
        </w:rPr>
        <w:t>solicitó incorporar en la reparación tanto el daño material como moral</w:t>
      </w:r>
      <w:r w:rsidR="000A123A">
        <w:rPr>
          <w:rFonts w:ascii="Verdana" w:hAnsi="Verdana"/>
          <w:sz w:val="20"/>
          <w:szCs w:val="20"/>
          <w:lang w:val="es-CR"/>
        </w:rPr>
        <w:t>.</w:t>
      </w:r>
    </w:p>
    <w:p w14:paraId="28354AC8" w14:textId="77777777" w:rsidR="009C5D55" w:rsidRPr="000A123A" w:rsidRDefault="009C5D55" w:rsidP="000A123A">
      <w:pPr>
        <w:contextualSpacing/>
        <w:rPr>
          <w:rFonts w:ascii="Verdana" w:hAnsi="Verdana"/>
          <w:sz w:val="20"/>
          <w:szCs w:val="20"/>
          <w:lang w:val="es-CR"/>
        </w:rPr>
      </w:pPr>
    </w:p>
    <w:p w14:paraId="32D1A08E" w14:textId="7C5F34A4" w:rsidR="009C5D55" w:rsidRPr="00274C5F" w:rsidRDefault="009C5D55" w:rsidP="00E66DD7">
      <w:pPr>
        <w:widowControl w:val="0"/>
        <w:numPr>
          <w:ilvl w:val="0"/>
          <w:numId w:val="1"/>
        </w:numPr>
        <w:tabs>
          <w:tab w:val="center" w:pos="567"/>
        </w:tabs>
        <w:autoSpaceDE w:val="0"/>
        <w:autoSpaceDN w:val="0"/>
        <w:adjustRightInd w:val="0"/>
        <w:ind w:left="0" w:firstLine="0"/>
        <w:contextualSpacing/>
        <w:jc w:val="both"/>
        <w:rPr>
          <w:rFonts w:ascii="Verdana" w:hAnsi="Verdana"/>
          <w:sz w:val="20"/>
          <w:szCs w:val="20"/>
          <w:lang w:val="es-CR"/>
        </w:rPr>
      </w:pPr>
      <w:r w:rsidRPr="00274C5F">
        <w:rPr>
          <w:rFonts w:ascii="Verdana" w:hAnsi="Verdana"/>
          <w:sz w:val="20"/>
          <w:szCs w:val="20"/>
          <w:lang w:val="es-CR"/>
        </w:rPr>
        <w:t xml:space="preserve">Los </w:t>
      </w:r>
      <w:r w:rsidRPr="00274C5F">
        <w:rPr>
          <w:rFonts w:ascii="Verdana" w:hAnsi="Verdana"/>
          <w:b/>
          <w:i/>
          <w:sz w:val="20"/>
          <w:szCs w:val="20"/>
          <w:lang w:val="es-CR"/>
        </w:rPr>
        <w:t>representantes</w:t>
      </w:r>
      <w:r w:rsidRPr="00274C5F">
        <w:rPr>
          <w:rFonts w:ascii="Verdana" w:hAnsi="Verdana"/>
          <w:sz w:val="20"/>
          <w:szCs w:val="20"/>
          <w:lang w:val="es-CR"/>
        </w:rPr>
        <w:t xml:space="preserve"> </w:t>
      </w:r>
      <w:r w:rsidRPr="00274C5F">
        <w:rPr>
          <w:rFonts w:ascii="Verdana" w:hAnsi="Verdana"/>
          <w:sz w:val="20"/>
          <w:szCs w:val="20"/>
          <w:lang w:val="es-MX"/>
        </w:rPr>
        <w:t xml:space="preserve">solicitaron que se fije en equidad la reparación del daño moral, </w:t>
      </w:r>
      <w:r w:rsidR="001B481A" w:rsidRPr="00333304">
        <w:rPr>
          <w:rFonts w:ascii="Verdana" w:hAnsi="Verdana"/>
          <w:sz w:val="20"/>
          <w:szCs w:val="20"/>
          <w:lang w:val="es-MX"/>
        </w:rPr>
        <w:t>puesto</w:t>
      </w:r>
      <w:r w:rsidR="001B481A" w:rsidRPr="00274C5F">
        <w:rPr>
          <w:rFonts w:ascii="Verdana" w:hAnsi="Verdana"/>
          <w:sz w:val="20"/>
          <w:szCs w:val="20"/>
          <w:lang w:val="es-MX"/>
        </w:rPr>
        <w:t xml:space="preserve"> </w:t>
      </w:r>
      <w:r w:rsidRPr="00274C5F">
        <w:rPr>
          <w:rFonts w:ascii="Verdana" w:hAnsi="Verdana"/>
          <w:sz w:val="20"/>
          <w:szCs w:val="20"/>
          <w:lang w:val="es-MX"/>
        </w:rPr>
        <w:t>que la afe</w:t>
      </w:r>
      <w:r w:rsidR="00DE3D07">
        <w:rPr>
          <w:rFonts w:ascii="Verdana" w:hAnsi="Verdana"/>
          <w:sz w:val="20"/>
          <w:szCs w:val="20"/>
          <w:lang w:val="es-MX"/>
        </w:rPr>
        <w:t xml:space="preserve">ctación sufrida por la víctima </w:t>
      </w:r>
      <w:r w:rsidRPr="00274C5F">
        <w:rPr>
          <w:rFonts w:ascii="Verdana" w:hAnsi="Verdana"/>
          <w:sz w:val="20"/>
          <w:szCs w:val="20"/>
          <w:lang w:val="es-MX"/>
        </w:rPr>
        <w:t xml:space="preserve">como a su familia, tuvo duras consecuencias y significó una grave conculcación psíquica y moral para cada uno de ellos, sobre todo para la víctima. </w:t>
      </w:r>
    </w:p>
    <w:p w14:paraId="2F093001" w14:textId="77777777" w:rsidR="009C5D55" w:rsidRPr="009C5D55" w:rsidRDefault="009C5D55" w:rsidP="009C5D55">
      <w:pPr>
        <w:contextualSpacing/>
        <w:rPr>
          <w:rFonts w:ascii="Verdana" w:hAnsi="Verdana"/>
          <w:sz w:val="20"/>
          <w:szCs w:val="20"/>
          <w:lang w:val="es-CR"/>
        </w:rPr>
      </w:pPr>
    </w:p>
    <w:p w14:paraId="0E837257" w14:textId="44BEE852" w:rsidR="009C5D55" w:rsidRPr="009C5D55" w:rsidRDefault="009C5D55" w:rsidP="00E66DD7">
      <w:pPr>
        <w:widowControl w:val="0"/>
        <w:numPr>
          <w:ilvl w:val="0"/>
          <w:numId w:val="1"/>
        </w:numPr>
        <w:tabs>
          <w:tab w:val="center" w:pos="567"/>
        </w:tabs>
        <w:autoSpaceDE w:val="0"/>
        <w:autoSpaceDN w:val="0"/>
        <w:adjustRightInd w:val="0"/>
        <w:ind w:left="0" w:firstLine="0"/>
        <w:contextualSpacing/>
        <w:jc w:val="both"/>
        <w:rPr>
          <w:rFonts w:ascii="Verdana" w:hAnsi="Verdana"/>
          <w:sz w:val="20"/>
          <w:szCs w:val="20"/>
        </w:rPr>
      </w:pPr>
      <w:r w:rsidRPr="009C5D55">
        <w:rPr>
          <w:rFonts w:ascii="Verdana" w:hAnsi="Verdana"/>
          <w:sz w:val="20"/>
          <w:szCs w:val="20"/>
          <w:lang w:val="es-CR"/>
        </w:rPr>
        <w:t xml:space="preserve">El </w:t>
      </w:r>
      <w:r w:rsidRPr="009C5D55">
        <w:rPr>
          <w:rFonts w:ascii="Verdana" w:hAnsi="Verdana"/>
          <w:b/>
          <w:i/>
          <w:sz w:val="20"/>
          <w:szCs w:val="20"/>
          <w:lang w:val="es-CR"/>
        </w:rPr>
        <w:t>Estado</w:t>
      </w:r>
      <w:r w:rsidRPr="009C5D55">
        <w:rPr>
          <w:rFonts w:ascii="Verdana" w:hAnsi="Verdana"/>
          <w:sz w:val="20"/>
          <w:szCs w:val="20"/>
          <w:lang w:val="es-CR"/>
        </w:rPr>
        <w:t xml:space="preserve"> </w:t>
      </w:r>
      <w:r w:rsidRPr="009C5D55">
        <w:rPr>
          <w:rFonts w:ascii="Verdana" w:hAnsi="Verdana"/>
          <w:sz w:val="20"/>
          <w:szCs w:val="20"/>
          <w:lang w:val="es-MX"/>
        </w:rPr>
        <w:t>sostuvo que los criterios citados por los representantes se basan en jurisprudencia que no se relaciona con los hechos del presente caso</w:t>
      </w:r>
      <w:r w:rsidRPr="00801513">
        <w:rPr>
          <w:rFonts w:ascii="Verdana" w:hAnsi="Verdana"/>
          <w:b/>
          <w:sz w:val="20"/>
          <w:szCs w:val="20"/>
          <w:lang w:val="es-MX"/>
        </w:rPr>
        <w:t xml:space="preserve"> </w:t>
      </w:r>
      <w:r w:rsidR="0089338A" w:rsidRPr="00333304">
        <w:rPr>
          <w:rFonts w:ascii="Verdana" w:hAnsi="Verdana"/>
          <w:sz w:val="20"/>
          <w:szCs w:val="20"/>
          <w:lang w:val="es-MX"/>
        </w:rPr>
        <w:t>puesto</w:t>
      </w:r>
      <w:r w:rsidR="0089338A" w:rsidRPr="009C5D55">
        <w:rPr>
          <w:rFonts w:ascii="Verdana" w:hAnsi="Verdana"/>
          <w:sz w:val="20"/>
          <w:szCs w:val="20"/>
          <w:lang w:val="es-MX"/>
        </w:rPr>
        <w:t xml:space="preserve"> </w:t>
      </w:r>
      <w:r w:rsidRPr="009C5D55">
        <w:rPr>
          <w:rFonts w:ascii="Verdana" w:hAnsi="Verdana"/>
          <w:sz w:val="20"/>
          <w:szCs w:val="20"/>
          <w:lang w:val="es-MX"/>
        </w:rPr>
        <w:t xml:space="preserve">que el caso no trata de una grave violación de derechos humanos ni de la pretendida vulneración de algún derecho que pertenezca al núcleo duro de los derechos humanos. Por lo que a tales presuntas violaciones, el daño moral sería de otra naturaleza y menor entidad que las establecidas para las graves violaciones de derechos humanos. </w:t>
      </w:r>
    </w:p>
    <w:p w14:paraId="63C638E0" w14:textId="77777777" w:rsidR="009C5D55" w:rsidRPr="009C5D55" w:rsidRDefault="009C5D55" w:rsidP="009C5D55">
      <w:pPr>
        <w:widowControl w:val="0"/>
        <w:tabs>
          <w:tab w:val="center" w:pos="567"/>
        </w:tabs>
        <w:autoSpaceDE w:val="0"/>
        <w:autoSpaceDN w:val="0"/>
        <w:adjustRightInd w:val="0"/>
        <w:contextualSpacing/>
        <w:jc w:val="both"/>
        <w:rPr>
          <w:rFonts w:ascii="Verdana" w:hAnsi="Verdana"/>
          <w:sz w:val="20"/>
          <w:szCs w:val="20"/>
        </w:rPr>
      </w:pPr>
    </w:p>
    <w:p w14:paraId="4680D396" w14:textId="77777777" w:rsidR="009C5D55" w:rsidRPr="009C5D55" w:rsidRDefault="009C5D55" w:rsidP="00E66DD7">
      <w:pPr>
        <w:widowControl w:val="0"/>
        <w:numPr>
          <w:ilvl w:val="0"/>
          <w:numId w:val="1"/>
        </w:numPr>
        <w:tabs>
          <w:tab w:val="center" w:pos="567"/>
        </w:tabs>
        <w:autoSpaceDE w:val="0"/>
        <w:autoSpaceDN w:val="0"/>
        <w:adjustRightInd w:val="0"/>
        <w:ind w:left="0" w:firstLine="0"/>
        <w:contextualSpacing/>
        <w:jc w:val="both"/>
        <w:rPr>
          <w:rFonts w:ascii="Verdana" w:hAnsi="Verdana"/>
          <w:sz w:val="20"/>
          <w:szCs w:val="20"/>
          <w:lang w:val="es-CR"/>
        </w:rPr>
      </w:pPr>
      <w:r w:rsidRPr="009C5D55">
        <w:rPr>
          <w:rFonts w:ascii="Verdana" w:hAnsi="Verdana" w:cs="Verdana"/>
          <w:sz w:val="20"/>
          <w:szCs w:val="20"/>
          <w:lang w:val="es-CR" w:bidi="en-US"/>
        </w:rPr>
        <w:t xml:space="preserve">El Tribunal ha expuesto en su jurisprudencia el concepto de daño inmaterial y </w:t>
      </w:r>
      <w:r w:rsidRPr="009C5D55">
        <w:rPr>
          <w:rFonts w:ascii="Verdana" w:hAnsi="Verdana"/>
          <w:sz w:val="20"/>
          <w:szCs w:val="20"/>
          <w:lang w:val="es-CR"/>
        </w:rPr>
        <w:t>ha establecido que este “puede comprender tanto los sufrimientos y las aflicciones causados a la víctima directa y a sus allegados, el menoscabo de valores muy significativos para las personas, así como las alteraciones, de carácter no pecuniario, en las condiciones de existencia de la víctima o su familia”</w:t>
      </w:r>
      <w:r w:rsidRPr="009C5D55">
        <w:rPr>
          <w:rFonts w:ascii="Verdana" w:hAnsi="Verdana"/>
          <w:sz w:val="20"/>
          <w:szCs w:val="20"/>
          <w:vertAlign w:val="superscript"/>
          <w:lang w:val="es-CR"/>
        </w:rPr>
        <w:footnoteReference w:id="270"/>
      </w:r>
      <w:r w:rsidRPr="009C5D55">
        <w:rPr>
          <w:rFonts w:ascii="Verdana" w:hAnsi="Verdana" w:cs="Verdana"/>
          <w:sz w:val="20"/>
          <w:szCs w:val="20"/>
          <w:lang w:val="es-CR" w:bidi="en-US"/>
        </w:rPr>
        <w:t>.</w:t>
      </w:r>
      <w:r w:rsidRPr="009C5D55">
        <w:rPr>
          <w:rFonts w:ascii="Verdana" w:hAnsi="Verdana"/>
          <w:sz w:val="20"/>
          <w:szCs w:val="20"/>
          <w:highlight w:val="white"/>
          <w:lang w:val="es-CR"/>
        </w:rPr>
        <w:t xml:space="preserve"> </w:t>
      </w:r>
      <w:r w:rsidRPr="009C5D55">
        <w:rPr>
          <w:rFonts w:ascii="Verdana" w:hAnsi="Verdana" w:cs="Tahoma"/>
          <w:color w:val="000000"/>
          <w:sz w:val="20"/>
          <w:szCs w:val="20"/>
          <w:lang w:val="es-CR"/>
        </w:rPr>
        <w:t>Dicho daño debe ser probado para casos como el presente.</w:t>
      </w:r>
    </w:p>
    <w:p w14:paraId="5741FA6E" w14:textId="77777777" w:rsidR="009C5D55" w:rsidRPr="009C5D55" w:rsidRDefault="009C5D55" w:rsidP="009C5D55">
      <w:pPr>
        <w:rPr>
          <w:rFonts w:ascii="Verdana" w:hAnsi="Verdana"/>
          <w:sz w:val="20"/>
          <w:szCs w:val="20"/>
          <w:lang w:val="es-CR"/>
        </w:rPr>
      </w:pPr>
    </w:p>
    <w:p w14:paraId="659E110D" w14:textId="6AE3725F" w:rsidR="00FF2083" w:rsidRDefault="009C5D55" w:rsidP="00E66DD7">
      <w:pPr>
        <w:widowControl w:val="0"/>
        <w:numPr>
          <w:ilvl w:val="0"/>
          <w:numId w:val="1"/>
        </w:numPr>
        <w:tabs>
          <w:tab w:val="center" w:pos="0"/>
        </w:tabs>
        <w:autoSpaceDE w:val="0"/>
        <w:autoSpaceDN w:val="0"/>
        <w:adjustRightInd w:val="0"/>
        <w:ind w:left="0" w:firstLine="0"/>
        <w:contextualSpacing/>
        <w:jc w:val="both"/>
        <w:rPr>
          <w:rFonts w:ascii="Verdana" w:hAnsi="Verdana"/>
          <w:sz w:val="20"/>
          <w:szCs w:val="20"/>
          <w:lang w:val="es-CR"/>
        </w:rPr>
      </w:pPr>
      <w:r w:rsidRPr="009C5D55">
        <w:rPr>
          <w:rFonts w:ascii="Verdana" w:hAnsi="Verdana" w:cs="Tahoma"/>
          <w:color w:val="000000"/>
          <w:sz w:val="20"/>
          <w:szCs w:val="20"/>
          <w:lang w:val="es-CR"/>
        </w:rPr>
        <w:t>La</w:t>
      </w:r>
      <w:r w:rsidRPr="009C5D55">
        <w:rPr>
          <w:rFonts w:ascii="Verdana" w:hAnsi="Verdana"/>
          <w:sz w:val="20"/>
          <w:szCs w:val="20"/>
          <w:lang w:val="es-CR"/>
        </w:rPr>
        <w:t xml:space="preserve"> Corte toma en consideración que el señor Lagos del Campo fue declarado víctima de la violación a la los </w:t>
      </w:r>
      <w:r w:rsidRPr="00333304">
        <w:rPr>
          <w:rFonts w:ascii="Verdana" w:hAnsi="Verdana"/>
          <w:sz w:val="20"/>
          <w:szCs w:val="20"/>
          <w:lang w:val="es-CR"/>
        </w:rPr>
        <w:t xml:space="preserve">artículos </w:t>
      </w:r>
      <w:r w:rsidR="00F830E9" w:rsidRPr="00333304">
        <w:rPr>
          <w:rFonts w:ascii="Verdana" w:hAnsi="Verdana"/>
          <w:sz w:val="20"/>
          <w:szCs w:val="20"/>
          <w:lang w:val="es-CR"/>
        </w:rPr>
        <w:t>13, 8, 26, 16 y 25</w:t>
      </w:r>
      <w:r w:rsidRPr="00333304">
        <w:rPr>
          <w:rFonts w:ascii="Verdana" w:hAnsi="Verdana"/>
          <w:sz w:val="20"/>
          <w:szCs w:val="20"/>
          <w:lang w:val="es-CR"/>
        </w:rPr>
        <w:t>.</w:t>
      </w:r>
      <w:r w:rsidRPr="009C5D55">
        <w:rPr>
          <w:rFonts w:ascii="Verdana" w:hAnsi="Verdana"/>
          <w:sz w:val="20"/>
          <w:szCs w:val="20"/>
          <w:lang w:val="es-CR"/>
        </w:rPr>
        <w:t xml:space="preserve"> </w:t>
      </w:r>
      <w:r w:rsidR="008A7A52" w:rsidRPr="008A7A52">
        <w:rPr>
          <w:rFonts w:ascii="Verdana" w:hAnsi="Verdana"/>
          <w:sz w:val="20"/>
          <w:szCs w:val="20"/>
          <w:lang w:val="es-CR"/>
        </w:rPr>
        <w:t xml:space="preserve">Dichas </w:t>
      </w:r>
      <w:r w:rsidRPr="008A7A52">
        <w:rPr>
          <w:rFonts w:ascii="Verdana" w:hAnsi="Verdana"/>
          <w:sz w:val="20"/>
          <w:szCs w:val="20"/>
          <w:lang w:val="es-CR"/>
        </w:rPr>
        <w:t xml:space="preserve">violaciones </w:t>
      </w:r>
      <w:r w:rsidR="008A7A52">
        <w:rPr>
          <w:rFonts w:ascii="Verdana" w:hAnsi="Verdana"/>
          <w:sz w:val="20"/>
          <w:szCs w:val="20"/>
          <w:lang w:val="es-CR"/>
        </w:rPr>
        <w:t xml:space="preserve">tuvieron como consecuencia </w:t>
      </w:r>
      <w:r w:rsidRPr="009C5D55">
        <w:rPr>
          <w:rFonts w:ascii="Verdana" w:hAnsi="Verdana"/>
          <w:sz w:val="20"/>
          <w:szCs w:val="20"/>
          <w:lang w:val="es-CR"/>
        </w:rPr>
        <w:t xml:space="preserve">un daño cierto; la víctima fue diagnosticado con </w:t>
      </w:r>
      <w:r w:rsidRPr="009C5D55">
        <w:rPr>
          <w:rFonts w:ascii="Verdana" w:hAnsi="Verdana"/>
          <w:sz w:val="20"/>
          <w:szCs w:val="20"/>
          <w:lang w:val="es-MX"/>
        </w:rPr>
        <w:t>la alteración clínica clasificada por el CIE-10 como transformación persistente de la personalidad tras experiencia traumática y/o catastrófica luego de la situación denunciada y el curso del proceso judicial</w:t>
      </w:r>
      <w:r w:rsidRPr="009C5D55">
        <w:rPr>
          <w:rFonts w:ascii="Verdana" w:hAnsi="Verdana"/>
          <w:sz w:val="20"/>
          <w:szCs w:val="20"/>
          <w:vertAlign w:val="superscript"/>
          <w:lang w:val="es-CR"/>
        </w:rPr>
        <w:footnoteReference w:id="271"/>
      </w:r>
      <w:r w:rsidRPr="009C5D55">
        <w:rPr>
          <w:rFonts w:ascii="Verdana" w:hAnsi="Verdana"/>
          <w:sz w:val="20"/>
          <w:szCs w:val="20"/>
          <w:lang w:val="es-CR"/>
        </w:rPr>
        <w:t xml:space="preserve">. Por lo que se logró </w:t>
      </w:r>
      <w:r w:rsidRPr="009C5D55">
        <w:rPr>
          <w:rFonts w:ascii="Verdana" w:hAnsi="Verdana"/>
          <w:sz w:val="20"/>
          <w:szCs w:val="20"/>
          <w:lang w:val="es-CR"/>
        </w:rPr>
        <w:lastRenderedPageBreak/>
        <w:t>comprobar que la situación de despido y de violación de sus derechos humanos, así como la imposibilidad de encontrar justicia hasta la fecha, han sido fuentes importantes de estrés, ansiedad</w:t>
      </w:r>
      <w:r w:rsidR="000A123A">
        <w:rPr>
          <w:rFonts w:ascii="Verdana" w:hAnsi="Verdana"/>
          <w:sz w:val="20"/>
          <w:szCs w:val="20"/>
          <w:lang w:val="es-CR"/>
        </w:rPr>
        <w:t xml:space="preserve"> y</w:t>
      </w:r>
      <w:r w:rsidRPr="009C5D55">
        <w:rPr>
          <w:rFonts w:ascii="Verdana" w:hAnsi="Verdana"/>
          <w:sz w:val="20"/>
          <w:szCs w:val="20"/>
          <w:lang w:val="es-CR"/>
        </w:rPr>
        <w:t xml:space="preserve"> preocupación, lo cual a lo largo de los años ha venido afectando el estado de salud del señor Lagos del Campo.</w:t>
      </w:r>
    </w:p>
    <w:p w14:paraId="131A265F" w14:textId="77777777" w:rsidR="00FF2083" w:rsidRDefault="00FF2083" w:rsidP="00FF2083">
      <w:pPr>
        <w:widowControl w:val="0"/>
        <w:tabs>
          <w:tab w:val="center" w:pos="0"/>
        </w:tabs>
        <w:autoSpaceDE w:val="0"/>
        <w:autoSpaceDN w:val="0"/>
        <w:adjustRightInd w:val="0"/>
        <w:contextualSpacing/>
        <w:jc w:val="both"/>
        <w:rPr>
          <w:rFonts w:ascii="Verdana" w:hAnsi="Verdana"/>
          <w:sz w:val="20"/>
          <w:szCs w:val="20"/>
          <w:lang w:val="es-CR"/>
        </w:rPr>
      </w:pPr>
    </w:p>
    <w:p w14:paraId="67638406" w14:textId="73F5092F" w:rsidR="003610EB" w:rsidRPr="00D9490E" w:rsidRDefault="009C5D55" w:rsidP="00E66DD7">
      <w:pPr>
        <w:widowControl w:val="0"/>
        <w:numPr>
          <w:ilvl w:val="0"/>
          <w:numId w:val="1"/>
        </w:numPr>
        <w:tabs>
          <w:tab w:val="center" w:pos="0"/>
        </w:tabs>
        <w:autoSpaceDE w:val="0"/>
        <w:autoSpaceDN w:val="0"/>
        <w:adjustRightInd w:val="0"/>
        <w:ind w:left="0" w:firstLine="0"/>
        <w:contextualSpacing/>
        <w:jc w:val="both"/>
        <w:rPr>
          <w:rFonts w:ascii="Verdana" w:hAnsi="Verdana"/>
          <w:sz w:val="20"/>
          <w:szCs w:val="20"/>
          <w:lang w:val="es-CR"/>
        </w:rPr>
      </w:pPr>
      <w:r w:rsidRPr="00FF2083">
        <w:rPr>
          <w:rFonts w:ascii="Verdana" w:hAnsi="Verdana"/>
          <w:sz w:val="20"/>
          <w:szCs w:val="20"/>
          <w:lang w:val="es-CR"/>
        </w:rPr>
        <w:t xml:space="preserve">Como consecuencia de estas violaciones, la Corte estima pertinente fijar, en equidad, una compensación por daño inmaterial que corresponde a la </w:t>
      </w:r>
      <w:r w:rsidRPr="00184C1D">
        <w:rPr>
          <w:rFonts w:ascii="Verdana" w:hAnsi="Verdana"/>
          <w:sz w:val="20"/>
          <w:szCs w:val="20"/>
          <w:lang w:val="es-CR"/>
        </w:rPr>
        <w:t xml:space="preserve">suma </w:t>
      </w:r>
      <w:r w:rsidR="007C10CE" w:rsidRPr="00333304">
        <w:rPr>
          <w:rFonts w:ascii="Verdana" w:hAnsi="Verdana"/>
          <w:sz w:val="20"/>
          <w:szCs w:val="20"/>
          <w:lang w:val="es-CR"/>
        </w:rPr>
        <w:t>USD $20,000 (veinte mil dólares de los Estados Unidos de América).</w:t>
      </w:r>
      <w:r w:rsidRPr="00D9490E">
        <w:rPr>
          <w:rFonts w:ascii="Verdana" w:hAnsi="Verdana"/>
          <w:sz w:val="20"/>
          <w:szCs w:val="20"/>
          <w:lang w:val="es-CR"/>
        </w:rPr>
        <w:t xml:space="preserve"> </w:t>
      </w:r>
    </w:p>
    <w:p w14:paraId="26E799AB" w14:textId="77777777" w:rsidR="009C5D55" w:rsidRPr="009C5D55" w:rsidRDefault="009C5D55" w:rsidP="009C5D55">
      <w:pPr>
        <w:rPr>
          <w:rFonts w:ascii="Verdana" w:hAnsi="Verdana"/>
          <w:sz w:val="20"/>
          <w:szCs w:val="20"/>
          <w:lang w:val="es-CR"/>
        </w:rPr>
      </w:pPr>
    </w:p>
    <w:p w14:paraId="1DFEEBD2" w14:textId="77777777" w:rsidR="009C5D55" w:rsidRPr="00C0187C" w:rsidRDefault="009C5D55" w:rsidP="00E66DD7">
      <w:pPr>
        <w:pStyle w:val="Heading2"/>
        <w:numPr>
          <w:ilvl w:val="0"/>
          <w:numId w:val="13"/>
        </w:numPr>
        <w:rPr>
          <w:i/>
          <w:szCs w:val="20"/>
        </w:rPr>
      </w:pPr>
      <w:bookmarkStart w:id="74" w:name="_Toc498333529"/>
      <w:r w:rsidRPr="00C0187C">
        <w:rPr>
          <w:i/>
          <w:szCs w:val="20"/>
        </w:rPr>
        <w:t>Costas y gastos</w:t>
      </w:r>
      <w:bookmarkEnd w:id="74"/>
    </w:p>
    <w:p w14:paraId="57A9A1B1" w14:textId="77777777" w:rsidR="009C5D55" w:rsidRPr="009C5D55" w:rsidRDefault="009C5D55" w:rsidP="009C5D55">
      <w:pPr>
        <w:rPr>
          <w:rFonts w:ascii="Verdana" w:hAnsi="Verdana"/>
          <w:sz w:val="20"/>
          <w:szCs w:val="20"/>
          <w:lang w:val="es-CR"/>
        </w:rPr>
      </w:pPr>
    </w:p>
    <w:p w14:paraId="21ACEB4E" w14:textId="6990846E" w:rsidR="009C5D55" w:rsidRPr="009C5D55" w:rsidRDefault="009C5D55" w:rsidP="00E66DD7">
      <w:pPr>
        <w:widowControl w:val="0"/>
        <w:numPr>
          <w:ilvl w:val="0"/>
          <w:numId w:val="1"/>
        </w:numPr>
        <w:tabs>
          <w:tab w:val="center" w:pos="0"/>
        </w:tabs>
        <w:autoSpaceDE w:val="0"/>
        <w:autoSpaceDN w:val="0"/>
        <w:adjustRightInd w:val="0"/>
        <w:ind w:left="0" w:firstLine="0"/>
        <w:contextualSpacing/>
        <w:jc w:val="both"/>
        <w:rPr>
          <w:rFonts w:ascii="Verdana" w:hAnsi="Verdana"/>
          <w:sz w:val="20"/>
          <w:szCs w:val="20"/>
          <w:lang w:val="es-CR"/>
        </w:rPr>
      </w:pPr>
      <w:r w:rsidRPr="009C5D55">
        <w:rPr>
          <w:rFonts w:ascii="Verdana" w:hAnsi="Verdana"/>
          <w:sz w:val="20"/>
          <w:szCs w:val="20"/>
          <w:lang w:val="es-CR"/>
        </w:rPr>
        <w:t xml:space="preserve">Los </w:t>
      </w:r>
      <w:r w:rsidRPr="009C5D55">
        <w:rPr>
          <w:rFonts w:ascii="Verdana" w:hAnsi="Verdana"/>
          <w:b/>
          <w:i/>
          <w:sz w:val="20"/>
          <w:szCs w:val="20"/>
          <w:lang w:val="es-CR"/>
        </w:rPr>
        <w:t xml:space="preserve">representantes </w:t>
      </w:r>
      <w:r w:rsidRPr="009C5D55">
        <w:rPr>
          <w:rFonts w:ascii="Verdana" w:hAnsi="Verdana"/>
          <w:sz w:val="20"/>
          <w:szCs w:val="20"/>
          <w:lang w:val="es-CR"/>
        </w:rPr>
        <w:t>explicaron que el señor Lagos del Campo incurrió en gastos propios en sendos procesos judiciales, incluyendo cuando acudió a la Comisión. Tiempo después contó con el patrocinio de APRODEH</w:t>
      </w:r>
      <w:r w:rsidRPr="008A7A52">
        <w:rPr>
          <w:rFonts w:ascii="Verdana" w:hAnsi="Verdana"/>
          <w:sz w:val="20"/>
          <w:szCs w:val="20"/>
          <w:lang w:val="es-CR"/>
        </w:rPr>
        <w:t>.</w:t>
      </w:r>
      <w:r w:rsidRPr="009C5D55">
        <w:rPr>
          <w:rFonts w:ascii="Verdana" w:hAnsi="Verdana"/>
          <w:sz w:val="20"/>
          <w:szCs w:val="20"/>
          <w:lang w:val="es-CR"/>
        </w:rPr>
        <w:t xml:space="preserve"> Solicitaron por tanto que la Corte fije en equidad la suma de los gastos correspondientes al señor Lagos del Campo, y lo que le corresponda a APRODEH en calidad de representantes de la víctima. Asimismo, solicitaron que se les otorgue la oportunidad de presentar cifras y comprobantes sobre gastos futuros en la etapa procesal correspondiente</w:t>
      </w:r>
      <w:r w:rsidR="00012864">
        <w:rPr>
          <w:rStyle w:val="FootnoteReference"/>
          <w:szCs w:val="20"/>
          <w:lang w:val="es-CR"/>
        </w:rPr>
        <w:footnoteReference w:id="272"/>
      </w:r>
      <w:r w:rsidRPr="009C5D55">
        <w:rPr>
          <w:rFonts w:ascii="Verdana" w:hAnsi="Verdana"/>
          <w:sz w:val="20"/>
          <w:szCs w:val="20"/>
          <w:lang w:val="es-CR"/>
        </w:rPr>
        <w:t>.</w:t>
      </w:r>
      <w:r w:rsidR="007D7DF2">
        <w:rPr>
          <w:rFonts w:ascii="Verdana" w:hAnsi="Verdana"/>
          <w:sz w:val="20"/>
          <w:szCs w:val="20"/>
          <w:lang w:val="es-CR"/>
        </w:rPr>
        <w:t xml:space="preserve"> </w:t>
      </w:r>
      <w:r w:rsidRPr="009C5D55">
        <w:rPr>
          <w:rFonts w:ascii="Verdana" w:hAnsi="Verdana"/>
          <w:sz w:val="20"/>
          <w:szCs w:val="20"/>
          <w:lang w:val="es-CR"/>
        </w:rPr>
        <w:t xml:space="preserve"> </w:t>
      </w:r>
    </w:p>
    <w:p w14:paraId="01CBC750" w14:textId="77777777" w:rsidR="009C5D55" w:rsidRPr="009C5D55" w:rsidRDefault="009C5D55" w:rsidP="009C5D55">
      <w:pPr>
        <w:widowControl w:val="0"/>
        <w:tabs>
          <w:tab w:val="center" w:pos="0"/>
        </w:tabs>
        <w:autoSpaceDE w:val="0"/>
        <w:autoSpaceDN w:val="0"/>
        <w:adjustRightInd w:val="0"/>
        <w:contextualSpacing/>
        <w:jc w:val="both"/>
        <w:rPr>
          <w:rFonts w:ascii="Verdana" w:hAnsi="Verdana"/>
          <w:sz w:val="20"/>
          <w:szCs w:val="20"/>
          <w:lang w:val="es-CR"/>
        </w:rPr>
      </w:pPr>
    </w:p>
    <w:p w14:paraId="01A9EF7B" w14:textId="51525AA3" w:rsidR="009C5D55" w:rsidRPr="009C5D55" w:rsidRDefault="009C5D55" w:rsidP="00E66DD7">
      <w:pPr>
        <w:widowControl w:val="0"/>
        <w:numPr>
          <w:ilvl w:val="0"/>
          <w:numId w:val="1"/>
        </w:numPr>
        <w:tabs>
          <w:tab w:val="center" w:pos="0"/>
        </w:tabs>
        <w:autoSpaceDE w:val="0"/>
        <w:autoSpaceDN w:val="0"/>
        <w:adjustRightInd w:val="0"/>
        <w:ind w:left="0" w:firstLine="0"/>
        <w:contextualSpacing/>
        <w:jc w:val="both"/>
        <w:rPr>
          <w:rFonts w:ascii="Verdana" w:hAnsi="Verdana"/>
          <w:sz w:val="20"/>
          <w:szCs w:val="20"/>
          <w:lang w:val="es-CR"/>
        </w:rPr>
      </w:pPr>
      <w:r w:rsidRPr="009C5D55">
        <w:rPr>
          <w:rFonts w:ascii="Verdana" w:hAnsi="Verdana"/>
          <w:sz w:val="20"/>
          <w:szCs w:val="20"/>
          <w:lang w:val="es-CR"/>
        </w:rPr>
        <w:t xml:space="preserve">El </w:t>
      </w:r>
      <w:r w:rsidRPr="009C5D55">
        <w:rPr>
          <w:rFonts w:ascii="Verdana" w:hAnsi="Verdana"/>
          <w:b/>
          <w:i/>
          <w:sz w:val="20"/>
          <w:szCs w:val="20"/>
          <w:lang w:val="es-CR"/>
        </w:rPr>
        <w:t>Estado</w:t>
      </w:r>
      <w:r w:rsidRPr="009C5D55">
        <w:rPr>
          <w:rFonts w:ascii="Verdana" w:hAnsi="Verdana"/>
          <w:sz w:val="20"/>
          <w:szCs w:val="20"/>
          <w:lang w:val="es-CR"/>
        </w:rPr>
        <w:t xml:space="preserve"> sostuvo que se deben presentar comprobantes para el reembolso de costas y gastos.</w:t>
      </w:r>
      <w:r w:rsidR="00D9490E">
        <w:rPr>
          <w:rFonts w:ascii="Verdana" w:hAnsi="Verdana"/>
          <w:sz w:val="20"/>
          <w:szCs w:val="20"/>
          <w:lang w:val="es-CR"/>
        </w:rPr>
        <w:t xml:space="preserve"> </w:t>
      </w:r>
      <w:r w:rsidRPr="009C5D55">
        <w:rPr>
          <w:rFonts w:ascii="Verdana" w:hAnsi="Verdana"/>
          <w:sz w:val="20"/>
          <w:szCs w:val="20"/>
          <w:lang w:val="es-CR"/>
        </w:rPr>
        <w:t>Sobre los gastos futuros señaló que le parece razonable la alegación de los representantes, pero que se reserva el derecho a observar los gastos en la oportunidad procesal correspondiente.</w:t>
      </w:r>
    </w:p>
    <w:p w14:paraId="6F54E3A0" w14:textId="77777777" w:rsidR="009C5D55" w:rsidRPr="009C5D55" w:rsidRDefault="009C5D55" w:rsidP="009C5D55">
      <w:pPr>
        <w:widowControl w:val="0"/>
        <w:tabs>
          <w:tab w:val="center" w:pos="0"/>
        </w:tabs>
        <w:autoSpaceDE w:val="0"/>
        <w:autoSpaceDN w:val="0"/>
        <w:adjustRightInd w:val="0"/>
        <w:contextualSpacing/>
        <w:jc w:val="both"/>
        <w:rPr>
          <w:rFonts w:ascii="Verdana" w:hAnsi="Verdana"/>
          <w:sz w:val="20"/>
          <w:szCs w:val="20"/>
          <w:lang w:val="es-CR"/>
        </w:rPr>
      </w:pPr>
    </w:p>
    <w:p w14:paraId="26AD6CD4" w14:textId="39685C98" w:rsidR="009C5D55" w:rsidRPr="009C5D55" w:rsidRDefault="009C5D55" w:rsidP="00E66DD7">
      <w:pPr>
        <w:widowControl w:val="0"/>
        <w:numPr>
          <w:ilvl w:val="0"/>
          <w:numId w:val="1"/>
        </w:numPr>
        <w:tabs>
          <w:tab w:val="center" w:pos="0"/>
        </w:tabs>
        <w:autoSpaceDE w:val="0"/>
        <w:autoSpaceDN w:val="0"/>
        <w:adjustRightInd w:val="0"/>
        <w:ind w:left="0" w:firstLine="0"/>
        <w:contextualSpacing/>
        <w:jc w:val="both"/>
        <w:rPr>
          <w:rFonts w:ascii="Verdana" w:hAnsi="Verdana"/>
          <w:sz w:val="20"/>
          <w:szCs w:val="20"/>
          <w:lang w:val="es-CR"/>
        </w:rPr>
      </w:pPr>
      <w:r w:rsidRPr="009C5D55">
        <w:rPr>
          <w:rFonts w:ascii="Verdana" w:hAnsi="Verdana"/>
          <w:sz w:val="20"/>
          <w:szCs w:val="20"/>
          <w:lang w:val="es-CR"/>
        </w:rPr>
        <w:t>La Corte reitera que, conforme a su jurisprudencia</w:t>
      </w:r>
      <w:r w:rsidRPr="009C5D55">
        <w:rPr>
          <w:rFonts w:ascii="Verdana" w:hAnsi="Verdana"/>
          <w:sz w:val="20"/>
          <w:szCs w:val="20"/>
          <w:vertAlign w:val="superscript"/>
          <w:lang w:val="es-CR"/>
        </w:rPr>
        <w:footnoteReference w:id="273"/>
      </w:r>
      <w:r w:rsidR="009A3098">
        <w:rPr>
          <w:rFonts w:ascii="Verdana" w:hAnsi="Verdana"/>
          <w:sz w:val="20"/>
          <w:szCs w:val="20"/>
          <w:lang w:val="es-CR"/>
        </w:rPr>
        <w:t>,</w:t>
      </w:r>
      <w:r w:rsidRPr="009C5D55">
        <w:rPr>
          <w:rFonts w:ascii="Verdana" w:hAnsi="Verdana"/>
          <w:sz w:val="20"/>
          <w:szCs w:val="20"/>
          <w:lang w:val="es-CR"/>
        </w:rPr>
        <w:t xml:space="preserve"> las costas y gastos hacen parte del concepto de reparación, toda vez que la actividad desplegada por las víctimas con el fin de obtener justicia, tanto a nivel nacional como internacional, implica erogaciones que deben ser compensadas cuando la responsabilidad internacional del Estado es declarada mediante una sentencia condenatoria. En cuanto al reembolso de las costas y gastos, corresponde al Tribunal apreciar prudentemente su alcance, el cual comprende los gastos generados ante las autoridades de la jurisdicción interna, así como los generados en el curso del proceso ante el sistema interamericano, teniendo en cuenta las circunstancias del caso concreto y la naturaleza de la jurisdicción internacional de protección de derechos humanos. Esta apreciación debe ser realizada tomando en cuenta los gastos señalados por las partes, siempre que su </w:t>
      </w:r>
      <w:r w:rsidRPr="009C5D55">
        <w:rPr>
          <w:rFonts w:ascii="Verdana" w:hAnsi="Verdana"/>
          <w:i/>
          <w:sz w:val="20"/>
          <w:szCs w:val="20"/>
          <w:lang w:val="es-CR"/>
        </w:rPr>
        <w:t>quantum</w:t>
      </w:r>
      <w:r w:rsidRPr="009C5D55">
        <w:rPr>
          <w:rFonts w:ascii="Verdana" w:hAnsi="Verdana"/>
          <w:sz w:val="20"/>
          <w:szCs w:val="20"/>
          <w:lang w:val="es-CR"/>
        </w:rPr>
        <w:t xml:space="preserve"> sea razonable</w:t>
      </w:r>
      <w:r w:rsidRPr="009C5D55">
        <w:rPr>
          <w:rFonts w:ascii="Verdana" w:hAnsi="Verdana"/>
          <w:sz w:val="20"/>
          <w:szCs w:val="20"/>
          <w:vertAlign w:val="superscript"/>
          <w:lang w:val="es-CR"/>
        </w:rPr>
        <w:footnoteReference w:id="274"/>
      </w:r>
      <w:r w:rsidRPr="009C5D55">
        <w:rPr>
          <w:rFonts w:ascii="Verdana" w:hAnsi="Verdana"/>
          <w:sz w:val="20"/>
          <w:szCs w:val="20"/>
          <w:lang w:val="es-CR"/>
        </w:rPr>
        <w:t xml:space="preserve">. </w:t>
      </w:r>
    </w:p>
    <w:p w14:paraId="6634C37A" w14:textId="77777777" w:rsidR="009C5D55" w:rsidRPr="009C5D55" w:rsidRDefault="009C5D55" w:rsidP="009C5D55">
      <w:pPr>
        <w:contextualSpacing/>
        <w:rPr>
          <w:rFonts w:ascii="Verdana" w:hAnsi="Verdana"/>
          <w:sz w:val="20"/>
          <w:szCs w:val="20"/>
          <w:lang w:val="es-CR"/>
        </w:rPr>
      </w:pPr>
    </w:p>
    <w:p w14:paraId="113BFD95" w14:textId="77777777" w:rsidR="009C5D55" w:rsidRPr="009C5D55" w:rsidRDefault="009C5D55" w:rsidP="00E66DD7">
      <w:pPr>
        <w:widowControl w:val="0"/>
        <w:numPr>
          <w:ilvl w:val="0"/>
          <w:numId w:val="1"/>
        </w:numPr>
        <w:tabs>
          <w:tab w:val="center" w:pos="0"/>
        </w:tabs>
        <w:autoSpaceDE w:val="0"/>
        <w:autoSpaceDN w:val="0"/>
        <w:adjustRightInd w:val="0"/>
        <w:ind w:left="0" w:firstLine="0"/>
        <w:contextualSpacing/>
        <w:jc w:val="both"/>
        <w:rPr>
          <w:rFonts w:ascii="Verdana" w:hAnsi="Verdana"/>
          <w:sz w:val="20"/>
          <w:szCs w:val="20"/>
          <w:lang w:val="es-CR"/>
        </w:rPr>
      </w:pPr>
      <w:r w:rsidRPr="009C5D55">
        <w:rPr>
          <w:rFonts w:ascii="Verdana" w:hAnsi="Verdana"/>
          <w:sz w:val="20"/>
          <w:szCs w:val="20"/>
          <w:lang w:val="es-CR"/>
        </w:rPr>
        <w:t>Este</w:t>
      </w:r>
      <w:r w:rsidRPr="009C5D55">
        <w:rPr>
          <w:rFonts w:ascii="Verdana" w:hAnsi="Verdana"/>
          <w:spacing w:val="-2"/>
          <w:sz w:val="20"/>
          <w:szCs w:val="20"/>
          <w:lang w:val="es-CR"/>
        </w:rPr>
        <w:t xml:space="preserve"> Tribunal </w:t>
      </w:r>
      <w:r w:rsidRPr="009C5D55">
        <w:rPr>
          <w:rFonts w:ascii="Verdana" w:eastAsia="Verdana" w:hAnsi="Verdana" w:cs="Verdana"/>
          <w:spacing w:val="1"/>
          <w:sz w:val="20"/>
          <w:szCs w:val="20"/>
          <w:lang w:val="es-CR"/>
        </w:rPr>
        <w:t>h</w:t>
      </w:r>
      <w:r w:rsidRPr="009C5D55">
        <w:rPr>
          <w:rFonts w:ascii="Verdana" w:eastAsia="Verdana" w:hAnsi="Verdana" w:cs="Verdana"/>
          <w:sz w:val="20"/>
          <w:szCs w:val="20"/>
          <w:lang w:val="es-CR"/>
        </w:rPr>
        <w:t>a</w:t>
      </w:r>
      <w:r w:rsidRPr="009C5D55">
        <w:rPr>
          <w:rFonts w:ascii="Verdana" w:eastAsia="Verdana" w:hAnsi="Verdana" w:cs="Verdana"/>
          <w:spacing w:val="59"/>
          <w:sz w:val="20"/>
          <w:szCs w:val="20"/>
          <w:lang w:val="es-CR"/>
        </w:rPr>
        <w:t xml:space="preserve"> </w:t>
      </w:r>
      <w:r w:rsidRPr="009C5D55">
        <w:rPr>
          <w:rFonts w:ascii="Verdana" w:eastAsia="Verdana" w:hAnsi="Verdana" w:cs="Verdana"/>
          <w:sz w:val="20"/>
          <w:szCs w:val="20"/>
          <w:lang w:val="es-CR"/>
        </w:rPr>
        <w:t>s</w:t>
      </w:r>
      <w:r w:rsidRPr="009C5D55">
        <w:rPr>
          <w:rFonts w:ascii="Verdana" w:eastAsia="Verdana" w:hAnsi="Verdana" w:cs="Verdana"/>
          <w:spacing w:val="-2"/>
          <w:sz w:val="20"/>
          <w:szCs w:val="20"/>
          <w:lang w:val="es-CR"/>
        </w:rPr>
        <w:t>e</w:t>
      </w:r>
      <w:r w:rsidRPr="009C5D55">
        <w:rPr>
          <w:rFonts w:ascii="Verdana" w:eastAsia="Verdana" w:hAnsi="Verdana" w:cs="Verdana"/>
          <w:spacing w:val="1"/>
          <w:sz w:val="20"/>
          <w:szCs w:val="20"/>
          <w:lang w:val="es-CR"/>
        </w:rPr>
        <w:t>ñ</w:t>
      </w:r>
      <w:r w:rsidRPr="009C5D55">
        <w:rPr>
          <w:rFonts w:ascii="Verdana" w:eastAsia="Verdana" w:hAnsi="Verdana" w:cs="Verdana"/>
          <w:sz w:val="20"/>
          <w:szCs w:val="20"/>
          <w:lang w:val="es-CR"/>
        </w:rPr>
        <w:t>a</w:t>
      </w:r>
      <w:r w:rsidRPr="009C5D55">
        <w:rPr>
          <w:rFonts w:ascii="Verdana" w:eastAsia="Verdana" w:hAnsi="Verdana" w:cs="Verdana"/>
          <w:spacing w:val="3"/>
          <w:sz w:val="20"/>
          <w:szCs w:val="20"/>
          <w:lang w:val="es-CR"/>
        </w:rPr>
        <w:t>l</w:t>
      </w:r>
      <w:r w:rsidRPr="009C5D55">
        <w:rPr>
          <w:rFonts w:ascii="Verdana" w:eastAsia="Verdana" w:hAnsi="Verdana" w:cs="Verdana"/>
          <w:sz w:val="20"/>
          <w:szCs w:val="20"/>
          <w:lang w:val="es-CR"/>
        </w:rPr>
        <w:t>a</w:t>
      </w:r>
      <w:r w:rsidRPr="009C5D55">
        <w:rPr>
          <w:rFonts w:ascii="Verdana" w:eastAsia="Verdana" w:hAnsi="Verdana" w:cs="Verdana"/>
          <w:spacing w:val="-1"/>
          <w:sz w:val="20"/>
          <w:szCs w:val="20"/>
          <w:lang w:val="es-CR"/>
        </w:rPr>
        <w:t>d</w:t>
      </w:r>
      <w:r w:rsidRPr="009C5D55">
        <w:rPr>
          <w:rFonts w:ascii="Verdana" w:eastAsia="Verdana" w:hAnsi="Verdana" w:cs="Verdana"/>
          <w:sz w:val="20"/>
          <w:szCs w:val="20"/>
          <w:lang w:val="es-CR"/>
        </w:rPr>
        <w:t>o</w:t>
      </w:r>
      <w:r w:rsidRPr="009C5D55">
        <w:rPr>
          <w:rFonts w:ascii="Verdana" w:eastAsia="Verdana" w:hAnsi="Verdana" w:cs="Verdana"/>
          <w:spacing w:val="51"/>
          <w:sz w:val="20"/>
          <w:szCs w:val="20"/>
          <w:lang w:val="es-CR"/>
        </w:rPr>
        <w:t xml:space="preserve"> </w:t>
      </w:r>
      <w:r w:rsidRPr="009C5D55">
        <w:rPr>
          <w:rFonts w:ascii="Verdana" w:eastAsia="Verdana" w:hAnsi="Verdana" w:cs="Verdana"/>
          <w:spacing w:val="1"/>
          <w:sz w:val="20"/>
          <w:szCs w:val="20"/>
          <w:lang w:val="es-CR"/>
        </w:rPr>
        <w:t>qu</w:t>
      </w:r>
      <w:r w:rsidRPr="009C5D55">
        <w:rPr>
          <w:rFonts w:ascii="Verdana" w:eastAsia="Verdana" w:hAnsi="Verdana" w:cs="Verdana"/>
          <w:sz w:val="20"/>
          <w:szCs w:val="20"/>
          <w:lang w:val="es-CR"/>
        </w:rPr>
        <w:t>e</w:t>
      </w:r>
      <w:r w:rsidRPr="009C5D55">
        <w:rPr>
          <w:rFonts w:ascii="Verdana" w:eastAsia="Verdana" w:hAnsi="Verdana" w:cs="Verdana"/>
          <w:spacing w:val="59"/>
          <w:sz w:val="20"/>
          <w:szCs w:val="20"/>
          <w:lang w:val="es-CR"/>
        </w:rPr>
        <w:t xml:space="preserve"> </w:t>
      </w:r>
      <w:r w:rsidRPr="009C5D55">
        <w:rPr>
          <w:rFonts w:ascii="Verdana" w:eastAsia="Verdana" w:hAnsi="Verdana" w:cs="Verdana"/>
          <w:sz w:val="20"/>
          <w:szCs w:val="20"/>
          <w:lang w:val="es-CR"/>
        </w:rPr>
        <w:t>“</w:t>
      </w:r>
      <w:r w:rsidRPr="009C5D55">
        <w:rPr>
          <w:rFonts w:ascii="Verdana" w:eastAsia="Verdana" w:hAnsi="Verdana" w:cs="Verdana"/>
          <w:spacing w:val="3"/>
          <w:sz w:val="20"/>
          <w:szCs w:val="20"/>
          <w:lang w:val="es-CR"/>
        </w:rPr>
        <w:t>l</w:t>
      </w:r>
      <w:r w:rsidRPr="009C5D55">
        <w:rPr>
          <w:rFonts w:ascii="Verdana" w:eastAsia="Verdana" w:hAnsi="Verdana" w:cs="Verdana"/>
          <w:sz w:val="20"/>
          <w:szCs w:val="20"/>
          <w:lang w:val="es-CR"/>
        </w:rPr>
        <w:t>as</w:t>
      </w:r>
      <w:r w:rsidRPr="009C5D55">
        <w:rPr>
          <w:rFonts w:ascii="Verdana" w:eastAsia="Verdana" w:hAnsi="Verdana" w:cs="Verdana"/>
          <w:spacing w:val="58"/>
          <w:sz w:val="20"/>
          <w:szCs w:val="20"/>
          <w:lang w:val="es-CR"/>
        </w:rPr>
        <w:t xml:space="preserve"> </w:t>
      </w:r>
      <w:r w:rsidRPr="009C5D55">
        <w:rPr>
          <w:rFonts w:ascii="Verdana" w:eastAsia="Verdana" w:hAnsi="Verdana" w:cs="Verdana"/>
          <w:spacing w:val="1"/>
          <w:sz w:val="20"/>
          <w:szCs w:val="20"/>
          <w:lang w:val="es-CR"/>
        </w:rPr>
        <w:t>p</w:t>
      </w:r>
      <w:r w:rsidRPr="009C5D55">
        <w:rPr>
          <w:rFonts w:ascii="Verdana" w:eastAsia="Verdana" w:hAnsi="Verdana" w:cs="Verdana"/>
          <w:spacing w:val="-1"/>
          <w:sz w:val="20"/>
          <w:szCs w:val="20"/>
          <w:lang w:val="es-CR"/>
        </w:rPr>
        <w:t>re</w:t>
      </w:r>
      <w:r w:rsidRPr="009C5D55">
        <w:rPr>
          <w:rFonts w:ascii="Verdana" w:eastAsia="Verdana" w:hAnsi="Verdana" w:cs="Verdana"/>
          <w:spacing w:val="3"/>
          <w:sz w:val="20"/>
          <w:szCs w:val="20"/>
          <w:lang w:val="es-CR"/>
        </w:rPr>
        <w:t>t</w:t>
      </w:r>
      <w:r w:rsidRPr="009C5D55">
        <w:rPr>
          <w:rFonts w:ascii="Verdana" w:eastAsia="Verdana" w:hAnsi="Verdana" w:cs="Verdana"/>
          <w:spacing w:val="-1"/>
          <w:sz w:val="20"/>
          <w:szCs w:val="20"/>
          <w:lang w:val="es-CR"/>
        </w:rPr>
        <w:t>e</w:t>
      </w:r>
      <w:r w:rsidRPr="009C5D55">
        <w:rPr>
          <w:rFonts w:ascii="Verdana" w:eastAsia="Verdana" w:hAnsi="Verdana" w:cs="Verdana"/>
          <w:spacing w:val="1"/>
          <w:sz w:val="20"/>
          <w:szCs w:val="20"/>
          <w:lang w:val="es-CR"/>
        </w:rPr>
        <w:t>n</w:t>
      </w:r>
      <w:r w:rsidRPr="009C5D55">
        <w:rPr>
          <w:rFonts w:ascii="Verdana" w:eastAsia="Verdana" w:hAnsi="Verdana" w:cs="Verdana"/>
          <w:sz w:val="20"/>
          <w:szCs w:val="20"/>
          <w:lang w:val="es-CR"/>
        </w:rPr>
        <w:t>s</w:t>
      </w:r>
      <w:r w:rsidRPr="009C5D55">
        <w:rPr>
          <w:rFonts w:ascii="Verdana" w:eastAsia="Verdana" w:hAnsi="Verdana" w:cs="Verdana"/>
          <w:spacing w:val="2"/>
          <w:sz w:val="20"/>
          <w:szCs w:val="20"/>
          <w:lang w:val="es-CR"/>
        </w:rPr>
        <w:t>i</w:t>
      </w:r>
      <w:r w:rsidRPr="009C5D55">
        <w:rPr>
          <w:rFonts w:ascii="Verdana" w:eastAsia="Verdana" w:hAnsi="Verdana" w:cs="Verdana"/>
          <w:spacing w:val="-1"/>
          <w:sz w:val="20"/>
          <w:szCs w:val="20"/>
          <w:lang w:val="es-CR"/>
        </w:rPr>
        <w:t>o</w:t>
      </w:r>
      <w:r w:rsidRPr="009C5D55">
        <w:rPr>
          <w:rFonts w:ascii="Verdana" w:eastAsia="Verdana" w:hAnsi="Verdana" w:cs="Verdana"/>
          <w:spacing w:val="1"/>
          <w:sz w:val="20"/>
          <w:szCs w:val="20"/>
          <w:lang w:val="es-CR"/>
        </w:rPr>
        <w:t>ne</w:t>
      </w:r>
      <w:r w:rsidRPr="009C5D55">
        <w:rPr>
          <w:rFonts w:ascii="Verdana" w:eastAsia="Verdana" w:hAnsi="Verdana" w:cs="Verdana"/>
          <w:sz w:val="20"/>
          <w:szCs w:val="20"/>
          <w:lang w:val="es-CR"/>
        </w:rPr>
        <w:t>s</w:t>
      </w:r>
      <w:r w:rsidRPr="009C5D55">
        <w:rPr>
          <w:rFonts w:ascii="Verdana" w:eastAsia="Verdana" w:hAnsi="Verdana" w:cs="Verdana"/>
          <w:spacing w:val="48"/>
          <w:sz w:val="20"/>
          <w:szCs w:val="20"/>
          <w:lang w:val="es-CR"/>
        </w:rPr>
        <w:t xml:space="preserve"> </w:t>
      </w:r>
      <w:r w:rsidRPr="009C5D55">
        <w:rPr>
          <w:rFonts w:ascii="Verdana" w:eastAsia="Verdana" w:hAnsi="Verdana" w:cs="Verdana"/>
          <w:spacing w:val="1"/>
          <w:sz w:val="20"/>
          <w:szCs w:val="20"/>
          <w:lang w:val="es-CR"/>
        </w:rPr>
        <w:t>d</w:t>
      </w:r>
      <w:r w:rsidRPr="009C5D55">
        <w:rPr>
          <w:rFonts w:ascii="Verdana" w:eastAsia="Verdana" w:hAnsi="Verdana" w:cs="Verdana"/>
          <w:sz w:val="20"/>
          <w:szCs w:val="20"/>
          <w:lang w:val="es-CR"/>
        </w:rPr>
        <w:t>e</w:t>
      </w:r>
      <w:r w:rsidRPr="009C5D55">
        <w:rPr>
          <w:rFonts w:ascii="Verdana" w:eastAsia="Verdana" w:hAnsi="Verdana" w:cs="Verdana"/>
          <w:spacing w:val="58"/>
          <w:sz w:val="20"/>
          <w:szCs w:val="20"/>
          <w:lang w:val="es-CR"/>
        </w:rPr>
        <w:t xml:space="preserve"> </w:t>
      </w:r>
      <w:r w:rsidRPr="009C5D55">
        <w:rPr>
          <w:rFonts w:ascii="Verdana" w:eastAsia="Verdana" w:hAnsi="Verdana" w:cs="Verdana"/>
          <w:spacing w:val="3"/>
          <w:sz w:val="20"/>
          <w:szCs w:val="20"/>
          <w:lang w:val="es-CR"/>
        </w:rPr>
        <w:t>l</w:t>
      </w:r>
      <w:r w:rsidRPr="009C5D55">
        <w:rPr>
          <w:rFonts w:ascii="Verdana" w:eastAsia="Verdana" w:hAnsi="Verdana" w:cs="Verdana"/>
          <w:sz w:val="20"/>
          <w:szCs w:val="20"/>
          <w:lang w:val="es-CR"/>
        </w:rPr>
        <w:t>as</w:t>
      </w:r>
      <w:r w:rsidRPr="009C5D55">
        <w:rPr>
          <w:rFonts w:ascii="Verdana" w:eastAsia="Verdana" w:hAnsi="Verdana" w:cs="Verdana"/>
          <w:spacing w:val="59"/>
          <w:sz w:val="20"/>
          <w:szCs w:val="20"/>
          <w:lang w:val="es-CR"/>
        </w:rPr>
        <w:t xml:space="preserve"> </w:t>
      </w:r>
      <w:r w:rsidRPr="009C5D55">
        <w:rPr>
          <w:rFonts w:ascii="Verdana" w:eastAsia="Verdana" w:hAnsi="Verdana" w:cs="Verdana"/>
          <w:sz w:val="20"/>
          <w:szCs w:val="20"/>
          <w:lang w:val="es-CR"/>
        </w:rPr>
        <w:t>v</w:t>
      </w:r>
      <w:r w:rsidRPr="009C5D55">
        <w:rPr>
          <w:rFonts w:ascii="Verdana" w:eastAsia="Verdana" w:hAnsi="Verdana" w:cs="Verdana"/>
          <w:spacing w:val="3"/>
          <w:sz w:val="20"/>
          <w:szCs w:val="20"/>
          <w:lang w:val="es-CR"/>
        </w:rPr>
        <w:t>í</w:t>
      </w:r>
      <w:r w:rsidRPr="009C5D55">
        <w:rPr>
          <w:rFonts w:ascii="Verdana" w:eastAsia="Verdana" w:hAnsi="Verdana" w:cs="Verdana"/>
          <w:sz w:val="20"/>
          <w:szCs w:val="20"/>
          <w:lang w:val="es-CR"/>
        </w:rPr>
        <w:t>ct</w:t>
      </w:r>
      <w:r w:rsidRPr="009C5D55">
        <w:rPr>
          <w:rFonts w:ascii="Verdana" w:eastAsia="Verdana" w:hAnsi="Verdana" w:cs="Verdana"/>
          <w:spacing w:val="3"/>
          <w:sz w:val="20"/>
          <w:szCs w:val="20"/>
          <w:lang w:val="es-CR"/>
        </w:rPr>
        <w:t>i</w:t>
      </w:r>
      <w:r w:rsidRPr="009C5D55">
        <w:rPr>
          <w:rFonts w:ascii="Verdana" w:eastAsia="Verdana" w:hAnsi="Verdana" w:cs="Verdana"/>
          <w:sz w:val="20"/>
          <w:szCs w:val="20"/>
          <w:lang w:val="es-CR"/>
        </w:rPr>
        <w:t>m</w:t>
      </w:r>
      <w:r w:rsidRPr="009C5D55">
        <w:rPr>
          <w:rFonts w:ascii="Verdana" w:eastAsia="Verdana" w:hAnsi="Verdana" w:cs="Verdana"/>
          <w:spacing w:val="1"/>
          <w:sz w:val="20"/>
          <w:szCs w:val="20"/>
          <w:lang w:val="es-CR"/>
        </w:rPr>
        <w:t>a</w:t>
      </w:r>
      <w:r w:rsidRPr="009C5D55">
        <w:rPr>
          <w:rFonts w:ascii="Verdana" w:eastAsia="Verdana" w:hAnsi="Verdana" w:cs="Verdana"/>
          <w:sz w:val="20"/>
          <w:szCs w:val="20"/>
          <w:lang w:val="es-CR"/>
        </w:rPr>
        <w:t>s</w:t>
      </w:r>
      <w:r w:rsidRPr="009C5D55">
        <w:rPr>
          <w:rFonts w:ascii="Verdana" w:eastAsia="Verdana" w:hAnsi="Verdana" w:cs="Verdana"/>
          <w:spacing w:val="52"/>
          <w:sz w:val="20"/>
          <w:szCs w:val="20"/>
          <w:lang w:val="es-CR"/>
        </w:rPr>
        <w:t xml:space="preserve"> </w:t>
      </w:r>
      <w:r w:rsidRPr="009C5D55">
        <w:rPr>
          <w:rFonts w:ascii="Verdana" w:eastAsia="Verdana" w:hAnsi="Verdana" w:cs="Verdana"/>
          <w:sz w:val="20"/>
          <w:szCs w:val="20"/>
          <w:lang w:val="es-CR"/>
        </w:rPr>
        <w:t>o</w:t>
      </w:r>
      <w:r w:rsidRPr="009C5D55">
        <w:rPr>
          <w:rFonts w:ascii="Verdana" w:eastAsia="Verdana" w:hAnsi="Verdana" w:cs="Verdana"/>
          <w:spacing w:val="59"/>
          <w:sz w:val="20"/>
          <w:szCs w:val="20"/>
          <w:lang w:val="es-CR"/>
        </w:rPr>
        <w:t xml:space="preserve"> </w:t>
      </w:r>
      <w:r w:rsidRPr="009C5D55">
        <w:rPr>
          <w:rFonts w:ascii="Verdana" w:eastAsia="Verdana" w:hAnsi="Verdana" w:cs="Verdana"/>
          <w:spacing w:val="2"/>
          <w:sz w:val="20"/>
          <w:szCs w:val="20"/>
          <w:lang w:val="es-CR"/>
        </w:rPr>
        <w:t>s</w:t>
      </w:r>
      <w:r w:rsidRPr="009C5D55">
        <w:rPr>
          <w:rFonts w:ascii="Verdana" w:eastAsia="Verdana" w:hAnsi="Verdana" w:cs="Verdana"/>
          <w:spacing w:val="1"/>
          <w:sz w:val="20"/>
          <w:szCs w:val="20"/>
          <w:lang w:val="es-CR"/>
        </w:rPr>
        <w:t>u</w:t>
      </w:r>
      <w:r w:rsidRPr="009C5D55">
        <w:rPr>
          <w:rFonts w:ascii="Verdana" w:eastAsia="Verdana" w:hAnsi="Verdana" w:cs="Verdana"/>
          <w:sz w:val="20"/>
          <w:szCs w:val="20"/>
          <w:lang w:val="es-CR"/>
        </w:rPr>
        <w:t>s</w:t>
      </w:r>
      <w:r w:rsidRPr="009C5D55">
        <w:rPr>
          <w:rFonts w:ascii="Verdana" w:eastAsia="Verdana" w:hAnsi="Verdana" w:cs="Verdana"/>
          <w:spacing w:val="57"/>
          <w:sz w:val="20"/>
          <w:szCs w:val="20"/>
          <w:lang w:val="es-CR"/>
        </w:rPr>
        <w:t xml:space="preserve"> </w:t>
      </w:r>
      <w:r w:rsidRPr="009C5D55">
        <w:rPr>
          <w:rFonts w:ascii="Verdana" w:eastAsia="Verdana" w:hAnsi="Verdana" w:cs="Verdana"/>
          <w:spacing w:val="1"/>
          <w:sz w:val="20"/>
          <w:szCs w:val="20"/>
          <w:lang w:val="es-CR"/>
        </w:rPr>
        <w:t>r</w:t>
      </w:r>
      <w:r w:rsidRPr="009C5D55">
        <w:rPr>
          <w:rFonts w:ascii="Verdana" w:eastAsia="Verdana" w:hAnsi="Verdana" w:cs="Verdana"/>
          <w:spacing w:val="-1"/>
          <w:sz w:val="20"/>
          <w:szCs w:val="20"/>
          <w:lang w:val="es-CR"/>
        </w:rPr>
        <w:t>e</w:t>
      </w:r>
      <w:r w:rsidRPr="009C5D55">
        <w:rPr>
          <w:rFonts w:ascii="Verdana" w:eastAsia="Verdana" w:hAnsi="Verdana" w:cs="Verdana"/>
          <w:spacing w:val="1"/>
          <w:sz w:val="20"/>
          <w:szCs w:val="20"/>
          <w:lang w:val="es-CR"/>
        </w:rPr>
        <w:t>pr</w:t>
      </w:r>
      <w:r w:rsidRPr="009C5D55">
        <w:rPr>
          <w:rFonts w:ascii="Verdana" w:eastAsia="Verdana" w:hAnsi="Verdana" w:cs="Verdana"/>
          <w:spacing w:val="-1"/>
          <w:sz w:val="20"/>
          <w:szCs w:val="20"/>
          <w:lang w:val="es-CR"/>
        </w:rPr>
        <w:t>e</w:t>
      </w:r>
      <w:r w:rsidRPr="009C5D55">
        <w:rPr>
          <w:rFonts w:ascii="Verdana" w:eastAsia="Verdana" w:hAnsi="Verdana" w:cs="Verdana"/>
          <w:spacing w:val="2"/>
          <w:sz w:val="20"/>
          <w:szCs w:val="20"/>
          <w:lang w:val="es-CR"/>
        </w:rPr>
        <w:t>s</w:t>
      </w:r>
      <w:r w:rsidRPr="009C5D55">
        <w:rPr>
          <w:rFonts w:ascii="Verdana" w:eastAsia="Verdana" w:hAnsi="Verdana" w:cs="Verdana"/>
          <w:spacing w:val="-1"/>
          <w:sz w:val="20"/>
          <w:szCs w:val="20"/>
          <w:lang w:val="es-CR"/>
        </w:rPr>
        <w:t>e</w:t>
      </w:r>
      <w:r w:rsidRPr="009C5D55">
        <w:rPr>
          <w:rFonts w:ascii="Verdana" w:eastAsia="Verdana" w:hAnsi="Verdana" w:cs="Verdana"/>
          <w:spacing w:val="1"/>
          <w:sz w:val="20"/>
          <w:szCs w:val="20"/>
          <w:lang w:val="es-CR"/>
        </w:rPr>
        <w:t>nt</w:t>
      </w:r>
      <w:r w:rsidRPr="009C5D55">
        <w:rPr>
          <w:rFonts w:ascii="Verdana" w:eastAsia="Verdana" w:hAnsi="Verdana" w:cs="Verdana"/>
          <w:sz w:val="20"/>
          <w:szCs w:val="20"/>
          <w:lang w:val="es-CR"/>
        </w:rPr>
        <w:t>a</w:t>
      </w:r>
      <w:r w:rsidRPr="009C5D55">
        <w:rPr>
          <w:rFonts w:ascii="Verdana" w:eastAsia="Verdana" w:hAnsi="Verdana" w:cs="Verdana"/>
          <w:spacing w:val="1"/>
          <w:sz w:val="20"/>
          <w:szCs w:val="20"/>
          <w:lang w:val="es-CR"/>
        </w:rPr>
        <w:t>nt</w:t>
      </w:r>
      <w:r w:rsidRPr="009C5D55">
        <w:rPr>
          <w:rFonts w:ascii="Verdana" w:eastAsia="Verdana" w:hAnsi="Verdana" w:cs="Verdana"/>
          <w:spacing w:val="-1"/>
          <w:sz w:val="20"/>
          <w:szCs w:val="20"/>
          <w:lang w:val="es-CR"/>
        </w:rPr>
        <w:t>e</w:t>
      </w:r>
      <w:r w:rsidRPr="009C5D55">
        <w:rPr>
          <w:rFonts w:ascii="Verdana" w:eastAsia="Verdana" w:hAnsi="Verdana" w:cs="Verdana"/>
          <w:sz w:val="20"/>
          <w:szCs w:val="20"/>
          <w:lang w:val="es-CR"/>
        </w:rPr>
        <w:t>s</w:t>
      </w:r>
      <w:r w:rsidRPr="009C5D55">
        <w:rPr>
          <w:rFonts w:ascii="Verdana" w:eastAsia="Verdana" w:hAnsi="Verdana" w:cs="Verdana"/>
          <w:spacing w:val="48"/>
          <w:sz w:val="20"/>
          <w:szCs w:val="20"/>
          <w:lang w:val="es-CR"/>
        </w:rPr>
        <w:t xml:space="preserve"> </w:t>
      </w:r>
      <w:r w:rsidRPr="009C5D55">
        <w:rPr>
          <w:rFonts w:ascii="Verdana" w:eastAsia="Verdana" w:hAnsi="Verdana" w:cs="Verdana"/>
          <w:spacing w:val="-1"/>
          <w:sz w:val="20"/>
          <w:szCs w:val="20"/>
          <w:lang w:val="es-CR"/>
        </w:rPr>
        <w:t>e</w:t>
      </w:r>
      <w:r w:rsidRPr="009C5D55">
        <w:rPr>
          <w:rFonts w:ascii="Verdana" w:eastAsia="Verdana" w:hAnsi="Verdana" w:cs="Verdana"/>
          <w:sz w:val="20"/>
          <w:szCs w:val="20"/>
          <w:lang w:val="es-CR"/>
        </w:rPr>
        <w:t>n m</w:t>
      </w:r>
      <w:r w:rsidRPr="009C5D55">
        <w:rPr>
          <w:rFonts w:ascii="Verdana" w:eastAsia="Verdana" w:hAnsi="Verdana" w:cs="Verdana"/>
          <w:spacing w:val="1"/>
          <w:sz w:val="20"/>
          <w:szCs w:val="20"/>
          <w:lang w:val="es-CR"/>
        </w:rPr>
        <w:t>at</w:t>
      </w:r>
      <w:r w:rsidRPr="009C5D55">
        <w:rPr>
          <w:rFonts w:ascii="Verdana" w:eastAsia="Verdana" w:hAnsi="Verdana" w:cs="Verdana"/>
          <w:spacing w:val="-1"/>
          <w:sz w:val="20"/>
          <w:szCs w:val="20"/>
          <w:lang w:val="es-CR"/>
        </w:rPr>
        <w:t>er</w:t>
      </w:r>
      <w:r w:rsidRPr="009C5D55">
        <w:rPr>
          <w:rFonts w:ascii="Verdana" w:eastAsia="Verdana" w:hAnsi="Verdana" w:cs="Verdana"/>
          <w:spacing w:val="3"/>
          <w:sz w:val="20"/>
          <w:szCs w:val="20"/>
          <w:lang w:val="es-CR"/>
        </w:rPr>
        <w:t>i</w:t>
      </w:r>
      <w:r w:rsidRPr="009C5D55">
        <w:rPr>
          <w:rFonts w:ascii="Verdana" w:eastAsia="Verdana" w:hAnsi="Verdana" w:cs="Verdana"/>
          <w:sz w:val="20"/>
          <w:szCs w:val="20"/>
          <w:lang w:val="es-CR"/>
        </w:rPr>
        <w:t>a</w:t>
      </w:r>
      <w:r w:rsidRPr="009C5D55">
        <w:rPr>
          <w:rFonts w:ascii="Verdana" w:eastAsia="Verdana" w:hAnsi="Verdana" w:cs="Verdana"/>
          <w:spacing w:val="6"/>
          <w:sz w:val="20"/>
          <w:szCs w:val="20"/>
          <w:lang w:val="es-CR"/>
        </w:rPr>
        <w:t xml:space="preserve"> </w:t>
      </w:r>
      <w:r w:rsidRPr="009C5D55">
        <w:rPr>
          <w:rFonts w:ascii="Verdana" w:eastAsia="Verdana" w:hAnsi="Verdana" w:cs="Verdana"/>
          <w:spacing w:val="1"/>
          <w:sz w:val="20"/>
          <w:szCs w:val="20"/>
          <w:lang w:val="es-CR"/>
        </w:rPr>
        <w:t>d</w:t>
      </w:r>
      <w:r w:rsidRPr="009C5D55">
        <w:rPr>
          <w:rFonts w:ascii="Verdana" w:eastAsia="Verdana" w:hAnsi="Verdana" w:cs="Verdana"/>
          <w:sz w:val="20"/>
          <w:szCs w:val="20"/>
          <w:lang w:val="es-CR"/>
        </w:rPr>
        <w:t>e</w:t>
      </w:r>
      <w:r w:rsidRPr="009C5D55">
        <w:rPr>
          <w:rFonts w:ascii="Verdana" w:eastAsia="Verdana" w:hAnsi="Verdana" w:cs="Verdana"/>
          <w:spacing w:val="10"/>
          <w:sz w:val="20"/>
          <w:szCs w:val="20"/>
          <w:lang w:val="es-CR"/>
        </w:rPr>
        <w:t xml:space="preserve"> </w:t>
      </w:r>
      <w:r w:rsidRPr="009C5D55">
        <w:rPr>
          <w:rFonts w:ascii="Verdana" w:eastAsia="Verdana" w:hAnsi="Verdana" w:cs="Verdana"/>
          <w:sz w:val="20"/>
          <w:szCs w:val="20"/>
          <w:lang w:val="es-CR"/>
        </w:rPr>
        <w:t>c</w:t>
      </w:r>
      <w:r w:rsidRPr="009C5D55">
        <w:rPr>
          <w:rFonts w:ascii="Verdana" w:eastAsia="Verdana" w:hAnsi="Verdana" w:cs="Verdana"/>
          <w:spacing w:val="3"/>
          <w:sz w:val="20"/>
          <w:szCs w:val="20"/>
          <w:lang w:val="es-CR"/>
        </w:rPr>
        <w:t>o</w:t>
      </w:r>
      <w:r w:rsidRPr="009C5D55">
        <w:rPr>
          <w:rFonts w:ascii="Verdana" w:eastAsia="Verdana" w:hAnsi="Verdana" w:cs="Verdana"/>
          <w:sz w:val="20"/>
          <w:szCs w:val="20"/>
          <w:lang w:val="es-CR"/>
        </w:rPr>
        <w:t>stas</w:t>
      </w:r>
      <w:r w:rsidRPr="009C5D55">
        <w:rPr>
          <w:rFonts w:ascii="Verdana" w:eastAsia="Verdana" w:hAnsi="Verdana" w:cs="Verdana"/>
          <w:spacing w:val="8"/>
          <w:sz w:val="20"/>
          <w:szCs w:val="20"/>
          <w:lang w:val="es-CR"/>
        </w:rPr>
        <w:t xml:space="preserve"> </w:t>
      </w:r>
      <w:r w:rsidRPr="009C5D55">
        <w:rPr>
          <w:rFonts w:ascii="Verdana" w:eastAsia="Verdana" w:hAnsi="Verdana" w:cs="Verdana"/>
          <w:sz w:val="20"/>
          <w:szCs w:val="20"/>
          <w:lang w:val="es-CR"/>
        </w:rPr>
        <w:t>y</w:t>
      </w:r>
      <w:r w:rsidRPr="009C5D55">
        <w:rPr>
          <w:rFonts w:ascii="Verdana" w:eastAsia="Verdana" w:hAnsi="Verdana" w:cs="Verdana"/>
          <w:spacing w:val="13"/>
          <w:sz w:val="20"/>
          <w:szCs w:val="20"/>
          <w:lang w:val="es-CR"/>
        </w:rPr>
        <w:t xml:space="preserve"> </w:t>
      </w:r>
      <w:r w:rsidRPr="009C5D55">
        <w:rPr>
          <w:rFonts w:ascii="Verdana" w:eastAsia="Verdana" w:hAnsi="Verdana" w:cs="Verdana"/>
          <w:spacing w:val="1"/>
          <w:sz w:val="20"/>
          <w:szCs w:val="20"/>
          <w:lang w:val="es-CR"/>
        </w:rPr>
        <w:t>g</w:t>
      </w:r>
      <w:r w:rsidRPr="009C5D55">
        <w:rPr>
          <w:rFonts w:ascii="Verdana" w:eastAsia="Verdana" w:hAnsi="Verdana" w:cs="Verdana"/>
          <w:spacing w:val="2"/>
          <w:sz w:val="20"/>
          <w:szCs w:val="20"/>
          <w:lang w:val="es-CR"/>
        </w:rPr>
        <w:t>a</w:t>
      </w:r>
      <w:r w:rsidRPr="009C5D55">
        <w:rPr>
          <w:rFonts w:ascii="Verdana" w:eastAsia="Verdana" w:hAnsi="Verdana" w:cs="Verdana"/>
          <w:sz w:val="20"/>
          <w:szCs w:val="20"/>
          <w:lang w:val="es-CR"/>
        </w:rPr>
        <w:t>st</w:t>
      </w:r>
      <w:r w:rsidRPr="009C5D55">
        <w:rPr>
          <w:rFonts w:ascii="Verdana" w:eastAsia="Verdana" w:hAnsi="Verdana" w:cs="Verdana"/>
          <w:spacing w:val="-1"/>
          <w:sz w:val="20"/>
          <w:szCs w:val="20"/>
          <w:lang w:val="es-CR"/>
        </w:rPr>
        <w:t>o</w:t>
      </w:r>
      <w:r w:rsidRPr="009C5D55">
        <w:rPr>
          <w:rFonts w:ascii="Verdana" w:eastAsia="Verdana" w:hAnsi="Verdana" w:cs="Verdana"/>
          <w:spacing w:val="2"/>
          <w:sz w:val="20"/>
          <w:szCs w:val="20"/>
          <w:lang w:val="es-CR"/>
        </w:rPr>
        <w:t>s</w:t>
      </w:r>
      <w:r w:rsidRPr="009C5D55">
        <w:rPr>
          <w:rFonts w:ascii="Verdana" w:eastAsia="Verdana" w:hAnsi="Verdana" w:cs="Verdana"/>
          <w:sz w:val="20"/>
          <w:szCs w:val="20"/>
          <w:lang w:val="es-CR"/>
        </w:rPr>
        <w:t>,</w:t>
      </w:r>
      <w:r w:rsidRPr="009C5D55">
        <w:rPr>
          <w:rFonts w:ascii="Verdana" w:eastAsia="Verdana" w:hAnsi="Verdana" w:cs="Verdana"/>
          <w:spacing w:val="7"/>
          <w:sz w:val="20"/>
          <w:szCs w:val="20"/>
          <w:lang w:val="es-CR"/>
        </w:rPr>
        <w:t xml:space="preserve"> </w:t>
      </w:r>
      <w:r w:rsidRPr="009C5D55">
        <w:rPr>
          <w:rFonts w:ascii="Verdana" w:eastAsia="Verdana" w:hAnsi="Verdana" w:cs="Verdana"/>
          <w:sz w:val="20"/>
          <w:szCs w:val="20"/>
          <w:lang w:val="es-CR"/>
        </w:rPr>
        <w:t>y</w:t>
      </w:r>
      <w:r w:rsidRPr="009C5D55">
        <w:rPr>
          <w:rFonts w:ascii="Verdana" w:eastAsia="Verdana" w:hAnsi="Verdana" w:cs="Verdana"/>
          <w:spacing w:val="13"/>
          <w:sz w:val="20"/>
          <w:szCs w:val="20"/>
          <w:lang w:val="es-CR"/>
        </w:rPr>
        <w:t xml:space="preserve"> </w:t>
      </w:r>
      <w:r w:rsidRPr="009C5D55">
        <w:rPr>
          <w:rFonts w:ascii="Verdana" w:eastAsia="Verdana" w:hAnsi="Verdana" w:cs="Verdana"/>
          <w:spacing w:val="3"/>
          <w:sz w:val="20"/>
          <w:szCs w:val="20"/>
          <w:lang w:val="es-CR"/>
        </w:rPr>
        <w:t>l</w:t>
      </w:r>
      <w:r w:rsidRPr="009C5D55">
        <w:rPr>
          <w:rFonts w:ascii="Verdana" w:eastAsia="Verdana" w:hAnsi="Verdana" w:cs="Verdana"/>
          <w:sz w:val="20"/>
          <w:szCs w:val="20"/>
          <w:lang w:val="es-CR"/>
        </w:rPr>
        <w:t>as</w:t>
      </w:r>
      <w:r w:rsidRPr="009C5D55">
        <w:rPr>
          <w:rFonts w:ascii="Verdana" w:eastAsia="Verdana" w:hAnsi="Verdana" w:cs="Verdana"/>
          <w:spacing w:val="11"/>
          <w:sz w:val="20"/>
          <w:szCs w:val="20"/>
          <w:lang w:val="es-CR"/>
        </w:rPr>
        <w:t xml:space="preserve"> </w:t>
      </w:r>
      <w:r w:rsidRPr="009C5D55">
        <w:rPr>
          <w:rFonts w:ascii="Verdana" w:eastAsia="Verdana" w:hAnsi="Verdana" w:cs="Verdana"/>
          <w:spacing w:val="1"/>
          <w:sz w:val="20"/>
          <w:szCs w:val="20"/>
          <w:lang w:val="es-CR"/>
        </w:rPr>
        <w:t>p</w:t>
      </w:r>
      <w:r w:rsidRPr="009C5D55">
        <w:rPr>
          <w:rFonts w:ascii="Verdana" w:eastAsia="Verdana" w:hAnsi="Verdana" w:cs="Verdana"/>
          <w:spacing w:val="-1"/>
          <w:sz w:val="20"/>
          <w:szCs w:val="20"/>
          <w:lang w:val="es-CR"/>
        </w:rPr>
        <w:t>r</w:t>
      </w:r>
      <w:r w:rsidRPr="009C5D55">
        <w:rPr>
          <w:rFonts w:ascii="Verdana" w:eastAsia="Verdana" w:hAnsi="Verdana" w:cs="Verdana"/>
          <w:spacing w:val="1"/>
          <w:sz w:val="20"/>
          <w:szCs w:val="20"/>
          <w:lang w:val="es-CR"/>
        </w:rPr>
        <w:t>u</w:t>
      </w:r>
      <w:r w:rsidRPr="009C5D55">
        <w:rPr>
          <w:rFonts w:ascii="Verdana" w:eastAsia="Verdana" w:hAnsi="Verdana" w:cs="Verdana"/>
          <w:spacing w:val="-1"/>
          <w:sz w:val="20"/>
          <w:szCs w:val="20"/>
          <w:lang w:val="es-CR"/>
        </w:rPr>
        <w:t>e</w:t>
      </w:r>
      <w:r w:rsidRPr="009C5D55">
        <w:rPr>
          <w:rFonts w:ascii="Verdana" w:eastAsia="Verdana" w:hAnsi="Verdana" w:cs="Verdana"/>
          <w:spacing w:val="1"/>
          <w:sz w:val="20"/>
          <w:szCs w:val="20"/>
          <w:lang w:val="es-CR"/>
        </w:rPr>
        <w:t>b</w:t>
      </w:r>
      <w:r w:rsidRPr="009C5D55">
        <w:rPr>
          <w:rFonts w:ascii="Verdana" w:eastAsia="Verdana" w:hAnsi="Verdana" w:cs="Verdana"/>
          <w:sz w:val="20"/>
          <w:szCs w:val="20"/>
          <w:lang w:val="es-CR"/>
        </w:rPr>
        <w:t>as</w:t>
      </w:r>
      <w:r w:rsidRPr="009C5D55">
        <w:rPr>
          <w:rFonts w:ascii="Verdana" w:eastAsia="Verdana" w:hAnsi="Verdana" w:cs="Verdana"/>
          <w:spacing w:val="6"/>
          <w:sz w:val="20"/>
          <w:szCs w:val="20"/>
          <w:lang w:val="es-CR"/>
        </w:rPr>
        <w:t xml:space="preserve"> </w:t>
      </w:r>
      <w:r w:rsidRPr="009C5D55">
        <w:rPr>
          <w:rFonts w:ascii="Verdana" w:eastAsia="Verdana" w:hAnsi="Verdana" w:cs="Verdana"/>
          <w:spacing w:val="1"/>
          <w:sz w:val="20"/>
          <w:szCs w:val="20"/>
          <w:lang w:val="es-CR"/>
        </w:rPr>
        <w:t>qu</w:t>
      </w:r>
      <w:r w:rsidRPr="009C5D55">
        <w:rPr>
          <w:rFonts w:ascii="Verdana" w:eastAsia="Verdana" w:hAnsi="Verdana" w:cs="Verdana"/>
          <w:sz w:val="20"/>
          <w:szCs w:val="20"/>
          <w:lang w:val="es-CR"/>
        </w:rPr>
        <w:t>e</w:t>
      </w:r>
      <w:r w:rsidRPr="009C5D55">
        <w:rPr>
          <w:rFonts w:ascii="Verdana" w:eastAsia="Verdana" w:hAnsi="Verdana" w:cs="Verdana"/>
          <w:spacing w:val="11"/>
          <w:sz w:val="20"/>
          <w:szCs w:val="20"/>
          <w:lang w:val="es-CR"/>
        </w:rPr>
        <w:t xml:space="preserve"> </w:t>
      </w:r>
      <w:r w:rsidRPr="009C5D55">
        <w:rPr>
          <w:rFonts w:ascii="Verdana" w:eastAsia="Verdana" w:hAnsi="Verdana" w:cs="Verdana"/>
          <w:spacing w:val="3"/>
          <w:sz w:val="20"/>
          <w:szCs w:val="20"/>
          <w:lang w:val="es-CR"/>
        </w:rPr>
        <w:t>l</w:t>
      </w:r>
      <w:r w:rsidRPr="009C5D55">
        <w:rPr>
          <w:rFonts w:ascii="Verdana" w:eastAsia="Verdana" w:hAnsi="Verdana" w:cs="Verdana"/>
          <w:sz w:val="20"/>
          <w:szCs w:val="20"/>
          <w:lang w:val="es-CR"/>
        </w:rPr>
        <w:t>as</w:t>
      </w:r>
      <w:r w:rsidRPr="009C5D55">
        <w:rPr>
          <w:rFonts w:ascii="Verdana" w:eastAsia="Verdana" w:hAnsi="Verdana" w:cs="Verdana"/>
          <w:spacing w:val="11"/>
          <w:sz w:val="20"/>
          <w:szCs w:val="20"/>
          <w:lang w:val="es-CR"/>
        </w:rPr>
        <w:t xml:space="preserve"> </w:t>
      </w:r>
      <w:r w:rsidRPr="009C5D55">
        <w:rPr>
          <w:rFonts w:ascii="Verdana" w:eastAsia="Verdana" w:hAnsi="Verdana" w:cs="Verdana"/>
          <w:sz w:val="20"/>
          <w:szCs w:val="20"/>
          <w:lang w:val="es-CR"/>
        </w:rPr>
        <w:t>sust</w:t>
      </w:r>
      <w:r w:rsidRPr="009C5D55">
        <w:rPr>
          <w:rFonts w:ascii="Verdana" w:eastAsia="Verdana" w:hAnsi="Verdana" w:cs="Verdana"/>
          <w:spacing w:val="-1"/>
          <w:sz w:val="20"/>
          <w:szCs w:val="20"/>
          <w:lang w:val="es-CR"/>
        </w:rPr>
        <w:t>e</w:t>
      </w:r>
      <w:r w:rsidRPr="009C5D55">
        <w:rPr>
          <w:rFonts w:ascii="Verdana" w:eastAsia="Verdana" w:hAnsi="Verdana" w:cs="Verdana"/>
          <w:spacing w:val="1"/>
          <w:sz w:val="20"/>
          <w:szCs w:val="20"/>
          <w:lang w:val="es-CR"/>
        </w:rPr>
        <w:t>nt</w:t>
      </w:r>
      <w:r w:rsidRPr="009C5D55">
        <w:rPr>
          <w:rFonts w:ascii="Verdana" w:eastAsia="Verdana" w:hAnsi="Verdana" w:cs="Verdana"/>
          <w:sz w:val="20"/>
          <w:szCs w:val="20"/>
          <w:lang w:val="es-CR"/>
        </w:rPr>
        <w:t>a</w:t>
      </w:r>
      <w:r w:rsidRPr="009C5D55">
        <w:rPr>
          <w:rFonts w:ascii="Verdana" w:eastAsia="Verdana" w:hAnsi="Verdana" w:cs="Verdana"/>
          <w:spacing w:val="1"/>
          <w:sz w:val="20"/>
          <w:szCs w:val="20"/>
          <w:lang w:val="es-CR"/>
        </w:rPr>
        <w:t>n</w:t>
      </w:r>
      <w:r w:rsidRPr="009C5D55">
        <w:rPr>
          <w:rFonts w:ascii="Verdana" w:eastAsia="Verdana" w:hAnsi="Verdana" w:cs="Verdana"/>
          <w:sz w:val="20"/>
          <w:szCs w:val="20"/>
          <w:lang w:val="es-CR"/>
        </w:rPr>
        <w:t>,</w:t>
      </w:r>
      <w:r w:rsidRPr="009C5D55">
        <w:rPr>
          <w:rFonts w:ascii="Verdana" w:eastAsia="Verdana" w:hAnsi="Verdana" w:cs="Verdana"/>
          <w:spacing w:val="3"/>
          <w:sz w:val="20"/>
          <w:szCs w:val="20"/>
          <w:lang w:val="es-CR"/>
        </w:rPr>
        <w:t xml:space="preserve"> </w:t>
      </w:r>
      <w:r w:rsidRPr="009C5D55">
        <w:rPr>
          <w:rFonts w:ascii="Verdana" w:eastAsia="Verdana" w:hAnsi="Verdana" w:cs="Verdana"/>
          <w:spacing w:val="1"/>
          <w:sz w:val="20"/>
          <w:szCs w:val="20"/>
          <w:lang w:val="es-CR"/>
        </w:rPr>
        <w:t>d</w:t>
      </w:r>
      <w:r w:rsidRPr="009C5D55">
        <w:rPr>
          <w:rFonts w:ascii="Verdana" w:eastAsia="Verdana" w:hAnsi="Verdana" w:cs="Verdana"/>
          <w:spacing w:val="-1"/>
          <w:sz w:val="20"/>
          <w:szCs w:val="20"/>
          <w:lang w:val="es-CR"/>
        </w:rPr>
        <w:t>e</w:t>
      </w:r>
      <w:r w:rsidRPr="009C5D55">
        <w:rPr>
          <w:rFonts w:ascii="Verdana" w:eastAsia="Verdana" w:hAnsi="Verdana" w:cs="Verdana"/>
          <w:spacing w:val="1"/>
          <w:sz w:val="20"/>
          <w:szCs w:val="20"/>
          <w:lang w:val="es-CR"/>
        </w:rPr>
        <w:t>b</w:t>
      </w:r>
      <w:r w:rsidRPr="009C5D55">
        <w:rPr>
          <w:rFonts w:ascii="Verdana" w:eastAsia="Verdana" w:hAnsi="Verdana" w:cs="Verdana"/>
          <w:spacing w:val="-1"/>
          <w:sz w:val="20"/>
          <w:szCs w:val="20"/>
          <w:lang w:val="es-CR"/>
        </w:rPr>
        <w:t>e</w:t>
      </w:r>
      <w:r w:rsidRPr="009C5D55">
        <w:rPr>
          <w:rFonts w:ascii="Verdana" w:eastAsia="Verdana" w:hAnsi="Verdana" w:cs="Verdana"/>
          <w:sz w:val="20"/>
          <w:szCs w:val="20"/>
          <w:lang w:val="es-CR"/>
        </w:rPr>
        <w:t>n</w:t>
      </w:r>
      <w:r w:rsidRPr="009C5D55">
        <w:rPr>
          <w:rFonts w:ascii="Verdana" w:eastAsia="Verdana" w:hAnsi="Verdana" w:cs="Verdana"/>
          <w:spacing w:val="9"/>
          <w:sz w:val="20"/>
          <w:szCs w:val="20"/>
          <w:lang w:val="es-CR"/>
        </w:rPr>
        <w:t xml:space="preserve"> </w:t>
      </w:r>
      <w:r w:rsidRPr="009C5D55">
        <w:rPr>
          <w:rFonts w:ascii="Verdana" w:eastAsia="Verdana" w:hAnsi="Verdana" w:cs="Verdana"/>
          <w:spacing w:val="1"/>
          <w:sz w:val="20"/>
          <w:szCs w:val="20"/>
          <w:lang w:val="es-CR"/>
        </w:rPr>
        <w:t>p</w:t>
      </w:r>
      <w:r w:rsidRPr="009C5D55">
        <w:rPr>
          <w:rFonts w:ascii="Verdana" w:eastAsia="Verdana" w:hAnsi="Verdana" w:cs="Verdana"/>
          <w:spacing w:val="-1"/>
          <w:sz w:val="20"/>
          <w:szCs w:val="20"/>
          <w:lang w:val="es-CR"/>
        </w:rPr>
        <w:t>r</w:t>
      </w:r>
      <w:r w:rsidRPr="009C5D55">
        <w:rPr>
          <w:rFonts w:ascii="Verdana" w:eastAsia="Verdana" w:hAnsi="Verdana" w:cs="Verdana"/>
          <w:spacing w:val="1"/>
          <w:sz w:val="20"/>
          <w:szCs w:val="20"/>
          <w:lang w:val="es-CR"/>
        </w:rPr>
        <w:t>e</w:t>
      </w:r>
      <w:r w:rsidRPr="009C5D55">
        <w:rPr>
          <w:rFonts w:ascii="Verdana" w:eastAsia="Verdana" w:hAnsi="Verdana" w:cs="Verdana"/>
          <w:sz w:val="20"/>
          <w:szCs w:val="20"/>
          <w:lang w:val="es-CR"/>
        </w:rPr>
        <w:t>s</w:t>
      </w:r>
      <w:r w:rsidRPr="009C5D55">
        <w:rPr>
          <w:rFonts w:ascii="Verdana" w:eastAsia="Verdana" w:hAnsi="Verdana" w:cs="Verdana"/>
          <w:spacing w:val="-2"/>
          <w:sz w:val="20"/>
          <w:szCs w:val="20"/>
          <w:lang w:val="es-CR"/>
        </w:rPr>
        <w:t>e</w:t>
      </w:r>
      <w:r w:rsidRPr="009C5D55">
        <w:rPr>
          <w:rFonts w:ascii="Verdana" w:eastAsia="Verdana" w:hAnsi="Verdana" w:cs="Verdana"/>
          <w:spacing w:val="1"/>
          <w:sz w:val="20"/>
          <w:szCs w:val="20"/>
          <w:lang w:val="es-CR"/>
        </w:rPr>
        <w:t>nt</w:t>
      </w:r>
      <w:r w:rsidRPr="009C5D55">
        <w:rPr>
          <w:rFonts w:ascii="Verdana" w:eastAsia="Verdana" w:hAnsi="Verdana" w:cs="Verdana"/>
          <w:sz w:val="20"/>
          <w:szCs w:val="20"/>
          <w:lang w:val="es-CR"/>
        </w:rPr>
        <w:t>a</w:t>
      </w:r>
      <w:r w:rsidRPr="009C5D55">
        <w:rPr>
          <w:rFonts w:ascii="Verdana" w:eastAsia="Verdana" w:hAnsi="Verdana" w:cs="Verdana"/>
          <w:spacing w:val="2"/>
          <w:sz w:val="20"/>
          <w:szCs w:val="20"/>
          <w:lang w:val="es-CR"/>
        </w:rPr>
        <w:t>r</w:t>
      </w:r>
      <w:r w:rsidRPr="009C5D55">
        <w:rPr>
          <w:rFonts w:ascii="Verdana" w:eastAsia="Verdana" w:hAnsi="Verdana" w:cs="Verdana"/>
          <w:sz w:val="20"/>
          <w:szCs w:val="20"/>
          <w:lang w:val="es-CR"/>
        </w:rPr>
        <w:t>se a</w:t>
      </w:r>
      <w:r w:rsidRPr="009C5D55">
        <w:rPr>
          <w:rFonts w:ascii="Verdana" w:eastAsia="Verdana" w:hAnsi="Verdana" w:cs="Verdana"/>
          <w:spacing w:val="13"/>
          <w:sz w:val="20"/>
          <w:szCs w:val="20"/>
          <w:lang w:val="es-CR"/>
        </w:rPr>
        <w:t xml:space="preserve"> </w:t>
      </w:r>
      <w:r w:rsidRPr="009C5D55">
        <w:rPr>
          <w:rFonts w:ascii="Verdana" w:eastAsia="Verdana" w:hAnsi="Verdana" w:cs="Verdana"/>
          <w:spacing w:val="3"/>
          <w:sz w:val="20"/>
          <w:szCs w:val="20"/>
          <w:lang w:val="es-CR"/>
        </w:rPr>
        <w:t>l</w:t>
      </w:r>
      <w:r w:rsidRPr="009C5D55">
        <w:rPr>
          <w:rFonts w:ascii="Verdana" w:eastAsia="Verdana" w:hAnsi="Verdana" w:cs="Verdana"/>
          <w:sz w:val="20"/>
          <w:szCs w:val="20"/>
          <w:lang w:val="es-CR"/>
        </w:rPr>
        <w:t>a</w:t>
      </w:r>
      <w:r w:rsidRPr="009C5D55">
        <w:rPr>
          <w:rFonts w:ascii="Verdana" w:eastAsia="Verdana" w:hAnsi="Verdana" w:cs="Verdana"/>
          <w:spacing w:val="12"/>
          <w:sz w:val="20"/>
          <w:szCs w:val="20"/>
          <w:lang w:val="es-CR"/>
        </w:rPr>
        <w:t xml:space="preserve"> </w:t>
      </w:r>
      <w:r w:rsidRPr="009C5D55">
        <w:rPr>
          <w:rFonts w:ascii="Verdana" w:eastAsia="Verdana" w:hAnsi="Verdana" w:cs="Verdana"/>
          <w:sz w:val="20"/>
          <w:szCs w:val="20"/>
          <w:lang w:val="es-CR"/>
        </w:rPr>
        <w:t>C</w:t>
      </w:r>
      <w:r w:rsidRPr="009C5D55">
        <w:rPr>
          <w:rFonts w:ascii="Verdana" w:eastAsia="Verdana" w:hAnsi="Verdana" w:cs="Verdana"/>
          <w:spacing w:val="-1"/>
          <w:sz w:val="20"/>
          <w:szCs w:val="20"/>
          <w:lang w:val="es-CR"/>
        </w:rPr>
        <w:t>or</w:t>
      </w:r>
      <w:r w:rsidRPr="009C5D55">
        <w:rPr>
          <w:rFonts w:ascii="Verdana" w:eastAsia="Verdana" w:hAnsi="Verdana" w:cs="Verdana"/>
          <w:spacing w:val="3"/>
          <w:sz w:val="20"/>
          <w:szCs w:val="20"/>
          <w:lang w:val="es-CR"/>
        </w:rPr>
        <w:t>t</w:t>
      </w:r>
      <w:r w:rsidRPr="009C5D55">
        <w:rPr>
          <w:rFonts w:ascii="Verdana" w:eastAsia="Verdana" w:hAnsi="Verdana" w:cs="Verdana"/>
          <w:sz w:val="20"/>
          <w:szCs w:val="20"/>
          <w:lang w:val="es-CR"/>
        </w:rPr>
        <w:t>e</w:t>
      </w:r>
      <w:r w:rsidRPr="009C5D55">
        <w:rPr>
          <w:rFonts w:ascii="Verdana" w:eastAsia="Verdana" w:hAnsi="Verdana" w:cs="Verdana"/>
          <w:spacing w:val="9"/>
          <w:sz w:val="20"/>
          <w:szCs w:val="20"/>
          <w:lang w:val="es-CR"/>
        </w:rPr>
        <w:t xml:space="preserve"> </w:t>
      </w:r>
      <w:r w:rsidRPr="009C5D55">
        <w:rPr>
          <w:rFonts w:ascii="Verdana" w:eastAsia="Verdana" w:hAnsi="Verdana" w:cs="Verdana"/>
          <w:spacing w:val="-1"/>
          <w:sz w:val="20"/>
          <w:szCs w:val="20"/>
          <w:lang w:val="es-CR"/>
        </w:rPr>
        <w:t>e</w:t>
      </w:r>
      <w:r w:rsidRPr="009C5D55">
        <w:rPr>
          <w:rFonts w:ascii="Verdana" w:eastAsia="Verdana" w:hAnsi="Verdana" w:cs="Verdana"/>
          <w:sz w:val="20"/>
          <w:szCs w:val="20"/>
          <w:lang w:val="es-CR"/>
        </w:rPr>
        <w:t>n</w:t>
      </w:r>
      <w:r w:rsidRPr="009C5D55">
        <w:rPr>
          <w:rFonts w:ascii="Verdana" w:eastAsia="Verdana" w:hAnsi="Verdana" w:cs="Verdana"/>
          <w:spacing w:val="12"/>
          <w:sz w:val="20"/>
          <w:szCs w:val="20"/>
          <w:lang w:val="es-CR"/>
        </w:rPr>
        <w:t xml:space="preserve"> </w:t>
      </w:r>
      <w:r w:rsidRPr="009C5D55">
        <w:rPr>
          <w:rFonts w:ascii="Verdana" w:eastAsia="Verdana" w:hAnsi="Verdana" w:cs="Verdana"/>
          <w:spacing w:val="-1"/>
          <w:sz w:val="20"/>
          <w:szCs w:val="20"/>
          <w:lang w:val="es-CR"/>
        </w:rPr>
        <w:t>e</w:t>
      </w:r>
      <w:r w:rsidRPr="009C5D55">
        <w:rPr>
          <w:rFonts w:ascii="Verdana" w:eastAsia="Verdana" w:hAnsi="Verdana" w:cs="Verdana"/>
          <w:sz w:val="20"/>
          <w:szCs w:val="20"/>
          <w:lang w:val="es-CR"/>
        </w:rPr>
        <w:t xml:space="preserve">l </w:t>
      </w:r>
      <w:r w:rsidRPr="009C5D55">
        <w:rPr>
          <w:rFonts w:ascii="Verdana" w:eastAsia="Verdana" w:hAnsi="Verdana" w:cs="Verdana"/>
          <w:spacing w:val="1"/>
          <w:sz w:val="20"/>
          <w:szCs w:val="20"/>
          <w:lang w:val="es-CR"/>
        </w:rPr>
        <w:t>p</w:t>
      </w:r>
      <w:r w:rsidRPr="009C5D55">
        <w:rPr>
          <w:rFonts w:ascii="Verdana" w:eastAsia="Verdana" w:hAnsi="Verdana" w:cs="Verdana"/>
          <w:spacing w:val="-1"/>
          <w:sz w:val="20"/>
          <w:szCs w:val="20"/>
          <w:lang w:val="es-CR"/>
        </w:rPr>
        <w:t>r</w:t>
      </w:r>
      <w:r w:rsidRPr="009C5D55">
        <w:rPr>
          <w:rFonts w:ascii="Verdana" w:eastAsia="Verdana" w:hAnsi="Verdana" w:cs="Verdana"/>
          <w:spacing w:val="3"/>
          <w:sz w:val="20"/>
          <w:szCs w:val="20"/>
          <w:lang w:val="es-CR"/>
        </w:rPr>
        <w:t>i</w:t>
      </w:r>
      <w:r w:rsidRPr="009C5D55">
        <w:rPr>
          <w:rFonts w:ascii="Verdana" w:eastAsia="Verdana" w:hAnsi="Verdana" w:cs="Verdana"/>
          <w:sz w:val="20"/>
          <w:szCs w:val="20"/>
          <w:lang w:val="es-CR"/>
        </w:rPr>
        <w:t>mer</w:t>
      </w:r>
      <w:r w:rsidRPr="009C5D55">
        <w:rPr>
          <w:rFonts w:ascii="Verdana" w:eastAsia="Verdana" w:hAnsi="Verdana" w:cs="Verdana"/>
          <w:spacing w:val="-5"/>
          <w:sz w:val="20"/>
          <w:szCs w:val="20"/>
          <w:lang w:val="es-CR"/>
        </w:rPr>
        <w:t xml:space="preserve"> </w:t>
      </w:r>
      <w:r w:rsidRPr="009C5D55">
        <w:rPr>
          <w:rFonts w:ascii="Verdana" w:eastAsia="Verdana" w:hAnsi="Verdana" w:cs="Verdana"/>
          <w:sz w:val="20"/>
          <w:szCs w:val="20"/>
          <w:lang w:val="es-CR"/>
        </w:rPr>
        <w:t>mo</w:t>
      </w:r>
      <w:r w:rsidRPr="009C5D55">
        <w:rPr>
          <w:rFonts w:ascii="Verdana" w:eastAsia="Verdana" w:hAnsi="Verdana" w:cs="Verdana"/>
          <w:spacing w:val="3"/>
          <w:sz w:val="20"/>
          <w:szCs w:val="20"/>
          <w:lang w:val="es-CR"/>
        </w:rPr>
        <w:t>m</w:t>
      </w:r>
      <w:r w:rsidRPr="009C5D55">
        <w:rPr>
          <w:rFonts w:ascii="Verdana" w:eastAsia="Verdana" w:hAnsi="Verdana" w:cs="Verdana"/>
          <w:spacing w:val="-1"/>
          <w:sz w:val="20"/>
          <w:szCs w:val="20"/>
          <w:lang w:val="es-CR"/>
        </w:rPr>
        <w:t>e</w:t>
      </w:r>
      <w:r w:rsidRPr="009C5D55">
        <w:rPr>
          <w:rFonts w:ascii="Verdana" w:eastAsia="Verdana" w:hAnsi="Verdana" w:cs="Verdana"/>
          <w:spacing w:val="1"/>
          <w:sz w:val="20"/>
          <w:szCs w:val="20"/>
          <w:lang w:val="es-CR"/>
        </w:rPr>
        <w:t>nt</w:t>
      </w:r>
      <w:r w:rsidRPr="009C5D55">
        <w:rPr>
          <w:rFonts w:ascii="Verdana" w:eastAsia="Verdana" w:hAnsi="Verdana" w:cs="Verdana"/>
          <w:sz w:val="20"/>
          <w:szCs w:val="20"/>
          <w:lang w:val="es-CR"/>
        </w:rPr>
        <w:t>o</w:t>
      </w:r>
      <w:r w:rsidRPr="009C5D55">
        <w:rPr>
          <w:rFonts w:ascii="Verdana" w:eastAsia="Verdana" w:hAnsi="Verdana" w:cs="Verdana"/>
          <w:spacing w:val="-7"/>
          <w:sz w:val="20"/>
          <w:szCs w:val="20"/>
          <w:lang w:val="es-CR"/>
        </w:rPr>
        <w:t xml:space="preserve"> </w:t>
      </w:r>
      <w:r w:rsidRPr="009C5D55">
        <w:rPr>
          <w:rFonts w:ascii="Verdana" w:eastAsia="Verdana" w:hAnsi="Verdana" w:cs="Verdana"/>
          <w:spacing w:val="1"/>
          <w:sz w:val="20"/>
          <w:szCs w:val="20"/>
          <w:lang w:val="es-CR"/>
        </w:rPr>
        <w:t>p</w:t>
      </w:r>
      <w:r w:rsidRPr="009C5D55">
        <w:rPr>
          <w:rFonts w:ascii="Verdana" w:eastAsia="Verdana" w:hAnsi="Verdana" w:cs="Verdana"/>
          <w:spacing w:val="-1"/>
          <w:sz w:val="20"/>
          <w:szCs w:val="20"/>
          <w:lang w:val="es-CR"/>
        </w:rPr>
        <w:t>r</w:t>
      </w:r>
      <w:r w:rsidRPr="009C5D55">
        <w:rPr>
          <w:rFonts w:ascii="Verdana" w:eastAsia="Verdana" w:hAnsi="Verdana" w:cs="Verdana"/>
          <w:spacing w:val="1"/>
          <w:sz w:val="20"/>
          <w:szCs w:val="20"/>
          <w:lang w:val="es-CR"/>
        </w:rPr>
        <w:t>o</w:t>
      </w:r>
      <w:r w:rsidRPr="009C5D55">
        <w:rPr>
          <w:rFonts w:ascii="Verdana" w:eastAsia="Verdana" w:hAnsi="Verdana" w:cs="Verdana"/>
          <w:sz w:val="20"/>
          <w:szCs w:val="20"/>
          <w:lang w:val="es-CR"/>
        </w:rPr>
        <w:t>ce</w:t>
      </w:r>
      <w:r w:rsidRPr="009C5D55">
        <w:rPr>
          <w:rFonts w:ascii="Verdana" w:eastAsia="Verdana" w:hAnsi="Verdana" w:cs="Verdana"/>
          <w:spacing w:val="2"/>
          <w:sz w:val="20"/>
          <w:szCs w:val="20"/>
          <w:lang w:val="es-CR"/>
        </w:rPr>
        <w:t>s</w:t>
      </w:r>
      <w:r w:rsidRPr="009C5D55">
        <w:rPr>
          <w:rFonts w:ascii="Verdana" w:eastAsia="Verdana" w:hAnsi="Verdana" w:cs="Verdana"/>
          <w:sz w:val="20"/>
          <w:szCs w:val="20"/>
          <w:lang w:val="es-CR"/>
        </w:rPr>
        <w:t>al</w:t>
      </w:r>
      <w:r w:rsidRPr="009C5D55">
        <w:rPr>
          <w:rFonts w:ascii="Verdana" w:eastAsia="Verdana" w:hAnsi="Verdana" w:cs="Verdana"/>
          <w:spacing w:val="-4"/>
          <w:sz w:val="20"/>
          <w:szCs w:val="20"/>
          <w:lang w:val="es-CR"/>
        </w:rPr>
        <w:t xml:space="preserve"> </w:t>
      </w:r>
      <w:r w:rsidRPr="009C5D55">
        <w:rPr>
          <w:rFonts w:ascii="Verdana" w:eastAsia="Verdana" w:hAnsi="Verdana" w:cs="Verdana"/>
          <w:spacing w:val="1"/>
          <w:sz w:val="20"/>
          <w:szCs w:val="20"/>
          <w:lang w:val="es-CR"/>
        </w:rPr>
        <w:t>qu</w:t>
      </w:r>
      <w:r w:rsidRPr="009C5D55">
        <w:rPr>
          <w:rFonts w:ascii="Verdana" w:eastAsia="Verdana" w:hAnsi="Verdana" w:cs="Verdana"/>
          <w:sz w:val="20"/>
          <w:szCs w:val="20"/>
          <w:lang w:val="es-CR"/>
        </w:rPr>
        <w:t>e</w:t>
      </w:r>
      <w:r w:rsidRPr="009C5D55">
        <w:rPr>
          <w:rFonts w:ascii="Verdana" w:eastAsia="Verdana" w:hAnsi="Verdana" w:cs="Verdana"/>
          <w:spacing w:val="-1"/>
          <w:sz w:val="20"/>
          <w:szCs w:val="20"/>
          <w:lang w:val="es-CR"/>
        </w:rPr>
        <w:t xml:space="preserve"> </w:t>
      </w:r>
      <w:r w:rsidRPr="009C5D55">
        <w:rPr>
          <w:rFonts w:ascii="Verdana" w:eastAsia="Verdana" w:hAnsi="Verdana" w:cs="Verdana"/>
          <w:sz w:val="20"/>
          <w:szCs w:val="20"/>
          <w:lang w:val="es-CR"/>
        </w:rPr>
        <w:t xml:space="preserve">se </w:t>
      </w:r>
      <w:r w:rsidRPr="009C5D55">
        <w:rPr>
          <w:rFonts w:ascii="Verdana" w:eastAsia="Verdana" w:hAnsi="Verdana" w:cs="Verdana"/>
          <w:spacing w:val="3"/>
          <w:sz w:val="20"/>
          <w:szCs w:val="20"/>
          <w:lang w:val="es-CR"/>
        </w:rPr>
        <w:t>l</w:t>
      </w:r>
      <w:r w:rsidRPr="009C5D55">
        <w:rPr>
          <w:rFonts w:ascii="Verdana" w:eastAsia="Verdana" w:hAnsi="Verdana" w:cs="Verdana"/>
          <w:spacing w:val="-1"/>
          <w:sz w:val="20"/>
          <w:szCs w:val="20"/>
          <w:lang w:val="es-CR"/>
        </w:rPr>
        <w:t>e</w:t>
      </w:r>
      <w:r w:rsidRPr="009C5D55">
        <w:rPr>
          <w:rFonts w:ascii="Verdana" w:eastAsia="Verdana" w:hAnsi="Verdana" w:cs="Verdana"/>
          <w:sz w:val="20"/>
          <w:szCs w:val="20"/>
          <w:lang w:val="es-CR"/>
        </w:rPr>
        <w:t>s c</w:t>
      </w:r>
      <w:r w:rsidRPr="009C5D55">
        <w:rPr>
          <w:rFonts w:ascii="Verdana" w:eastAsia="Verdana" w:hAnsi="Verdana" w:cs="Verdana"/>
          <w:spacing w:val="-2"/>
          <w:sz w:val="20"/>
          <w:szCs w:val="20"/>
          <w:lang w:val="es-CR"/>
        </w:rPr>
        <w:t>o</w:t>
      </w:r>
      <w:r w:rsidRPr="009C5D55">
        <w:rPr>
          <w:rFonts w:ascii="Verdana" w:eastAsia="Verdana" w:hAnsi="Verdana" w:cs="Verdana"/>
          <w:spacing w:val="1"/>
          <w:sz w:val="20"/>
          <w:szCs w:val="20"/>
          <w:lang w:val="es-CR"/>
        </w:rPr>
        <w:t>n</w:t>
      </w:r>
      <w:r w:rsidRPr="009C5D55">
        <w:rPr>
          <w:rFonts w:ascii="Verdana" w:eastAsia="Verdana" w:hAnsi="Verdana" w:cs="Verdana"/>
          <w:sz w:val="20"/>
          <w:szCs w:val="20"/>
          <w:lang w:val="es-CR"/>
        </w:rPr>
        <w:t>c</w:t>
      </w:r>
      <w:r w:rsidRPr="009C5D55">
        <w:rPr>
          <w:rFonts w:ascii="Verdana" w:eastAsia="Verdana" w:hAnsi="Verdana" w:cs="Verdana"/>
          <w:spacing w:val="-2"/>
          <w:sz w:val="20"/>
          <w:szCs w:val="20"/>
          <w:lang w:val="es-CR"/>
        </w:rPr>
        <w:t>e</w:t>
      </w:r>
      <w:r w:rsidRPr="009C5D55">
        <w:rPr>
          <w:rFonts w:ascii="Verdana" w:eastAsia="Verdana" w:hAnsi="Verdana" w:cs="Verdana"/>
          <w:spacing w:val="3"/>
          <w:sz w:val="20"/>
          <w:szCs w:val="20"/>
          <w:lang w:val="es-CR"/>
        </w:rPr>
        <w:t>d</w:t>
      </w:r>
      <w:r w:rsidRPr="009C5D55">
        <w:rPr>
          <w:rFonts w:ascii="Verdana" w:eastAsia="Verdana" w:hAnsi="Verdana" w:cs="Verdana"/>
          <w:spacing w:val="-1"/>
          <w:sz w:val="20"/>
          <w:szCs w:val="20"/>
          <w:lang w:val="es-CR"/>
        </w:rPr>
        <w:t>e</w:t>
      </w:r>
      <w:r w:rsidRPr="009C5D55">
        <w:rPr>
          <w:rFonts w:ascii="Verdana" w:eastAsia="Verdana" w:hAnsi="Verdana" w:cs="Verdana"/>
          <w:sz w:val="20"/>
          <w:szCs w:val="20"/>
          <w:lang w:val="es-CR"/>
        </w:rPr>
        <w:t>,</w:t>
      </w:r>
      <w:r w:rsidRPr="009C5D55">
        <w:rPr>
          <w:rFonts w:ascii="Verdana" w:eastAsia="Verdana" w:hAnsi="Verdana" w:cs="Verdana"/>
          <w:spacing w:val="-3"/>
          <w:sz w:val="20"/>
          <w:szCs w:val="20"/>
          <w:lang w:val="es-CR"/>
        </w:rPr>
        <w:t xml:space="preserve"> </w:t>
      </w:r>
      <w:r w:rsidRPr="009C5D55">
        <w:rPr>
          <w:rFonts w:ascii="Verdana" w:eastAsia="Verdana" w:hAnsi="Verdana" w:cs="Verdana"/>
          <w:spacing w:val="1"/>
          <w:sz w:val="20"/>
          <w:szCs w:val="20"/>
          <w:lang w:val="es-CR"/>
        </w:rPr>
        <w:t>e</w:t>
      </w:r>
      <w:r w:rsidRPr="009C5D55">
        <w:rPr>
          <w:rFonts w:ascii="Verdana" w:eastAsia="Verdana" w:hAnsi="Verdana" w:cs="Verdana"/>
          <w:sz w:val="20"/>
          <w:szCs w:val="20"/>
          <w:lang w:val="es-CR"/>
        </w:rPr>
        <w:t>sto</w:t>
      </w:r>
      <w:r w:rsidRPr="009C5D55">
        <w:rPr>
          <w:rFonts w:ascii="Verdana" w:eastAsia="Verdana" w:hAnsi="Verdana" w:cs="Verdana"/>
          <w:spacing w:val="-1"/>
          <w:sz w:val="20"/>
          <w:szCs w:val="20"/>
          <w:lang w:val="es-CR"/>
        </w:rPr>
        <w:t xml:space="preserve"> </w:t>
      </w:r>
      <w:r w:rsidRPr="009C5D55">
        <w:rPr>
          <w:rFonts w:ascii="Verdana" w:eastAsia="Verdana" w:hAnsi="Verdana" w:cs="Verdana"/>
          <w:spacing w:val="1"/>
          <w:sz w:val="20"/>
          <w:szCs w:val="20"/>
          <w:lang w:val="es-CR"/>
        </w:rPr>
        <w:t>e</w:t>
      </w:r>
      <w:r w:rsidRPr="009C5D55">
        <w:rPr>
          <w:rFonts w:ascii="Verdana" w:eastAsia="Verdana" w:hAnsi="Verdana" w:cs="Verdana"/>
          <w:sz w:val="20"/>
          <w:szCs w:val="20"/>
          <w:lang w:val="es-CR"/>
        </w:rPr>
        <w:t xml:space="preserve">s, </w:t>
      </w:r>
      <w:r w:rsidRPr="009C5D55">
        <w:rPr>
          <w:rFonts w:ascii="Verdana" w:eastAsia="Verdana" w:hAnsi="Verdana" w:cs="Verdana"/>
          <w:spacing w:val="-1"/>
          <w:sz w:val="20"/>
          <w:szCs w:val="20"/>
          <w:lang w:val="es-CR"/>
        </w:rPr>
        <w:t>e</w:t>
      </w:r>
      <w:r w:rsidRPr="009C5D55">
        <w:rPr>
          <w:rFonts w:ascii="Verdana" w:eastAsia="Verdana" w:hAnsi="Verdana" w:cs="Verdana"/>
          <w:sz w:val="20"/>
          <w:szCs w:val="20"/>
          <w:lang w:val="es-CR"/>
        </w:rPr>
        <w:t>n</w:t>
      </w:r>
      <w:r w:rsidRPr="009C5D55">
        <w:rPr>
          <w:rFonts w:ascii="Verdana" w:eastAsia="Verdana" w:hAnsi="Verdana" w:cs="Verdana"/>
          <w:spacing w:val="3"/>
          <w:sz w:val="20"/>
          <w:szCs w:val="20"/>
          <w:lang w:val="es-CR"/>
        </w:rPr>
        <w:t xml:space="preserve"> </w:t>
      </w:r>
      <w:r w:rsidRPr="009C5D55">
        <w:rPr>
          <w:rFonts w:ascii="Verdana" w:eastAsia="Verdana" w:hAnsi="Verdana" w:cs="Verdana"/>
          <w:spacing w:val="-1"/>
          <w:sz w:val="20"/>
          <w:szCs w:val="20"/>
          <w:lang w:val="es-CR"/>
        </w:rPr>
        <w:t>e</w:t>
      </w:r>
      <w:r w:rsidRPr="009C5D55">
        <w:rPr>
          <w:rFonts w:ascii="Verdana" w:eastAsia="Verdana" w:hAnsi="Verdana" w:cs="Verdana"/>
          <w:sz w:val="20"/>
          <w:szCs w:val="20"/>
          <w:lang w:val="es-CR"/>
        </w:rPr>
        <w:t>l</w:t>
      </w:r>
      <w:r w:rsidRPr="009C5D55">
        <w:rPr>
          <w:rFonts w:ascii="Verdana" w:eastAsia="Verdana" w:hAnsi="Verdana" w:cs="Verdana"/>
          <w:spacing w:val="4"/>
          <w:sz w:val="20"/>
          <w:szCs w:val="20"/>
          <w:lang w:val="es-CR"/>
        </w:rPr>
        <w:t xml:space="preserve"> </w:t>
      </w:r>
      <w:r w:rsidRPr="009C5D55">
        <w:rPr>
          <w:rFonts w:ascii="Verdana" w:eastAsia="Verdana" w:hAnsi="Verdana" w:cs="Verdana"/>
          <w:spacing w:val="-1"/>
          <w:sz w:val="20"/>
          <w:szCs w:val="20"/>
          <w:lang w:val="es-CR"/>
        </w:rPr>
        <w:t>e</w:t>
      </w:r>
      <w:r w:rsidRPr="009C5D55">
        <w:rPr>
          <w:rFonts w:ascii="Verdana" w:eastAsia="Verdana" w:hAnsi="Verdana" w:cs="Verdana"/>
          <w:sz w:val="20"/>
          <w:szCs w:val="20"/>
          <w:lang w:val="es-CR"/>
        </w:rPr>
        <w:t>s</w:t>
      </w:r>
      <w:r w:rsidRPr="009C5D55">
        <w:rPr>
          <w:rFonts w:ascii="Verdana" w:eastAsia="Verdana" w:hAnsi="Verdana" w:cs="Verdana"/>
          <w:spacing w:val="1"/>
          <w:sz w:val="20"/>
          <w:szCs w:val="20"/>
          <w:lang w:val="es-CR"/>
        </w:rPr>
        <w:t>c</w:t>
      </w:r>
      <w:r w:rsidRPr="009C5D55">
        <w:rPr>
          <w:rFonts w:ascii="Verdana" w:eastAsia="Verdana" w:hAnsi="Verdana" w:cs="Verdana"/>
          <w:spacing w:val="-1"/>
          <w:sz w:val="20"/>
          <w:szCs w:val="20"/>
          <w:lang w:val="es-CR"/>
        </w:rPr>
        <w:t>r</w:t>
      </w:r>
      <w:r w:rsidRPr="009C5D55">
        <w:rPr>
          <w:rFonts w:ascii="Verdana" w:eastAsia="Verdana" w:hAnsi="Verdana" w:cs="Verdana"/>
          <w:spacing w:val="3"/>
          <w:sz w:val="20"/>
          <w:szCs w:val="20"/>
          <w:lang w:val="es-CR"/>
        </w:rPr>
        <w:t>i</w:t>
      </w:r>
      <w:r w:rsidRPr="009C5D55">
        <w:rPr>
          <w:rFonts w:ascii="Verdana" w:eastAsia="Verdana" w:hAnsi="Verdana" w:cs="Verdana"/>
          <w:spacing w:val="1"/>
          <w:sz w:val="20"/>
          <w:szCs w:val="20"/>
          <w:lang w:val="es-CR"/>
        </w:rPr>
        <w:t>t</w:t>
      </w:r>
      <w:r w:rsidRPr="009C5D55">
        <w:rPr>
          <w:rFonts w:ascii="Verdana" w:eastAsia="Verdana" w:hAnsi="Verdana" w:cs="Verdana"/>
          <w:sz w:val="20"/>
          <w:szCs w:val="20"/>
          <w:lang w:val="es-CR"/>
        </w:rPr>
        <w:t>o</w:t>
      </w:r>
      <w:r w:rsidRPr="009C5D55">
        <w:rPr>
          <w:rFonts w:ascii="Verdana" w:eastAsia="Verdana" w:hAnsi="Verdana" w:cs="Verdana"/>
          <w:spacing w:val="-4"/>
          <w:sz w:val="20"/>
          <w:szCs w:val="20"/>
          <w:lang w:val="es-CR"/>
        </w:rPr>
        <w:t xml:space="preserve"> </w:t>
      </w:r>
      <w:r w:rsidRPr="009C5D55">
        <w:rPr>
          <w:rFonts w:ascii="Verdana" w:eastAsia="Verdana" w:hAnsi="Verdana" w:cs="Verdana"/>
          <w:spacing w:val="1"/>
          <w:sz w:val="20"/>
          <w:szCs w:val="20"/>
          <w:lang w:val="es-CR"/>
        </w:rPr>
        <w:t>d</w:t>
      </w:r>
      <w:r w:rsidRPr="009C5D55">
        <w:rPr>
          <w:rFonts w:ascii="Verdana" w:eastAsia="Verdana" w:hAnsi="Verdana" w:cs="Verdana"/>
          <w:sz w:val="20"/>
          <w:szCs w:val="20"/>
          <w:lang w:val="es-CR"/>
        </w:rPr>
        <w:t>e</w:t>
      </w:r>
      <w:r w:rsidRPr="009C5D55">
        <w:rPr>
          <w:rFonts w:ascii="Verdana" w:eastAsia="Verdana" w:hAnsi="Verdana" w:cs="Verdana"/>
          <w:spacing w:val="1"/>
          <w:sz w:val="20"/>
          <w:szCs w:val="20"/>
          <w:lang w:val="es-CR"/>
        </w:rPr>
        <w:t xml:space="preserve"> </w:t>
      </w:r>
      <w:r w:rsidRPr="009C5D55">
        <w:rPr>
          <w:rFonts w:ascii="Verdana" w:eastAsia="Verdana" w:hAnsi="Verdana" w:cs="Verdana"/>
          <w:sz w:val="20"/>
          <w:szCs w:val="20"/>
          <w:lang w:val="es-CR"/>
        </w:rPr>
        <w:t>s</w:t>
      </w:r>
      <w:r w:rsidRPr="009C5D55">
        <w:rPr>
          <w:rFonts w:ascii="Verdana" w:eastAsia="Verdana" w:hAnsi="Verdana" w:cs="Verdana"/>
          <w:spacing w:val="-2"/>
          <w:sz w:val="20"/>
          <w:szCs w:val="20"/>
          <w:lang w:val="es-CR"/>
        </w:rPr>
        <w:t>o</w:t>
      </w:r>
      <w:r w:rsidRPr="009C5D55">
        <w:rPr>
          <w:rFonts w:ascii="Verdana" w:eastAsia="Verdana" w:hAnsi="Verdana" w:cs="Verdana"/>
          <w:spacing w:val="3"/>
          <w:sz w:val="20"/>
          <w:szCs w:val="20"/>
          <w:lang w:val="es-CR"/>
        </w:rPr>
        <w:t>li</w:t>
      </w:r>
      <w:r w:rsidRPr="009C5D55">
        <w:rPr>
          <w:rFonts w:ascii="Verdana" w:eastAsia="Verdana" w:hAnsi="Verdana" w:cs="Verdana"/>
          <w:spacing w:val="-3"/>
          <w:sz w:val="20"/>
          <w:szCs w:val="20"/>
          <w:lang w:val="es-CR"/>
        </w:rPr>
        <w:t>c</w:t>
      </w:r>
      <w:r w:rsidRPr="009C5D55">
        <w:rPr>
          <w:rFonts w:ascii="Verdana" w:eastAsia="Verdana" w:hAnsi="Verdana" w:cs="Verdana"/>
          <w:spacing w:val="3"/>
          <w:sz w:val="20"/>
          <w:szCs w:val="20"/>
          <w:lang w:val="es-CR"/>
        </w:rPr>
        <w:t>i</w:t>
      </w:r>
      <w:r w:rsidRPr="009C5D55">
        <w:rPr>
          <w:rFonts w:ascii="Verdana" w:eastAsia="Verdana" w:hAnsi="Verdana" w:cs="Verdana"/>
          <w:spacing w:val="1"/>
          <w:sz w:val="20"/>
          <w:szCs w:val="20"/>
          <w:lang w:val="es-CR"/>
        </w:rPr>
        <w:t>tud</w:t>
      </w:r>
      <w:r w:rsidRPr="009C5D55">
        <w:rPr>
          <w:rFonts w:ascii="Verdana" w:eastAsia="Verdana" w:hAnsi="Verdana" w:cs="Verdana"/>
          <w:spacing w:val="-1"/>
          <w:sz w:val="20"/>
          <w:szCs w:val="20"/>
          <w:lang w:val="es-CR"/>
        </w:rPr>
        <w:t>e</w:t>
      </w:r>
      <w:r w:rsidRPr="009C5D55">
        <w:rPr>
          <w:rFonts w:ascii="Verdana" w:eastAsia="Verdana" w:hAnsi="Verdana" w:cs="Verdana"/>
          <w:sz w:val="20"/>
          <w:szCs w:val="20"/>
          <w:lang w:val="es-CR"/>
        </w:rPr>
        <w:t>s</w:t>
      </w:r>
      <w:r w:rsidRPr="009C5D55">
        <w:rPr>
          <w:rFonts w:ascii="Verdana" w:eastAsia="Verdana" w:hAnsi="Verdana" w:cs="Verdana"/>
          <w:spacing w:val="-7"/>
          <w:sz w:val="20"/>
          <w:szCs w:val="20"/>
          <w:lang w:val="es-CR"/>
        </w:rPr>
        <w:t xml:space="preserve"> </w:t>
      </w:r>
      <w:r w:rsidRPr="009C5D55">
        <w:rPr>
          <w:rFonts w:ascii="Verdana" w:eastAsia="Verdana" w:hAnsi="Verdana" w:cs="Verdana"/>
          <w:sz w:val="20"/>
          <w:szCs w:val="20"/>
          <w:lang w:val="es-CR"/>
        </w:rPr>
        <w:t>y</w:t>
      </w:r>
      <w:r w:rsidRPr="009C5D55">
        <w:rPr>
          <w:rFonts w:ascii="Verdana" w:eastAsia="Verdana" w:hAnsi="Verdana" w:cs="Verdana"/>
          <w:spacing w:val="3"/>
          <w:sz w:val="20"/>
          <w:szCs w:val="20"/>
          <w:lang w:val="es-CR"/>
        </w:rPr>
        <w:t xml:space="preserve"> </w:t>
      </w:r>
      <w:r w:rsidRPr="009C5D55">
        <w:rPr>
          <w:rFonts w:ascii="Verdana" w:eastAsia="Verdana" w:hAnsi="Verdana" w:cs="Verdana"/>
          <w:sz w:val="20"/>
          <w:szCs w:val="20"/>
          <w:lang w:val="es-CR"/>
        </w:rPr>
        <w:t>a</w:t>
      </w:r>
      <w:r w:rsidRPr="009C5D55">
        <w:rPr>
          <w:rFonts w:ascii="Verdana" w:eastAsia="Verdana" w:hAnsi="Verdana" w:cs="Verdana"/>
          <w:spacing w:val="-1"/>
          <w:sz w:val="20"/>
          <w:szCs w:val="20"/>
          <w:lang w:val="es-CR"/>
        </w:rPr>
        <w:t>r</w:t>
      </w:r>
      <w:r w:rsidRPr="009C5D55">
        <w:rPr>
          <w:rFonts w:ascii="Verdana" w:eastAsia="Verdana" w:hAnsi="Verdana" w:cs="Verdana"/>
          <w:spacing w:val="1"/>
          <w:sz w:val="20"/>
          <w:szCs w:val="20"/>
          <w:lang w:val="es-CR"/>
        </w:rPr>
        <w:t>gu</w:t>
      </w:r>
      <w:r w:rsidRPr="009C5D55">
        <w:rPr>
          <w:rFonts w:ascii="Verdana" w:eastAsia="Verdana" w:hAnsi="Verdana" w:cs="Verdana"/>
          <w:sz w:val="20"/>
          <w:szCs w:val="20"/>
          <w:lang w:val="es-CR"/>
        </w:rPr>
        <w:t>men</w:t>
      </w:r>
      <w:r w:rsidRPr="009C5D55">
        <w:rPr>
          <w:rFonts w:ascii="Verdana" w:eastAsia="Verdana" w:hAnsi="Verdana" w:cs="Verdana"/>
          <w:spacing w:val="1"/>
          <w:sz w:val="20"/>
          <w:szCs w:val="20"/>
          <w:lang w:val="es-CR"/>
        </w:rPr>
        <w:t>t</w:t>
      </w:r>
      <w:r w:rsidRPr="009C5D55">
        <w:rPr>
          <w:rFonts w:ascii="Verdana" w:eastAsia="Verdana" w:hAnsi="Verdana" w:cs="Verdana"/>
          <w:spacing w:val="-1"/>
          <w:sz w:val="20"/>
          <w:szCs w:val="20"/>
          <w:lang w:val="es-CR"/>
        </w:rPr>
        <w:t>o</w:t>
      </w:r>
      <w:r w:rsidRPr="009C5D55">
        <w:rPr>
          <w:rFonts w:ascii="Verdana" w:eastAsia="Verdana" w:hAnsi="Verdana" w:cs="Verdana"/>
          <w:sz w:val="20"/>
          <w:szCs w:val="20"/>
          <w:lang w:val="es-CR"/>
        </w:rPr>
        <w:t>s,</w:t>
      </w:r>
      <w:r w:rsidRPr="009C5D55">
        <w:rPr>
          <w:rFonts w:ascii="Verdana" w:eastAsia="Verdana" w:hAnsi="Verdana" w:cs="Verdana"/>
          <w:spacing w:val="-10"/>
          <w:sz w:val="20"/>
          <w:szCs w:val="20"/>
          <w:lang w:val="es-CR"/>
        </w:rPr>
        <w:t xml:space="preserve"> </w:t>
      </w:r>
      <w:r w:rsidRPr="009C5D55">
        <w:rPr>
          <w:rFonts w:ascii="Verdana" w:eastAsia="Verdana" w:hAnsi="Verdana" w:cs="Verdana"/>
          <w:sz w:val="20"/>
          <w:szCs w:val="20"/>
          <w:lang w:val="es-CR"/>
        </w:rPr>
        <w:t>s</w:t>
      </w:r>
      <w:r w:rsidRPr="009C5D55">
        <w:rPr>
          <w:rFonts w:ascii="Verdana" w:eastAsia="Verdana" w:hAnsi="Verdana" w:cs="Verdana"/>
          <w:spacing w:val="2"/>
          <w:sz w:val="20"/>
          <w:szCs w:val="20"/>
          <w:lang w:val="es-CR"/>
        </w:rPr>
        <w:t>i</w:t>
      </w:r>
      <w:r w:rsidRPr="009C5D55">
        <w:rPr>
          <w:rFonts w:ascii="Verdana" w:eastAsia="Verdana" w:hAnsi="Verdana" w:cs="Verdana"/>
          <w:sz w:val="20"/>
          <w:szCs w:val="20"/>
          <w:lang w:val="es-CR"/>
        </w:rPr>
        <w:t xml:space="preserve">n </w:t>
      </w:r>
      <w:r w:rsidRPr="009C5D55">
        <w:rPr>
          <w:rFonts w:ascii="Verdana" w:eastAsia="Verdana" w:hAnsi="Verdana" w:cs="Verdana"/>
          <w:spacing w:val="1"/>
          <w:sz w:val="20"/>
          <w:szCs w:val="20"/>
          <w:lang w:val="es-CR"/>
        </w:rPr>
        <w:t>p</w:t>
      </w:r>
      <w:r w:rsidRPr="009C5D55">
        <w:rPr>
          <w:rFonts w:ascii="Verdana" w:eastAsia="Verdana" w:hAnsi="Verdana" w:cs="Verdana"/>
          <w:spacing w:val="-1"/>
          <w:sz w:val="20"/>
          <w:szCs w:val="20"/>
          <w:lang w:val="es-CR"/>
        </w:rPr>
        <w:t>er</w:t>
      </w:r>
      <w:r w:rsidRPr="009C5D55">
        <w:rPr>
          <w:rFonts w:ascii="Verdana" w:eastAsia="Verdana" w:hAnsi="Verdana" w:cs="Verdana"/>
          <w:spacing w:val="1"/>
          <w:sz w:val="20"/>
          <w:szCs w:val="20"/>
          <w:lang w:val="es-CR"/>
        </w:rPr>
        <w:t>ju</w:t>
      </w:r>
      <w:r w:rsidRPr="009C5D55">
        <w:rPr>
          <w:rFonts w:ascii="Verdana" w:eastAsia="Verdana" w:hAnsi="Verdana" w:cs="Verdana"/>
          <w:spacing w:val="3"/>
          <w:sz w:val="20"/>
          <w:szCs w:val="20"/>
          <w:lang w:val="es-CR"/>
        </w:rPr>
        <w:t>i</w:t>
      </w:r>
      <w:r w:rsidRPr="009C5D55">
        <w:rPr>
          <w:rFonts w:ascii="Verdana" w:eastAsia="Verdana" w:hAnsi="Verdana" w:cs="Verdana"/>
          <w:sz w:val="20"/>
          <w:szCs w:val="20"/>
          <w:lang w:val="es-CR"/>
        </w:rPr>
        <w:t>c</w:t>
      </w:r>
      <w:r w:rsidRPr="009C5D55">
        <w:rPr>
          <w:rFonts w:ascii="Verdana" w:eastAsia="Verdana" w:hAnsi="Verdana" w:cs="Verdana"/>
          <w:spacing w:val="2"/>
          <w:sz w:val="20"/>
          <w:szCs w:val="20"/>
          <w:lang w:val="es-CR"/>
        </w:rPr>
        <w:t>i</w:t>
      </w:r>
      <w:r w:rsidRPr="009C5D55">
        <w:rPr>
          <w:rFonts w:ascii="Verdana" w:eastAsia="Verdana" w:hAnsi="Verdana" w:cs="Verdana"/>
          <w:sz w:val="20"/>
          <w:szCs w:val="20"/>
          <w:lang w:val="es-CR"/>
        </w:rPr>
        <w:t>o</w:t>
      </w:r>
      <w:r w:rsidRPr="009C5D55">
        <w:rPr>
          <w:rFonts w:ascii="Verdana" w:eastAsia="Verdana" w:hAnsi="Verdana" w:cs="Verdana"/>
          <w:spacing w:val="1"/>
          <w:sz w:val="20"/>
          <w:szCs w:val="20"/>
          <w:lang w:val="es-CR"/>
        </w:rPr>
        <w:t xml:space="preserve"> d</w:t>
      </w:r>
      <w:r w:rsidRPr="009C5D55">
        <w:rPr>
          <w:rFonts w:ascii="Verdana" w:eastAsia="Verdana" w:hAnsi="Verdana" w:cs="Verdana"/>
          <w:sz w:val="20"/>
          <w:szCs w:val="20"/>
          <w:lang w:val="es-CR"/>
        </w:rPr>
        <w:t>e</w:t>
      </w:r>
      <w:r w:rsidRPr="009C5D55">
        <w:rPr>
          <w:rFonts w:ascii="Verdana" w:eastAsia="Verdana" w:hAnsi="Verdana" w:cs="Verdana"/>
          <w:spacing w:val="7"/>
          <w:sz w:val="20"/>
          <w:szCs w:val="20"/>
          <w:lang w:val="es-CR"/>
        </w:rPr>
        <w:t xml:space="preserve"> </w:t>
      </w:r>
      <w:r w:rsidRPr="009C5D55">
        <w:rPr>
          <w:rFonts w:ascii="Verdana" w:eastAsia="Verdana" w:hAnsi="Verdana" w:cs="Verdana"/>
          <w:spacing w:val="1"/>
          <w:sz w:val="20"/>
          <w:szCs w:val="20"/>
          <w:lang w:val="es-CR"/>
        </w:rPr>
        <w:t>qu</w:t>
      </w:r>
      <w:r w:rsidRPr="009C5D55">
        <w:rPr>
          <w:rFonts w:ascii="Verdana" w:eastAsia="Verdana" w:hAnsi="Verdana" w:cs="Verdana"/>
          <w:sz w:val="20"/>
          <w:szCs w:val="20"/>
          <w:lang w:val="es-CR"/>
        </w:rPr>
        <w:t>e</w:t>
      </w:r>
      <w:r w:rsidRPr="009C5D55">
        <w:rPr>
          <w:rFonts w:ascii="Verdana" w:eastAsia="Verdana" w:hAnsi="Verdana" w:cs="Verdana"/>
          <w:spacing w:val="6"/>
          <w:sz w:val="20"/>
          <w:szCs w:val="20"/>
          <w:lang w:val="es-CR"/>
        </w:rPr>
        <w:t xml:space="preserve"> </w:t>
      </w:r>
      <w:r w:rsidRPr="009C5D55">
        <w:rPr>
          <w:rFonts w:ascii="Verdana" w:eastAsia="Verdana" w:hAnsi="Verdana" w:cs="Verdana"/>
          <w:spacing w:val="1"/>
          <w:sz w:val="20"/>
          <w:szCs w:val="20"/>
          <w:lang w:val="es-CR"/>
        </w:rPr>
        <w:t>t</w:t>
      </w:r>
      <w:r w:rsidRPr="009C5D55">
        <w:rPr>
          <w:rFonts w:ascii="Verdana" w:eastAsia="Verdana" w:hAnsi="Verdana" w:cs="Verdana"/>
          <w:sz w:val="20"/>
          <w:szCs w:val="20"/>
          <w:lang w:val="es-CR"/>
        </w:rPr>
        <w:t>a</w:t>
      </w:r>
      <w:r w:rsidRPr="009C5D55">
        <w:rPr>
          <w:rFonts w:ascii="Verdana" w:eastAsia="Verdana" w:hAnsi="Verdana" w:cs="Verdana"/>
          <w:spacing w:val="3"/>
          <w:sz w:val="20"/>
          <w:szCs w:val="20"/>
          <w:lang w:val="es-CR"/>
        </w:rPr>
        <w:t>l</w:t>
      </w:r>
      <w:r w:rsidRPr="009C5D55">
        <w:rPr>
          <w:rFonts w:ascii="Verdana" w:eastAsia="Verdana" w:hAnsi="Verdana" w:cs="Verdana"/>
          <w:spacing w:val="-1"/>
          <w:sz w:val="20"/>
          <w:szCs w:val="20"/>
          <w:lang w:val="es-CR"/>
        </w:rPr>
        <w:t>e</w:t>
      </w:r>
      <w:r w:rsidRPr="009C5D55">
        <w:rPr>
          <w:rFonts w:ascii="Verdana" w:eastAsia="Verdana" w:hAnsi="Verdana" w:cs="Verdana"/>
          <w:sz w:val="20"/>
          <w:szCs w:val="20"/>
          <w:lang w:val="es-CR"/>
        </w:rPr>
        <w:t>s</w:t>
      </w:r>
      <w:r w:rsidRPr="009C5D55">
        <w:rPr>
          <w:rFonts w:ascii="Verdana" w:eastAsia="Verdana" w:hAnsi="Verdana" w:cs="Verdana"/>
          <w:spacing w:val="5"/>
          <w:sz w:val="20"/>
          <w:szCs w:val="20"/>
          <w:lang w:val="es-CR"/>
        </w:rPr>
        <w:t xml:space="preserve"> </w:t>
      </w:r>
      <w:r w:rsidRPr="009C5D55">
        <w:rPr>
          <w:rFonts w:ascii="Verdana" w:eastAsia="Verdana" w:hAnsi="Verdana" w:cs="Verdana"/>
          <w:spacing w:val="3"/>
          <w:sz w:val="20"/>
          <w:szCs w:val="20"/>
          <w:lang w:val="es-CR"/>
        </w:rPr>
        <w:t>p</w:t>
      </w:r>
      <w:r w:rsidRPr="009C5D55">
        <w:rPr>
          <w:rFonts w:ascii="Verdana" w:eastAsia="Verdana" w:hAnsi="Verdana" w:cs="Verdana"/>
          <w:spacing w:val="-1"/>
          <w:sz w:val="20"/>
          <w:szCs w:val="20"/>
          <w:lang w:val="es-CR"/>
        </w:rPr>
        <w:t>re</w:t>
      </w:r>
      <w:r w:rsidRPr="009C5D55">
        <w:rPr>
          <w:rFonts w:ascii="Verdana" w:eastAsia="Verdana" w:hAnsi="Verdana" w:cs="Verdana"/>
          <w:spacing w:val="3"/>
          <w:sz w:val="20"/>
          <w:szCs w:val="20"/>
          <w:lang w:val="es-CR"/>
        </w:rPr>
        <w:t>t</w:t>
      </w:r>
      <w:r w:rsidRPr="009C5D55">
        <w:rPr>
          <w:rFonts w:ascii="Verdana" w:eastAsia="Verdana" w:hAnsi="Verdana" w:cs="Verdana"/>
          <w:spacing w:val="-1"/>
          <w:sz w:val="20"/>
          <w:szCs w:val="20"/>
          <w:lang w:val="es-CR"/>
        </w:rPr>
        <w:t>e</w:t>
      </w:r>
      <w:r w:rsidRPr="009C5D55">
        <w:rPr>
          <w:rFonts w:ascii="Verdana" w:eastAsia="Verdana" w:hAnsi="Verdana" w:cs="Verdana"/>
          <w:spacing w:val="1"/>
          <w:sz w:val="20"/>
          <w:szCs w:val="20"/>
          <w:lang w:val="es-CR"/>
        </w:rPr>
        <w:t>n</w:t>
      </w:r>
      <w:r w:rsidRPr="009C5D55">
        <w:rPr>
          <w:rFonts w:ascii="Verdana" w:eastAsia="Verdana" w:hAnsi="Verdana" w:cs="Verdana"/>
          <w:sz w:val="20"/>
          <w:szCs w:val="20"/>
          <w:lang w:val="es-CR"/>
        </w:rPr>
        <w:t>s</w:t>
      </w:r>
      <w:r w:rsidRPr="009C5D55">
        <w:rPr>
          <w:rFonts w:ascii="Verdana" w:eastAsia="Verdana" w:hAnsi="Verdana" w:cs="Verdana"/>
          <w:spacing w:val="2"/>
          <w:sz w:val="20"/>
          <w:szCs w:val="20"/>
          <w:lang w:val="es-CR"/>
        </w:rPr>
        <w:t>i</w:t>
      </w:r>
      <w:r w:rsidRPr="009C5D55">
        <w:rPr>
          <w:rFonts w:ascii="Verdana" w:eastAsia="Verdana" w:hAnsi="Verdana" w:cs="Verdana"/>
          <w:spacing w:val="-1"/>
          <w:sz w:val="20"/>
          <w:szCs w:val="20"/>
          <w:lang w:val="es-CR"/>
        </w:rPr>
        <w:t>o</w:t>
      </w:r>
      <w:r w:rsidRPr="009C5D55">
        <w:rPr>
          <w:rFonts w:ascii="Verdana" w:eastAsia="Verdana" w:hAnsi="Verdana" w:cs="Verdana"/>
          <w:spacing w:val="1"/>
          <w:sz w:val="20"/>
          <w:szCs w:val="20"/>
          <w:lang w:val="es-CR"/>
        </w:rPr>
        <w:t>n</w:t>
      </w:r>
      <w:r w:rsidRPr="009C5D55">
        <w:rPr>
          <w:rFonts w:ascii="Verdana" w:eastAsia="Verdana" w:hAnsi="Verdana" w:cs="Verdana"/>
          <w:spacing w:val="-1"/>
          <w:sz w:val="20"/>
          <w:szCs w:val="20"/>
          <w:lang w:val="es-CR"/>
        </w:rPr>
        <w:t>e</w:t>
      </w:r>
      <w:r w:rsidRPr="009C5D55">
        <w:rPr>
          <w:rFonts w:ascii="Verdana" w:eastAsia="Verdana" w:hAnsi="Verdana" w:cs="Verdana"/>
          <w:sz w:val="20"/>
          <w:szCs w:val="20"/>
          <w:lang w:val="es-CR"/>
        </w:rPr>
        <w:t xml:space="preserve">s </w:t>
      </w:r>
      <w:r w:rsidRPr="009C5D55">
        <w:rPr>
          <w:rFonts w:ascii="Verdana" w:eastAsia="Verdana" w:hAnsi="Verdana" w:cs="Verdana"/>
          <w:spacing w:val="2"/>
          <w:sz w:val="20"/>
          <w:szCs w:val="20"/>
          <w:lang w:val="es-CR"/>
        </w:rPr>
        <w:t>s</w:t>
      </w:r>
      <w:r w:rsidRPr="009C5D55">
        <w:rPr>
          <w:rFonts w:ascii="Verdana" w:eastAsia="Verdana" w:hAnsi="Verdana" w:cs="Verdana"/>
          <w:sz w:val="20"/>
          <w:szCs w:val="20"/>
          <w:lang w:val="es-CR"/>
        </w:rPr>
        <w:t>e</w:t>
      </w:r>
      <w:r w:rsidRPr="009C5D55">
        <w:rPr>
          <w:rFonts w:ascii="Verdana" w:eastAsia="Verdana" w:hAnsi="Verdana" w:cs="Verdana"/>
          <w:spacing w:val="8"/>
          <w:sz w:val="20"/>
          <w:szCs w:val="20"/>
          <w:lang w:val="es-CR"/>
        </w:rPr>
        <w:t xml:space="preserve"> </w:t>
      </w:r>
      <w:r w:rsidRPr="009C5D55">
        <w:rPr>
          <w:rFonts w:ascii="Verdana" w:eastAsia="Verdana" w:hAnsi="Verdana" w:cs="Verdana"/>
          <w:sz w:val="20"/>
          <w:szCs w:val="20"/>
          <w:lang w:val="es-CR"/>
        </w:rPr>
        <w:t>act</w:t>
      </w:r>
      <w:r w:rsidRPr="009C5D55">
        <w:rPr>
          <w:rFonts w:ascii="Verdana" w:eastAsia="Verdana" w:hAnsi="Verdana" w:cs="Verdana"/>
          <w:spacing w:val="2"/>
          <w:sz w:val="20"/>
          <w:szCs w:val="20"/>
          <w:lang w:val="es-CR"/>
        </w:rPr>
        <w:t>u</w:t>
      </w:r>
      <w:r w:rsidRPr="009C5D55">
        <w:rPr>
          <w:rFonts w:ascii="Verdana" w:eastAsia="Verdana" w:hAnsi="Verdana" w:cs="Verdana"/>
          <w:sz w:val="20"/>
          <w:szCs w:val="20"/>
          <w:lang w:val="es-CR"/>
        </w:rPr>
        <w:t>a</w:t>
      </w:r>
      <w:r w:rsidRPr="009C5D55">
        <w:rPr>
          <w:rFonts w:ascii="Verdana" w:eastAsia="Verdana" w:hAnsi="Verdana" w:cs="Verdana"/>
          <w:spacing w:val="3"/>
          <w:sz w:val="20"/>
          <w:szCs w:val="20"/>
          <w:lang w:val="es-CR"/>
        </w:rPr>
        <w:t>li</w:t>
      </w:r>
      <w:r w:rsidRPr="009C5D55">
        <w:rPr>
          <w:rFonts w:ascii="Verdana" w:eastAsia="Verdana" w:hAnsi="Verdana" w:cs="Verdana"/>
          <w:sz w:val="20"/>
          <w:szCs w:val="20"/>
          <w:lang w:val="es-CR"/>
        </w:rPr>
        <w:t>c</w:t>
      </w:r>
      <w:r w:rsidRPr="009C5D55">
        <w:rPr>
          <w:rFonts w:ascii="Verdana" w:eastAsia="Verdana" w:hAnsi="Verdana" w:cs="Verdana"/>
          <w:spacing w:val="-2"/>
          <w:sz w:val="20"/>
          <w:szCs w:val="20"/>
          <w:lang w:val="es-CR"/>
        </w:rPr>
        <w:t>e</w:t>
      </w:r>
      <w:r w:rsidRPr="009C5D55">
        <w:rPr>
          <w:rFonts w:ascii="Verdana" w:eastAsia="Verdana" w:hAnsi="Verdana" w:cs="Verdana"/>
          <w:sz w:val="20"/>
          <w:szCs w:val="20"/>
          <w:lang w:val="es-CR"/>
        </w:rPr>
        <w:t>n</w:t>
      </w:r>
      <w:r w:rsidRPr="009C5D55">
        <w:rPr>
          <w:rFonts w:ascii="Verdana" w:eastAsia="Verdana" w:hAnsi="Verdana" w:cs="Verdana"/>
          <w:spacing w:val="2"/>
          <w:sz w:val="20"/>
          <w:szCs w:val="20"/>
          <w:lang w:val="es-CR"/>
        </w:rPr>
        <w:t xml:space="preserve"> </w:t>
      </w:r>
      <w:r w:rsidRPr="009C5D55">
        <w:rPr>
          <w:rFonts w:ascii="Verdana" w:eastAsia="Verdana" w:hAnsi="Verdana" w:cs="Verdana"/>
          <w:spacing w:val="-1"/>
          <w:sz w:val="20"/>
          <w:szCs w:val="20"/>
          <w:lang w:val="es-CR"/>
        </w:rPr>
        <w:t>e</w:t>
      </w:r>
      <w:r w:rsidRPr="009C5D55">
        <w:rPr>
          <w:rFonts w:ascii="Verdana" w:eastAsia="Verdana" w:hAnsi="Verdana" w:cs="Verdana"/>
          <w:sz w:val="20"/>
          <w:szCs w:val="20"/>
          <w:lang w:val="es-CR"/>
        </w:rPr>
        <w:t>n</w:t>
      </w:r>
      <w:r w:rsidRPr="009C5D55">
        <w:rPr>
          <w:rFonts w:ascii="Verdana" w:eastAsia="Verdana" w:hAnsi="Verdana" w:cs="Verdana"/>
          <w:spacing w:val="9"/>
          <w:sz w:val="20"/>
          <w:szCs w:val="20"/>
          <w:lang w:val="es-CR"/>
        </w:rPr>
        <w:t xml:space="preserve"> </w:t>
      </w:r>
      <w:r w:rsidRPr="009C5D55">
        <w:rPr>
          <w:rFonts w:ascii="Verdana" w:eastAsia="Verdana" w:hAnsi="Verdana" w:cs="Verdana"/>
          <w:spacing w:val="1"/>
          <w:sz w:val="20"/>
          <w:szCs w:val="20"/>
          <w:lang w:val="es-CR"/>
        </w:rPr>
        <w:t>u</w:t>
      </w:r>
      <w:r w:rsidRPr="009C5D55">
        <w:rPr>
          <w:rFonts w:ascii="Verdana" w:eastAsia="Verdana" w:hAnsi="Verdana" w:cs="Verdana"/>
          <w:sz w:val="20"/>
          <w:szCs w:val="20"/>
          <w:lang w:val="es-CR"/>
        </w:rPr>
        <w:t>n</w:t>
      </w:r>
      <w:r w:rsidRPr="009C5D55">
        <w:rPr>
          <w:rFonts w:ascii="Verdana" w:eastAsia="Verdana" w:hAnsi="Verdana" w:cs="Verdana"/>
          <w:spacing w:val="9"/>
          <w:sz w:val="20"/>
          <w:szCs w:val="20"/>
          <w:lang w:val="es-CR"/>
        </w:rPr>
        <w:t xml:space="preserve"> </w:t>
      </w:r>
      <w:r w:rsidRPr="009C5D55">
        <w:rPr>
          <w:rFonts w:ascii="Verdana" w:eastAsia="Verdana" w:hAnsi="Verdana" w:cs="Verdana"/>
          <w:sz w:val="20"/>
          <w:szCs w:val="20"/>
          <w:lang w:val="es-CR"/>
        </w:rPr>
        <w:t>mo</w:t>
      </w:r>
      <w:r w:rsidRPr="009C5D55">
        <w:rPr>
          <w:rFonts w:ascii="Verdana" w:eastAsia="Verdana" w:hAnsi="Verdana" w:cs="Verdana"/>
          <w:spacing w:val="3"/>
          <w:sz w:val="20"/>
          <w:szCs w:val="20"/>
          <w:lang w:val="es-CR"/>
        </w:rPr>
        <w:t>m</w:t>
      </w:r>
      <w:r w:rsidRPr="009C5D55">
        <w:rPr>
          <w:rFonts w:ascii="Verdana" w:eastAsia="Verdana" w:hAnsi="Verdana" w:cs="Verdana"/>
          <w:spacing w:val="-1"/>
          <w:sz w:val="20"/>
          <w:szCs w:val="20"/>
          <w:lang w:val="es-CR"/>
        </w:rPr>
        <w:t>e</w:t>
      </w:r>
      <w:r w:rsidRPr="009C5D55">
        <w:rPr>
          <w:rFonts w:ascii="Verdana" w:eastAsia="Verdana" w:hAnsi="Verdana" w:cs="Verdana"/>
          <w:spacing w:val="1"/>
          <w:sz w:val="20"/>
          <w:szCs w:val="20"/>
          <w:lang w:val="es-CR"/>
        </w:rPr>
        <w:t>nt</w:t>
      </w:r>
      <w:r w:rsidRPr="009C5D55">
        <w:rPr>
          <w:rFonts w:ascii="Verdana" w:eastAsia="Verdana" w:hAnsi="Verdana" w:cs="Verdana"/>
          <w:sz w:val="20"/>
          <w:szCs w:val="20"/>
          <w:lang w:val="es-CR"/>
        </w:rPr>
        <w:t>o</w:t>
      </w:r>
      <w:r w:rsidRPr="009C5D55">
        <w:rPr>
          <w:rFonts w:ascii="Verdana" w:eastAsia="Verdana" w:hAnsi="Verdana" w:cs="Verdana"/>
          <w:spacing w:val="2"/>
          <w:sz w:val="20"/>
          <w:szCs w:val="20"/>
          <w:lang w:val="es-CR"/>
        </w:rPr>
        <w:t xml:space="preserve"> </w:t>
      </w:r>
      <w:r w:rsidRPr="009C5D55">
        <w:rPr>
          <w:rFonts w:ascii="Verdana" w:eastAsia="Verdana" w:hAnsi="Verdana" w:cs="Verdana"/>
          <w:spacing w:val="1"/>
          <w:sz w:val="20"/>
          <w:szCs w:val="20"/>
          <w:lang w:val="es-CR"/>
        </w:rPr>
        <w:t>po</w:t>
      </w:r>
      <w:r w:rsidRPr="009C5D55">
        <w:rPr>
          <w:rFonts w:ascii="Verdana" w:eastAsia="Verdana" w:hAnsi="Verdana" w:cs="Verdana"/>
          <w:sz w:val="20"/>
          <w:szCs w:val="20"/>
          <w:lang w:val="es-CR"/>
        </w:rPr>
        <w:t>st</w:t>
      </w:r>
      <w:r w:rsidRPr="009C5D55">
        <w:rPr>
          <w:rFonts w:ascii="Verdana" w:eastAsia="Verdana" w:hAnsi="Verdana" w:cs="Verdana"/>
          <w:spacing w:val="-1"/>
          <w:sz w:val="20"/>
          <w:szCs w:val="20"/>
          <w:lang w:val="es-CR"/>
        </w:rPr>
        <w:t>er</w:t>
      </w:r>
      <w:r w:rsidRPr="009C5D55">
        <w:rPr>
          <w:rFonts w:ascii="Verdana" w:eastAsia="Verdana" w:hAnsi="Verdana" w:cs="Verdana"/>
          <w:spacing w:val="3"/>
          <w:sz w:val="20"/>
          <w:szCs w:val="20"/>
          <w:lang w:val="es-CR"/>
        </w:rPr>
        <w:t>i</w:t>
      </w:r>
      <w:r w:rsidRPr="009C5D55">
        <w:rPr>
          <w:rFonts w:ascii="Verdana" w:eastAsia="Verdana" w:hAnsi="Verdana" w:cs="Verdana"/>
          <w:spacing w:val="-1"/>
          <w:sz w:val="20"/>
          <w:szCs w:val="20"/>
          <w:lang w:val="es-CR"/>
        </w:rPr>
        <w:t>o</w:t>
      </w:r>
      <w:r w:rsidRPr="009C5D55">
        <w:rPr>
          <w:rFonts w:ascii="Verdana" w:eastAsia="Verdana" w:hAnsi="Verdana" w:cs="Verdana"/>
          <w:spacing w:val="10"/>
          <w:sz w:val="20"/>
          <w:szCs w:val="20"/>
          <w:lang w:val="es-CR"/>
        </w:rPr>
        <w:t>r</w:t>
      </w:r>
      <w:r w:rsidRPr="009C5D55">
        <w:rPr>
          <w:rFonts w:ascii="Verdana" w:eastAsia="Verdana" w:hAnsi="Verdana" w:cs="Verdana"/>
          <w:sz w:val="20"/>
          <w:szCs w:val="20"/>
          <w:lang w:val="es-CR"/>
        </w:rPr>
        <w:t xml:space="preserve">, </w:t>
      </w:r>
      <w:r w:rsidRPr="009C5D55">
        <w:rPr>
          <w:rFonts w:ascii="Verdana" w:eastAsia="Verdana" w:hAnsi="Verdana" w:cs="Verdana"/>
          <w:spacing w:val="2"/>
          <w:sz w:val="20"/>
          <w:szCs w:val="20"/>
          <w:lang w:val="es-CR"/>
        </w:rPr>
        <w:t>c</w:t>
      </w:r>
      <w:r w:rsidRPr="009C5D55">
        <w:rPr>
          <w:rFonts w:ascii="Verdana" w:eastAsia="Verdana" w:hAnsi="Verdana" w:cs="Verdana"/>
          <w:spacing w:val="-1"/>
          <w:sz w:val="20"/>
          <w:szCs w:val="20"/>
          <w:lang w:val="es-CR"/>
        </w:rPr>
        <w:t>o</w:t>
      </w:r>
      <w:r w:rsidRPr="009C5D55">
        <w:rPr>
          <w:rFonts w:ascii="Verdana" w:eastAsia="Verdana" w:hAnsi="Verdana" w:cs="Verdana"/>
          <w:spacing w:val="1"/>
          <w:sz w:val="20"/>
          <w:szCs w:val="20"/>
          <w:lang w:val="es-CR"/>
        </w:rPr>
        <w:t>n</w:t>
      </w:r>
      <w:r w:rsidRPr="009C5D55">
        <w:rPr>
          <w:rFonts w:ascii="Verdana" w:eastAsia="Verdana" w:hAnsi="Verdana" w:cs="Verdana"/>
          <w:spacing w:val="2"/>
          <w:sz w:val="20"/>
          <w:szCs w:val="20"/>
          <w:lang w:val="es-CR"/>
        </w:rPr>
        <w:t>f</w:t>
      </w:r>
      <w:r w:rsidRPr="009C5D55">
        <w:rPr>
          <w:rFonts w:ascii="Verdana" w:eastAsia="Verdana" w:hAnsi="Verdana" w:cs="Verdana"/>
          <w:spacing w:val="-1"/>
          <w:sz w:val="20"/>
          <w:szCs w:val="20"/>
          <w:lang w:val="es-CR"/>
        </w:rPr>
        <w:t>or</w:t>
      </w:r>
      <w:r w:rsidRPr="009C5D55">
        <w:rPr>
          <w:rFonts w:ascii="Verdana" w:eastAsia="Verdana" w:hAnsi="Verdana" w:cs="Verdana"/>
          <w:spacing w:val="3"/>
          <w:sz w:val="20"/>
          <w:szCs w:val="20"/>
          <w:lang w:val="es-CR"/>
        </w:rPr>
        <w:t>m</w:t>
      </w:r>
      <w:r w:rsidRPr="009C5D55">
        <w:rPr>
          <w:rFonts w:ascii="Verdana" w:eastAsia="Verdana" w:hAnsi="Verdana" w:cs="Verdana"/>
          <w:sz w:val="20"/>
          <w:szCs w:val="20"/>
          <w:lang w:val="es-CR"/>
        </w:rPr>
        <w:t>e a</w:t>
      </w:r>
      <w:r w:rsidRPr="009C5D55">
        <w:rPr>
          <w:rFonts w:ascii="Verdana" w:eastAsia="Verdana" w:hAnsi="Verdana" w:cs="Verdana"/>
          <w:spacing w:val="12"/>
          <w:sz w:val="20"/>
          <w:szCs w:val="20"/>
          <w:lang w:val="es-CR"/>
        </w:rPr>
        <w:t xml:space="preserve"> </w:t>
      </w:r>
      <w:r w:rsidRPr="009C5D55">
        <w:rPr>
          <w:rFonts w:ascii="Verdana" w:eastAsia="Verdana" w:hAnsi="Verdana" w:cs="Verdana"/>
          <w:spacing w:val="3"/>
          <w:sz w:val="20"/>
          <w:szCs w:val="20"/>
          <w:lang w:val="es-CR"/>
        </w:rPr>
        <w:t>l</w:t>
      </w:r>
      <w:r w:rsidRPr="009C5D55">
        <w:rPr>
          <w:rFonts w:ascii="Verdana" w:eastAsia="Verdana" w:hAnsi="Verdana" w:cs="Verdana"/>
          <w:sz w:val="20"/>
          <w:szCs w:val="20"/>
          <w:lang w:val="es-CR"/>
        </w:rPr>
        <w:t>as</w:t>
      </w:r>
      <w:r w:rsidRPr="009C5D55">
        <w:rPr>
          <w:rFonts w:ascii="Verdana" w:eastAsia="Verdana" w:hAnsi="Verdana" w:cs="Verdana"/>
          <w:spacing w:val="8"/>
          <w:sz w:val="20"/>
          <w:szCs w:val="20"/>
          <w:lang w:val="es-CR"/>
        </w:rPr>
        <w:t xml:space="preserve"> </w:t>
      </w:r>
      <w:r w:rsidRPr="009C5D55">
        <w:rPr>
          <w:rFonts w:ascii="Verdana" w:eastAsia="Verdana" w:hAnsi="Verdana" w:cs="Verdana"/>
          <w:spacing w:val="1"/>
          <w:sz w:val="20"/>
          <w:szCs w:val="20"/>
          <w:lang w:val="es-CR"/>
        </w:rPr>
        <w:t>nu</w:t>
      </w:r>
      <w:r w:rsidRPr="009C5D55">
        <w:rPr>
          <w:rFonts w:ascii="Verdana" w:eastAsia="Verdana" w:hAnsi="Verdana" w:cs="Verdana"/>
          <w:spacing w:val="-1"/>
          <w:sz w:val="20"/>
          <w:szCs w:val="20"/>
          <w:lang w:val="es-CR"/>
        </w:rPr>
        <w:t>e</w:t>
      </w:r>
      <w:r w:rsidRPr="009C5D55">
        <w:rPr>
          <w:rFonts w:ascii="Verdana" w:eastAsia="Verdana" w:hAnsi="Verdana" w:cs="Verdana"/>
          <w:sz w:val="20"/>
          <w:szCs w:val="20"/>
          <w:lang w:val="es-CR"/>
        </w:rPr>
        <w:t>v</w:t>
      </w:r>
      <w:r w:rsidRPr="009C5D55">
        <w:rPr>
          <w:rFonts w:ascii="Verdana" w:eastAsia="Verdana" w:hAnsi="Verdana" w:cs="Verdana"/>
          <w:spacing w:val="2"/>
          <w:sz w:val="20"/>
          <w:szCs w:val="20"/>
          <w:lang w:val="es-CR"/>
        </w:rPr>
        <w:t>a</w:t>
      </w:r>
      <w:r w:rsidRPr="009C5D55">
        <w:rPr>
          <w:rFonts w:ascii="Verdana" w:eastAsia="Verdana" w:hAnsi="Verdana" w:cs="Verdana"/>
          <w:sz w:val="20"/>
          <w:szCs w:val="20"/>
          <w:lang w:val="es-CR"/>
        </w:rPr>
        <w:t>s c</w:t>
      </w:r>
      <w:r w:rsidRPr="009C5D55">
        <w:rPr>
          <w:rFonts w:ascii="Verdana" w:eastAsia="Verdana" w:hAnsi="Verdana" w:cs="Verdana"/>
          <w:spacing w:val="-2"/>
          <w:sz w:val="20"/>
          <w:szCs w:val="20"/>
          <w:lang w:val="es-CR"/>
        </w:rPr>
        <w:t>o</w:t>
      </w:r>
      <w:r w:rsidRPr="009C5D55">
        <w:rPr>
          <w:rFonts w:ascii="Verdana" w:eastAsia="Verdana" w:hAnsi="Verdana" w:cs="Verdana"/>
          <w:sz w:val="20"/>
          <w:szCs w:val="20"/>
          <w:lang w:val="es-CR"/>
        </w:rPr>
        <w:t>st</w:t>
      </w:r>
      <w:r w:rsidRPr="009C5D55">
        <w:rPr>
          <w:rFonts w:ascii="Verdana" w:eastAsia="Verdana" w:hAnsi="Verdana" w:cs="Verdana"/>
          <w:spacing w:val="3"/>
          <w:sz w:val="20"/>
          <w:szCs w:val="20"/>
          <w:lang w:val="es-CR"/>
        </w:rPr>
        <w:t>a</w:t>
      </w:r>
      <w:r w:rsidRPr="009C5D55">
        <w:rPr>
          <w:rFonts w:ascii="Verdana" w:eastAsia="Verdana" w:hAnsi="Verdana" w:cs="Verdana"/>
          <w:sz w:val="20"/>
          <w:szCs w:val="20"/>
          <w:lang w:val="es-CR"/>
        </w:rPr>
        <w:t>s</w:t>
      </w:r>
      <w:r w:rsidRPr="009C5D55">
        <w:rPr>
          <w:rFonts w:ascii="Verdana" w:eastAsia="Verdana" w:hAnsi="Verdana" w:cs="Verdana"/>
          <w:spacing w:val="8"/>
          <w:sz w:val="20"/>
          <w:szCs w:val="20"/>
          <w:lang w:val="es-CR"/>
        </w:rPr>
        <w:t xml:space="preserve"> </w:t>
      </w:r>
      <w:r w:rsidRPr="009C5D55">
        <w:rPr>
          <w:rFonts w:ascii="Verdana" w:eastAsia="Verdana" w:hAnsi="Verdana" w:cs="Verdana"/>
          <w:sz w:val="20"/>
          <w:szCs w:val="20"/>
          <w:lang w:val="es-CR"/>
        </w:rPr>
        <w:t>y</w:t>
      </w:r>
      <w:r w:rsidRPr="009C5D55">
        <w:rPr>
          <w:rFonts w:ascii="Verdana" w:eastAsia="Verdana" w:hAnsi="Verdana" w:cs="Verdana"/>
          <w:spacing w:val="13"/>
          <w:sz w:val="20"/>
          <w:szCs w:val="20"/>
          <w:lang w:val="es-CR"/>
        </w:rPr>
        <w:t xml:space="preserve"> </w:t>
      </w:r>
      <w:r w:rsidRPr="009C5D55">
        <w:rPr>
          <w:rFonts w:ascii="Verdana" w:eastAsia="Verdana" w:hAnsi="Verdana" w:cs="Verdana"/>
          <w:spacing w:val="1"/>
          <w:sz w:val="20"/>
          <w:szCs w:val="20"/>
          <w:lang w:val="es-CR"/>
        </w:rPr>
        <w:t>g</w:t>
      </w:r>
      <w:r w:rsidRPr="009C5D55">
        <w:rPr>
          <w:rFonts w:ascii="Verdana" w:eastAsia="Verdana" w:hAnsi="Verdana" w:cs="Verdana"/>
          <w:sz w:val="20"/>
          <w:szCs w:val="20"/>
          <w:lang w:val="es-CR"/>
        </w:rPr>
        <w:t>astos</w:t>
      </w:r>
      <w:r w:rsidRPr="009C5D55">
        <w:rPr>
          <w:rFonts w:ascii="Verdana" w:eastAsia="Verdana" w:hAnsi="Verdana" w:cs="Verdana"/>
          <w:spacing w:val="10"/>
          <w:sz w:val="20"/>
          <w:szCs w:val="20"/>
          <w:lang w:val="es-CR"/>
        </w:rPr>
        <w:t xml:space="preserve"> </w:t>
      </w:r>
      <w:r w:rsidRPr="009C5D55">
        <w:rPr>
          <w:rFonts w:ascii="Verdana" w:eastAsia="Verdana" w:hAnsi="Verdana" w:cs="Verdana"/>
          <w:spacing w:val="-1"/>
          <w:sz w:val="20"/>
          <w:szCs w:val="20"/>
          <w:lang w:val="es-CR"/>
        </w:rPr>
        <w:t>e</w:t>
      </w:r>
      <w:r w:rsidRPr="009C5D55">
        <w:rPr>
          <w:rFonts w:ascii="Verdana" w:eastAsia="Verdana" w:hAnsi="Verdana" w:cs="Verdana"/>
          <w:sz w:val="20"/>
          <w:szCs w:val="20"/>
          <w:lang w:val="es-CR"/>
        </w:rPr>
        <w:t>n</w:t>
      </w:r>
      <w:r w:rsidRPr="009C5D55">
        <w:rPr>
          <w:rFonts w:ascii="Verdana" w:eastAsia="Verdana" w:hAnsi="Verdana" w:cs="Verdana"/>
          <w:spacing w:val="14"/>
          <w:sz w:val="20"/>
          <w:szCs w:val="20"/>
          <w:lang w:val="es-CR"/>
        </w:rPr>
        <w:t xml:space="preserve"> </w:t>
      </w:r>
      <w:r w:rsidRPr="009C5D55">
        <w:rPr>
          <w:rFonts w:ascii="Verdana" w:eastAsia="Verdana" w:hAnsi="Verdana" w:cs="Verdana"/>
          <w:spacing w:val="1"/>
          <w:sz w:val="20"/>
          <w:szCs w:val="20"/>
          <w:lang w:val="es-CR"/>
        </w:rPr>
        <w:t>qu</w:t>
      </w:r>
      <w:r w:rsidRPr="009C5D55">
        <w:rPr>
          <w:rFonts w:ascii="Verdana" w:eastAsia="Verdana" w:hAnsi="Verdana" w:cs="Verdana"/>
          <w:sz w:val="20"/>
          <w:szCs w:val="20"/>
          <w:lang w:val="es-CR"/>
        </w:rPr>
        <w:t>e</w:t>
      </w:r>
      <w:r w:rsidRPr="009C5D55">
        <w:rPr>
          <w:rFonts w:ascii="Verdana" w:eastAsia="Verdana" w:hAnsi="Verdana" w:cs="Verdana"/>
          <w:spacing w:val="11"/>
          <w:sz w:val="20"/>
          <w:szCs w:val="20"/>
          <w:lang w:val="es-CR"/>
        </w:rPr>
        <w:t xml:space="preserve"> </w:t>
      </w:r>
      <w:r w:rsidRPr="009C5D55">
        <w:rPr>
          <w:rFonts w:ascii="Verdana" w:eastAsia="Verdana" w:hAnsi="Verdana" w:cs="Verdana"/>
          <w:sz w:val="20"/>
          <w:szCs w:val="20"/>
          <w:lang w:val="es-CR"/>
        </w:rPr>
        <w:t>se</w:t>
      </w:r>
      <w:r w:rsidRPr="009C5D55">
        <w:rPr>
          <w:rFonts w:ascii="Verdana" w:eastAsia="Verdana" w:hAnsi="Verdana" w:cs="Verdana"/>
          <w:spacing w:val="11"/>
          <w:sz w:val="20"/>
          <w:szCs w:val="20"/>
          <w:lang w:val="es-CR"/>
        </w:rPr>
        <w:t xml:space="preserve"> </w:t>
      </w:r>
      <w:r w:rsidRPr="009C5D55">
        <w:rPr>
          <w:rFonts w:ascii="Verdana" w:eastAsia="Verdana" w:hAnsi="Verdana" w:cs="Verdana"/>
          <w:spacing w:val="1"/>
          <w:sz w:val="20"/>
          <w:szCs w:val="20"/>
          <w:lang w:val="es-CR"/>
        </w:rPr>
        <w:t>h</w:t>
      </w:r>
      <w:r w:rsidRPr="009C5D55">
        <w:rPr>
          <w:rFonts w:ascii="Verdana" w:eastAsia="Verdana" w:hAnsi="Verdana" w:cs="Verdana"/>
          <w:sz w:val="20"/>
          <w:szCs w:val="20"/>
          <w:lang w:val="es-CR"/>
        </w:rPr>
        <w:t>aya</w:t>
      </w:r>
      <w:r w:rsidRPr="009C5D55">
        <w:rPr>
          <w:rFonts w:ascii="Verdana" w:eastAsia="Verdana" w:hAnsi="Verdana" w:cs="Verdana"/>
          <w:spacing w:val="10"/>
          <w:sz w:val="20"/>
          <w:szCs w:val="20"/>
          <w:lang w:val="es-CR"/>
        </w:rPr>
        <w:t xml:space="preserve"> </w:t>
      </w:r>
      <w:r w:rsidRPr="009C5D55">
        <w:rPr>
          <w:rFonts w:ascii="Verdana" w:eastAsia="Verdana" w:hAnsi="Verdana" w:cs="Verdana"/>
          <w:spacing w:val="3"/>
          <w:sz w:val="20"/>
          <w:szCs w:val="20"/>
          <w:lang w:val="es-CR"/>
        </w:rPr>
        <w:t>i</w:t>
      </w:r>
      <w:r w:rsidRPr="009C5D55">
        <w:rPr>
          <w:rFonts w:ascii="Verdana" w:eastAsia="Verdana" w:hAnsi="Verdana" w:cs="Verdana"/>
          <w:spacing w:val="1"/>
          <w:sz w:val="20"/>
          <w:szCs w:val="20"/>
          <w:lang w:val="es-CR"/>
        </w:rPr>
        <w:t>n</w:t>
      </w:r>
      <w:r w:rsidRPr="009C5D55">
        <w:rPr>
          <w:rFonts w:ascii="Verdana" w:eastAsia="Verdana" w:hAnsi="Verdana" w:cs="Verdana"/>
          <w:sz w:val="20"/>
          <w:szCs w:val="20"/>
          <w:lang w:val="es-CR"/>
        </w:rPr>
        <w:t>cur</w:t>
      </w:r>
      <w:r w:rsidRPr="009C5D55">
        <w:rPr>
          <w:rFonts w:ascii="Verdana" w:eastAsia="Verdana" w:hAnsi="Verdana" w:cs="Verdana"/>
          <w:spacing w:val="-2"/>
          <w:sz w:val="20"/>
          <w:szCs w:val="20"/>
          <w:lang w:val="es-CR"/>
        </w:rPr>
        <w:t>r</w:t>
      </w:r>
      <w:r w:rsidRPr="009C5D55">
        <w:rPr>
          <w:rFonts w:ascii="Verdana" w:eastAsia="Verdana" w:hAnsi="Verdana" w:cs="Verdana"/>
          <w:spacing w:val="3"/>
          <w:sz w:val="20"/>
          <w:szCs w:val="20"/>
          <w:lang w:val="es-CR"/>
        </w:rPr>
        <w:t>i</w:t>
      </w:r>
      <w:r w:rsidRPr="009C5D55">
        <w:rPr>
          <w:rFonts w:ascii="Verdana" w:eastAsia="Verdana" w:hAnsi="Verdana" w:cs="Verdana"/>
          <w:spacing w:val="1"/>
          <w:sz w:val="20"/>
          <w:szCs w:val="20"/>
          <w:lang w:val="es-CR"/>
        </w:rPr>
        <w:t>d</w:t>
      </w:r>
      <w:r w:rsidRPr="009C5D55">
        <w:rPr>
          <w:rFonts w:ascii="Verdana" w:eastAsia="Verdana" w:hAnsi="Verdana" w:cs="Verdana"/>
          <w:sz w:val="20"/>
          <w:szCs w:val="20"/>
          <w:lang w:val="es-CR"/>
        </w:rPr>
        <w:t>o</w:t>
      </w:r>
      <w:r w:rsidRPr="009C5D55">
        <w:rPr>
          <w:rFonts w:ascii="Verdana" w:eastAsia="Verdana" w:hAnsi="Verdana" w:cs="Verdana"/>
          <w:spacing w:val="5"/>
          <w:sz w:val="20"/>
          <w:szCs w:val="20"/>
          <w:lang w:val="es-CR"/>
        </w:rPr>
        <w:t xml:space="preserve"> </w:t>
      </w:r>
      <w:r w:rsidRPr="009C5D55">
        <w:rPr>
          <w:rFonts w:ascii="Verdana" w:eastAsia="Verdana" w:hAnsi="Verdana" w:cs="Verdana"/>
          <w:sz w:val="20"/>
          <w:szCs w:val="20"/>
          <w:lang w:val="es-CR"/>
        </w:rPr>
        <w:t>c</w:t>
      </w:r>
      <w:r w:rsidRPr="009C5D55">
        <w:rPr>
          <w:rFonts w:ascii="Verdana" w:eastAsia="Verdana" w:hAnsi="Verdana" w:cs="Verdana"/>
          <w:spacing w:val="-2"/>
          <w:sz w:val="20"/>
          <w:szCs w:val="20"/>
          <w:lang w:val="es-CR"/>
        </w:rPr>
        <w:t>o</w:t>
      </w:r>
      <w:r w:rsidRPr="009C5D55">
        <w:rPr>
          <w:rFonts w:ascii="Verdana" w:eastAsia="Verdana" w:hAnsi="Verdana" w:cs="Verdana"/>
          <w:sz w:val="20"/>
          <w:szCs w:val="20"/>
          <w:lang w:val="es-CR"/>
        </w:rPr>
        <w:t>n</w:t>
      </w:r>
      <w:r w:rsidRPr="009C5D55">
        <w:rPr>
          <w:rFonts w:ascii="Verdana" w:eastAsia="Verdana" w:hAnsi="Verdana" w:cs="Verdana"/>
          <w:spacing w:val="13"/>
          <w:sz w:val="20"/>
          <w:szCs w:val="20"/>
          <w:lang w:val="es-CR"/>
        </w:rPr>
        <w:t xml:space="preserve"> </w:t>
      </w:r>
      <w:r w:rsidRPr="009C5D55">
        <w:rPr>
          <w:rFonts w:ascii="Verdana" w:eastAsia="Verdana" w:hAnsi="Verdana" w:cs="Verdana"/>
          <w:spacing w:val="-1"/>
          <w:sz w:val="20"/>
          <w:szCs w:val="20"/>
          <w:lang w:val="es-CR"/>
        </w:rPr>
        <w:t>o</w:t>
      </w:r>
      <w:r w:rsidRPr="009C5D55">
        <w:rPr>
          <w:rFonts w:ascii="Verdana" w:eastAsia="Verdana" w:hAnsi="Verdana" w:cs="Verdana"/>
          <w:sz w:val="20"/>
          <w:szCs w:val="20"/>
          <w:lang w:val="es-CR"/>
        </w:rPr>
        <w:t>ca</w:t>
      </w:r>
      <w:r w:rsidRPr="009C5D55">
        <w:rPr>
          <w:rFonts w:ascii="Verdana" w:eastAsia="Verdana" w:hAnsi="Verdana" w:cs="Verdana"/>
          <w:spacing w:val="-1"/>
          <w:sz w:val="20"/>
          <w:szCs w:val="20"/>
          <w:lang w:val="es-CR"/>
        </w:rPr>
        <w:t>s</w:t>
      </w:r>
      <w:r w:rsidRPr="009C5D55">
        <w:rPr>
          <w:rFonts w:ascii="Verdana" w:eastAsia="Verdana" w:hAnsi="Verdana" w:cs="Verdana"/>
          <w:spacing w:val="3"/>
          <w:sz w:val="20"/>
          <w:szCs w:val="20"/>
          <w:lang w:val="es-CR"/>
        </w:rPr>
        <w:t>i</w:t>
      </w:r>
      <w:r w:rsidRPr="009C5D55">
        <w:rPr>
          <w:rFonts w:ascii="Verdana" w:eastAsia="Verdana" w:hAnsi="Verdana" w:cs="Verdana"/>
          <w:spacing w:val="-1"/>
          <w:sz w:val="20"/>
          <w:szCs w:val="20"/>
          <w:lang w:val="es-CR"/>
        </w:rPr>
        <w:t>ó</w:t>
      </w:r>
      <w:r w:rsidRPr="009C5D55">
        <w:rPr>
          <w:rFonts w:ascii="Verdana" w:eastAsia="Verdana" w:hAnsi="Verdana" w:cs="Verdana"/>
          <w:sz w:val="20"/>
          <w:szCs w:val="20"/>
          <w:lang w:val="es-CR"/>
        </w:rPr>
        <w:t>n</w:t>
      </w:r>
      <w:r w:rsidRPr="009C5D55">
        <w:rPr>
          <w:rFonts w:ascii="Verdana" w:eastAsia="Verdana" w:hAnsi="Verdana" w:cs="Verdana"/>
          <w:spacing w:val="9"/>
          <w:sz w:val="20"/>
          <w:szCs w:val="20"/>
          <w:lang w:val="es-CR"/>
        </w:rPr>
        <w:t xml:space="preserve"> </w:t>
      </w:r>
      <w:r w:rsidRPr="009C5D55">
        <w:rPr>
          <w:rFonts w:ascii="Verdana" w:eastAsia="Verdana" w:hAnsi="Verdana" w:cs="Verdana"/>
          <w:spacing w:val="1"/>
          <w:sz w:val="20"/>
          <w:szCs w:val="20"/>
          <w:lang w:val="es-CR"/>
        </w:rPr>
        <w:t>d</w:t>
      </w:r>
      <w:r w:rsidRPr="009C5D55">
        <w:rPr>
          <w:rFonts w:ascii="Verdana" w:eastAsia="Verdana" w:hAnsi="Verdana" w:cs="Verdana"/>
          <w:spacing w:val="-1"/>
          <w:sz w:val="20"/>
          <w:szCs w:val="20"/>
          <w:lang w:val="es-CR"/>
        </w:rPr>
        <w:t>e</w:t>
      </w:r>
      <w:r w:rsidRPr="009C5D55">
        <w:rPr>
          <w:rFonts w:ascii="Verdana" w:eastAsia="Verdana" w:hAnsi="Verdana" w:cs="Verdana"/>
          <w:sz w:val="20"/>
          <w:szCs w:val="20"/>
          <w:lang w:val="es-CR"/>
        </w:rPr>
        <w:t>l</w:t>
      </w:r>
      <w:r w:rsidRPr="009C5D55">
        <w:rPr>
          <w:rFonts w:ascii="Verdana" w:eastAsia="Verdana" w:hAnsi="Verdana" w:cs="Verdana"/>
          <w:spacing w:val="15"/>
          <w:sz w:val="20"/>
          <w:szCs w:val="20"/>
          <w:lang w:val="es-CR"/>
        </w:rPr>
        <w:t xml:space="preserve"> </w:t>
      </w:r>
      <w:r w:rsidRPr="009C5D55">
        <w:rPr>
          <w:rFonts w:ascii="Verdana" w:eastAsia="Verdana" w:hAnsi="Verdana" w:cs="Verdana"/>
          <w:spacing w:val="1"/>
          <w:sz w:val="20"/>
          <w:szCs w:val="20"/>
          <w:lang w:val="es-CR"/>
        </w:rPr>
        <w:t>p</w:t>
      </w:r>
      <w:r w:rsidRPr="009C5D55">
        <w:rPr>
          <w:rFonts w:ascii="Verdana" w:eastAsia="Verdana" w:hAnsi="Verdana" w:cs="Verdana"/>
          <w:spacing w:val="-1"/>
          <w:sz w:val="20"/>
          <w:szCs w:val="20"/>
          <w:lang w:val="es-CR"/>
        </w:rPr>
        <w:t>ro</w:t>
      </w:r>
      <w:r w:rsidRPr="009C5D55">
        <w:rPr>
          <w:rFonts w:ascii="Verdana" w:eastAsia="Verdana" w:hAnsi="Verdana" w:cs="Verdana"/>
          <w:sz w:val="20"/>
          <w:szCs w:val="20"/>
          <w:lang w:val="es-CR"/>
        </w:rPr>
        <w:t>c</w:t>
      </w:r>
      <w:r w:rsidRPr="009C5D55">
        <w:rPr>
          <w:rFonts w:ascii="Verdana" w:eastAsia="Verdana" w:hAnsi="Verdana" w:cs="Verdana"/>
          <w:spacing w:val="-2"/>
          <w:sz w:val="20"/>
          <w:szCs w:val="20"/>
          <w:lang w:val="es-CR"/>
        </w:rPr>
        <w:t>e</w:t>
      </w:r>
      <w:r w:rsidRPr="009C5D55">
        <w:rPr>
          <w:rFonts w:ascii="Verdana" w:eastAsia="Verdana" w:hAnsi="Verdana" w:cs="Verdana"/>
          <w:spacing w:val="1"/>
          <w:sz w:val="20"/>
          <w:szCs w:val="20"/>
          <w:lang w:val="es-CR"/>
        </w:rPr>
        <w:t>d</w:t>
      </w:r>
      <w:r w:rsidRPr="009C5D55">
        <w:rPr>
          <w:rFonts w:ascii="Verdana" w:eastAsia="Verdana" w:hAnsi="Verdana" w:cs="Verdana"/>
          <w:spacing w:val="3"/>
          <w:sz w:val="20"/>
          <w:szCs w:val="20"/>
          <w:lang w:val="es-CR"/>
        </w:rPr>
        <w:t>i</w:t>
      </w:r>
      <w:r w:rsidRPr="009C5D55">
        <w:rPr>
          <w:rFonts w:ascii="Verdana" w:eastAsia="Verdana" w:hAnsi="Verdana" w:cs="Verdana"/>
          <w:sz w:val="20"/>
          <w:szCs w:val="20"/>
          <w:lang w:val="es-CR"/>
        </w:rPr>
        <w:t>m</w:t>
      </w:r>
      <w:r w:rsidRPr="009C5D55">
        <w:rPr>
          <w:rFonts w:ascii="Verdana" w:eastAsia="Verdana" w:hAnsi="Verdana" w:cs="Verdana"/>
          <w:spacing w:val="3"/>
          <w:sz w:val="20"/>
          <w:szCs w:val="20"/>
          <w:lang w:val="es-CR"/>
        </w:rPr>
        <w:t>i</w:t>
      </w:r>
      <w:r w:rsidRPr="009C5D55">
        <w:rPr>
          <w:rFonts w:ascii="Verdana" w:eastAsia="Verdana" w:hAnsi="Verdana" w:cs="Verdana"/>
          <w:spacing w:val="-1"/>
          <w:sz w:val="20"/>
          <w:szCs w:val="20"/>
          <w:lang w:val="es-CR"/>
        </w:rPr>
        <w:t>e</w:t>
      </w:r>
      <w:r w:rsidRPr="009C5D55">
        <w:rPr>
          <w:rFonts w:ascii="Verdana" w:eastAsia="Verdana" w:hAnsi="Verdana" w:cs="Verdana"/>
          <w:spacing w:val="1"/>
          <w:sz w:val="20"/>
          <w:szCs w:val="20"/>
          <w:lang w:val="es-CR"/>
        </w:rPr>
        <w:t>nt</w:t>
      </w:r>
      <w:r w:rsidRPr="009C5D55">
        <w:rPr>
          <w:rFonts w:ascii="Verdana" w:eastAsia="Verdana" w:hAnsi="Verdana" w:cs="Verdana"/>
          <w:sz w:val="20"/>
          <w:szCs w:val="20"/>
          <w:lang w:val="es-CR"/>
        </w:rPr>
        <w:t>o a</w:t>
      </w:r>
      <w:r w:rsidRPr="009C5D55">
        <w:rPr>
          <w:rFonts w:ascii="Verdana" w:eastAsia="Verdana" w:hAnsi="Verdana" w:cs="Verdana"/>
          <w:spacing w:val="1"/>
          <w:sz w:val="20"/>
          <w:szCs w:val="20"/>
          <w:lang w:val="es-CR"/>
        </w:rPr>
        <w:t>nt</w:t>
      </w:r>
      <w:r w:rsidRPr="009C5D55">
        <w:rPr>
          <w:rFonts w:ascii="Verdana" w:eastAsia="Verdana" w:hAnsi="Verdana" w:cs="Verdana"/>
          <w:sz w:val="20"/>
          <w:szCs w:val="20"/>
          <w:lang w:val="es-CR"/>
        </w:rPr>
        <w:t>e</w:t>
      </w:r>
      <w:r w:rsidRPr="009C5D55">
        <w:rPr>
          <w:rFonts w:ascii="Verdana" w:eastAsia="Verdana" w:hAnsi="Verdana" w:cs="Verdana"/>
          <w:spacing w:val="10"/>
          <w:sz w:val="20"/>
          <w:szCs w:val="20"/>
          <w:lang w:val="es-CR"/>
        </w:rPr>
        <w:t xml:space="preserve"> </w:t>
      </w:r>
      <w:r w:rsidRPr="009C5D55">
        <w:rPr>
          <w:rFonts w:ascii="Verdana" w:eastAsia="Verdana" w:hAnsi="Verdana" w:cs="Verdana"/>
          <w:spacing w:val="-1"/>
          <w:sz w:val="20"/>
          <w:szCs w:val="20"/>
          <w:lang w:val="es-CR"/>
        </w:rPr>
        <w:t>e</w:t>
      </w:r>
      <w:r w:rsidRPr="009C5D55">
        <w:rPr>
          <w:rFonts w:ascii="Verdana" w:eastAsia="Verdana" w:hAnsi="Verdana" w:cs="Verdana"/>
          <w:sz w:val="20"/>
          <w:szCs w:val="20"/>
          <w:lang w:val="es-CR"/>
        </w:rPr>
        <w:t>sta</w:t>
      </w:r>
      <w:r w:rsidRPr="009C5D55">
        <w:rPr>
          <w:rFonts w:ascii="Verdana" w:eastAsia="Verdana" w:hAnsi="Verdana" w:cs="Verdana"/>
          <w:spacing w:val="11"/>
          <w:sz w:val="20"/>
          <w:szCs w:val="20"/>
          <w:lang w:val="es-CR"/>
        </w:rPr>
        <w:t xml:space="preserve"> </w:t>
      </w:r>
      <w:r w:rsidRPr="009C5D55">
        <w:rPr>
          <w:rFonts w:ascii="Verdana" w:eastAsia="Verdana" w:hAnsi="Verdana" w:cs="Verdana"/>
          <w:sz w:val="20"/>
          <w:szCs w:val="20"/>
          <w:lang w:val="es-CR"/>
        </w:rPr>
        <w:t>C</w:t>
      </w:r>
      <w:r w:rsidRPr="009C5D55">
        <w:rPr>
          <w:rFonts w:ascii="Verdana" w:eastAsia="Verdana" w:hAnsi="Verdana" w:cs="Verdana"/>
          <w:spacing w:val="-1"/>
          <w:sz w:val="20"/>
          <w:szCs w:val="20"/>
          <w:lang w:val="es-CR"/>
        </w:rPr>
        <w:t>or</w:t>
      </w:r>
      <w:r w:rsidRPr="009C5D55">
        <w:rPr>
          <w:rFonts w:ascii="Verdana" w:eastAsia="Verdana" w:hAnsi="Verdana" w:cs="Verdana"/>
          <w:spacing w:val="3"/>
          <w:sz w:val="20"/>
          <w:szCs w:val="20"/>
          <w:lang w:val="es-CR"/>
        </w:rPr>
        <w:t>t</w:t>
      </w:r>
      <w:r w:rsidRPr="009C5D55">
        <w:rPr>
          <w:rFonts w:ascii="Verdana" w:eastAsia="Verdana" w:hAnsi="Verdana" w:cs="Verdana"/>
          <w:spacing w:val="-1"/>
          <w:sz w:val="20"/>
          <w:szCs w:val="20"/>
          <w:lang w:val="es-CR"/>
        </w:rPr>
        <w:t>e</w:t>
      </w:r>
      <w:r w:rsidRPr="009C5D55">
        <w:rPr>
          <w:rFonts w:ascii="Verdana" w:eastAsia="Verdana" w:hAnsi="Verdana" w:cs="Verdana"/>
          <w:spacing w:val="11"/>
          <w:sz w:val="20"/>
          <w:szCs w:val="20"/>
          <w:lang w:val="es-CR"/>
        </w:rPr>
        <w:t>”</w:t>
      </w:r>
      <w:r w:rsidRPr="009C5D55">
        <w:rPr>
          <w:rFonts w:ascii="Verdana" w:eastAsia="Verdana" w:hAnsi="Verdana" w:cs="Verdana"/>
          <w:spacing w:val="11"/>
          <w:sz w:val="20"/>
          <w:szCs w:val="20"/>
          <w:vertAlign w:val="superscript"/>
          <w:lang w:val="es-CR"/>
        </w:rPr>
        <w:footnoteReference w:id="275"/>
      </w:r>
      <w:r w:rsidRPr="009C5D55">
        <w:rPr>
          <w:rFonts w:ascii="Verdana" w:eastAsia="Verdana" w:hAnsi="Verdana" w:cs="Verdana"/>
          <w:sz w:val="20"/>
          <w:szCs w:val="20"/>
          <w:lang w:val="es-CR"/>
        </w:rPr>
        <w:t>. As</w:t>
      </w:r>
      <w:r w:rsidRPr="009C5D55">
        <w:rPr>
          <w:rFonts w:ascii="Verdana" w:eastAsia="Verdana" w:hAnsi="Verdana" w:cs="Verdana"/>
          <w:spacing w:val="3"/>
          <w:sz w:val="20"/>
          <w:szCs w:val="20"/>
          <w:lang w:val="es-CR"/>
        </w:rPr>
        <w:t>i</w:t>
      </w:r>
      <w:r w:rsidRPr="009C5D55">
        <w:rPr>
          <w:rFonts w:ascii="Verdana" w:eastAsia="Verdana" w:hAnsi="Verdana" w:cs="Verdana"/>
          <w:spacing w:val="-2"/>
          <w:sz w:val="20"/>
          <w:szCs w:val="20"/>
          <w:lang w:val="es-CR"/>
        </w:rPr>
        <w:t>m</w:t>
      </w:r>
      <w:r w:rsidRPr="009C5D55">
        <w:rPr>
          <w:rFonts w:ascii="Verdana" w:eastAsia="Verdana" w:hAnsi="Verdana" w:cs="Verdana"/>
          <w:spacing w:val="3"/>
          <w:sz w:val="20"/>
          <w:szCs w:val="20"/>
          <w:lang w:val="es-CR"/>
        </w:rPr>
        <w:t>i</w:t>
      </w:r>
      <w:r w:rsidRPr="009C5D55">
        <w:rPr>
          <w:rFonts w:ascii="Verdana" w:eastAsia="Verdana" w:hAnsi="Verdana" w:cs="Verdana"/>
          <w:sz w:val="20"/>
          <w:szCs w:val="20"/>
          <w:lang w:val="es-CR"/>
        </w:rPr>
        <w:t>sm</w:t>
      </w:r>
      <w:r w:rsidRPr="009C5D55">
        <w:rPr>
          <w:rFonts w:ascii="Verdana" w:eastAsia="Verdana" w:hAnsi="Verdana" w:cs="Verdana"/>
          <w:spacing w:val="-1"/>
          <w:sz w:val="20"/>
          <w:szCs w:val="20"/>
          <w:lang w:val="es-CR"/>
        </w:rPr>
        <w:t>o</w:t>
      </w:r>
      <w:r w:rsidRPr="009C5D55">
        <w:rPr>
          <w:rFonts w:ascii="Verdana" w:eastAsia="Verdana" w:hAnsi="Verdana" w:cs="Verdana"/>
          <w:sz w:val="20"/>
          <w:szCs w:val="20"/>
          <w:lang w:val="es-CR"/>
        </w:rPr>
        <w:t>,</w:t>
      </w:r>
      <w:r w:rsidRPr="009C5D55">
        <w:rPr>
          <w:rFonts w:ascii="Verdana" w:eastAsia="Verdana" w:hAnsi="Verdana" w:cs="Verdana"/>
          <w:spacing w:val="1"/>
          <w:sz w:val="20"/>
          <w:szCs w:val="20"/>
          <w:lang w:val="es-CR"/>
        </w:rPr>
        <w:t xml:space="preserve"> </w:t>
      </w:r>
      <w:r w:rsidRPr="009C5D55">
        <w:rPr>
          <w:rFonts w:ascii="Verdana" w:eastAsia="Verdana" w:hAnsi="Verdana" w:cs="Verdana"/>
          <w:spacing w:val="3"/>
          <w:sz w:val="20"/>
          <w:szCs w:val="20"/>
          <w:lang w:val="es-CR"/>
        </w:rPr>
        <w:t>l</w:t>
      </w:r>
      <w:r w:rsidRPr="009C5D55">
        <w:rPr>
          <w:rFonts w:ascii="Verdana" w:eastAsia="Verdana" w:hAnsi="Verdana" w:cs="Verdana"/>
          <w:sz w:val="20"/>
          <w:szCs w:val="20"/>
          <w:lang w:val="es-CR"/>
        </w:rPr>
        <w:t>a</w:t>
      </w:r>
      <w:r w:rsidRPr="009C5D55">
        <w:rPr>
          <w:rFonts w:ascii="Verdana" w:eastAsia="Verdana" w:hAnsi="Verdana" w:cs="Verdana"/>
          <w:spacing w:val="9"/>
          <w:sz w:val="20"/>
          <w:szCs w:val="20"/>
          <w:lang w:val="es-CR"/>
        </w:rPr>
        <w:t xml:space="preserve"> </w:t>
      </w:r>
      <w:r w:rsidRPr="009C5D55">
        <w:rPr>
          <w:rFonts w:ascii="Verdana" w:eastAsia="Verdana" w:hAnsi="Verdana" w:cs="Verdana"/>
          <w:sz w:val="20"/>
          <w:szCs w:val="20"/>
          <w:lang w:val="es-CR"/>
        </w:rPr>
        <w:t>C</w:t>
      </w:r>
      <w:r w:rsidRPr="009C5D55">
        <w:rPr>
          <w:rFonts w:ascii="Verdana" w:eastAsia="Verdana" w:hAnsi="Verdana" w:cs="Verdana"/>
          <w:spacing w:val="-1"/>
          <w:sz w:val="20"/>
          <w:szCs w:val="20"/>
          <w:lang w:val="es-CR"/>
        </w:rPr>
        <w:t>or</w:t>
      </w:r>
      <w:r w:rsidRPr="009C5D55">
        <w:rPr>
          <w:rFonts w:ascii="Verdana" w:eastAsia="Verdana" w:hAnsi="Verdana" w:cs="Verdana"/>
          <w:spacing w:val="3"/>
          <w:sz w:val="20"/>
          <w:szCs w:val="20"/>
          <w:lang w:val="es-CR"/>
        </w:rPr>
        <w:t>t</w:t>
      </w:r>
      <w:r w:rsidRPr="009C5D55">
        <w:rPr>
          <w:rFonts w:ascii="Verdana" w:eastAsia="Verdana" w:hAnsi="Verdana" w:cs="Verdana"/>
          <w:sz w:val="20"/>
          <w:szCs w:val="20"/>
          <w:lang w:val="es-CR"/>
        </w:rPr>
        <w:t>e</w:t>
      </w:r>
      <w:r w:rsidRPr="009C5D55">
        <w:rPr>
          <w:rFonts w:ascii="Verdana" w:eastAsia="Verdana" w:hAnsi="Verdana" w:cs="Verdana"/>
          <w:spacing w:val="7"/>
          <w:sz w:val="20"/>
          <w:szCs w:val="20"/>
          <w:lang w:val="es-CR"/>
        </w:rPr>
        <w:t xml:space="preserve"> </w:t>
      </w:r>
      <w:r w:rsidRPr="009C5D55">
        <w:rPr>
          <w:rFonts w:ascii="Verdana" w:eastAsia="Verdana" w:hAnsi="Verdana" w:cs="Verdana"/>
          <w:spacing w:val="-1"/>
          <w:sz w:val="20"/>
          <w:szCs w:val="20"/>
          <w:lang w:val="es-CR"/>
        </w:rPr>
        <w:t>re</w:t>
      </w:r>
      <w:r w:rsidRPr="009C5D55">
        <w:rPr>
          <w:rFonts w:ascii="Verdana" w:eastAsia="Verdana" w:hAnsi="Verdana" w:cs="Verdana"/>
          <w:spacing w:val="3"/>
          <w:sz w:val="20"/>
          <w:szCs w:val="20"/>
          <w:lang w:val="es-CR"/>
        </w:rPr>
        <w:t>i</w:t>
      </w:r>
      <w:r w:rsidRPr="009C5D55">
        <w:rPr>
          <w:rFonts w:ascii="Verdana" w:eastAsia="Verdana" w:hAnsi="Verdana" w:cs="Verdana"/>
          <w:spacing w:val="1"/>
          <w:sz w:val="20"/>
          <w:szCs w:val="20"/>
          <w:lang w:val="es-CR"/>
        </w:rPr>
        <w:t>t</w:t>
      </w:r>
      <w:r w:rsidRPr="009C5D55">
        <w:rPr>
          <w:rFonts w:ascii="Verdana" w:eastAsia="Verdana" w:hAnsi="Verdana" w:cs="Verdana"/>
          <w:spacing w:val="-1"/>
          <w:sz w:val="20"/>
          <w:szCs w:val="20"/>
          <w:lang w:val="es-CR"/>
        </w:rPr>
        <w:t>er</w:t>
      </w:r>
      <w:r w:rsidRPr="009C5D55">
        <w:rPr>
          <w:rFonts w:ascii="Verdana" w:eastAsia="Verdana" w:hAnsi="Verdana" w:cs="Verdana"/>
          <w:sz w:val="20"/>
          <w:szCs w:val="20"/>
          <w:lang w:val="es-CR"/>
        </w:rPr>
        <w:t>a</w:t>
      </w:r>
      <w:r w:rsidRPr="009C5D55">
        <w:rPr>
          <w:rFonts w:ascii="Verdana" w:eastAsia="Verdana" w:hAnsi="Verdana" w:cs="Verdana"/>
          <w:spacing w:val="7"/>
          <w:sz w:val="20"/>
          <w:szCs w:val="20"/>
          <w:lang w:val="es-CR"/>
        </w:rPr>
        <w:t xml:space="preserve"> </w:t>
      </w:r>
      <w:r w:rsidRPr="009C5D55">
        <w:rPr>
          <w:rFonts w:ascii="Verdana" w:eastAsia="Verdana" w:hAnsi="Verdana" w:cs="Verdana"/>
          <w:spacing w:val="1"/>
          <w:sz w:val="20"/>
          <w:szCs w:val="20"/>
          <w:lang w:val="es-CR"/>
        </w:rPr>
        <w:t>qu</w:t>
      </w:r>
      <w:r w:rsidRPr="009C5D55">
        <w:rPr>
          <w:rFonts w:ascii="Verdana" w:eastAsia="Verdana" w:hAnsi="Verdana" w:cs="Verdana"/>
          <w:sz w:val="20"/>
          <w:szCs w:val="20"/>
          <w:lang w:val="es-CR"/>
        </w:rPr>
        <w:t>e</w:t>
      </w:r>
      <w:r w:rsidRPr="009C5D55">
        <w:rPr>
          <w:rFonts w:ascii="Verdana" w:eastAsia="Verdana" w:hAnsi="Verdana" w:cs="Verdana"/>
          <w:spacing w:val="6"/>
          <w:sz w:val="20"/>
          <w:szCs w:val="20"/>
          <w:lang w:val="es-CR"/>
        </w:rPr>
        <w:t xml:space="preserve"> </w:t>
      </w:r>
      <w:r w:rsidRPr="009C5D55">
        <w:rPr>
          <w:rFonts w:ascii="Verdana" w:eastAsia="Verdana" w:hAnsi="Verdana" w:cs="Verdana"/>
          <w:spacing w:val="1"/>
          <w:sz w:val="20"/>
          <w:szCs w:val="20"/>
          <w:lang w:val="es-CR"/>
        </w:rPr>
        <w:t>n</w:t>
      </w:r>
      <w:r w:rsidRPr="009C5D55">
        <w:rPr>
          <w:rFonts w:ascii="Verdana" w:eastAsia="Verdana" w:hAnsi="Verdana" w:cs="Verdana"/>
          <w:sz w:val="20"/>
          <w:szCs w:val="20"/>
          <w:lang w:val="es-CR"/>
        </w:rPr>
        <w:t>o</w:t>
      </w:r>
      <w:r w:rsidRPr="009C5D55">
        <w:rPr>
          <w:rFonts w:ascii="Verdana" w:eastAsia="Verdana" w:hAnsi="Verdana" w:cs="Verdana"/>
          <w:spacing w:val="10"/>
          <w:sz w:val="20"/>
          <w:szCs w:val="20"/>
          <w:lang w:val="es-CR"/>
        </w:rPr>
        <w:t xml:space="preserve"> </w:t>
      </w:r>
      <w:r w:rsidRPr="009C5D55">
        <w:rPr>
          <w:rFonts w:ascii="Verdana" w:eastAsia="Verdana" w:hAnsi="Verdana" w:cs="Verdana"/>
          <w:spacing w:val="1"/>
          <w:sz w:val="20"/>
          <w:szCs w:val="20"/>
          <w:lang w:val="es-CR"/>
        </w:rPr>
        <w:t>e</w:t>
      </w:r>
      <w:r w:rsidRPr="009C5D55">
        <w:rPr>
          <w:rFonts w:ascii="Verdana" w:eastAsia="Verdana" w:hAnsi="Verdana" w:cs="Verdana"/>
          <w:sz w:val="20"/>
          <w:szCs w:val="20"/>
          <w:lang w:val="es-CR"/>
        </w:rPr>
        <w:t>s</w:t>
      </w:r>
      <w:r w:rsidRPr="009C5D55">
        <w:rPr>
          <w:rFonts w:ascii="Verdana" w:eastAsia="Verdana" w:hAnsi="Verdana" w:cs="Verdana"/>
          <w:spacing w:val="8"/>
          <w:sz w:val="20"/>
          <w:szCs w:val="20"/>
          <w:lang w:val="es-CR"/>
        </w:rPr>
        <w:t xml:space="preserve"> </w:t>
      </w:r>
      <w:r w:rsidRPr="009C5D55">
        <w:rPr>
          <w:rFonts w:ascii="Verdana" w:eastAsia="Verdana" w:hAnsi="Verdana" w:cs="Verdana"/>
          <w:sz w:val="20"/>
          <w:szCs w:val="20"/>
          <w:lang w:val="es-CR"/>
        </w:rPr>
        <w:t>suf</w:t>
      </w:r>
      <w:r w:rsidRPr="009C5D55">
        <w:rPr>
          <w:rFonts w:ascii="Verdana" w:eastAsia="Verdana" w:hAnsi="Verdana" w:cs="Verdana"/>
          <w:spacing w:val="3"/>
          <w:sz w:val="20"/>
          <w:szCs w:val="20"/>
          <w:lang w:val="es-CR"/>
        </w:rPr>
        <w:t>i</w:t>
      </w:r>
      <w:r w:rsidRPr="009C5D55">
        <w:rPr>
          <w:rFonts w:ascii="Verdana" w:eastAsia="Verdana" w:hAnsi="Verdana" w:cs="Verdana"/>
          <w:sz w:val="20"/>
          <w:szCs w:val="20"/>
          <w:lang w:val="es-CR"/>
        </w:rPr>
        <w:t>c</w:t>
      </w:r>
      <w:r w:rsidRPr="009C5D55">
        <w:rPr>
          <w:rFonts w:ascii="Verdana" w:eastAsia="Verdana" w:hAnsi="Verdana" w:cs="Verdana"/>
          <w:spacing w:val="2"/>
          <w:sz w:val="20"/>
          <w:szCs w:val="20"/>
          <w:lang w:val="es-CR"/>
        </w:rPr>
        <w:t>i</w:t>
      </w:r>
      <w:r w:rsidRPr="009C5D55">
        <w:rPr>
          <w:rFonts w:ascii="Verdana" w:eastAsia="Verdana" w:hAnsi="Verdana" w:cs="Verdana"/>
          <w:spacing w:val="-1"/>
          <w:sz w:val="20"/>
          <w:szCs w:val="20"/>
          <w:lang w:val="es-CR"/>
        </w:rPr>
        <w:t>e</w:t>
      </w:r>
      <w:r w:rsidRPr="009C5D55">
        <w:rPr>
          <w:rFonts w:ascii="Verdana" w:eastAsia="Verdana" w:hAnsi="Verdana" w:cs="Verdana"/>
          <w:spacing w:val="1"/>
          <w:sz w:val="20"/>
          <w:szCs w:val="20"/>
          <w:lang w:val="es-CR"/>
        </w:rPr>
        <w:t>nt</w:t>
      </w:r>
      <w:r w:rsidRPr="009C5D55">
        <w:rPr>
          <w:rFonts w:ascii="Verdana" w:eastAsia="Verdana" w:hAnsi="Verdana" w:cs="Verdana"/>
          <w:sz w:val="20"/>
          <w:szCs w:val="20"/>
          <w:lang w:val="es-CR"/>
        </w:rPr>
        <w:t xml:space="preserve">e </w:t>
      </w:r>
      <w:r w:rsidRPr="009C5D55">
        <w:rPr>
          <w:rFonts w:ascii="Verdana" w:eastAsia="Verdana" w:hAnsi="Verdana" w:cs="Verdana"/>
          <w:spacing w:val="3"/>
          <w:sz w:val="20"/>
          <w:szCs w:val="20"/>
          <w:lang w:val="es-CR"/>
        </w:rPr>
        <w:t>l</w:t>
      </w:r>
      <w:r w:rsidRPr="009C5D55">
        <w:rPr>
          <w:rFonts w:ascii="Verdana" w:eastAsia="Verdana" w:hAnsi="Verdana" w:cs="Verdana"/>
          <w:sz w:val="20"/>
          <w:szCs w:val="20"/>
          <w:lang w:val="es-CR"/>
        </w:rPr>
        <w:t>a</w:t>
      </w:r>
      <w:r w:rsidRPr="009C5D55">
        <w:rPr>
          <w:rFonts w:ascii="Verdana" w:eastAsia="Verdana" w:hAnsi="Verdana" w:cs="Verdana"/>
          <w:spacing w:val="9"/>
          <w:sz w:val="20"/>
          <w:szCs w:val="20"/>
          <w:lang w:val="es-CR"/>
        </w:rPr>
        <w:t xml:space="preserve"> </w:t>
      </w:r>
      <w:r w:rsidRPr="009C5D55">
        <w:rPr>
          <w:rFonts w:ascii="Verdana" w:eastAsia="Verdana" w:hAnsi="Verdana" w:cs="Verdana"/>
          <w:spacing w:val="-1"/>
          <w:sz w:val="20"/>
          <w:szCs w:val="20"/>
          <w:lang w:val="es-CR"/>
        </w:rPr>
        <w:t>re</w:t>
      </w:r>
      <w:r w:rsidRPr="009C5D55">
        <w:rPr>
          <w:rFonts w:ascii="Verdana" w:eastAsia="Verdana" w:hAnsi="Verdana" w:cs="Verdana"/>
          <w:sz w:val="20"/>
          <w:szCs w:val="20"/>
          <w:lang w:val="es-CR"/>
        </w:rPr>
        <w:t>m</w:t>
      </w:r>
      <w:r w:rsidRPr="009C5D55">
        <w:rPr>
          <w:rFonts w:ascii="Verdana" w:eastAsia="Verdana" w:hAnsi="Verdana" w:cs="Verdana"/>
          <w:spacing w:val="3"/>
          <w:sz w:val="20"/>
          <w:szCs w:val="20"/>
          <w:lang w:val="es-CR"/>
        </w:rPr>
        <w:t>i</w:t>
      </w:r>
      <w:r w:rsidRPr="009C5D55">
        <w:rPr>
          <w:rFonts w:ascii="Verdana" w:eastAsia="Verdana" w:hAnsi="Verdana" w:cs="Verdana"/>
          <w:sz w:val="20"/>
          <w:szCs w:val="20"/>
          <w:lang w:val="es-CR"/>
        </w:rPr>
        <w:t>s</w:t>
      </w:r>
      <w:r w:rsidRPr="009C5D55">
        <w:rPr>
          <w:rFonts w:ascii="Verdana" w:eastAsia="Verdana" w:hAnsi="Verdana" w:cs="Verdana"/>
          <w:spacing w:val="2"/>
          <w:sz w:val="20"/>
          <w:szCs w:val="20"/>
          <w:lang w:val="es-CR"/>
        </w:rPr>
        <w:t>i</w:t>
      </w:r>
      <w:r w:rsidRPr="009C5D55">
        <w:rPr>
          <w:rFonts w:ascii="Verdana" w:eastAsia="Verdana" w:hAnsi="Verdana" w:cs="Verdana"/>
          <w:spacing w:val="-1"/>
          <w:sz w:val="20"/>
          <w:szCs w:val="20"/>
          <w:lang w:val="es-CR"/>
        </w:rPr>
        <w:t>ó</w:t>
      </w:r>
      <w:r w:rsidRPr="009C5D55">
        <w:rPr>
          <w:rFonts w:ascii="Verdana" w:eastAsia="Verdana" w:hAnsi="Verdana" w:cs="Verdana"/>
          <w:sz w:val="20"/>
          <w:szCs w:val="20"/>
          <w:lang w:val="es-CR"/>
        </w:rPr>
        <w:t>n</w:t>
      </w:r>
      <w:r w:rsidRPr="009C5D55">
        <w:rPr>
          <w:rFonts w:ascii="Verdana" w:eastAsia="Verdana" w:hAnsi="Verdana" w:cs="Verdana"/>
          <w:spacing w:val="3"/>
          <w:sz w:val="20"/>
          <w:szCs w:val="20"/>
          <w:lang w:val="es-CR"/>
        </w:rPr>
        <w:t xml:space="preserve"> </w:t>
      </w:r>
      <w:r w:rsidRPr="009C5D55">
        <w:rPr>
          <w:rFonts w:ascii="Verdana" w:eastAsia="Verdana" w:hAnsi="Verdana" w:cs="Verdana"/>
          <w:spacing w:val="1"/>
          <w:sz w:val="20"/>
          <w:szCs w:val="20"/>
          <w:lang w:val="es-CR"/>
        </w:rPr>
        <w:t>d</w:t>
      </w:r>
      <w:r w:rsidRPr="009C5D55">
        <w:rPr>
          <w:rFonts w:ascii="Verdana" w:eastAsia="Verdana" w:hAnsi="Verdana" w:cs="Verdana"/>
          <w:sz w:val="20"/>
          <w:szCs w:val="20"/>
          <w:lang w:val="es-CR"/>
        </w:rPr>
        <w:t>e</w:t>
      </w:r>
      <w:r w:rsidRPr="009C5D55">
        <w:rPr>
          <w:rFonts w:ascii="Verdana" w:eastAsia="Verdana" w:hAnsi="Verdana" w:cs="Verdana"/>
          <w:spacing w:val="8"/>
          <w:sz w:val="20"/>
          <w:szCs w:val="20"/>
          <w:lang w:val="es-CR"/>
        </w:rPr>
        <w:t xml:space="preserve"> </w:t>
      </w:r>
      <w:r w:rsidRPr="009C5D55">
        <w:rPr>
          <w:rFonts w:ascii="Verdana" w:eastAsia="Verdana" w:hAnsi="Verdana" w:cs="Verdana"/>
          <w:spacing w:val="1"/>
          <w:sz w:val="20"/>
          <w:szCs w:val="20"/>
          <w:lang w:val="es-CR"/>
        </w:rPr>
        <w:t>d</w:t>
      </w:r>
      <w:r w:rsidRPr="009C5D55">
        <w:rPr>
          <w:rFonts w:ascii="Verdana" w:eastAsia="Verdana" w:hAnsi="Verdana" w:cs="Verdana"/>
          <w:spacing w:val="-1"/>
          <w:sz w:val="20"/>
          <w:szCs w:val="20"/>
          <w:lang w:val="es-CR"/>
        </w:rPr>
        <w:t>o</w:t>
      </w:r>
      <w:r w:rsidRPr="009C5D55">
        <w:rPr>
          <w:rFonts w:ascii="Verdana" w:eastAsia="Verdana" w:hAnsi="Verdana" w:cs="Verdana"/>
          <w:sz w:val="20"/>
          <w:szCs w:val="20"/>
          <w:lang w:val="es-CR"/>
        </w:rPr>
        <w:t>cu</w:t>
      </w:r>
      <w:r w:rsidRPr="009C5D55">
        <w:rPr>
          <w:rFonts w:ascii="Verdana" w:eastAsia="Verdana" w:hAnsi="Verdana" w:cs="Verdana"/>
          <w:spacing w:val="3"/>
          <w:sz w:val="20"/>
          <w:szCs w:val="20"/>
          <w:lang w:val="es-CR"/>
        </w:rPr>
        <w:t>m</w:t>
      </w:r>
      <w:r w:rsidRPr="009C5D55">
        <w:rPr>
          <w:rFonts w:ascii="Verdana" w:eastAsia="Verdana" w:hAnsi="Verdana" w:cs="Verdana"/>
          <w:spacing w:val="1"/>
          <w:sz w:val="20"/>
          <w:szCs w:val="20"/>
          <w:lang w:val="es-CR"/>
        </w:rPr>
        <w:t>ent</w:t>
      </w:r>
      <w:r w:rsidRPr="009C5D55">
        <w:rPr>
          <w:rFonts w:ascii="Verdana" w:eastAsia="Verdana" w:hAnsi="Verdana" w:cs="Verdana"/>
          <w:spacing w:val="-1"/>
          <w:sz w:val="20"/>
          <w:szCs w:val="20"/>
          <w:lang w:val="es-CR"/>
        </w:rPr>
        <w:t>o</w:t>
      </w:r>
      <w:r w:rsidRPr="009C5D55">
        <w:rPr>
          <w:rFonts w:ascii="Verdana" w:eastAsia="Verdana" w:hAnsi="Verdana" w:cs="Verdana"/>
          <w:sz w:val="20"/>
          <w:szCs w:val="20"/>
          <w:lang w:val="es-CR"/>
        </w:rPr>
        <w:t>s</w:t>
      </w:r>
      <w:r w:rsidRPr="009C5D55">
        <w:rPr>
          <w:rFonts w:ascii="Verdana" w:eastAsia="Verdana" w:hAnsi="Verdana" w:cs="Verdana"/>
          <w:spacing w:val="-2"/>
          <w:sz w:val="20"/>
          <w:szCs w:val="20"/>
          <w:lang w:val="es-CR"/>
        </w:rPr>
        <w:t xml:space="preserve"> </w:t>
      </w:r>
      <w:r w:rsidRPr="009C5D55">
        <w:rPr>
          <w:rFonts w:ascii="Verdana" w:eastAsia="Verdana" w:hAnsi="Verdana" w:cs="Verdana"/>
          <w:spacing w:val="1"/>
          <w:sz w:val="20"/>
          <w:szCs w:val="20"/>
          <w:lang w:val="es-CR"/>
        </w:rPr>
        <w:t>pr</w:t>
      </w:r>
      <w:r w:rsidRPr="009C5D55">
        <w:rPr>
          <w:rFonts w:ascii="Verdana" w:eastAsia="Verdana" w:hAnsi="Verdana" w:cs="Verdana"/>
          <w:spacing w:val="-1"/>
          <w:sz w:val="20"/>
          <w:szCs w:val="20"/>
          <w:lang w:val="es-CR"/>
        </w:rPr>
        <w:t>o</w:t>
      </w:r>
      <w:r w:rsidRPr="009C5D55">
        <w:rPr>
          <w:rFonts w:ascii="Verdana" w:eastAsia="Verdana" w:hAnsi="Verdana" w:cs="Verdana"/>
          <w:spacing w:val="1"/>
          <w:sz w:val="20"/>
          <w:szCs w:val="20"/>
          <w:lang w:val="es-CR"/>
        </w:rPr>
        <w:t>b</w:t>
      </w:r>
      <w:r w:rsidRPr="009C5D55">
        <w:rPr>
          <w:rFonts w:ascii="Verdana" w:eastAsia="Verdana" w:hAnsi="Verdana" w:cs="Verdana"/>
          <w:sz w:val="20"/>
          <w:szCs w:val="20"/>
          <w:lang w:val="es-CR"/>
        </w:rPr>
        <w:t>a</w:t>
      </w:r>
      <w:r w:rsidRPr="009C5D55">
        <w:rPr>
          <w:rFonts w:ascii="Verdana" w:eastAsia="Verdana" w:hAnsi="Verdana" w:cs="Verdana"/>
          <w:spacing w:val="1"/>
          <w:sz w:val="20"/>
          <w:szCs w:val="20"/>
          <w:lang w:val="es-CR"/>
        </w:rPr>
        <w:t>to</w:t>
      </w:r>
      <w:r w:rsidRPr="009C5D55">
        <w:rPr>
          <w:rFonts w:ascii="Verdana" w:eastAsia="Verdana" w:hAnsi="Verdana" w:cs="Verdana"/>
          <w:spacing w:val="-1"/>
          <w:sz w:val="20"/>
          <w:szCs w:val="20"/>
          <w:lang w:val="es-CR"/>
        </w:rPr>
        <w:t>r</w:t>
      </w:r>
      <w:r w:rsidRPr="009C5D55">
        <w:rPr>
          <w:rFonts w:ascii="Verdana" w:eastAsia="Verdana" w:hAnsi="Verdana" w:cs="Verdana"/>
          <w:spacing w:val="3"/>
          <w:sz w:val="20"/>
          <w:szCs w:val="20"/>
          <w:lang w:val="es-CR"/>
        </w:rPr>
        <w:t>i</w:t>
      </w:r>
      <w:r w:rsidRPr="009C5D55">
        <w:rPr>
          <w:rFonts w:ascii="Verdana" w:eastAsia="Verdana" w:hAnsi="Verdana" w:cs="Verdana"/>
          <w:spacing w:val="-1"/>
          <w:sz w:val="20"/>
          <w:szCs w:val="20"/>
          <w:lang w:val="es-CR"/>
        </w:rPr>
        <w:t>o</w:t>
      </w:r>
      <w:r w:rsidRPr="009C5D55">
        <w:rPr>
          <w:rFonts w:ascii="Verdana" w:eastAsia="Verdana" w:hAnsi="Verdana" w:cs="Verdana"/>
          <w:sz w:val="20"/>
          <w:szCs w:val="20"/>
          <w:lang w:val="es-CR"/>
        </w:rPr>
        <w:t>s,</w:t>
      </w:r>
      <w:r w:rsidRPr="009C5D55">
        <w:rPr>
          <w:rFonts w:ascii="Verdana" w:eastAsia="Verdana" w:hAnsi="Verdana" w:cs="Verdana"/>
          <w:spacing w:val="1"/>
          <w:sz w:val="20"/>
          <w:szCs w:val="20"/>
          <w:lang w:val="es-CR"/>
        </w:rPr>
        <w:t xml:space="preserve"> </w:t>
      </w:r>
      <w:r w:rsidRPr="009C5D55">
        <w:rPr>
          <w:rFonts w:ascii="Verdana" w:eastAsia="Verdana" w:hAnsi="Verdana" w:cs="Verdana"/>
          <w:sz w:val="20"/>
          <w:szCs w:val="20"/>
          <w:lang w:val="es-CR"/>
        </w:rPr>
        <w:t>s</w:t>
      </w:r>
      <w:r w:rsidRPr="009C5D55">
        <w:rPr>
          <w:rFonts w:ascii="Verdana" w:eastAsia="Verdana" w:hAnsi="Verdana" w:cs="Verdana"/>
          <w:spacing w:val="2"/>
          <w:sz w:val="20"/>
          <w:szCs w:val="20"/>
          <w:lang w:val="es-CR"/>
        </w:rPr>
        <w:t>i</w:t>
      </w:r>
      <w:r w:rsidRPr="009C5D55">
        <w:rPr>
          <w:rFonts w:ascii="Verdana" w:eastAsia="Verdana" w:hAnsi="Verdana" w:cs="Verdana"/>
          <w:spacing w:val="1"/>
          <w:sz w:val="20"/>
          <w:szCs w:val="20"/>
          <w:lang w:val="es-CR"/>
        </w:rPr>
        <w:t>n</w:t>
      </w:r>
      <w:r w:rsidRPr="009C5D55">
        <w:rPr>
          <w:rFonts w:ascii="Verdana" w:eastAsia="Verdana" w:hAnsi="Verdana" w:cs="Verdana"/>
          <w:sz w:val="20"/>
          <w:szCs w:val="20"/>
          <w:lang w:val="es-CR"/>
        </w:rPr>
        <w:t>o</w:t>
      </w:r>
      <w:r w:rsidRPr="009C5D55">
        <w:rPr>
          <w:rFonts w:ascii="Verdana" w:eastAsia="Verdana" w:hAnsi="Verdana" w:cs="Verdana"/>
          <w:spacing w:val="6"/>
          <w:sz w:val="20"/>
          <w:szCs w:val="20"/>
          <w:lang w:val="es-CR"/>
        </w:rPr>
        <w:t xml:space="preserve"> </w:t>
      </w:r>
      <w:r w:rsidRPr="009C5D55">
        <w:rPr>
          <w:rFonts w:ascii="Verdana" w:eastAsia="Verdana" w:hAnsi="Verdana" w:cs="Verdana"/>
          <w:spacing w:val="1"/>
          <w:sz w:val="20"/>
          <w:szCs w:val="20"/>
          <w:lang w:val="es-CR"/>
        </w:rPr>
        <w:t>qu</w:t>
      </w:r>
      <w:r w:rsidRPr="009C5D55">
        <w:rPr>
          <w:rFonts w:ascii="Verdana" w:eastAsia="Verdana" w:hAnsi="Verdana" w:cs="Verdana"/>
          <w:sz w:val="20"/>
          <w:szCs w:val="20"/>
          <w:lang w:val="es-CR"/>
        </w:rPr>
        <w:t>e</w:t>
      </w:r>
      <w:r w:rsidRPr="009C5D55">
        <w:rPr>
          <w:rFonts w:ascii="Verdana" w:eastAsia="Verdana" w:hAnsi="Verdana" w:cs="Verdana"/>
          <w:spacing w:val="6"/>
          <w:sz w:val="20"/>
          <w:szCs w:val="20"/>
          <w:lang w:val="es-CR"/>
        </w:rPr>
        <w:t xml:space="preserve"> </w:t>
      </w:r>
      <w:r w:rsidRPr="009C5D55">
        <w:rPr>
          <w:rFonts w:ascii="Verdana" w:eastAsia="Verdana" w:hAnsi="Verdana" w:cs="Verdana"/>
          <w:spacing w:val="2"/>
          <w:sz w:val="20"/>
          <w:szCs w:val="20"/>
          <w:lang w:val="es-CR"/>
        </w:rPr>
        <w:t>s</w:t>
      </w:r>
      <w:r w:rsidRPr="009C5D55">
        <w:rPr>
          <w:rFonts w:ascii="Verdana" w:eastAsia="Verdana" w:hAnsi="Verdana" w:cs="Verdana"/>
          <w:sz w:val="20"/>
          <w:szCs w:val="20"/>
          <w:lang w:val="es-CR"/>
        </w:rPr>
        <w:t xml:space="preserve">e </w:t>
      </w:r>
      <w:r w:rsidRPr="009C5D55">
        <w:rPr>
          <w:rFonts w:ascii="Verdana" w:eastAsia="Verdana" w:hAnsi="Verdana" w:cs="Verdana"/>
          <w:spacing w:val="-1"/>
          <w:sz w:val="20"/>
          <w:szCs w:val="20"/>
          <w:lang w:val="es-CR"/>
        </w:rPr>
        <w:t>re</w:t>
      </w:r>
      <w:r w:rsidRPr="009C5D55">
        <w:rPr>
          <w:rFonts w:ascii="Verdana" w:eastAsia="Verdana" w:hAnsi="Verdana" w:cs="Verdana"/>
          <w:spacing w:val="1"/>
          <w:sz w:val="20"/>
          <w:szCs w:val="20"/>
          <w:lang w:val="es-CR"/>
        </w:rPr>
        <w:t>qu</w:t>
      </w:r>
      <w:r w:rsidRPr="009C5D55">
        <w:rPr>
          <w:rFonts w:ascii="Verdana" w:eastAsia="Verdana" w:hAnsi="Verdana" w:cs="Verdana"/>
          <w:spacing w:val="3"/>
          <w:sz w:val="20"/>
          <w:szCs w:val="20"/>
          <w:lang w:val="es-CR"/>
        </w:rPr>
        <w:t>i</w:t>
      </w:r>
      <w:r w:rsidRPr="009C5D55">
        <w:rPr>
          <w:rFonts w:ascii="Verdana" w:eastAsia="Verdana" w:hAnsi="Verdana" w:cs="Verdana"/>
          <w:spacing w:val="-1"/>
          <w:sz w:val="20"/>
          <w:szCs w:val="20"/>
          <w:lang w:val="es-CR"/>
        </w:rPr>
        <w:t>e</w:t>
      </w:r>
      <w:r w:rsidRPr="009C5D55">
        <w:rPr>
          <w:rFonts w:ascii="Verdana" w:eastAsia="Verdana" w:hAnsi="Verdana" w:cs="Verdana"/>
          <w:spacing w:val="1"/>
          <w:sz w:val="20"/>
          <w:szCs w:val="20"/>
          <w:lang w:val="es-CR"/>
        </w:rPr>
        <w:t>r</w:t>
      </w:r>
      <w:r w:rsidRPr="009C5D55">
        <w:rPr>
          <w:rFonts w:ascii="Verdana" w:eastAsia="Verdana" w:hAnsi="Verdana" w:cs="Verdana"/>
          <w:sz w:val="20"/>
          <w:szCs w:val="20"/>
          <w:lang w:val="es-CR"/>
        </w:rPr>
        <w:t>e</w:t>
      </w:r>
      <w:r w:rsidRPr="009C5D55">
        <w:rPr>
          <w:rFonts w:ascii="Verdana" w:eastAsia="Verdana" w:hAnsi="Verdana" w:cs="Verdana"/>
          <w:spacing w:val="33"/>
          <w:sz w:val="20"/>
          <w:szCs w:val="20"/>
          <w:lang w:val="es-CR"/>
        </w:rPr>
        <w:t xml:space="preserve"> </w:t>
      </w:r>
      <w:r w:rsidRPr="009C5D55">
        <w:rPr>
          <w:rFonts w:ascii="Verdana" w:eastAsia="Verdana" w:hAnsi="Verdana" w:cs="Verdana"/>
          <w:spacing w:val="1"/>
          <w:sz w:val="20"/>
          <w:szCs w:val="20"/>
          <w:lang w:val="es-CR"/>
        </w:rPr>
        <w:t>qu</w:t>
      </w:r>
      <w:r w:rsidRPr="009C5D55">
        <w:rPr>
          <w:rFonts w:ascii="Verdana" w:eastAsia="Verdana" w:hAnsi="Verdana" w:cs="Verdana"/>
          <w:sz w:val="20"/>
          <w:szCs w:val="20"/>
          <w:lang w:val="es-CR"/>
        </w:rPr>
        <w:t>e</w:t>
      </w:r>
      <w:r w:rsidRPr="009C5D55">
        <w:rPr>
          <w:rFonts w:ascii="Verdana" w:eastAsia="Verdana" w:hAnsi="Verdana" w:cs="Verdana"/>
          <w:spacing w:val="38"/>
          <w:sz w:val="20"/>
          <w:szCs w:val="20"/>
          <w:lang w:val="es-CR"/>
        </w:rPr>
        <w:t xml:space="preserve"> </w:t>
      </w:r>
      <w:r w:rsidRPr="009C5D55">
        <w:rPr>
          <w:rFonts w:ascii="Verdana" w:eastAsia="Verdana" w:hAnsi="Verdana" w:cs="Verdana"/>
          <w:spacing w:val="3"/>
          <w:sz w:val="20"/>
          <w:szCs w:val="20"/>
          <w:lang w:val="es-CR"/>
        </w:rPr>
        <w:t>l</w:t>
      </w:r>
      <w:r w:rsidRPr="009C5D55">
        <w:rPr>
          <w:rFonts w:ascii="Verdana" w:eastAsia="Verdana" w:hAnsi="Verdana" w:cs="Verdana"/>
          <w:sz w:val="20"/>
          <w:szCs w:val="20"/>
          <w:lang w:val="es-CR"/>
        </w:rPr>
        <w:t>as</w:t>
      </w:r>
      <w:r w:rsidRPr="009C5D55">
        <w:rPr>
          <w:rFonts w:ascii="Verdana" w:eastAsia="Verdana" w:hAnsi="Verdana" w:cs="Verdana"/>
          <w:spacing w:val="40"/>
          <w:sz w:val="20"/>
          <w:szCs w:val="20"/>
          <w:lang w:val="es-CR"/>
        </w:rPr>
        <w:t xml:space="preserve"> </w:t>
      </w:r>
      <w:r w:rsidRPr="009C5D55">
        <w:rPr>
          <w:rFonts w:ascii="Verdana" w:eastAsia="Verdana" w:hAnsi="Verdana" w:cs="Verdana"/>
          <w:spacing w:val="1"/>
          <w:sz w:val="20"/>
          <w:szCs w:val="20"/>
          <w:lang w:val="es-CR"/>
        </w:rPr>
        <w:t>p</w:t>
      </w:r>
      <w:r w:rsidRPr="009C5D55">
        <w:rPr>
          <w:rFonts w:ascii="Verdana" w:eastAsia="Verdana" w:hAnsi="Verdana" w:cs="Verdana"/>
          <w:sz w:val="20"/>
          <w:szCs w:val="20"/>
          <w:lang w:val="es-CR"/>
        </w:rPr>
        <w:t>a</w:t>
      </w:r>
      <w:r w:rsidRPr="009C5D55">
        <w:rPr>
          <w:rFonts w:ascii="Verdana" w:eastAsia="Verdana" w:hAnsi="Verdana" w:cs="Verdana"/>
          <w:spacing w:val="-1"/>
          <w:sz w:val="20"/>
          <w:szCs w:val="20"/>
          <w:lang w:val="es-CR"/>
        </w:rPr>
        <w:t>r</w:t>
      </w:r>
      <w:r w:rsidRPr="009C5D55">
        <w:rPr>
          <w:rFonts w:ascii="Verdana" w:eastAsia="Verdana" w:hAnsi="Verdana" w:cs="Verdana"/>
          <w:spacing w:val="1"/>
          <w:sz w:val="20"/>
          <w:szCs w:val="20"/>
          <w:lang w:val="es-CR"/>
        </w:rPr>
        <w:t>te</w:t>
      </w:r>
      <w:r w:rsidRPr="009C5D55">
        <w:rPr>
          <w:rFonts w:ascii="Verdana" w:eastAsia="Verdana" w:hAnsi="Verdana" w:cs="Verdana"/>
          <w:sz w:val="20"/>
          <w:szCs w:val="20"/>
          <w:lang w:val="es-CR"/>
        </w:rPr>
        <w:t>s</w:t>
      </w:r>
      <w:r w:rsidRPr="009C5D55">
        <w:rPr>
          <w:rFonts w:ascii="Verdana" w:eastAsia="Verdana" w:hAnsi="Verdana" w:cs="Verdana"/>
          <w:spacing w:val="37"/>
          <w:sz w:val="20"/>
          <w:szCs w:val="20"/>
          <w:lang w:val="es-CR"/>
        </w:rPr>
        <w:t xml:space="preserve"> </w:t>
      </w:r>
      <w:r w:rsidRPr="009C5D55">
        <w:rPr>
          <w:rFonts w:ascii="Verdana" w:eastAsia="Verdana" w:hAnsi="Verdana" w:cs="Verdana"/>
          <w:spacing w:val="1"/>
          <w:sz w:val="20"/>
          <w:szCs w:val="20"/>
          <w:lang w:val="es-CR"/>
        </w:rPr>
        <w:t>h</w:t>
      </w:r>
      <w:r w:rsidRPr="009C5D55">
        <w:rPr>
          <w:rFonts w:ascii="Verdana" w:eastAsia="Verdana" w:hAnsi="Verdana" w:cs="Verdana"/>
          <w:sz w:val="20"/>
          <w:szCs w:val="20"/>
          <w:lang w:val="es-CR"/>
        </w:rPr>
        <w:t>a</w:t>
      </w:r>
      <w:r w:rsidRPr="009C5D55">
        <w:rPr>
          <w:rFonts w:ascii="Verdana" w:eastAsia="Verdana" w:hAnsi="Verdana" w:cs="Verdana"/>
          <w:spacing w:val="1"/>
          <w:sz w:val="20"/>
          <w:szCs w:val="20"/>
          <w:lang w:val="es-CR"/>
        </w:rPr>
        <w:t>g</w:t>
      </w:r>
      <w:r w:rsidRPr="009C5D55">
        <w:rPr>
          <w:rFonts w:ascii="Verdana" w:eastAsia="Verdana" w:hAnsi="Verdana" w:cs="Verdana"/>
          <w:sz w:val="20"/>
          <w:szCs w:val="20"/>
          <w:lang w:val="es-CR"/>
        </w:rPr>
        <w:t>an</w:t>
      </w:r>
      <w:r w:rsidRPr="009C5D55">
        <w:rPr>
          <w:rFonts w:ascii="Verdana" w:eastAsia="Verdana" w:hAnsi="Verdana" w:cs="Verdana"/>
          <w:spacing w:val="37"/>
          <w:sz w:val="20"/>
          <w:szCs w:val="20"/>
          <w:lang w:val="es-CR"/>
        </w:rPr>
        <w:t xml:space="preserve"> </w:t>
      </w:r>
      <w:r w:rsidRPr="009C5D55">
        <w:rPr>
          <w:rFonts w:ascii="Verdana" w:eastAsia="Verdana" w:hAnsi="Verdana" w:cs="Verdana"/>
          <w:spacing w:val="1"/>
          <w:sz w:val="20"/>
          <w:szCs w:val="20"/>
          <w:lang w:val="es-CR"/>
        </w:rPr>
        <w:t>un</w:t>
      </w:r>
      <w:r w:rsidRPr="009C5D55">
        <w:rPr>
          <w:rFonts w:ascii="Verdana" w:eastAsia="Verdana" w:hAnsi="Verdana" w:cs="Verdana"/>
          <w:sz w:val="20"/>
          <w:szCs w:val="20"/>
          <w:lang w:val="es-CR"/>
        </w:rPr>
        <w:t>a</w:t>
      </w:r>
      <w:r w:rsidRPr="009C5D55">
        <w:rPr>
          <w:rFonts w:ascii="Verdana" w:eastAsia="Verdana" w:hAnsi="Verdana" w:cs="Verdana"/>
          <w:spacing w:val="39"/>
          <w:sz w:val="20"/>
          <w:szCs w:val="20"/>
          <w:lang w:val="es-CR"/>
        </w:rPr>
        <w:t xml:space="preserve"> </w:t>
      </w:r>
      <w:r w:rsidRPr="009C5D55">
        <w:rPr>
          <w:rFonts w:ascii="Verdana" w:eastAsia="Verdana" w:hAnsi="Verdana" w:cs="Verdana"/>
          <w:sz w:val="20"/>
          <w:szCs w:val="20"/>
          <w:lang w:val="es-CR"/>
        </w:rPr>
        <w:t>a</w:t>
      </w:r>
      <w:r w:rsidRPr="009C5D55">
        <w:rPr>
          <w:rFonts w:ascii="Verdana" w:eastAsia="Verdana" w:hAnsi="Verdana" w:cs="Verdana"/>
          <w:spacing w:val="-1"/>
          <w:sz w:val="20"/>
          <w:szCs w:val="20"/>
          <w:lang w:val="es-CR"/>
        </w:rPr>
        <w:t>r</w:t>
      </w:r>
      <w:r w:rsidRPr="009C5D55">
        <w:rPr>
          <w:rFonts w:ascii="Verdana" w:eastAsia="Verdana" w:hAnsi="Verdana" w:cs="Verdana"/>
          <w:spacing w:val="1"/>
          <w:sz w:val="20"/>
          <w:szCs w:val="20"/>
          <w:lang w:val="es-CR"/>
        </w:rPr>
        <w:t>gu</w:t>
      </w:r>
      <w:r w:rsidRPr="009C5D55">
        <w:rPr>
          <w:rFonts w:ascii="Verdana" w:eastAsia="Verdana" w:hAnsi="Verdana" w:cs="Verdana"/>
          <w:sz w:val="20"/>
          <w:szCs w:val="20"/>
          <w:lang w:val="es-CR"/>
        </w:rPr>
        <w:t>men</w:t>
      </w:r>
      <w:r w:rsidRPr="009C5D55">
        <w:rPr>
          <w:rFonts w:ascii="Verdana" w:eastAsia="Verdana" w:hAnsi="Verdana" w:cs="Verdana"/>
          <w:spacing w:val="1"/>
          <w:sz w:val="20"/>
          <w:szCs w:val="20"/>
          <w:lang w:val="es-CR"/>
        </w:rPr>
        <w:t>t</w:t>
      </w:r>
      <w:r w:rsidRPr="009C5D55">
        <w:rPr>
          <w:rFonts w:ascii="Verdana" w:eastAsia="Verdana" w:hAnsi="Verdana" w:cs="Verdana"/>
          <w:spacing w:val="6"/>
          <w:sz w:val="20"/>
          <w:szCs w:val="20"/>
          <w:lang w:val="es-CR"/>
        </w:rPr>
        <w:t>a</w:t>
      </w:r>
      <w:r w:rsidRPr="009C5D55">
        <w:rPr>
          <w:rFonts w:ascii="Verdana" w:eastAsia="Verdana" w:hAnsi="Verdana" w:cs="Verdana"/>
          <w:sz w:val="20"/>
          <w:szCs w:val="20"/>
          <w:lang w:val="es-CR"/>
        </w:rPr>
        <w:t>c</w:t>
      </w:r>
      <w:r w:rsidRPr="009C5D55">
        <w:rPr>
          <w:rFonts w:ascii="Verdana" w:eastAsia="Verdana" w:hAnsi="Verdana" w:cs="Verdana"/>
          <w:spacing w:val="2"/>
          <w:sz w:val="20"/>
          <w:szCs w:val="20"/>
          <w:lang w:val="es-CR"/>
        </w:rPr>
        <w:t>i</w:t>
      </w:r>
      <w:r w:rsidRPr="009C5D55">
        <w:rPr>
          <w:rFonts w:ascii="Verdana" w:eastAsia="Verdana" w:hAnsi="Verdana" w:cs="Verdana"/>
          <w:spacing w:val="-1"/>
          <w:sz w:val="20"/>
          <w:szCs w:val="20"/>
          <w:lang w:val="es-CR"/>
        </w:rPr>
        <w:t>ó</w:t>
      </w:r>
      <w:r w:rsidRPr="009C5D55">
        <w:rPr>
          <w:rFonts w:ascii="Verdana" w:eastAsia="Verdana" w:hAnsi="Verdana" w:cs="Verdana"/>
          <w:sz w:val="20"/>
          <w:szCs w:val="20"/>
          <w:lang w:val="es-CR"/>
        </w:rPr>
        <w:t>n</w:t>
      </w:r>
      <w:r w:rsidRPr="009C5D55">
        <w:rPr>
          <w:rFonts w:ascii="Verdana" w:eastAsia="Verdana" w:hAnsi="Verdana" w:cs="Verdana"/>
          <w:spacing w:val="28"/>
          <w:sz w:val="20"/>
          <w:szCs w:val="20"/>
          <w:lang w:val="es-CR"/>
        </w:rPr>
        <w:t xml:space="preserve"> </w:t>
      </w:r>
      <w:r w:rsidRPr="009C5D55">
        <w:rPr>
          <w:rFonts w:ascii="Verdana" w:eastAsia="Verdana" w:hAnsi="Verdana" w:cs="Verdana"/>
          <w:spacing w:val="1"/>
          <w:sz w:val="20"/>
          <w:szCs w:val="20"/>
          <w:lang w:val="es-CR"/>
        </w:rPr>
        <w:t>qu</w:t>
      </w:r>
      <w:r w:rsidRPr="009C5D55">
        <w:rPr>
          <w:rFonts w:ascii="Verdana" w:eastAsia="Verdana" w:hAnsi="Verdana" w:cs="Verdana"/>
          <w:sz w:val="20"/>
          <w:szCs w:val="20"/>
          <w:lang w:val="es-CR"/>
        </w:rPr>
        <w:t>e</w:t>
      </w:r>
      <w:r w:rsidRPr="009C5D55">
        <w:rPr>
          <w:rFonts w:ascii="Verdana" w:eastAsia="Verdana" w:hAnsi="Verdana" w:cs="Verdana"/>
          <w:spacing w:val="38"/>
          <w:sz w:val="20"/>
          <w:szCs w:val="20"/>
          <w:lang w:val="es-CR"/>
        </w:rPr>
        <w:t xml:space="preserve"> </w:t>
      </w:r>
      <w:r w:rsidRPr="009C5D55">
        <w:rPr>
          <w:rFonts w:ascii="Verdana" w:eastAsia="Verdana" w:hAnsi="Verdana" w:cs="Verdana"/>
          <w:spacing w:val="-1"/>
          <w:sz w:val="20"/>
          <w:szCs w:val="20"/>
          <w:lang w:val="es-CR"/>
        </w:rPr>
        <w:t>re</w:t>
      </w:r>
      <w:r w:rsidRPr="009C5D55">
        <w:rPr>
          <w:rFonts w:ascii="Verdana" w:eastAsia="Verdana" w:hAnsi="Verdana" w:cs="Verdana"/>
          <w:spacing w:val="3"/>
          <w:sz w:val="20"/>
          <w:szCs w:val="20"/>
          <w:lang w:val="es-CR"/>
        </w:rPr>
        <w:t>l</w:t>
      </w:r>
      <w:r w:rsidRPr="009C5D55">
        <w:rPr>
          <w:rFonts w:ascii="Verdana" w:eastAsia="Verdana" w:hAnsi="Verdana" w:cs="Verdana"/>
          <w:sz w:val="20"/>
          <w:szCs w:val="20"/>
          <w:lang w:val="es-CR"/>
        </w:rPr>
        <w:t>ac</w:t>
      </w:r>
      <w:r w:rsidRPr="009C5D55">
        <w:rPr>
          <w:rFonts w:ascii="Verdana" w:eastAsia="Verdana" w:hAnsi="Verdana" w:cs="Verdana"/>
          <w:spacing w:val="3"/>
          <w:sz w:val="20"/>
          <w:szCs w:val="20"/>
          <w:lang w:val="es-CR"/>
        </w:rPr>
        <w:t>i</w:t>
      </w:r>
      <w:r w:rsidRPr="009C5D55">
        <w:rPr>
          <w:rFonts w:ascii="Verdana" w:eastAsia="Verdana" w:hAnsi="Verdana" w:cs="Verdana"/>
          <w:spacing w:val="-1"/>
          <w:sz w:val="20"/>
          <w:szCs w:val="20"/>
          <w:lang w:val="es-CR"/>
        </w:rPr>
        <w:t>o</w:t>
      </w:r>
      <w:r w:rsidRPr="009C5D55">
        <w:rPr>
          <w:rFonts w:ascii="Verdana" w:eastAsia="Verdana" w:hAnsi="Verdana" w:cs="Verdana"/>
          <w:spacing w:val="1"/>
          <w:sz w:val="20"/>
          <w:szCs w:val="20"/>
          <w:lang w:val="es-CR"/>
        </w:rPr>
        <w:t>n</w:t>
      </w:r>
      <w:r w:rsidRPr="009C5D55">
        <w:rPr>
          <w:rFonts w:ascii="Verdana" w:eastAsia="Verdana" w:hAnsi="Verdana" w:cs="Verdana"/>
          <w:sz w:val="20"/>
          <w:szCs w:val="20"/>
          <w:lang w:val="es-CR"/>
        </w:rPr>
        <w:t>e</w:t>
      </w:r>
      <w:r w:rsidRPr="009C5D55">
        <w:rPr>
          <w:rFonts w:ascii="Verdana" w:eastAsia="Verdana" w:hAnsi="Verdana" w:cs="Verdana"/>
          <w:spacing w:val="32"/>
          <w:sz w:val="20"/>
          <w:szCs w:val="20"/>
          <w:lang w:val="es-CR"/>
        </w:rPr>
        <w:t xml:space="preserve"> </w:t>
      </w:r>
      <w:r w:rsidRPr="009C5D55">
        <w:rPr>
          <w:rFonts w:ascii="Verdana" w:eastAsia="Verdana" w:hAnsi="Verdana" w:cs="Verdana"/>
          <w:spacing w:val="3"/>
          <w:sz w:val="20"/>
          <w:szCs w:val="20"/>
          <w:lang w:val="es-CR"/>
        </w:rPr>
        <w:t>l</w:t>
      </w:r>
      <w:r w:rsidRPr="009C5D55">
        <w:rPr>
          <w:rFonts w:ascii="Verdana" w:eastAsia="Verdana" w:hAnsi="Verdana" w:cs="Verdana"/>
          <w:sz w:val="20"/>
          <w:szCs w:val="20"/>
          <w:lang w:val="es-CR"/>
        </w:rPr>
        <w:t>a</w:t>
      </w:r>
      <w:r w:rsidRPr="009C5D55">
        <w:rPr>
          <w:rFonts w:ascii="Verdana" w:eastAsia="Verdana" w:hAnsi="Verdana" w:cs="Verdana"/>
          <w:spacing w:val="41"/>
          <w:sz w:val="20"/>
          <w:szCs w:val="20"/>
          <w:lang w:val="es-CR"/>
        </w:rPr>
        <w:t xml:space="preserve"> </w:t>
      </w:r>
      <w:r w:rsidRPr="009C5D55">
        <w:rPr>
          <w:rFonts w:ascii="Verdana" w:eastAsia="Verdana" w:hAnsi="Verdana" w:cs="Verdana"/>
          <w:spacing w:val="-2"/>
          <w:sz w:val="20"/>
          <w:szCs w:val="20"/>
          <w:lang w:val="es-CR"/>
        </w:rPr>
        <w:t>p</w:t>
      </w:r>
      <w:r w:rsidRPr="009C5D55">
        <w:rPr>
          <w:rFonts w:ascii="Verdana" w:eastAsia="Verdana" w:hAnsi="Verdana" w:cs="Verdana"/>
          <w:spacing w:val="-1"/>
          <w:sz w:val="20"/>
          <w:szCs w:val="20"/>
          <w:lang w:val="es-CR"/>
        </w:rPr>
        <w:t>r</w:t>
      </w:r>
      <w:r w:rsidRPr="009C5D55">
        <w:rPr>
          <w:rFonts w:ascii="Verdana" w:eastAsia="Verdana" w:hAnsi="Verdana" w:cs="Verdana"/>
          <w:spacing w:val="1"/>
          <w:sz w:val="20"/>
          <w:szCs w:val="20"/>
          <w:lang w:val="es-CR"/>
        </w:rPr>
        <w:t>u</w:t>
      </w:r>
      <w:r w:rsidRPr="009C5D55">
        <w:rPr>
          <w:rFonts w:ascii="Verdana" w:eastAsia="Verdana" w:hAnsi="Verdana" w:cs="Verdana"/>
          <w:spacing w:val="-1"/>
          <w:sz w:val="20"/>
          <w:szCs w:val="20"/>
          <w:lang w:val="es-CR"/>
        </w:rPr>
        <w:t>e</w:t>
      </w:r>
      <w:r w:rsidRPr="009C5D55">
        <w:rPr>
          <w:rFonts w:ascii="Verdana" w:eastAsia="Verdana" w:hAnsi="Verdana" w:cs="Verdana"/>
          <w:spacing w:val="1"/>
          <w:sz w:val="20"/>
          <w:szCs w:val="20"/>
          <w:lang w:val="es-CR"/>
        </w:rPr>
        <w:t>b</w:t>
      </w:r>
      <w:r w:rsidRPr="009C5D55">
        <w:rPr>
          <w:rFonts w:ascii="Verdana" w:eastAsia="Verdana" w:hAnsi="Verdana" w:cs="Verdana"/>
          <w:sz w:val="20"/>
          <w:szCs w:val="20"/>
          <w:lang w:val="es-CR"/>
        </w:rPr>
        <w:t>a</w:t>
      </w:r>
      <w:r w:rsidRPr="009C5D55">
        <w:rPr>
          <w:rFonts w:ascii="Verdana" w:eastAsia="Verdana" w:hAnsi="Verdana" w:cs="Verdana"/>
          <w:spacing w:val="35"/>
          <w:sz w:val="20"/>
          <w:szCs w:val="20"/>
          <w:lang w:val="es-CR"/>
        </w:rPr>
        <w:t xml:space="preserve"> </w:t>
      </w:r>
      <w:r w:rsidRPr="009C5D55">
        <w:rPr>
          <w:rFonts w:ascii="Verdana" w:eastAsia="Verdana" w:hAnsi="Verdana" w:cs="Verdana"/>
          <w:spacing w:val="2"/>
          <w:sz w:val="20"/>
          <w:szCs w:val="20"/>
          <w:lang w:val="es-CR"/>
        </w:rPr>
        <w:t>c</w:t>
      </w:r>
      <w:r w:rsidRPr="009C5D55">
        <w:rPr>
          <w:rFonts w:ascii="Verdana" w:eastAsia="Verdana" w:hAnsi="Verdana" w:cs="Verdana"/>
          <w:spacing w:val="-1"/>
          <w:sz w:val="20"/>
          <w:szCs w:val="20"/>
          <w:lang w:val="es-CR"/>
        </w:rPr>
        <w:t>o</w:t>
      </w:r>
      <w:r w:rsidRPr="009C5D55">
        <w:rPr>
          <w:rFonts w:ascii="Verdana" w:eastAsia="Verdana" w:hAnsi="Verdana" w:cs="Verdana"/>
          <w:sz w:val="20"/>
          <w:szCs w:val="20"/>
          <w:lang w:val="es-CR"/>
        </w:rPr>
        <w:t>n</w:t>
      </w:r>
      <w:r w:rsidRPr="009C5D55">
        <w:rPr>
          <w:rFonts w:ascii="Verdana" w:eastAsia="Verdana" w:hAnsi="Verdana" w:cs="Verdana"/>
          <w:spacing w:val="40"/>
          <w:sz w:val="20"/>
          <w:szCs w:val="20"/>
          <w:lang w:val="es-CR"/>
        </w:rPr>
        <w:t xml:space="preserve"> </w:t>
      </w:r>
      <w:r w:rsidRPr="009C5D55">
        <w:rPr>
          <w:rFonts w:ascii="Verdana" w:eastAsia="Verdana" w:hAnsi="Verdana" w:cs="Verdana"/>
          <w:spacing w:val="-1"/>
          <w:sz w:val="20"/>
          <w:szCs w:val="20"/>
          <w:lang w:val="es-CR"/>
        </w:rPr>
        <w:t>e</w:t>
      </w:r>
      <w:r w:rsidRPr="009C5D55">
        <w:rPr>
          <w:rFonts w:ascii="Verdana" w:eastAsia="Verdana" w:hAnsi="Verdana" w:cs="Verdana"/>
          <w:sz w:val="20"/>
          <w:szCs w:val="20"/>
          <w:lang w:val="es-CR"/>
        </w:rPr>
        <w:t>l</w:t>
      </w:r>
      <w:r w:rsidRPr="009C5D55">
        <w:rPr>
          <w:rFonts w:ascii="Verdana" w:eastAsia="Verdana" w:hAnsi="Verdana" w:cs="Verdana"/>
          <w:spacing w:val="43"/>
          <w:sz w:val="20"/>
          <w:szCs w:val="20"/>
          <w:lang w:val="es-CR"/>
        </w:rPr>
        <w:t xml:space="preserve"> </w:t>
      </w:r>
      <w:r w:rsidRPr="009C5D55">
        <w:rPr>
          <w:rFonts w:ascii="Verdana" w:eastAsia="Verdana" w:hAnsi="Verdana" w:cs="Verdana"/>
          <w:spacing w:val="1"/>
          <w:sz w:val="20"/>
          <w:szCs w:val="20"/>
          <w:lang w:val="es-CR"/>
        </w:rPr>
        <w:t>h</w:t>
      </w:r>
      <w:r w:rsidRPr="009C5D55">
        <w:rPr>
          <w:rFonts w:ascii="Verdana" w:eastAsia="Verdana" w:hAnsi="Verdana" w:cs="Verdana"/>
          <w:spacing w:val="-1"/>
          <w:sz w:val="20"/>
          <w:szCs w:val="20"/>
          <w:lang w:val="es-CR"/>
        </w:rPr>
        <w:t>e</w:t>
      </w:r>
      <w:r w:rsidRPr="009C5D55">
        <w:rPr>
          <w:rFonts w:ascii="Verdana" w:eastAsia="Verdana" w:hAnsi="Verdana" w:cs="Verdana"/>
          <w:sz w:val="20"/>
          <w:szCs w:val="20"/>
          <w:lang w:val="es-CR"/>
        </w:rPr>
        <w:t>cho</w:t>
      </w:r>
      <w:r w:rsidRPr="009C5D55">
        <w:rPr>
          <w:rFonts w:ascii="Verdana" w:eastAsia="Verdana" w:hAnsi="Verdana" w:cs="Verdana"/>
          <w:spacing w:val="35"/>
          <w:sz w:val="20"/>
          <w:szCs w:val="20"/>
          <w:lang w:val="es-CR"/>
        </w:rPr>
        <w:t xml:space="preserve"> </w:t>
      </w:r>
      <w:r w:rsidRPr="009C5D55">
        <w:rPr>
          <w:rFonts w:ascii="Verdana" w:eastAsia="Verdana" w:hAnsi="Verdana" w:cs="Verdana"/>
          <w:spacing w:val="1"/>
          <w:sz w:val="20"/>
          <w:szCs w:val="20"/>
          <w:lang w:val="es-CR"/>
        </w:rPr>
        <w:t>q</w:t>
      </w:r>
      <w:r w:rsidRPr="009C5D55">
        <w:rPr>
          <w:rFonts w:ascii="Verdana" w:eastAsia="Verdana" w:hAnsi="Verdana" w:cs="Verdana"/>
          <w:spacing w:val="3"/>
          <w:sz w:val="20"/>
          <w:szCs w:val="20"/>
          <w:lang w:val="es-CR"/>
        </w:rPr>
        <w:t>u</w:t>
      </w:r>
      <w:r w:rsidRPr="009C5D55">
        <w:rPr>
          <w:rFonts w:ascii="Verdana" w:eastAsia="Verdana" w:hAnsi="Verdana" w:cs="Verdana"/>
          <w:sz w:val="20"/>
          <w:szCs w:val="20"/>
          <w:lang w:val="es-CR"/>
        </w:rPr>
        <w:t>e</w:t>
      </w:r>
      <w:r w:rsidRPr="009C5D55">
        <w:rPr>
          <w:rFonts w:ascii="Verdana" w:eastAsia="Verdana" w:hAnsi="Verdana" w:cs="Verdana"/>
          <w:spacing w:val="38"/>
          <w:sz w:val="20"/>
          <w:szCs w:val="20"/>
          <w:lang w:val="es-CR"/>
        </w:rPr>
        <w:t xml:space="preserve"> </w:t>
      </w:r>
      <w:r w:rsidRPr="009C5D55">
        <w:rPr>
          <w:rFonts w:ascii="Verdana" w:eastAsia="Verdana" w:hAnsi="Verdana" w:cs="Verdana"/>
          <w:spacing w:val="2"/>
          <w:sz w:val="20"/>
          <w:szCs w:val="20"/>
          <w:lang w:val="es-CR"/>
        </w:rPr>
        <w:t>s</w:t>
      </w:r>
      <w:r w:rsidRPr="009C5D55">
        <w:rPr>
          <w:rFonts w:ascii="Verdana" w:eastAsia="Verdana" w:hAnsi="Verdana" w:cs="Verdana"/>
          <w:sz w:val="20"/>
          <w:szCs w:val="20"/>
          <w:lang w:val="es-CR"/>
        </w:rPr>
        <w:t>e c</w:t>
      </w:r>
      <w:r w:rsidRPr="009C5D55">
        <w:rPr>
          <w:rFonts w:ascii="Verdana" w:eastAsia="Verdana" w:hAnsi="Verdana" w:cs="Verdana"/>
          <w:spacing w:val="-2"/>
          <w:sz w:val="20"/>
          <w:szCs w:val="20"/>
          <w:lang w:val="es-CR"/>
        </w:rPr>
        <w:t>o</w:t>
      </w:r>
      <w:r w:rsidRPr="009C5D55">
        <w:rPr>
          <w:rFonts w:ascii="Verdana" w:eastAsia="Verdana" w:hAnsi="Verdana" w:cs="Verdana"/>
          <w:spacing w:val="1"/>
          <w:sz w:val="20"/>
          <w:szCs w:val="20"/>
          <w:lang w:val="es-CR"/>
        </w:rPr>
        <w:t>n</w:t>
      </w:r>
      <w:r w:rsidRPr="009C5D55">
        <w:rPr>
          <w:rFonts w:ascii="Verdana" w:eastAsia="Verdana" w:hAnsi="Verdana" w:cs="Verdana"/>
          <w:sz w:val="20"/>
          <w:szCs w:val="20"/>
          <w:lang w:val="es-CR"/>
        </w:rPr>
        <w:t>s</w:t>
      </w:r>
      <w:r w:rsidRPr="009C5D55">
        <w:rPr>
          <w:rFonts w:ascii="Verdana" w:eastAsia="Verdana" w:hAnsi="Verdana" w:cs="Verdana"/>
          <w:spacing w:val="2"/>
          <w:sz w:val="20"/>
          <w:szCs w:val="20"/>
          <w:lang w:val="es-CR"/>
        </w:rPr>
        <w:t>i</w:t>
      </w:r>
      <w:r w:rsidRPr="009C5D55">
        <w:rPr>
          <w:rFonts w:ascii="Verdana" w:eastAsia="Verdana" w:hAnsi="Verdana" w:cs="Verdana"/>
          <w:spacing w:val="1"/>
          <w:sz w:val="20"/>
          <w:szCs w:val="20"/>
          <w:lang w:val="es-CR"/>
        </w:rPr>
        <w:t>d</w:t>
      </w:r>
      <w:r w:rsidRPr="009C5D55">
        <w:rPr>
          <w:rFonts w:ascii="Verdana" w:eastAsia="Verdana" w:hAnsi="Verdana" w:cs="Verdana"/>
          <w:spacing w:val="-1"/>
          <w:sz w:val="20"/>
          <w:szCs w:val="20"/>
          <w:lang w:val="es-CR"/>
        </w:rPr>
        <w:t>er</w:t>
      </w:r>
      <w:r w:rsidRPr="009C5D55">
        <w:rPr>
          <w:rFonts w:ascii="Verdana" w:eastAsia="Verdana" w:hAnsi="Verdana" w:cs="Verdana"/>
          <w:sz w:val="20"/>
          <w:szCs w:val="20"/>
          <w:lang w:val="es-CR"/>
        </w:rPr>
        <w:t>a</w:t>
      </w:r>
      <w:r w:rsidRPr="009C5D55">
        <w:rPr>
          <w:rFonts w:ascii="Verdana" w:eastAsia="Verdana" w:hAnsi="Verdana" w:cs="Verdana"/>
          <w:spacing w:val="-6"/>
          <w:sz w:val="20"/>
          <w:szCs w:val="20"/>
          <w:lang w:val="es-CR"/>
        </w:rPr>
        <w:t xml:space="preserve"> </w:t>
      </w:r>
      <w:r w:rsidRPr="009C5D55">
        <w:rPr>
          <w:rFonts w:ascii="Verdana" w:eastAsia="Verdana" w:hAnsi="Verdana" w:cs="Verdana"/>
          <w:spacing w:val="-1"/>
          <w:sz w:val="20"/>
          <w:szCs w:val="20"/>
          <w:lang w:val="es-CR"/>
        </w:rPr>
        <w:t>re</w:t>
      </w:r>
      <w:r w:rsidRPr="009C5D55">
        <w:rPr>
          <w:rFonts w:ascii="Verdana" w:eastAsia="Verdana" w:hAnsi="Verdana" w:cs="Verdana"/>
          <w:spacing w:val="3"/>
          <w:sz w:val="20"/>
          <w:szCs w:val="20"/>
          <w:lang w:val="es-CR"/>
        </w:rPr>
        <w:t>p</w:t>
      </w:r>
      <w:r w:rsidRPr="009C5D55">
        <w:rPr>
          <w:rFonts w:ascii="Verdana" w:eastAsia="Verdana" w:hAnsi="Verdana" w:cs="Verdana"/>
          <w:spacing w:val="-1"/>
          <w:sz w:val="20"/>
          <w:szCs w:val="20"/>
          <w:lang w:val="es-CR"/>
        </w:rPr>
        <w:t>r</w:t>
      </w:r>
      <w:r w:rsidRPr="009C5D55">
        <w:rPr>
          <w:rFonts w:ascii="Verdana" w:eastAsia="Verdana" w:hAnsi="Verdana" w:cs="Verdana"/>
          <w:spacing w:val="1"/>
          <w:sz w:val="20"/>
          <w:szCs w:val="20"/>
          <w:lang w:val="es-CR"/>
        </w:rPr>
        <w:t>e</w:t>
      </w:r>
      <w:r w:rsidRPr="009C5D55">
        <w:rPr>
          <w:rFonts w:ascii="Verdana" w:eastAsia="Verdana" w:hAnsi="Verdana" w:cs="Verdana"/>
          <w:sz w:val="20"/>
          <w:szCs w:val="20"/>
          <w:lang w:val="es-CR"/>
        </w:rPr>
        <w:t>s</w:t>
      </w:r>
      <w:r w:rsidRPr="009C5D55">
        <w:rPr>
          <w:rFonts w:ascii="Verdana" w:eastAsia="Verdana" w:hAnsi="Verdana" w:cs="Verdana"/>
          <w:spacing w:val="-2"/>
          <w:sz w:val="20"/>
          <w:szCs w:val="20"/>
          <w:lang w:val="es-CR"/>
        </w:rPr>
        <w:t>e</w:t>
      </w:r>
      <w:r w:rsidRPr="009C5D55">
        <w:rPr>
          <w:rFonts w:ascii="Verdana" w:eastAsia="Verdana" w:hAnsi="Verdana" w:cs="Verdana"/>
          <w:spacing w:val="1"/>
          <w:sz w:val="20"/>
          <w:szCs w:val="20"/>
          <w:lang w:val="es-CR"/>
        </w:rPr>
        <w:t>nt</w:t>
      </w:r>
      <w:r w:rsidRPr="009C5D55">
        <w:rPr>
          <w:rFonts w:ascii="Verdana" w:eastAsia="Verdana" w:hAnsi="Verdana" w:cs="Verdana"/>
          <w:sz w:val="20"/>
          <w:szCs w:val="20"/>
          <w:lang w:val="es-CR"/>
        </w:rPr>
        <w:t>a</w:t>
      </w:r>
      <w:r w:rsidRPr="009C5D55">
        <w:rPr>
          <w:rFonts w:ascii="Verdana" w:eastAsia="Verdana" w:hAnsi="Verdana" w:cs="Verdana"/>
          <w:spacing w:val="3"/>
          <w:sz w:val="20"/>
          <w:szCs w:val="20"/>
          <w:lang w:val="es-CR"/>
        </w:rPr>
        <w:t>d</w:t>
      </w:r>
      <w:r w:rsidRPr="009C5D55">
        <w:rPr>
          <w:rFonts w:ascii="Verdana" w:eastAsia="Verdana" w:hAnsi="Verdana" w:cs="Verdana"/>
          <w:spacing w:val="-1"/>
          <w:sz w:val="20"/>
          <w:szCs w:val="20"/>
          <w:lang w:val="es-CR"/>
        </w:rPr>
        <w:t>o</w:t>
      </w:r>
      <w:r w:rsidRPr="009C5D55">
        <w:rPr>
          <w:rFonts w:ascii="Verdana" w:eastAsia="Verdana" w:hAnsi="Verdana" w:cs="Verdana"/>
          <w:sz w:val="20"/>
          <w:szCs w:val="20"/>
          <w:lang w:val="es-CR"/>
        </w:rPr>
        <w:t>,</w:t>
      </w:r>
      <w:r w:rsidRPr="009C5D55">
        <w:rPr>
          <w:rFonts w:ascii="Verdana" w:eastAsia="Verdana" w:hAnsi="Verdana" w:cs="Verdana"/>
          <w:spacing w:val="-11"/>
          <w:sz w:val="20"/>
          <w:szCs w:val="20"/>
          <w:lang w:val="es-CR"/>
        </w:rPr>
        <w:t xml:space="preserve"> </w:t>
      </w:r>
      <w:r w:rsidRPr="009C5D55">
        <w:rPr>
          <w:rFonts w:ascii="Verdana" w:eastAsia="Verdana" w:hAnsi="Verdana" w:cs="Verdana"/>
          <w:sz w:val="20"/>
          <w:szCs w:val="20"/>
          <w:lang w:val="es-CR"/>
        </w:rPr>
        <w:t xml:space="preserve">y </w:t>
      </w:r>
      <w:r w:rsidRPr="009C5D55">
        <w:rPr>
          <w:rFonts w:ascii="Verdana" w:eastAsia="Verdana" w:hAnsi="Verdana" w:cs="Verdana"/>
          <w:spacing w:val="1"/>
          <w:sz w:val="20"/>
          <w:szCs w:val="20"/>
          <w:lang w:val="es-CR"/>
        </w:rPr>
        <w:t>qu</w:t>
      </w:r>
      <w:r w:rsidRPr="009C5D55">
        <w:rPr>
          <w:rFonts w:ascii="Verdana" w:eastAsia="Verdana" w:hAnsi="Verdana" w:cs="Verdana"/>
          <w:spacing w:val="-1"/>
          <w:sz w:val="20"/>
          <w:szCs w:val="20"/>
          <w:lang w:val="es-CR"/>
        </w:rPr>
        <w:t>e</w:t>
      </w:r>
      <w:r w:rsidRPr="009C5D55">
        <w:rPr>
          <w:rFonts w:ascii="Verdana" w:eastAsia="Verdana" w:hAnsi="Verdana" w:cs="Verdana"/>
          <w:sz w:val="20"/>
          <w:szCs w:val="20"/>
          <w:lang w:val="es-CR"/>
        </w:rPr>
        <w:t>,</w:t>
      </w:r>
      <w:r w:rsidRPr="009C5D55">
        <w:rPr>
          <w:rFonts w:ascii="Verdana" w:eastAsia="Verdana" w:hAnsi="Verdana" w:cs="Verdana"/>
          <w:spacing w:val="-3"/>
          <w:sz w:val="20"/>
          <w:szCs w:val="20"/>
          <w:lang w:val="es-CR"/>
        </w:rPr>
        <w:t xml:space="preserve"> </w:t>
      </w:r>
      <w:r w:rsidRPr="009C5D55">
        <w:rPr>
          <w:rFonts w:ascii="Verdana" w:eastAsia="Verdana" w:hAnsi="Verdana" w:cs="Verdana"/>
          <w:sz w:val="20"/>
          <w:szCs w:val="20"/>
          <w:lang w:val="es-CR"/>
        </w:rPr>
        <w:t>al</w:t>
      </w:r>
      <w:r w:rsidRPr="009C5D55">
        <w:rPr>
          <w:rFonts w:ascii="Verdana" w:eastAsia="Verdana" w:hAnsi="Verdana" w:cs="Verdana"/>
          <w:spacing w:val="2"/>
          <w:sz w:val="20"/>
          <w:szCs w:val="20"/>
          <w:lang w:val="es-CR"/>
        </w:rPr>
        <w:t xml:space="preserve"> </w:t>
      </w:r>
      <w:r w:rsidRPr="009C5D55">
        <w:rPr>
          <w:rFonts w:ascii="Verdana" w:eastAsia="Verdana" w:hAnsi="Verdana" w:cs="Verdana"/>
          <w:spacing w:val="1"/>
          <w:sz w:val="20"/>
          <w:szCs w:val="20"/>
          <w:lang w:val="es-CR"/>
        </w:rPr>
        <w:t>t</w:t>
      </w:r>
      <w:r w:rsidRPr="009C5D55">
        <w:rPr>
          <w:rFonts w:ascii="Verdana" w:eastAsia="Verdana" w:hAnsi="Verdana" w:cs="Verdana"/>
          <w:spacing w:val="-1"/>
          <w:sz w:val="20"/>
          <w:szCs w:val="20"/>
          <w:lang w:val="es-CR"/>
        </w:rPr>
        <w:t>r</w:t>
      </w:r>
      <w:r w:rsidRPr="009C5D55">
        <w:rPr>
          <w:rFonts w:ascii="Verdana" w:eastAsia="Verdana" w:hAnsi="Verdana" w:cs="Verdana"/>
          <w:sz w:val="20"/>
          <w:szCs w:val="20"/>
          <w:lang w:val="es-CR"/>
        </w:rPr>
        <w:t>a</w:t>
      </w:r>
      <w:r w:rsidRPr="009C5D55">
        <w:rPr>
          <w:rFonts w:ascii="Verdana" w:eastAsia="Verdana" w:hAnsi="Verdana" w:cs="Verdana"/>
          <w:spacing w:val="1"/>
          <w:sz w:val="20"/>
          <w:szCs w:val="20"/>
          <w:lang w:val="es-CR"/>
        </w:rPr>
        <w:t>t</w:t>
      </w:r>
      <w:r w:rsidRPr="009C5D55">
        <w:rPr>
          <w:rFonts w:ascii="Verdana" w:eastAsia="Verdana" w:hAnsi="Verdana" w:cs="Verdana"/>
          <w:sz w:val="20"/>
          <w:szCs w:val="20"/>
          <w:lang w:val="es-CR"/>
        </w:rPr>
        <w:t>a</w:t>
      </w:r>
      <w:r w:rsidRPr="009C5D55">
        <w:rPr>
          <w:rFonts w:ascii="Verdana" w:eastAsia="Verdana" w:hAnsi="Verdana" w:cs="Verdana"/>
          <w:spacing w:val="-1"/>
          <w:sz w:val="20"/>
          <w:szCs w:val="20"/>
          <w:lang w:val="es-CR"/>
        </w:rPr>
        <w:t>r</w:t>
      </w:r>
      <w:r w:rsidRPr="009C5D55">
        <w:rPr>
          <w:rFonts w:ascii="Verdana" w:eastAsia="Verdana" w:hAnsi="Verdana" w:cs="Verdana"/>
          <w:sz w:val="20"/>
          <w:szCs w:val="20"/>
          <w:lang w:val="es-CR"/>
        </w:rPr>
        <w:t>se</w:t>
      </w:r>
      <w:r w:rsidRPr="009C5D55">
        <w:rPr>
          <w:rFonts w:ascii="Verdana" w:eastAsia="Verdana" w:hAnsi="Verdana" w:cs="Verdana"/>
          <w:spacing w:val="-8"/>
          <w:sz w:val="20"/>
          <w:szCs w:val="20"/>
          <w:lang w:val="es-CR"/>
        </w:rPr>
        <w:t xml:space="preserve"> </w:t>
      </w:r>
      <w:r w:rsidRPr="009C5D55">
        <w:rPr>
          <w:rFonts w:ascii="Verdana" w:eastAsia="Verdana" w:hAnsi="Verdana" w:cs="Verdana"/>
          <w:spacing w:val="1"/>
          <w:sz w:val="20"/>
          <w:szCs w:val="20"/>
          <w:lang w:val="es-CR"/>
        </w:rPr>
        <w:t>d</w:t>
      </w:r>
      <w:r w:rsidRPr="009C5D55">
        <w:rPr>
          <w:rFonts w:ascii="Verdana" w:eastAsia="Verdana" w:hAnsi="Verdana" w:cs="Verdana"/>
          <w:sz w:val="20"/>
          <w:szCs w:val="20"/>
          <w:lang w:val="es-CR"/>
        </w:rPr>
        <w:t>e</w:t>
      </w:r>
      <w:r w:rsidRPr="009C5D55">
        <w:rPr>
          <w:rFonts w:ascii="Verdana" w:eastAsia="Verdana" w:hAnsi="Verdana" w:cs="Verdana"/>
          <w:spacing w:val="-2"/>
          <w:sz w:val="20"/>
          <w:szCs w:val="20"/>
          <w:lang w:val="es-CR"/>
        </w:rPr>
        <w:t xml:space="preserve"> </w:t>
      </w:r>
      <w:r w:rsidRPr="009C5D55">
        <w:rPr>
          <w:rFonts w:ascii="Verdana" w:eastAsia="Verdana" w:hAnsi="Verdana" w:cs="Verdana"/>
          <w:sz w:val="20"/>
          <w:szCs w:val="20"/>
          <w:lang w:val="es-CR"/>
        </w:rPr>
        <w:t>a</w:t>
      </w:r>
      <w:r w:rsidRPr="009C5D55">
        <w:rPr>
          <w:rFonts w:ascii="Verdana" w:eastAsia="Verdana" w:hAnsi="Verdana" w:cs="Verdana"/>
          <w:spacing w:val="3"/>
          <w:sz w:val="20"/>
          <w:szCs w:val="20"/>
          <w:lang w:val="es-CR"/>
        </w:rPr>
        <w:t>l</w:t>
      </w:r>
      <w:r w:rsidRPr="009C5D55">
        <w:rPr>
          <w:rFonts w:ascii="Verdana" w:eastAsia="Verdana" w:hAnsi="Verdana" w:cs="Verdana"/>
          <w:spacing w:val="-1"/>
          <w:sz w:val="20"/>
          <w:szCs w:val="20"/>
          <w:lang w:val="es-CR"/>
        </w:rPr>
        <w:t>e</w:t>
      </w:r>
      <w:r w:rsidRPr="009C5D55">
        <w:rPr>
          <w:rFonts w:ascii="Verdana" w:eastAsia="Verdana" w:hAnsi="Verdana" w:cs="Verdana"/>
          <w:spacing w:val="1"/>
          <w:sz w:val="20"/>
          <w:szCs w:val="20"/>
          <w:lang w:val="es-CR"/>
        </w:rPr>
        <w:t>g</w:t>
      </w:r>
      <w:r w:rsidRPr="009C5D55">
        <w:rPr>
          <w:rFonts w:ascii="Verdana" w:eastAsia="Verdana" w:hAnsi="Verdana" w:cs="Verdana"/>
          <w:sz w:val="20"/>
          <w:szCs w:val="20"/>
          <w:lang w:val="es-CR"/>
        </w:rPr>
        <w:t>a</w:t>
      </w:r>
      <w:r w:rsidRPr="009C5D55">
        <w:rPr>
          <w:rFonts w:ascii="Verdana" w:eastAsia="Verdana" w:hAnsi="Verdana" w:cs="Verdana"/>
          <w:spacing w:val="1"/>
          <w:sz w:val="20"/>
          <w:szCs w:val="20"/>
          <w:lang w:val="es-CR"/>
        </w:rPr>
        <w:t>do</w:t>
      </w:r>
      <w:r w:rsidRPr="009C5D55">
        <w:rPr>
          <w:rFonts w:ascii="Verdana" w:eastAsia="Verdana" w:hAnsi="Verdana" w:cs="Verdana"/>
          <w:sz w:val="20"/>
          <w:szCs w:val="20"/>
          <w:lang w:val="es-CR"/>
        </w:rPr>
        <w:t>s</w:t>
      </w:r>
      <w:r w:rsidRPr="009C5D55">
        <w:rPr>
          <w:rFonts w:ascii="Verdana" w:eastAsia="Verdana" w:hAnsi="Verdana" w:cs="Verdana"/>
          <w:spacing w:val="-8"/>
          <w:sz w:val="20"/>
          <w:szCs w:val="20"/>
          <w:lang w:val="es-CR"/>
        </w:rPr>
        <w:t xml:space="preserve"> </w:t>
      </w:r>
      <w:r w:rsidRPr="009C5D55">
        <w:rPr>
          <w:rFonts w:ascii="Verdana" w:eastAsia="Verdana" w:hAnsi="Verdana" w:cs="Verdana"/>
          <w:spacing w:val="1"/>
          <w:sz w:val="20"/>
          <w:szCs w:val="20"/>
          <w:lang w:val="es-CR"/>
        </w:rPr>
        <w:t>d</w:t>
      </w:r>
      <w:r w:rsidRPr="009C5D55">
        <w:rPr>
          <w:rFonts w:ascii="Verdana" w:eastAsia="Verdana" w:hAnsi="Verdana" w:cs="Verdana"/>
          <w:spacing w:val="-1"/>
          <w:sz w:val="20"/>
          <w:szCs w:val="20"/>
          <w:lang w:val="es-CR"/>
        </w:rPr>
        <w:t>e</w:t>
      </w:r>
      <w:r w:rsidRPr="009C5D55">
        <w:rPr>
          <w:rFonts w:ascii="Verdana" w:eastAsia="Verdana" w:hAnsi="Verdana" w:cs="Verdana"/>
          <w:spacing w:val="2"/>
          <w:sz w:val="20"/>
          <w:szCs w:val="20"/>
          <w:lang w:val="es-CR"/>
        </w:rPr>
        <w:t>s</w:t>
      </w:r>
      <w:r w:rsidRPr="009C5D55">
        <w:rPr>
          <w:rFonts w:ascii="Verdana" w:eastAsia="Verdana" w:hAnsi="Verdana" w:cs="Verdana"/>
          <w:spacing w:val="-1"/>
          <w:sz w:val="20"/>
          <w:szCs w:val="20"/>
          <w:lang w:val="es-CR"/>
        </w:rPr>
        <w:t>e</w:t>
      </w:r>
      <w:r w:rsidRPr="009C5D55">
        <w:rPr>
          <w:rFonts w:ascii="Verdana" w:eastAsia="Verdana" w:hAnsi="Verdana" w:cs="Verdana"/>
          <w:sz w:val="20"/>
          <w:szCs w:val="20"/>
          <w:lang w:val="es-CR"/>
        </w:rPr>
        <w:t>m</w:t>
      </w:r>
      <w:r w:rsidRPr="009C5D55">
        <w:rPr>
          <w:rFonts w:ascii="Verdana" w:eastAsia="Verdana" w:hAnsi="Verdana" w:cs="Verdana"/>
          <w:spacing w:val="3"/>
          <w:sz w:val="20"/>
          <w:szCs w:val="20"/>
          <w:lang w:val="es-CR"/>
        </w:rPr>
        <w:t>b</w:t>
      </w:r>
      <w:r w:rsidRPr="009C5D55">
        <w:rPr>
          <w:rFonts w:ascii="Verdana" w:eastAsia="Verdana" w:hAnsi="Verdana" w:cs="Verdana"/>
          <w:spacing w:val="-1"/>
          <w:sz w:val="20"/>
          <w:szCs w:val="20"/>
          <w:lang w:val="es-CR"/>
        </w:rPr>
        <w:t>o</w:t>
      </w:r>
      <w:r w:rsidRPr="009C5D55">
        <w:rPr>
          <w:rFonts w:ascii="Verdana" w:eastAsia="Verdana" w:hAnsi="Verdana" w:cs="Verdana"/>
          <w:spacing w:val="3"/>
          <w:sz w:val="20"/>
          <w:szCs w:val="20"/>
          <w:lang w:val="es-CR"/>
        </w:rPr>
        <w:t>l</w:t>
      </w:r>
      <w:r w:rsidRPr="009C5D55">
        <w:rPr>
          <w:rFonts w:ascii="Verdana" w:eastAsia="Verdana" w:hAnsi="Verdana" w:cs="Verdana"/>
          <w:sz w:val="20"/>
          <w:szCs w:val="20"/>
          <w:lang w:val="es-CR"/>
        </w:rPr>
        <w:t>s</w:t>
      </w:r>
      <w:r w:rsidRPr="009C5D55">
        <w:rPr>
          <w:rFonts w:ascii="Verdana" w:eastAsia="Verdana" w:hAnsi="Verdana" w:cs="Verdana"/>
          <w:spacing w:val="-2"/>
          <w:sz w:val="20"/>
          <w:szCs w:val="20"/>
          <w:lang w:val="es-CR"/>
        </w:rPr>
        <w:t>o</w:t>
      </w:r>
      <w:r w:rsidRPr="009C5D55">
        <w:rPr>
          <w:rFonts w:ascii="Verdana" w:eastAsia="Verdana" w:hAnsi="Verdana" w:cs="Verdana"/>
          <w:sz w:val="20"/>
          <w:szCs w:val="20"/>
          <w:lang w:val="es-CR"/>
        </w:rPr>
        <w:t>s</w:t>
      </w:r>
      <w:r w:rsidRPr="009C5D55">
        <w:rPr>
          <w:rFonts w:ascii="Verdana" w:eastAsia="Verdana" w:hAnsi="Verdana" w:cs="Verdana"/>
          <w:spacing w:val="-12"/>
          <w:sz w:val="20"/>
          <w:szCs w:val="20"/>
          <w:lang w:val="es-CR"/>
        </w:rPr>
        <w:t xml:space="preserve"> </w:t>
      </w:r>
      <w:r w:rsidRPr="009C5D55">
        <w:rPr>
          <w:rFonts w:ascii="Verdana" w:eastAsia="Verdana" w:hAnsi="Verdana" w:cs="Verdana"/>
          <w:spacing w:val="1"/>
          <w:sz w:val="20"/>
          <w:szCs w:val="20"/>
          <w:lang w:val="es-CR"/>
        </w:rPr>
        <w:t>e</w:t>
      </w:r>
      <w:r w:rsidRPr="009C5D55">
        <w:rPr>
          <w:rFonts w:ascii="Verdana" w:eastAsia="Verdana" w:hAnsi="Verdana" w:cs="Verdana"/>
          <w:spacing w:val="2"/>
          <w:sz w:val="20"/>
          <w:szCs w:val="20"/>
          <w:lang w:val="es-CR"/>
        </w:rPr>
        <w:t>c</w:t>
      </w:r>
      <w:r w:rsidRPr="009C5D55">
        <w:rPr>
          <w:rFonts w:ascii="Verdana" w:eastAsia="Verdana" w:hAnsi="Verdana" w:cs="Verdana"/>
          <w:spacing w:val="-1"/>
          <w:sz w:val="20"/>
          <w:szCs w:val="20"/>
          <w:lang w:val="es-CR"/>
        </w:rPr>
        <w:t>o</w:t>
      </w:r>
      <w:r w:rsidRPr="009C5D55">
        <w:rPr>
          <w:rFonts w:ascii="Verdana" w:eastAsia="Verdana" w:hAnsi="Verdana" w:cs="Verdana"/>
          <w:spacing w:val="1"/>
          <w:sz w:val="20"/>
          <w:szCs w:val="20"/>
          <w:lang w:val="es-CR"/>
        </w:rPr>
        <w:t>n</w:t>
      </w:r>
      <w:r w:rsidRPr="009C5D55">
        <w:rPr>
          <w:rFonts w:ascii="Verdana" w:eastAsia="Verdana" w:hAnsi="Verdana" w:cs="Verdana"/>
          <w:spacing w:val="-1"/>
          <w:sz w:val="20"/>
          <w:szCs w:val="20"/>
          <w:lang w:val="es-CR"/>
        </w:rPr>
        <w:t>ó</w:t>
      </w:r>
      <w:r w:rsidRPr="009C5D55">
        <w:rPr>
          <w:rFonts w:ascii="Verdana" w:eastAsia="Verdana" w:hAnsi="Verdana" w:cs="Verdana"/>
          <w:sz w:val="20"/>
          <w:szCs w:val="20"/>
          <w:lang w:val="es-CR"/>
        </w:rPr>
        <w:t>m</w:t>
      </w:r>
      <w:r w:rsidRPr="009C5D55">
        <w:rPr>
          <w:rFonts w:ascii="Verdana" w:eastAsia="Verdana" w:hAnsi="Verdana" w:cs="Verdana"/>
          <w:spacing w:val="3"/>
          <w:sz w:val="20"/>
          <w:szCs w:val="20"/>
          <w:lang w:val="es-CR"/>
        </w:rPr>
        <w:t>i</w:t>
      </w:r>
      <w:r w:rsidRPr="009C5D55">
        <w:rPr>
          <w:rFonts w:ascii="Verdana" w:eastAsia="Verdana" w:hAnsi="Verdana" w:cs="Verdana"/>
          <w:sz w:val="20"/>
          <w:szCs w:val="20"/>
          <w:lang w:val="es-CR"/>
        </w:rPr>
        <w:t>c</w:t>
      </w:r>
      <w:r w:rsidRPr="009C5D55">
        <w:rPr>
          <w:rFonts w:ascii="Verdana" w:eastAsia="Verdana" w:hAnsi="Verdana" w:cs="Verdana"/>
          <w:spacing w:val="-2"/>
          <w:sz w:val="20"/>
          <w:szCs w:val="20"/>
          <w:lang w:val="es-CR"/>
        </w:rPr>
        <w:t>o</w:t>
      </w:r>
      <w:r w:rsidRPr="009C5D55">
        <w:rPr>
          <w:rFonts w:ascii="Verdana" w:eastAsia="Verdana" w:hAnsi="Verdana" w:cs="Verdana"/>
          <w:spacing w:val="2"/>
          <w:sz w:val="20"/>
          <w:szCs w:val="20"/>
          <w:lang w:val="es-CR"/>
        </w:rPr>
        <w:t>s</w:t>
      </w:r>
      <w:r w:rsidRPr="009C5D55">
        <w:rPr>
          <w:rFonts w:ascii="Verdana" w:eastAsia="Verdana" w:hAnsi="Verdana" w:cs="Verdana"/>
          <w:sz w:val="20"/>
          <w:szCs w:val="20"/>
          <w:lang w:val="es-CR"/>
        </w:rPr>
        <w:t>,</w:t>
      </w:r>
      <w:r w:rsidRPr="009C5D55">
        <w:rPr>
          <w:rFonts w:ascii="Verdana" w:eastAsia="Verdana" w:hAnsi="Verdana" w:cs="Verdana"/>
          <w:spacing w:val="-11"/>
          <w:sz w:val="20"/>
          <w:szCs w:val="20"/>
          <w:lang w:val="es-CR"/>
        </w:rPr>
        <w:t xml:space="preserve"> </w:t>
      </w:r>
      <w:r w:rsidRPr="009C5D55">
        <w:rPr>
          <w:rFonts w:ascii="Verdana" w:eastAsia="Verdana" w:hAnsi="Verdana" w:cs="Verdana"/>
          <w:sz w:val="20"/>
          <w:szCs w:val="20"/>
          <w:lang w:val="es-CR"/>
        </w:rPr>
        <w:t xml:space="preserve">se </w:t>
      </w:r>
      <w:r w:rsidRPr="009C5D55">
        <w:rPr>
          <w:rFonts w:ascii="Verdana" w:eastAsia="Verdana" w:hAnsi="Verdana" w:cs="Verdana"/>
          <w:spacing w:val="-1"/>
          <w:sz w:val="20"/>
          <w:szCs w:val="20"/>
          <w:lang w:val="es-CR"/>
        </w:rPr>
        <w:t>e</w:t>
      </w:r>
      <w:r w:rsidRPr="009C5D55">
        <w:rPr>
          <w:rFonts w:ascii="Verdana" w:eastAsia="Verdana" w:hAnsi="Verdana" w:cs="Verdana"/>
          <w:sz w:val="20"/>
          <w:szCs w:val="20"/>
          <w:lang w:val="es-CR"/>
        </w:rPr>
        <w:t>sta</w:t>
      </w:r>
      <w:r w:rsidRPr="009C5D55">
        <w:rPr>
          <w:rFonts w:ascii="Verdana" w:eastAsia="Verdana" w:hAnsi="Verdana" w:cs="Verdana"/>
          <w:spacing w:val="1"/>
          <w:sz w:val="20"/>
          <w:szCs w:val="20"/>
          <w:lang w:val="es-CR"/>
        </w:rPr>
        <w:t>b</w:t>
      </w:r>
      <w:r w:rsidRPr="009C5D55">
        <w:rPr>
          <w:rFonts w:ascii="Verdana" w:eastAsia="Verdana" w:hAnsi="Verdana" w:cs="Verdana"/>
          <w:spacing w:val="3"/>
          <w:sz w:val="20"/>
          <w:szCs w:val="20"/>
          <w:lang w:val="es-CR"/>
        </w:rPr>
        <w:t>l</w:t>
      </w:r>
      <w:r w:rsidRPr="009C5D55">
        <w:rPr>
          <w:rFonts w:ascii="Verdana" w:eastAsia="Verdana" w:hAnsi="Verdana" w:cs="Verdana"/>
          <w:spacing w:val="-1"/>
          <w:sz w:val="20"/>
          <w:szCs w:val="20"/>
          <w:lang w:val="es-CR"/>
        </w:rPr>
        <w:t>e</w:t>
      </w:r>
      <w:r w:rsidRPr="009C5D55">
        <w:rPr>
          <w:rFonts w:ascii="Verdana" w:eastAsia="Verdana" w:hAnsi="Verdana" w:cs="Verdana"/>
          <w:spacing w:val="1"/>
          <w:sz w:val="20"/>
          <w:szCs w:val="20"/>
          <w:lang w:val="es-CR"/>
        </w:rPr>
        <w:t>z</w:t>
      </w:r>
      <w:r w:rsidRPr="009C5D55">
        <w:rPr>
          <w:rFonts w:ascii="Verdana" w:eastAsia="Verdana" w:hAnsi="Verdana" w:cs="Verdana"/>
          <w:sz w:val="20"/>
          <w:szCs w:val="20"/>
          <w:lang w:val="es-CR"/>
        </w:rPr>
        <w:t>c</w:t>
      </w:r>
      <w:r w:rsidRPr="009C5D55">
        <w:rPr>
          <w:rFonts w:ascii="Verdana" w:eastAsia="Verdana" w:hAnsi="Verdana" w:cs="Verdana"/>
          <w:spacing w:val="2"/>
          <w:sz w:val="20"/>
          <w:szCs w:val="20"/>
          <w:lang w:val="es-CR"/>
        </w:rPr>
        <w:t>a</w:t>
      </w:r>
      <w:r w:rsidRPr="009C5D55">
        <w:rPr>
          <w:rFonts w:ascii="Verdana" w:eastAsia="Verdana" w:hAnsi="Verdana" w:cs="Verdana"/>
          <w:sz w:val="20"/>
          <w:szCs w:val="20"/>
          <w:lang w:val="es-CR"/>
        </w:rPr>
        <w:t>n</w:t>
      </w:r>
      <w:r w:rsidRPr="009C5D55">
        <w:rPr>
          <w:rFonts w:ascii="Verdana" w:eastAsia="Verdana" w:hAnsi="Verdana" w:cs="Verdana"/>
          <w:spacing w:val="-10"/>
          <w:sz w:val="20"/>
          <w:szCs w:val="20"/>
          <w:lang w:val="es-CR"/>
        </w:rPr>
        <w:t xml:space="preserve"> </w:t>
      </w:r>
      <w:r w:rsidRPr="009C5D55">
        <w:rPr>
          <w:rFonts w:ascii="Verdana" w:eastAsia="Verdana" w:hAnsi="Verdana" w:cs="Verdana"/>
          <w:sz w:val="20"/>
          <w:szCs w:val="20"/>
          <w:lang w:val="es-CR"/>
        </w:rPr>
        <w:t>c</w:t>
      </w:r>
      <w:r w:rsidRPr="009C5D55">
        <w:rPr>
          <w:rFonts w:ascii="Verdana" w:eastAsia="Verdana" w:hAnsi="Verdana" w:cs="Verdana"/>
          <w:spacing w:val="-2"/>
          <w:sz w:val="20"/>
          <w:szCs w:val="20"/>
          <w:lang w:val="es-CR"/>
        </w:rPr>
        <w:t>o</w:t>
      </w:r>
      <w:r w:rsidRPr="009C5D55">
        <w:rPr>
          <w:rFonts w:ascii="Verdana" w:eastAsia="Verdana" w:hAnsi="Verdana" w:cs="Verdana"/>
          <w:sz w:val="20"/>
          <w:szCs w:val="20"/>
          <w:lang w:val="es-CR"/>
        </w:rPr>
        <w:t>n c</w:t>
      </w:r>
      <w:r w:rsidRPr="009C5D55">
        <w:rPr>
          <w:rFonts w:ascii="Verdana" w:eastAsia="Verdana" w:hAnsi="Verdana" w:cs="Verdana"/>
          <w:spacing w:val="2"/>
          <w:sz w:val="20"/>
          <w:szCs w:val="20"/>
          <w:lang w:val="es-CR"/>
        </w:rPr>
        <w:t>l</w:t>
      </w:r>
      <w:r w:rsidRPr="009C5D55">
        <w:rPr>
          <w:rFonts w:ascii="Verdana" w:eastAsia="Verdana" w:hAnsi="Verdana" w:cs="Verdana"/>
          <w:sz w:val="20"/>
          <w:szCs w:val="20"/>
          <w:lang w:val="es-CR"/>
        </w:rPr>
        <w:t>a</w:t>
      </w:r>
      <w:r w:rsidRPr="009C5D55">
        <w:rPr>
          <w:rFonts w:ascii="Verdana" w:eastAsia="Verdana" w:hAnsi="Verdana" w:cs="Verdana"/>
          <w:spacing w:val="-1"/>
          <w:sz w:val="20"/>
          <w:szCs w:val="20"/>
          <w:lang w:val="es-CR"/>
        </w:rPr>
        <w:t>r</w:t>
      </w:r>
      <w:r w:rsidRPr="009C5D55">
        <w:rPr>
          <w:rFonts w:ascii="Verdana" w:eastAsia="Verdana" w:hAnsi="Verdana" w:cs="Verdana"/>
          <w:spacing w:val="3"/>
          <w:sz w:val="20"/>
          <w:szCs w:val="20"/>
          <w:lang w:val="es-CR"/>
        </w:rPr>
        <w:t>i</w:t>
      </w:r>
      <w:r w:rsidRPr="009C5D55">
        <w:rPr>
          <w:rFonts w:ascii="Verdana" w:eastAsia="Verdana" w:hAnsi="Verdana" w:cs="Verdana"/>
          <w:spacing w:val="1"/>
          <w:sz w:val="20"/>
          <w:szCs w:val="20"/>
          <w:lang w:val="es-CR"/>
        </w:rPr>
        <w:t>d</w:t>
      </w:r>
      <w:r w:rsidRPr="009C5D55">
        <w:rPr>
          <w:rFonts w:ascii="Verdana" w:eastAsia="Verdana" w:hAnsi="Verdana" w:cs="Verdana"/>
          <w:sz w:val="20"/>
          <w:szCs w:val="20"/>
          <w:lang w:val="es-CR"/>
        </w:rPr>
        <w:t>ad</w:t>
      </w:r>
      <w:r w:rsidRPr="009C5D55">
        <w:rPr>
          <w:rFonts w:ascii="Verdana" w:eastAsia="Verdana" w:hAnsi="Verdana" w:cs="Verdana"/>
          <w:spacing w:val="-10"/>
          <w:sz w:val="20"/>
          <w:szCs w:val="20"/>
          <w:lang w:val="es-CR"/>
        </w:rPr>
        <w:t xml:space="preserve"> </w:t>
      </w:r>
      <w:r w:rsidRPr="009C5D55">
        <w:rPr>
          <w:rFonts w:ascii="Verdana" w:eastAsia="Verdana" w:hAnsi="Verdana" w:cs="Verdana"/>
          <w:spacing w:val="3"/>
          <w:sz w:val="20"/>
          <w:szCs w:val="20"/>
          <w:lang w:val="es-CR"/>
        </w:rPr>
        <w:t>l</w:t>
      </w:r>
      <w:r w:rsidRPr="009C5D55">
        <w:rPr>
          <w:rFonts w:ascii="Verdana" w:eastAsia="Verdana" w:hAnsi="Verdana" w:cs="Verdana"/>
          <w:spacing w:val="-1"/>
          <w:sz w:val="20"/>
          <w:szCs w:val="20"/>
          <w:lang w:val="es-CR"/>
        </w:rPr>
        <w:t>o</w:t>
      </w:r>
      <w:r w:rsidRPr="009C5D55">
        <w:rPr>
          <w:rFonts w:ascii="Verdana" w:eastAsia="Verdana" w:hAnsi="Verdana" w:cs="Verdana"/>
          <w:sz w:val="20"/>
          <w:szCs w:val="20"/>
          <w:lang w:val="es-CR"/>
        </w:rPr>
        <w:t>s</w:t>
      </w:r>
      <w:r w:rsidRPr="009C5D55">
        <w:rPr>
          <w:rFonts w:ascii="Verdana" w:eastAsia="Verdana" w:hAnsi="Verdana" w:cs="Verdana"/>
          <w:spacing w:val="-4"/>
          <w:sz w:val="20"/>
          <w:szCs w:val="20"/>
          <w:lang w:val="es-CR"/>
        </w:rPr>
        <w:t xml:space="preserve"> </w:t>
      </w:r>
      <w:r w:rsidRPr="009C5D55">
        <w:rPr>
          <w:rFonts w:ascii="Verdana" w:eastAsia="Verdana" w:hAnsi="Verdana" w:cs="Verdana"/>
          <w:spacing w:val="-1"/>
          <w:sz w:val="20"/>
          <w:szCs w:val="20"/>
          <w:lang w:val="es-CR"/>
        </w:rPr>
        <w:t>r</w:t>
      </w:r>
      <w:r w:rsidRPr="009C5D55">
        <w:rPr>
          <w:rFonts w:ascii="Verdana" w:eastAsia="Verdana" w:hAnsi="Verdana" w:cs="Verdana"/>
          <w:spacing w:val="1"/>
          <w:sz w:val="20"/>
          <w:szCs w:val="20"/>
          <w:lang w:val="es-CR"/>
        </w:rPr>
        <w:t>ubr</w:t>
      </w:r>
      <w:r w:rsidRPr="009C5D55">
        <w:rPr>
          <w:rFonts w:ascii="Verdana" w:eastAsia="Verdana" w:hAnsi="Verdana" w:cs="Verdana"/>
          <w:spacing w:val="-1"/>
          <w:sz w:val="20"/>
          <w:szCs w:val="20"/>
          <w:lang w:val="es-CR"/>
        </w:rPr>
        <w:t>o</w:t>
      </w:r>
      <w:r w:rsidRPr="009C5D55">
        <w:rPr>
          <w:rFonts w:ascii="Verdana" w:eastAsia="Verdana" w:hAnsi="Verdana" w:cs="Verdana"/>
          <w:sz w:val="20"/>
          <w:szCs w:val="20"/>
          <w:lang w:val="es-CR"/>
        </w:rPr>
        <w:t>s</w:t>
      </w:r>
      <w:r w:rsidRPr="009C5D55">
        <w:rPr>
          <w:rFonts w:ascii="Verdana" w:eastAsia="Verdana" w:hAnsi="Verdana" w:cs="Verdana"/>
          <w:spacing w:val="-5"/>
          <w:sz w:val="20"/>
          <w:szCs w:val="20"/>
          <w:lang w:val="es-CR"/>
        </w:rPr>
        <w:t xml:space="preserve"> </w:t>
      </w:r>
      <w:r w:rsidRPr="009C5D55">
        <w:rPr>
          <w:rFonts w:ascii="Verdana" w:eastAsia="Verdana" w:hAnsi="Verdana" w:cs="Verdana"/>
          <w:sz w:val="20"/>
          <w:szCs w:val="20"/>
          <w:lang w:val="es-CR"/>
        </w:rPr>
        <w:t>y</w:t>
      </w:r>
      <w:r w:rsidRPr="009C5D55">
        <w:rPr>
          <w:rFonts w:ascii="Verdana" w:eastAsia="Verdana" w:hAnsi="Verdana" w:cs="Verdana"/>
          <w:spacing w:val="-2"/>
          <w:sz w:val="20"/>
          <w:szCs w:val="20"/>
          <w:lang w:val="es-CR"/>
        </w:rPr>
        <w:t xml:space="preserve"> </w:t>
      </w:r>
      <w:r w:rsidRPr="009C5D55">
        <w:rPr>
          <w:rFonts w:ascii="Verdana" w:eastAsia="Verdana" w:hAnsi="Verdana" w:cs="Verdana"/>
          <w:spacing w:val="3"/>
          <w:sz w:val="20"/>
          <w:szCs w:val="20"/>
          <w:lang w:val="es-CR"/>
        </w:rPr>
        <w:t>l</w:t>
      </w:r>
      <w:r w:rsidRPr="009C5D55">
        <w:rPr>
          <w:rFonts w:ascii="Verdana" w:eastAsia="Verdana" w:hAnsi="Verdana" w:cs="Verdana"/>
          <w:sz w:val="20"/>
          <w:szCs w:val="20"/>
          <w:lang w:val="es-CR"/>
        </w:rPr>
        <w:t>a</w:t>
      </w:r>
      <w:r w:rsidRPr="009C5D55">
        <w:rPr>
          <w:rFonts w:ascii="Verdana" w:eastAsia="Verdana" w:hAnsi="Verdana" w:cs="Verdana"/>
          <w:spacing w:val="-2"/>
          <w:sz w:val="20"/>
          <w:szCs w:val="20"/>
          <w:lang w:val="es-CR"/>
        </w:rPr>
        <w:t xml:space="preserve"> </w:t>
      </w:r>
      <w:r w:rsidRPr="009C5D55">
        <w:rPr>
          <w:rFonts w:ascii="Verdana" w:eastAsia="Verdana" w:hAnsi="Verdana" w:cs="Verdana"/>
          <w:spacing w:val="1"/>
          <w:sz w:val="20"/>
          <w:szCs w:val="20"/>
          <w:lang w:val="es-CR"/>
        </w:rPr>
        <w:lastRenderedPageBreak/>
        <w:t>ju</w:t>
      </w:r>
      <w:r w:rsidRPr="009C5D55">
        <w:rPr>
          <w:rFonts w:ascii="Verdana" w:eastAsia="Verdana" w:hAnsi="Verdana" w:cs="Verdana"/>
          <w:sz w:val="20"/>
          <w:szCs w:val="20"/>
          <w:lang w:val="es-CR"/>
        </w:rPr>
        <w:t>st</w:t>
      </w:r>
      <w:r w:rsidRPr="009C5D55">
        <w:rPr>
          <w:rFonts w:ascii="Verdana" w:eastAsia="Verdana" w:hAnsi="Verdana" w:cs="Verdana"/>
          <w:spacing w:val="3"/>
          <w:sz w:val="20"/>
          <w:szCs w:val="20"/>
          <w:lang w:val="es-CR"/>
        </w:rPr>
        <w:t>i</w:t>
      </w:r>
      <w:r w:rsidRPr="009C5D55">
        <w:rPr>
          <w:rFonts w:ascii="Verdana" w:eastAsia="Verdana" w:hAnsi="Verdana" w:cs="Verdana"/>
          <w:spacing w:val="-3"/>
          <w:sz w:val="20"/>
          <w:szCs w:val="20"/>
          <w:lang w:val="es-CR"/>
        </w:rPr>
        <w:t>f</w:t>
      </w:r>
      <w:r w:rsidRPr="009C5D55">
        <w:rPr>
          <w:rFonts w:ascii="Verdana" w:eastAsia="Verdana" w:hAnsi="Verdana" w:cs="Verdana"/>
          <w:spacing w:val="3"/>
          <w:sz w:val="20"/>
          <w:szCs w:val="20"/>
          <w:lang w:val="es-CR"/>
        </w:rPr>
        <w:t>i</w:t>
      </w:r>
      <w:r w:rsidRPr="009C5D55">
        <w:rPr>
          <w:rFonts w:ascii="Verdana" w:eastAsia="Verdana" w:hAnsi="Verdana" w:cs="Verdana"/>
          <w:sz w:val="20"/>
          <w:szCs w:val="20"/>
          <w:lang w:val="es-CR"/>
        </w:rPr>
        <w:t>ca</w:t>
      </w:r>
      <w:r w:rsidRPr="009C5D55">
        <w:rPr>
          <w:rFonts w:ascii="Verdana" w:eastAsia="Verdana" w:hAnsi="Verdana" w:cs="Verdana"/>
          <w:spacing w:val="-1"/>
          <w:sz w:val="20"/>
          <w:szCs w:val="20"/>
          <w:lang w:val="es-CR"/>
        </w:rPr>
        <w:t>c</w:t>
      </w:r>
      <w:r w:rsidRPr="009C5D55">
        <w:rPr>
          <w:rFonts w:ascii="Verdana" w:eastAsia="Verdana" w:hAnsi="Verdana" w:cs="Verdana"/>
          <w:spacing w:val="3"/>
          <w:sz w:val="20"/>
          <w:szCs w:val="20"/>
          <w:lang w:val="es-CR"/>
        </w:rPr>
        <w:t>i</w:t>
      </w:r>
      <w:r w:rsidRPr="009C5D55">
        <w:rPr>
          <w:rFonts w:ascii="Verdana" w:eastAsia="Verdana" w:hAnsi="Verdana" w:cs="Verdana"/>
          <w:spacing w:val="-1"/>
          <w:sz w:val="20"/>
          <w:szCs w:val="20"/>
          <w:lang w:val="es-CR"/>
        </w:rPr>
        <w:t>ó</w:t>
      </w:r>
      <w:r w:rsidRPr="009C5D55">
        <w:rPr>
          <w:rFonts w:ascii="Verdana" w:eastAsia="Verdana" w:hAnsi="Verdana" w:cs="Verdana"/>
          <w:sz w:val="20"/>
          <w:szCs w:val="20"/>
          <w:lang w:val="es-CR"/>
        </w:rPr>
        <w:t>n</w:t>
      </w:r>
      <w:r w:rsidRPr="009C5D55">
        <w:rPr>
          <w:rFonts w:ascii="Verdana" w:eastAsia="Verdana" w:hAnsi="Verdana" w:cs="Verdana"/>
          <w:spacing w:val="-11"/>
          <w:sz w:val="20"/>
          <w:szCs w:val="20"/>
          <w:lang w:val="es-CR"/>
        </w:rPr>
        <w:t xml:space="preserve"> </w:t>
      </w:r>
      <w:r w:rsidRPr="009C5D55">
        <w:rPr>
          <w:rFonts w:ascii="Verdana" w:eastAsia="Verdana" w:hAnsi="Verdana" w:cs="Verdana"/>
          <w:sz w:val="20"/>
          <w:szCs w:val="20"/>
          <w:lang w:val="es-CR"/>
        </w:rPr>
        <w:t>de</w:t>
      </w:r>
      <w:r w:rsidRPr="009C5D55">
        <w:rPr>
          <w:rFonts w:ascii="Verdana" w:eastAsia="Verdana" w:hAnsi="Verdana" w:cs="Verdana"/>
          <w:spacing w:val="-3"/>
          <w:sz w:val="20"/>
          <w:szCs w:val="20"/>
          <w:lang w:val="es-CR"/>
        </w:rPr>
        <w:t xml:space="preserve"> </w:t>
      </w:r>
      <w:r w:rsidRPr="009C5D55">
        <w:rPr>
          <w:rFonts w:ascii="Verdana" w:eastAsia="Verdana" w:hAnsi="Verdana" w:cs="Verdana"/>
          <w:spacing w:val="2"/>
          <w:sz w:val="20"/>
          <w:szCs w:val="20"/>
          <w:lang w:val="es-CR"/>
        </w:rPr>
        <w:t>l</w:t>
      </w:r>
      <w:r w:rsidRPr="009C5D55">
        <w:rPr>
          <w:rFonts w:ascii="Verdana" w:eastAsia="Verdana" w:hAnsi="Verdana" w:cs="Verdana"/>
          <w:spacing w:val="-1"/>
          <w:sz w:val="20"/>
          <w:szCs w:val="20"/>
          <w:lang w:val="es-CR"/>
        </w:rPr>
        <w:t>o</w:t>
      </w:r>
      <w:r w:rsidRPr="009C5D55">
        <w:rPr>
          <w:rFonts w:ascii="Verdana" w:eastAsia="Verdana" w:hAnsi="Verdana" w:cs="Verdana"/>
          <w:sz w:val="20"/>
          <w:szCs w:val="20"/>
          <w:lang w:val="es-CR"/>
        </w:rPr>
        <w:t>s</w:t>
      </w:r>
      <w:r w:rsidRPr="009C5D55">
        <w:rPr>
          <w:rFonts w:ascii="Verdana" w:eastAsia="Verdana" w:hAnsi="Verdana" w:cs="Verdana"/>
          <w:spacing w:val="-4"/>
          <w:sz w:val="20"/>
          <w:szCs w:val="20"/>
          <w:lang w:val="es-CR"/>
        </w:rPr>
        <w:t xml:space="preserve"> </w:t>
      </w:r>
      <w:r w:rsidRPr="009C5D55">
        <w:rPr>
          <w:rFonts w:ascii="Verdana" w:eastAsia="Verdana" w:hAnsi="Verdana" w:cs="Verdana"/>
          <w:sz w:val="20"/>
          <w:szCs w:val="20"/>
          <w:lang w:val="es-CR"/>
        </w:rPr>
        <w:t>m</w:t>
      </w:r>
      <w:r w:rsidRPr="009C5D55">
        <w:rPr>
          <w:rFonts w:ascii="Verdana" w:eastAsia="Verdana" w:hAnsi="Verdana" w:cs="Verdana"/>
          <w:spacing w:val="3"/>
          <w:sz w:val="20"/>
          <w:szCs w:val="20"/>
          <w:lang w:val="es-CR"/>
        </w:rPr>
        <w:t>i</w:t>
      </w:r>
      <w:r w:rsidRPr="009C5D55">
        <w:rPr>
          <w:rFonts w:ascii="Verdana" w:eastAsia="Verdana" w:hAnsi="Verdana" w:cs="Verdana"/>
          <w:sz w:val="20"/>
          <w:szCs w:val="20"/>
          <w:lang w:val="es-CR"/>
        </w:rPr>
        <w:t>sm</w:t>
      </w:r>
      <w:r w:rsidRPr="009C5D55">
        <w:rPr>
          <w:rFonts w:ascii="Verdana" w:eastAsia="Verdana" w:hAnsi="Verdana" w:cs="Verdana"/>
          <w:spacing w:val="-1"/>
          <w:sz w:val="20"/>
          <w:szCs w:val="20"/>
          <w:lang w:val="es-CR"/>
        </w:rPr>
        <w:t>o</w:t>
      </w:r>
      <w:r w:rsidRPr="009C5D55">
        <w:rPr>
          <w:rFonts w:ascii="Verdana" w:eastAsia="Verdana" w:hAnsi="Verdana" w:cs="Verdana"/>
          <w:spacing w:val="7"/>
          <w:sz w:val="20"/>
          <w:szCs w:val="20"/>
          <w:lang w:val="es-CR"/>
        </w:rPr>
        <w:t>s</w:t>
      </w:r>
      <w:r w:rsidRPr="009C5D55">
        <w:rPr>
          <w:rFonts w:ascii="Verdana" w:eastAsia="Verdana" w:hAnsi="Verdana" w:cs="Verdana"/>
          <w:spacing w:val="7"/>
          <w:sz w:val="20"/>
          <w:szCs w:val="20"/>
          <w:vertAlign w:val="superscript"/>
          <w:lang w:val="es-CR"/>
        </w:rPr>
        <w:footnoteReference w:id="276"/>
      </w:r>
      <w:r w:rsidRPr="009C5D55">
        <w:rPr>
          <w:rFonts w:ascii="Verdana" w:eastAsia="Verdana" w:hAnsi="Verdana" w:cs="Verdana"/>
          <w:sz w:val="20"/>
          <w:szCs w:val="20"/>
          <w:lang w:val="es-CR"/>
        </w:rPr>
        <w:t>.</w:t>
      </w:r>
      <w:r w:rsidRPr="009C5D55">
        <w:rPr>
          <w:rFonts w:ascii="Verdana" w:hAnsi="Verdana"/>
          <w:sz w:val="20"/>
          <w:szCs w:val="20"/>
          <w:lang w:val="es-CR"/>
        </w:rPr>
        <w:t xml:space="preserve"> </w:t>
      </w:r>
    </w:p>
    <w:p w14:paraId="457C03F0" w14:textId="77777777" w:rsidR="009C5D55" w:rsidRPr="009C5D55" w:rsidRDefault="009C5D55" w:rsidP="009C5D55">
      <w:pPr>
        <w:widowControl w:val="0"/>
        <w:tabs>
          <w:tab w:val="center" w:pos="0"/>
        </w:tabs>
        <w:autoSpaceDE w:val="0"/>
        <w:autoSpaceDN w:val="0"/>
        <w:adjustRightInd w:val="0"/>
        <w:contextualSpacing/>
        <w:jc w:val="both"/>
        <w:rPr>
          <w:lang w:val="es-CR"/>
        </w:rPr>
      </w:pPr>
    </w:p>
    <w:p w14:paraId="41AFDA9D" w14:textId="5F6BFFDF" w:rsidR="009C5D55" w:rsidRPr="009C5D55" w:rsidRDefault="009C5D55" w:rsidP="00E66DD7">
      <w:pPr>
        <w:widowControl w:val="0"/>
        <w:numPr>
          <w:ilvl w:val="0"/>
          <w:numId w:val="1"/>
        </w:numPr>
        <w:tabs>
          <w:tab w:val="center" w:pos="0"/>
        </w:tabs>
        <w:autoSpaceDE w:val="0"/>
        <w:autoSpaceDN w:val="0"/>
        <w:adjustRightInd w:val="0"/>
        <w:ind w:left="0" w:firstLine="0"/>
        <w:contextualSpacing/>
        <w:jc w:val="both"/>
        <w:rPr>
          <w:rFonts w:ascii="Verdana" w:hAnsi="Verdana"/>
          <w:sz w:val="20"/>
          <w:szCs w:val="20"/>
          <w:lang w:val="es-CR"/>
        </w:rPr>
      </w:pPr>
      <w:r w:rsidRPr="009C5D55">
        <w:rPr>
          <w:rFonts w:ascii="Verdana" w:hAnsi="Verdana"/>
          <w:sz w:val="20"/>
          <w:szCs w:val="20"/>
          <w:lang w:val="es-CR"/>
        </w:rPr>
        <w:t>En el presente caso</w:t>
      </w:r>
      <w:r w:rsidRPr="009C5D55">
        <w:rPr>
          <w:rFonts w:ascii="Verdana" w:hAnsi="Verdana"/>
          <w:color w:val="000000"/>
          <w:sz w:val="20"/>
          <w:szCs w:val="20"/>
          <w:lang w:val="es-CR"/>
        </w:rPr>
        <w:t xml:space="preserve">, la Corte constata que los representantes no se refirieron al monto de los gastos incurridos durante el litigio a nivel nacional ni tampoco aportaron prueba al respecto, en vista de que los hechos ocurrieron hace aproximadamente 28 años, y que el proceso internacional se inició en 1998, es decir hace aproximadamente 19 años. Por tanto, la Corte no cuenta con el respaldo probatorio para determinar los gastos realizados. En relación con los gastos incurridos por la Asociación Pro Derechos Humanos durante el proceso internacional tampoco se aportó prueba para establecer los gastos realizados. Sin embargo, la Corte considera que es razonable </w:t>
      </w:r>
      <w:r w:rsidRPr="00627E5D">
        <w:rPr>
          <w:rFonts w:ascii="Verdana" w:hAnsi="Verdana"/>
          <w:color w:val="000000"/>
          <w:sz w:val="20"/>
          <w:szCs w:val="20"/>
          <w:lang w:val="es-CR"/>
        </w:rPr>
        <w:t>suponer</w:t>
      </w:r>
      <w:r w:rsidRPr="009C5D55">
        <w:rPr>
          <w:rFonts w:ascii="Verdana" w:hAnsi="Verdana"/>
          <w:color w:val="000000"/>
          <w:sz w:val="20"/>
          <w:szCs w:val="20"/>
          <w:lang w:val="es-CR"/>
        </w:rPr>
        <w:t xml:space="preserve"> que durante los años de trámite del presente caso ante la jurisdicción interna la víctima realizó erogaciones económicas. Por otra parte, la Corte también considera </w:t>
      </w:r>
      <w:r w:rsidRPr="00627E5D">
        <w:rPr>
          <w:rFonts w:ascii="Verdana" w:hAnsi="Verdana"/>
          <w:color w:val="000000"/>
          <w:sz w:val="20"/>
          <w:szCs w:val="20"/>
          <w:lang w:val="es-CR"/>
        </w:rPr>
        <w:t xml:space="preserve">razonable </w:t>
      </w:r>
      <w:r w:rsidRPr="009C5D55">
        <w:rPr>
          <w:rFonts w:ascii="Verdana" w:hAnsi="Verdana"/>
          <w:color w:val="000000"/>
          <w:sz w:val="20"/>
          <w:szCs w:val="20"/>
          <w:lang w:val="es-CR"/>
        </w:rPr>
        <w:t xml:space="preserve">que el señor Lagos del Campo y sus representantes han incurrido en diversos gastos relativos a honorarios, recolección de prueba, transporte, servicios de comunicación, entre otros, en el trámite internacional del presente caso. </w:t>
      </w:r>
      <w:r w:rsidRPr="009C5D55">
        <w:rPr>
          <w:rFonts w:ascii="Verdana" w:hAnsi="Verdana"/>
          <w:sz w:val="20"/>
          <w:szCs w:val="20"/>
          <w:lang w:val="es-CR"/>
        </w:rPr>
        <w:t xml:space="preserve">En consecuencia, la Corte decide fijar </w:t>
      </w:r>
      <w:r w:rsidR="00AE6C98">
        <w:rPr>
          <w:rFonts w:ascii="Verdana" w:hAnsi="Verdana"/>
          <w:sz w:val="20"/>
          <w:szCs w:val="20"/>
          <w:lang w:val="es-CR"/>
        </w:rPr>
        <w:t xml:space="preserve">un monto razonable por </w:t>
      </w:r>
      <w:r w:rsidRPr="009C5D55">
        <w:rPr>
          <w:rFonts w:ascii="Verdana" w:hAnsi="Verdana"/>
          <w:sz w:val="20"/>
          <w:szCs w:val="20"/>
          <w:lang w:val="es-CR"/>
        </w:rPr>
        <w:t xml:space="preserve">la cantidad de </w:t>
      </w:r>
      <w:r w:rsidR="007C10CE" w:rsidRPr="00333304">
        <w:rPr>
          <w:rFonts w:ascii="Verdana" w:hAnsi="Verdana"/>
          <w:sz w:val="20"/>
          <w:szCs w:val="20"/>
          <w:lang w:val="es-CR"/>
        </w:rPr>
        <w:t>USD $20,000 (veinte mil dólares de los Estados Unidos de América)</w:t>
      </w:r>
      <w:r w:rsidR="007C10CE" w:rsidRPr="00D9490E">
        <w:rPr>
          <w:rFonts w:ascii="Verdana" w:hAnsi="Verdana"/>
          <w:sz w:val="20"/>
          <w:szCs w:val="20"/>
          <w:lang w:val="es-CR"/>
        </w:rPr>
        <w:t xml:space="preserve"> </w:t>
      </w:r>
      <w:r w:rsidR="00AE6C98">
        <w:rPr>
          <w:rFonts w:ascii="Verdana" w:hAnsi="Verdana"/>
          <w:sz w:val="20"/>
          <w:szCs w:val="20"/>
          <w:lang w:val="es-CR"/>
        </w:rPr>
        <w:t>con motivo de las labores realizada</w:t>
      </w:r>
      <w:r w:rsidRPr="009C5D55">
        <w:rPr>
          <w:rFonts w:ascii="Verdana" w:hAnsi="Verdana"/>
          <w:sz w:val="20"/>
          <w:szCs w:val="20"/>
          <w:lang w:val="es-CR"/>
        </w:rPr>
        <w:t>s en el litigio del presente caso</w:t>
      </w:r>
      <w:r w:rsidR="00F535E6">
        <w:rPr>
          <w:rFonts w:ascii="Verdana" w:hAnsi="Verdana"/>
          <w:sz w:val="20"/>
          <w:szCs w:val="20"/>
          <w:lang w:val="es-CR"/>
        </w:rPr>
        <w:t xml:space="preserve">, </w:t>
      </w:r>
      <w:r w:rsidR="00AE6C98">
        <w:rPr>
          <w:rFonts w:ascii="Verdana" w:hAnsi="Verdana"/>
          <w:sz w:val="20"/>
          <w:szCs w:val="20"/>
          <w:lang w:val="es-CR"/>
        </w:rPr>
        <w:t>el cual deberá</w:t>
      </w:r>
      <w:r w:rsidR="00F535E6">
        <w:rPr>
          <w:rFonts w:ascii="Verdana" w:hAnsi="Verdana"/>
          <w:sz w:val="20"/>
          <w:szCs w:val="20"/>
          <w:lang w:val="es-CR"/>
        </w:rPr>
        <w:t xml:space="preserve"> ser</w:t>
      </w:r>
      <w:r w:rsidR="00AE6C98">
        <w:rPr>
          <w:rFonts w:ascii="Verdana" w:hAnsi="Verdana"/>
          <w:sz w:val="20"/>
          <w:szCs w:val="20"/>
          <w:lang w:val="es-CR"/>
        </w:rPr>
        <w:t xml:space="preserve"> entregado</w:t>
      </w:r>
      <w:r w:rsidR="00E4380F">
        <w:rPr>
          <w:rFonts w:ascii="Verdana" w:hAnsi="Verdana"/>
          <w:sz w:val="20"/>
          <w:szCs w:val="20"/>
          <w:lang w:val="es-CR"/>
        </w:rPr>
        <w:t xml:space="preserve"> al señor Lagos del Campo, quien entregará a sus representantes la cantidad que corresponda, conforme a la asistencia que estos le hubieren prestado</w:t>
      </w:r>
      <w:r w:rsidRPr="009C5D55">
        <w:rPr>
          <w:rFonts w:ascii="Verdana" w:hAnsi="Verdana"/>
          <w:sz w:val="20"/>
          <w:szCs w:val="20"/>
          <w:lang w:val="es-CR"/>
        </w:rPr>
        <w:t xml:space="preserve">. </w:t>
      </w:r>
    </w:p>
    <w:p w14:paraId="12629D5E" w14:textId="77777777" w:rsidR="009C5D55" w:rsidRPr="009C5D55" w:rsidRDefault="009C5D55" w:rsidP="009C5D55">
      <w:pPr>
        <w:rPr>
          <w:rFonts w:ascii="Verdana" w:hAnsi="Verdana"/>
          <w:sz w:val="20"/>
          <w:szCs w:val="20"/>
          <w:lang w:val="es-CR"/>
        </w:rPr>
      </w:pPr>
    </w:p>
    <w:p w14:paraId="6C3BDAF0" w14:textId="77777777" w:rsidR="009C5D55" w:rsidRPr="0062065E" w:rsidRDefault="009C5D55" w:rsidP="00E66DD7">
      <w:pPr>
        <w:pStyle w:val="Heading2"/>
        <w:numPr>
          <w:ilvl w:val="0"/>
          <w:numId w:val="13"/>
        </w:numPr>
        <w:rPr>
          <w:i/>
        </w:rPr>
      </w:pPr>
      <w:bookmarkStart w:id="75" w:name="_Toc498333530"/>
      <w:r w:rsidRPr="0062065E">
        <w:rPr>
          <w:i/>
        </w:rPr>
        <w:t>Reintegro de los gastos al Fondo de Asistencia Legal de Víctimas</w:t>
      </w:r>
      <w:bookmarkEnd w:id="75"/>
    </w:p>
    <w:p w14:paraId="4F4B2771" w14:textId="77777777" w:rsidR="009C5D55" w:rsidRPr="00AD7CB4" w:rsidRDefault="009C5D55" w:rsidP="009C5D55">
      <w:pPr>
        <w:autoSpaceDE w:val="0"/>
        <w:autoSpaceDN w:val="0"/>
        <w:adjustRightInd w:val="0"/>
        <w:ind w:right="49"/>
        <w:contextualSpacing/>
        <w:jc w:val="both"/>
        <w:rPr>
          <w:rFonts w:ascii="Verdana" w:hAnsi="Verdana" w:cs="Verdana"/>
          <w:sz w:val="20"/>
          <w:szCs w:val="20"/>
          <w:lang w:val="es-CR"/>
        </w:rPr>
      </w:pPr>
    </w:p>
    <w:p w14:paraId="1134F671" w14:textId="28868B54" w:rsidR="009C5D55" w:rsidRPr="005D0F69" w:rsidRDefault="009C5D55" w:rsidP="00E66DD7">
      <w:pPr>
        <w:widowControl w:val="0"/>
        <w:numPr>
          <w:ilvl w:val="0"/>
          <w:numId w:val="1"/>
        </w:numPr>
        <w:tabs>
          <w:tab w:val="center" w:pos="0"/>
        </w:tabs>
        <w:autoSpaceDE w:val="0"/>
        <w:autoSpaceDN w:val="0"/>
        <w:adjustRightInd w:val="0"/>
        <w:ind w:left="0" w:firstLine="0"/>
        <w:contextualSpacing/>
        <w:jc w:val="both"/>
        <w:rPr>
          <w:rFonts w:ascii="Verdana" w:hAnsi="Verdana" w:cs="Verdana"/>
          <w:color w:val="000000"/>
          <w:sz w:val="20"/>
          <w:szCs w:val="20"/>
          <w:lang w:val="es-CR"/>
        </w:rPr>
      </w:pPr>
      <w:r w:rsidRPr="00AD7CB4">
        <w:rPr>
          <w:rFonts w:ascii="Verdana" w:hAnsi="Verdana" w:cs="Verdana"/>
          <w:color w:val="000000"/>
          <w:sz w:val="20"/>
          <w:szCs w:val="20"/>
          <w:lang w:val="es-CR"/>
        </w:rPr>
        <w:t xml:space="preserve"> L</w:t>
      </w:r>
      <w:r w:rsidR="00925FE5" w:rsidRPr="00535854">
        <w:rPr>
          <w:rFonts w:ascii="Verdana" w:hAnsi="Verdana" w:cs="Verdana"/>
          <w:color w:val="000000"/>
          <w:sz w:val="20"/>
          <w:szCs w:val="20"/>
          <w:lang w:val="es-CR"/>
        </w:rPr>
        <w:t xml:space="preserve">a víctima </w:t>
      </w:r>
      <w:r w:rsidR="00925FE5" w:rsidRPr="00577DD8">
        <w:rPr>
          <w:rFonts w:ascii="Verdana" w:hAnsi="Verdana" w:cs="Verdana"/>
          <w:color w:val="000000"/>
          <w:sz w:val="20"/>
          <w:szCs w:val="20"/>
          <w:lang w:val="es-CR"/>
        </w:rPr>
        <w:t>solicitó</w:t>
      </w:r>
      <w:r w:rsidR="00925FE5" w:rsidRPr="005D0F69">
        <w:rPr>
          <w:rFonts w:ascii="Verdana" w:hAnsi="Verdana" w:cs="Verdana"/>
          <w:color w:val="000000"/>
          <w:sz w:val="20"/>
          <w:szCs w:val="20"/>
          <w:lang w:val="es-CR"/>
        </w:rPr>
        <w:t xml:space="preserve"> </w:t>
      </w:r>
      <w:r w:rsidRPr="005D0F69">
        <w:rPr>
          <w:rFonts w:ascii="Verdana" w:hAnsi="Verdana" w:cs="Verdana"/>
          <w:color w:val="000000"/>
          <w:sz w:val="20"/>
          <w:szCs w:val="20"/>
          <w:lang w:val="es-CR"/>
        </w:rPr>
        <w:t>acogerse al Fondo de Asistencia de la Corte</w:t>
      </w:r>
      <w:r w:rsidR="00D9490E">
        <w:rPr>
          <w:rFonts w:ascii="Verdana" w:hAnsi="Verdana" w:cs="Verdana"/>
          <w:b/>
          <w:color w:val="000000"/>
          <w:sz w:val="20"/>
          <w:szCs w:val="20"/>
          <w:lang w:val="es-CR"/>
        </w:rPr>
        <w:t>.</w:t>
      </w:r>
      <w:r w:rsidRPr="005D0F69">
        <w:rPr>
          <w:rFonts w:ascii="Verdana" w:hAnsi="Verdana" w:cs="Verdana"/>
          <w:color w:val="000000"/>
          <w:sz w:val="20"/>
          <w:szCs w:val="20"/>
          <w:lang w:val="es-CR"/>
        </w:rPr>
        <w:t xml:space="preserve"> Mediante Resolución de la Presidencia de </w:t>
      </w:r>
      <w:r w:rsidRPr="005D0F69">
        <w:rPr>
          <w:rFonts w:ascii="Verdana" w:hAnsi="Verdana" w:cs="Verdana"/>
          <w:sz w:val="20"/>
          <w:szCs w:val="20"/>
          <w:lang w:val="es-CR"/>
        </w:rPr>
        <w:t xml:space="preserve">14 de julio de 2016, </w:t>
      </w:r>
      <w:r w:rsidRPr="005D0F69">
        <w:rPr>
          <w:rFonts w:ascii="Verdana" w:hAnsi="Verdana" w:cs="Verdana"/>
          <w:color w:val="000000"/>
          <w:sz w:val="20"/>
          <w:szCs w:val="20"/>
          <w:lang w:val="es-CR"/>
        </w:rPr>
        <w:t xml:space="preserve">se dispuso que la asistencia económica estaría asignada para cubrir los gastos, entre otros, del viaje y estadía necesarios para que la presunta víctima asistiera a la audiencia pública, así como los relativos a la formalización y envío del affidávit del perito Carlos </w:t>
      </w:r>
      <w:proofErr w:type="spellStart"/>
      <w:r w:rsidRPr="005D0F69">
        <w:rPr>
          <w:rFonts w:ascii="Verdana" w:hAnsi="Verdana" w:cs="Verdana"/>
          <w:color w:val="000000"/>
          <w:sz w:val="20"/>
          <w:szCs w:val="20"/>
          <w:lang w:val="es-CR"/>
        </w:rPr>
        <w:t>Jibaja</w:t>
      </w:r>
      <w:proofErr w:type="spellEnd"/>
      <w:r w:rsidRPr="005D0F69">
        <w:rPr>
          <w:rFonts w:ascii="Verdana" w:hAnsi="Verdana" w:cs="Verdana"/>
          <w:color w:val="000000"/>
          <w:sz w:val="20"/>
          <w:szCs w:val="20"/>
          <w:lang w:val="es-CR"/>
        </w:rPr>
        <w:t xml:space="preserve"> Zárate, que se rindieron ante fedatario público</w:t>
      </w:r>
      <w:r w:rsidRPr="005D0F69">
        <w:rPr>
          <w:rFonts w:ascii="Verdana" w:hAnsi="Verdana" w:cs="Verdana"/>
          <w:color w:val="000000"/>
          <w:sz w:val="20"/>
          <w:szCs w:val="20"/>
          <w:vertAlign w:val="superscript"/>
          <w:lang w:val="es-CR"/>
        </w:rPr>
        <w:footnoteReference w:id="277"/>
      </w:r>
      <w:r w:rsidRPr="005D0F69">
        <w:rPr>
          <w:rFonts w:ascii="Verdana" w:hAnsi="Verdana" w:cs="Verdana"/>
          <w:color w:val="000000"/>
          <w:sz w:val="20"/>
          <w:szCs w:val="20"/>
          <w:lang w:val="es-CR"/>
        </w:rPr>
        <w:t>.</w:t>
      </w:r>
    </w:p>
    <w:p w14:paraId="37DEFF1B" w14:textId="77777777" w:rsidR="009C5D55" w:rsidRPr="009C5D55" w:rsidRDefault="009C5D55" w:rsidP="009C5D55">
      <w:pPr>
        <w:tabs>
          <w:tab w:val="center" w:pos="0"/>
        </w:tabs>
        <w:autoSpaceDE w:val="0"/>
        <w:autoSpaceDN w:val="0"/>
        <w:adjustRightInd w:val="0"/>
        <w:jc w:val="both"/>
        <w:rPr>
          <w:rFonts w:ascii="Verdana" w:hAnsi="Verdana" w:cs="Verdana"/>
          <w:color w:val="000000"/>
          <w:sz w:val="20"/>
          <w:szCs w:val="20"/>
          <w:lang w:val="es-CR"/>
        </w:rPr>
      </w:pPr>
    </w:p>
    <w:p w14:paraId="628D946D" w14:textId="7339658E" w:rsidR="0056094E" w:rsidRPr="005D0F69" w:rsidRDefault="009C5D55" w:rsidP="00E66DD7">
      <w:pPr>
        <w:widowControl w:val="0"/>
        <w:numPr>
          <w:ilvl w:val="0"/>
          <w:numId w:val="1"/>
        </w:numPr>
        <w:tabs>
          <w:tab w:val="center" w:pos="0"/>
        </w:tabs>
        <w:autoSpaceDE w:val="0"/>
        <w:autoSpaceDN w:val="0"/>
        <w:adjustRightInd w:val="0"/>
        <w:ind w:left="0" w:firstLine="0"/>
        <w:contextualSpacing/>
        <w:jc w:val="both"/>
        <w:rPr>
          <w:rFonts w:ascii="Verdana" w:hAnsi="Verdana" w:cs="Verdana"/>
          <w:color w:val="000000"/>
          <w:sz w:val="20"/>
          <w:szCs w:val="20"/>
          <w:lang w:val="es-CR"/>
        </w:rPr>
      </w:pPr>
      <w:r w:rsidRPr="009C5D55">
        <w:rPr>
          <w:rFonts w:ascii="Verdana" w:hAnsi="Verdana" w:cs="Verdana"/>
          <w:color w:val="000000"/>
          <w:sz w:val="20"/>
          <w:szCs w:val="20"/>
          <w:lang w:val="es-CR"/>
        </w:rPr>
        <w:t xml:space="preserve"> Mediante nota de Secretaría de la Corte de </w:t>
      </w:r>
      <w:r w:rsidR="0056094E">
        <w:rPr>
          <w:rFonts w:ascii="Verdana" w:hAnsi="Verdana" w:cs="Verdana"/>
          <w:sz w:val="20"/>
          <w:szCs w:val="20"/>
          <w:lang w:val="es-CR"/>
        </w:rPr>
        <w:t>7 de abril de 201</w:t>
      </w:r>
      <w:r w:rsidR="00D9490E" w:rsidRPr="00333304">
        <w:rPr>
          <w:rFonts w:ascii="Verdana" w:hAnsi="Verdana" w:cs="Verdana"/>
          <w:sz w:val="20"/>
          <w:szCs w:val="20"/>
          <w:lang w:val="es-CR"/>
        </w:rPr>
        <w:t>7</w:t>
      </w:r>
      <w:r w:rsidRPr="00B31162">
        <w:rPr>
          <w:rFonts w:ascii="Verdana" w:hAnsi="Verdana" w:cs="Verdana"/>
          <w:sz w:val="20"/>
          <w:szCs w:val="20"/>
          <w:lang w:val="es-CR"/>
        </w:rPr>
        <w:t>,</w:t>
      </w:r>
      <w:r w:rsidRPr="009C5D55">
        <w:rPr>
          <w:rFonts w:ascii="Verdana" w:hAnsi="Verdana" w:cs="Verdana"/>
          <w:sz w:val="20"/>
          <w:szCs w:val="20"/>
          <w:lang w:val="es-CR"/>
        </w:rPr>
        <w:t xml:space="preserve"> </w:t>
      </w:r>
      <w:r w:rsidRPr="009C5D55">
        <w:rPr>
          <w:rFonts w:ascii="Verdana" w:hAnsi="Verdana" w:cs="Verdana"/>
          <w:color w:val="000000"/>
          <w:sz w:val="20"/>
          <w:szCs w:val="20"/>
          <w:lang w:val="es-CR"/>
        </w:rPr>
        <w:t xml:space="preserve">se remitió un informe al Estado sobre las erogaciones efectuadas en aplicación del Fondo de Asistencia en el presente caso, las cuales ascendieron a la suma de USD </w:t>
      </w:r>
      <w:r w:rsidRPr="009C5D55">
        <w:rPr>
          <w:rFonts w:ascii="Verdana" w:hAnsi="Verdana" w:cs="Verdana"/>
          <w:sz w:val="20"/>
          <w:szCs w:val="20"/>
          <w:lang w:val="es-CR"/>
        </w:rPr>
        <w:t>1,336.81 (mil trescientos treinta y seis dólares</w:t>
      </w:r>
      <w:r w:rsidR="00D9490E">
        <w:rPr>
          <w:rFonts w:ascii="Verdana" w:hAnsi="Verdana" w:cs="Verdana"/>
          <w:sz w:val="20"/>
          <w:szCs w:val="20"/>
          <w:lang w:val="es-CR"/>
        </w:rPr>
        <w:t xml:space="preserve"> con ochenta y un centavos </w:t>
      </w:r>
      <w:r w:rsidRPr="009C5D55">
        <w:rPr>
          <w:rFonts w:ascii="Verdana" w:hAnsi="Verdana" w:cs="Verdana"/>
          <w:sz w:val="20"/>
          <w:szCs w:val="20"/>
          <w:lang w:val="es-CR"/>
        </w:rPr>
        <w:t>de los Estados Unidos de América)</w:t>
      </w:r>
      <w:r w:rsidRPr="009C5D55">
        <w:rPr>
          <w:rFonts w:ascii="Verdana" w:hAnsi="Verdana"/>
          <w:sz w:val="20"/>
          <w:szCs w:val="20"/>
          <w:vertAlign w:val="superscript"/>
          <w:lang w:val="es-CR"/>
        </w:rPr>
        <w:footnoteReference w:id="278"/>
      </w:r>
      <w:r w:rsidRPr="009C5D55">
        <w:rPr>
          <w:rFonts w:ascii="Verdana" w:hAnsi="Verdana" w:cs="Verdana"/>
          <w:sz w:val="20"/>
          <w:szCs w:val="20"/>
          <w:lang w:val="es-CR"/>
        </w:rPr>
        <w:t xml:space="preserve"> </w:t>
      </w:r>
      <w:r w:rsidRPr="009C5D55">
        <w:rPr>
          <w:rFonts w:ascii="Verdana" w:hAnsi="Verdana" w:cs="Verdana"/>
          <w:color w:val="000000"/>
          <w:sz w:val="20"/>
          <w:szCs w:val="20"/>
          <w:lang w:val="es-CR"/>
        </w:rPr>
        <w:t>y, según lo dispuesto en el artículo 5 del Reglamento de la Corte sobre el Funcionamiento del referido Fondo, se otorgó un plazo para que el Perú presentara las observaciones que estimara pertinentes</w:t>
      </w:r>
      <w:r w:rsidR="005B3D37">
        <w:rPr>
          <w:rStyle w:val="FootnoteReference"/>
          <w:szCs w:val="20"/>
          <w:lang w:val="es-CR"/>
        </w:rPr>
        <w:footnoteReference w:id="279"/>
      </w:r>
      <w:r w:rsidR="0056094E">
        <w:rPr>
          <w:rFonts w:ascii="Verdana" w:hAnsi="Verdana" w:cs="Verdana"/>
          <w:sz w:val="20"/>
          <w:szCs w:val="20"/>
          <w:lang w:val="es-CR"/>
        </w:rPr>
        <w:t>.</w:t>
      </w:r>
      <w:r w:rsidR="005B3D37">
        <w:rPr>
          <w:rFonts w:ascii="Verdana" w:hAnsi="Verdana" w:cs="Verdana"/>
          <w:sz w:val="20"/>
          <w:szCs w:val="20"/>
          <w:lang w:val="es-CR"/>
        </w:rPr>
        <w:t xml:space="preserve"> En vista de lo anterior, dicha cantidad deberá ser reintegrada en el plazo de noventa días, contados a partir de la notificación del presente Fallo.</w:t>
      </w:r>
    </w:p>
    <w:p w14:paraId="2FCEC5F3" w14:textId="77777777" w:rsidR="009C5D55" w:rsidRPr="009C5D55" w:rsidRDefault="009C5D55" w:rsidP="009C5D55">
      <w:pPr>
        <w:rPr>
          <w:rFonts w:ascii="Verdana" w:hAnsi="Verdana"/>
          <w:sz w:val="20"/>
          <w:szCs w:val="20"/>
          <w:lang w:val="es-CR"/>
        </w:rPr>
      </w:pPr>
    </w:p>
    <w:p w14:paraId="2A8CC263" w14:textId="77777777" w:rsidR="009C5D55" w:rsidRPr="00C0187C" w:rsidRDefault="009C5D55" w:rsidP="00E66DD7">
      <w:pPr>
        <w:pStyle w:val="Heading2"/>
        <w:numPr>
          <w:ilvl w:val="0"/>
          <w:numId w:val="13"/>
        </w:numPr>
        <w:rPr>
          <w:i/>
          <w:szCs w:val="20"/>
        </w:rPr>
      </w:pPr>
      <w:bookmarkStart w:id="76" w:name="_Toc498333531"/>
      <w:r w:rsidRPr="00C0187C">
        <w:rPr>
          <w:i/>
          <w:szCs w:val="20"/>
        </w:rPr>
        <w:t>Modalidad de cumplimiento de los pagos ordenados</w:t>
      </w:r>
      <w:bookmarkEnd w:id="76"/>
    </w:p>
    <w:p w14:paraId="750A1D66" w14:textId="77777777" w:rsidR="009C5D55" w:rsidRPr="009C5D55" w:rsidRDefault="009C5D55" w:rsidP="009C5D55">
      <w:pPr>
        <w:rPr>
          <w:rFonts w:ascii="Verdana" w:hAnsi="Verdana"/>
          <w:sz w:val="20"/>
          <w:szCs w:val="20"/>
          <w:lang w:val="es-CR"/>
        </w:rPr>
      </w:pPr>
    </w:p>
    <w:p w14:paraId="2016DAEA" w14:textId="77777777" w:rsidR="009C5D55" w:rsidRPr="00AD7CB4" w:rsidRDefault="009C5D55" w:rsidP="00E66DD7">
      <w:pPr>
        <w:widowControl w:val="0"/>
        <w:numPr>
          <w:ilvl w:val="0"/>
          <w:numId w:val="1"/>
        </w:numPr>
        <w:tabs>
          <w:tab w:val="center" w:pos="567"/>
        </w:tabs>
        <w:autoSpaceDE w:val="0"/>
        <w:autoSpaceDN w:val="0"/>
        <w:adjustRightInd w:val="0"/>
        <w:ind w:left="0" w:firstLine="0"/>
        <w:contextualSpacing/>
        <w:jc w:val="both"/>
        <w:rPr>
          <w:rFonts w:ascii="Verdana" w:hAnsi="Verdana"/>
          <w:sz w:val="20"/>
          <w:szCs w:val="20"/>
          <w:lang w:val="es-CR"/>
        </w:rPr>
      </w:pPr>
      <w:r w:rsidRPr="009C5D55">
        <w:rPr>
          <w:rFonts w:ascii="Verdana" w:hAnsi="Verdana"/>
          <w:sz w:val="20"/>
          <w:szCs w:val="20"/>
          <w:lang w:val="es-CR"/>
        </w:rPr>
        <w:t>El Estado deberá efectuar el pago de las indemnizaciones por concepto de daño material e inmaterial, así como el reintegro de las costas y gastos establecidos en la presente Sentencia directamente a la persona indicada en la misma</w:t>
      </w:r>
      <w:r w:rsidRPr="0062065E">
        <w:rPr>
          <w:rFonts w:ascii="Verdana" w:hAnsi="Verdana"/>
          <w:sz w:val="20"/>
          <w:szCs w:val="20"/>
          <w:lang w:val="es-CR"/>
        </w:rPr>
        <w:t xml:space="preserve">, </w:t>
      </w:r>
      <w:r w:rsidRPr="00AD7CB4">
        <w:rPr>
          <w:rFonts w:ascii="Verdana" w:hAnsi="Verdana"/>
          <w:sz w:val="20"/>
          <w:szCs w:val="20"/>
          <w:lang w:val="es-CR"/>
        </w:rPr>
        <w:t xml:space="preserve">dentro del plazo de un año contado a partir de la notificación del presente Fallo, en los términos de los siguientes párrafos. </w:t>
      </w:r>
    </w:p>
    <w:p w14:paraId="27D900AD" w14:textId="77777777" w:rsidR="009C5D55" w:rsidRPr="00AD7CB4" w:rsidRDefault="009C5D55" w:rsidP="009C5D55">
      <w:pPr>
        <w:widowControl w:val="0"/>
        <w:tabs>
          <w:tab w:val="center" w:pos="567"/>
        </w:tabs>
        <w:autoSpaceDE w:val="0"/>
        <w:autoSpaceDN w:val="0"/>
        <w:adjustRightInd w:val="0"/>
        <w:contextualSpacing/>
        <w:jc w:val="both"/>
        <w:rPr>
          <w:rFonts w:ascii="Verdana" w:hAnsi="Verdana"/>
          <w:sz w:val="20"/>
          <w:szCs w:val="20"/>
          <w:lang w:val="es-CR"/>
        </w:rPr>
      </w:pPr>
    </w:p>
    <w:p w14:paraId="4AFBB321" w14:textId="77777777" w:rsidR="009C5D55" w:rsidRPr="005D0F69" w:rsidRDefault="009C5D55" w:rsidP="00E66DD7">
      <w:pPr>
        <w:widowControl w:val="0"/>
        <w:numPr>
          <w:ilvl w:val="0"/>
          <w:numId w:val="1"/>
        </w:numPr>
        <w:tabs>
          <w:tab w:val="center" w:pos="567"/>
        </w:tabs>
        <w:autoSpaceDE w:val="0"/>
        <w:autoSpaceDN w:val="0"/>
        <w:adjustRightInd w:val="0"/>
        <w:ind w:left="0" w:firstLine="0"/>
        <w:contextualSpacing/>
        <w:jc w:val="both"/>
        <w:rPr>
          <w:rFonts w:ascii="Verdana" w:hAnsi="Verdana"/>
          <w:sz w:val="20"/>
          <w:szCs w:val="20"/>
          <w:lang w:val="es-CR"/>
        </w:rPr>
      </w:pPr>
      <w:r w:rsidRPr="005D0F69">
        <w:rPr>
          <w:rFonts w:ascii="Verdana" w:hAnsi="Verdana"/>
          <w:sz w:val="20"/>
          <w:szCs w:val="20"/>
          <w:lang w:val="es-CR"/>
        </w:rPr>
        <w:t xml:space="preserve">En caso de que el beneficiario fallezca antes de que les sean entregadas las indemnizaciones respectivas, éstas se efectuarán directamente a sus derechohabientes, conforme al derecho interno aplicable. </w:t>
      </w:r>
    </w:p>
    <w:p w14:paraId="3513E15D" w14:textId="77777777" w:rsidR="009C5D55" w:rsidRPr="005D0F69" w:rsidRDefault="009C5D55" w:rsidP="009C5D55">
      <w:pPr>
        <w:contextualSpacing/>
        <w:rPr>
          <w:rFonts w:ascii="Verdana" w:hAnsi="Verdana"/>
          <w:sz w:val="20"/>
          <w:szCs w:val="20"/>
          <w:lang w:val="es-CR"/>
        </w:rPr>
      </w:pPr>
    </w:p>
    <w:p w14:paraId="56B98799" w14:textId="77777777" w:rsidR="009C5D55" w:rsidRPr="005D0F69" w:rsidRDefault="009C5D55" w:rsidP="00E66DD7">
      <w:pPr>
        <w:widowControl w:val="0"/>
        <w:numPr>
          <w:ilvl w:val="0"/>
          <w:numId w:val="1"/>
        </w:numPr>
        <w:tabs>
          <w:tab w:val="center" w:pos="567"/>
        </w:tabs>
        <w:autoSpaceDE w:val="0"/>
        <w:autoSpaceDN w:val="0"/>
        <w:adjustRightInd w:val="0"/>
        <w:ind w:left="0" w:firstLine="0"/>
        <w:contextualSpacing/>
        <w:jc w:val="both"/>
        <w:rPr>
          <w:rFonts w:ascii="Verdana" w:hAnsi="Verdana"/>
          <w:sz w:val="20"/>
          <w:szCs w:val="20"/>
          <w:lang w:val="es-CR"/>
        </w:rPr>
      </w:pPr>
      <w:r w:rsidRPr="005D0F69">
        <w:rPr>
          <w:rFonts w:ascii="Verdana" w:hAnsi="Verdana"/>
          <w:sz w:val="20"/>
          <w:szCs w:val="20"/>
          <w:lang w:val="es-CR"/>
        </w:rPr>
        <w:t xml:space="preserve">El Estado debe cumplir sus obligaciones monetarias mediante el pago en dólares de los Estados Unidos de América o su equivalente en moneda peruana, utilizando para el cálculo respectivo el tipo de cambio que se encuentre vigente en la bolsa de Nueva York, Estados Unidos de América, el día anterior al pago. </w:t>
      </w:r>
    </w:p>
    <w:p w14:paraId="2693D81E" w14:textId="77777777" w:rsidR="009C5D55" w:rsidRPr="009C5D55" w:rsidRDefault="009C5D55" w:rsidP="009C5D55">
      <w:pPr>
        <w:contextualSpacing/>
        <w:rPr>
          <w:rFonts w:ascii="Verdana" w:hAnsi="Verdana"/>
          <w:sz w:val="20"/>
          <w:szCs w:val="20"/>
          <w:lang w:val="es-CR"/>
        </w:rPr>
      </w:pPr>
    </w:p>
    <w:p w14:paraId="10D6C115" w14:textId="77777777" w:rsidR="009C5D55" w:rsidRPr="009C5D55" w:rsidRDefault="009C5D55" w:rsidP="00E66DD7">
      <w:pPr>
        <w:widowControl w:val="0"/>
        <w:numPr>
          <w:ilvl w:val="0"/>
          <w:numId w:val="1"/>
        </w:numPr>
        <w:tabs>
          <w:tab w:val="center" w:pos="567"/>
        </w:tabs>
        <w:autoSpaceDE w:val="0"/>
        <w:autoSpaceDN w:val="0"/>
        <w:adjustRightInd w:val="0"/>
        <w:ind w:left="0" w:firstLine="0"/>
        <w:contextualSpacing/>
        <w:jc w:val="both"/>
        <w:rPr>
          <w:rFonts w:ascii="Verdana" w:hAnsi="Verdana"/>
          <w:sz w:val="20"/>
          <w:szCs w:val="20"/>
          <w:lang w:val="es-CR"/>
        </w:rPr>
      </w:pPr>
      <w:r w:rsidRPr="009C5D55">
        <w:rPr>
          <w:rFonts w:ascii="Verdana" w:hAnsi="Verdana"/>
          <w:sz w:val="20"/>
          <w:szCs w:val="20"/>
          <w:lang w:val="es-CR"/>
        </w:rPr>
        <w:t xml:space="preserve">Si por causas atribuibles al beneficiario de las indemnizaciones o a sus derechohabientes no fuese posible el pago de las cantidades determinadas dentro del plazo indicado, </w:t>
      </w:r>
      <w:r w:rsidRPr="008A1C18">
        <w:rPr>
          <w:rFonts w:ascii="Verdana" w:hAnsi="Verdana"/>
          <w:sz w:val="20"/>
          <w:szCs w:val="20"/>
          <w:lang w:val="es-CR"/>
        </w:rPr>
        <w:t>el Estado consignará dichos montos a su favor en una cuenta o certificado de depósito en una institución financiera peruana solvente, en dólares de los Estados Unidos de América, y en las condiciones financieras más favorables que permitan la legislación y la práctica bancaria del Estado. Si no se reclama la indemnización correspondiente una vez transcurridos diez años, las cantidades</w:t>
      </w:r>
      <w:r w:rsidRPr="009C5D55">
        <w:rPr>
          <w:rFonts w:ascii="Verdana" w:hAnsi="Verdana"/>
          <w:sz w:val="20"/>
          <w:szCs w:val="20"/>
          <w:lang w:val="es-CR"/>
        </w:rPr>
        <w:t xml:space="preserve"> serán devueltas al Estado con los intereses devengados. </w:t>
      </w:r>
    </w:p>
    <w:p w14:paraId="19B9EF5D" w14:textId="77777777" w:rsidR="009C5D55" w:rsidRPr="009C5D55" w:rsidRDefault="009C5D55" w:rsidP="009C5D55">
      <w:pPr>
        <w:contextualSpacing/>
        <w:rPr>
          <w:rFonts w:ascii="Verdana" w:hAnsi="Verdana"/>
          <w:sz w:val="20"/>
          <w:szCs w:val="20"/>
          <w:lang w:val="es-CR"/>
        </w:rPr>
      </w:pPr>
    </w:p>
    <w:p w14:paraId="0D208720" w14:textId="77777777" w:rsidR="009C5D55" w:rsidRPr="009C5D55" w:rsidRDefault="009C5D55" w:rsidP="00E66DD7">
      <w:pPr>
        <w:widowControl w:val="0"/>
        <w:numPr>
          <w:ilvl w:val="0"/>
          <w:numId w:val="1"/>
        </w:numPr>
        <w:tabs>
          <w:tab w:val="center" w:pos="567"/>
        </w:tabs>
        <w:autoSpaceDE w:val="0"/>
        <w:autoSpaceDN w:val="0"/>
        <w:adjustRightInd w:val="0"/>
        <w:ind w:left="0" w:firstLine="0"/>
        <w:contextualSpacing/>
        <w:jc w:val="both"/>
        <w:rPr>
          <w:rFonts w:ascii="Verdana" w:hAnsi="Verdana"/>
          <w:sz w:val="20"/>
          <w:szCs w:val="20"/>
          <w:lang w:val="es-CR"/>
        </w:rPr>
      </w:pPr>
      <w:r w:rsidRPr="009C5D55">
        <w:rPr>
          <w:rFonts w:ascii="Verdana" w:hAnsi="Verdana"/>
          <w:sz w:val="20"/>
          <w:szCs w:val="20"/>
          <w:lang w:val="es-CR"/>
        </w:rPr>
        <w:t xml:space="preserve">Las cantidades asignadas en la presente Sentencia como indemnización por daño inmaterial, y como reintegro de costas y gastos deberán ser entregadas a las personas indicadas en forma íntegra, conforme a lo establecido en este Fallo, sin reducciones derivadas de eventuales cargas fiscales. </w:t>
      </w:r>
    </w:p>
    <w:p w14:paraId="33EC7CEA" w14:textId="77777777" w:rsidR="009C5D55" w:rsidRPr="009C5D55" w:rsidRDefault="009C5D55" w:rsidP="009C5D55">
      <w:pPr>
        <w:widowControl w:val="0"/>
        <w:tabs>
          <w:tab w:val="center" w:pos="567"/>
        </w:tabs>
        <w:autoSpaceDE w:val="0"/>
        <w:autoSpaceDN w:val="0"/>
        <w:adjustRightInd w:val="0"/>
        <w:contextualSpacing/>
        <w:jc w:val="both"/>
        <w:rPr>
          <w:rFonts w:ascii="Verdana" w:hAnsi="Verdana"/>
          <w:sz w:val="20"/>
          <w:szCs w:val="20"/>
          <w:lang w:val="es-CR"/>
        </w:rPr>
      </w:pPr>
    </w:p>
    <w:p w14:paraId="1280EFE2" w14:textId="77777777" w:rsidR="009C5D55" w:rsidRPr="009C5D55" w:rsidRDefault="009C5D55" w:rsidP="00E66DD7">
      <w:pPr>
        <w:widowControl w:val="0"/>
        <w:numPr>
          <w:ilvl w:val="0"/>
          <w:numId w:val="1"/>
        </w:numPr>
        <w:tabs>
          <w:tab w:val="center" w:pos="567"/>
        </w:tabs>
        <w:autoSpaceDE w:val="0"/>
        <w:autoSpaceDN w:val="0"/>
        <w:adjustRightInd w:val="0"/>
        <w:ind w:left="0" w:firstLine="0"/>
        <w:contextualSpacing/>
        <w:jc w:val="both"/>
        <w:rPr>
          <w:lang w:val="es-ES"/>
        </w:rPr>
      </w:pPr>
      <w:r w:rsidRPr="009C5D55">
        <w:rPr>
          <w:rFonts w:ascii="Verdana" w:hAnsi="Verdana"/>
          <w:spacing w:val="-2"/>
          <w:sz w:val="20"/>
          <w:szCs w:val="20"/>
        </w:rPr>
        <w:t>En caso de que el Estado incurriera en mora</w:t>
      </w:r>
      <w:r w:rsidRPr="009C5D55">
        <w:rPr>
          <w:rFonts w:ascii="Verdana" w:hAnsi="Verdana" w:cs="Verdana"/>
          <w:spacing w:val="-2"/>
          <w:sz w:val="20"/>
          <w:szCs w:val="20"/>
        </w:rPr>
        <w:t>, incluyendo en el reintegro de los gastos al Fondo de Asistencia Legal de Víctimas</w:t>
      </w:r>
      <w:r w:rsidRPr="009C5D55">
        <w:rPr>
          <w:rFonts w:ascii="Verdana" w:hAnsi="Verdana"/>
          <w:spacing w:val="-2"/>
          <w:sz w:val="20"/>
          <w:szCs w:val="20"/>
        </w:rPr>
        <w:t>, deberá pagar un interés sobre la cantidad adeudada, correspondiente al interés bancario moratorio en la República del Perú.</w:t>
      </w:r>
    </w:p>
    <w:p w14:paraId="2248DCE9" w14:textId="77777777" w:rsidR="006A2D03" w:rsidRDefault="006A2D03">
      <w:pPr>
        <w:spacing w:after="200" w:line="276" w:lineRule="auto"/>
        <w:rPr>
          <w:rFonts w:ascii="Verdana" w:eastAsia="Times New Roman" w:hAnsi="Verdana" w:cs="Verdana"/>
          <w:b/>
          <w:bCs/>
          <w:caps/>
          <w:snapToGrid w:val="0"/>
          <w:sz w:val="20"/>
          <w:szCs w:val="20"/>
        </w:rPr>
      </w:pPr>
    </w:p>
    <w:p w14:paraId="70FC005A" w14:textId="5B279290" w:rsidR="00324758" w:rsidRPr="00324758" w:rsidRDefault="00374FC9" w:rsidP="00324758">
      <w:pPr>
        <w:pStyle w:val="Heading1"/>
        <w:tabs>
          <w:tab w:val="left" w:pos="851"/>
        </w:tabs>
        <w:spacing w:before="0"/>
        <w:jc w:val="center"/>
        <w:rPr>
          <w:rFonts w:cs="Verdana"/>
          <w:caps/>
          <w:snapToGrid w:val="0"/>
          <w:szCs w:val="20"/>
        </w:rPr>
      </w:pPr>
      <w:bookmarkStart w:id="77" w:name="_Toc498333532"/>
      <w:r>
        <w:rPr>
          <w:rFonts w:cs="Verdana"/>
          <w:caps/>
          <w:snapToGrid w:val="0"/>
          <w:szCs w:val="20"/>
        </w:rPr>
        <w:t>I</w:t>
      </w:r>
      <w:r w:rsidR="00324758" w:rsidRPr="00324758">
        <w:rPr>
          <w:rFonts w:cs="Verdana"/>
          <w:caps/>
          <w:snapToGrid w:val="0"/>
          <w:szCs w:val="20"/>
        </w:rPr>
        <w:t>X</w:t>
      </w:r>
      <w:r w:rsidR="00324758" w:rsidRPr="00324758">
        <w:rPr>
          <w:rFonts w:cs="Verdana"/>
          <w:caps/>
          <w:snapToGrid w:val="0"/>
          <w:szCs w:val="20"/>
        </w:rPr>
        <w:br/>
        <w:t>PUNTOS RESOLUTIVOS</w:t>
      </w:r>
      <w:bookmarkEnd w:id="77"/>
    </w:p>
    <w:p w14:paraId="0EA67230" w14:textId="77777777" w:rsidR="00324758" w:rsidRPr="00AD2165" w:rsidRDefault="00324758" w:rsidP="00324758">
      <w:pPr>
        <w:pStyle w:val="Prrafodelista2"/>
        <w:tabs>
          <w:tab w:val="left" w:pos="0"/>
          <w:tab w:val="num" w:pos="12305"/>
        </w:tabs>
        <w:ind w:left="0" w:right="-90"/>
        <w:jc w:val="both"/>
      </w:pPr>
      <w:r w:rsidRPr="00AD2165">
        <w:t xml:space="preserve">Por tanto, </w:t>
      </w:r>
    </w:p>
    <w:p w14:paraId="227747B9" w14:textId="77777777" w:rsidR="00324758" w:rsidRPr="00AD2165" w:rsidRDefault="00324758" w:rsidP="00324758">
      <w:pPr>
        <w:pStyle w:val="Prrafodelista2"/>
        <w:tabs>
          <w:tab w:val="left" w:pos="720"/>
        </w:tabs>
        <w:ind w:right="-90"/>
        <w:contextualSpacing/>
      </w:pPr>
    </w:p>
    <w:p w14:paraId="55074518" w14:textId="77777777" w:rsidR="00324758" w:rsidRPr="00AD2165" w:rsidRDefault="00324758" w:rsidP="00324758">
      <w:pPr>
        <w:pStyle w:val="Prrafodelista2"/>
        <w:tabs>
          <w:tab w:val="left" w:pos="720"/>
        </w:tabs>
        <w:ind w:left="0" w:right="-90"/>
        <w:contextualSpacing/>
      </w:pPr>
      <w:r w:rsidRPr="00AD2165">
        <w:rPr>
          <w:b/>
          <w:bCs/>
        </w:rPr>
        <w:t xml:space="preserve">LA CORTE </w:t>
      </w:r>
    </w:p>
    <w:p w14:paraId="12F28F1A" w14:textId="77777777" w:rsidR="00324758" w:rsidRPr="00AD2165" w:rsidRDefault="00324758" w:rsidP="00324758">
      <w:pPr>
        <w:pStyle w:val="Prrafodelista2"/>
        <w:tabs>
          <w:tab w:val="left" w:pos="720"/>
        </w:tabs>
        <w:ind w:left="0" w:right="-90"/>
        <w:contextualSpacing/>
      </w:pPr>
    </w:p>
    <w:p w14:paraId="7E6882B4" w14:textId="77777777" w:rsidR="00324758" w:rsidRPr="00AD2165" w:rsidRDefault="00324758" w:rsidP="00324758">
      <w:pPr>
        <w:pStyle w:val="Prrafodelista2"/>
        <w:tabs>
          <w:tab w:val="left" w:pos="720"/>
        </w:tabs>
        <w:ind w:left="0" w:right="-90"/>
        <w:contextualSpacing/>
        <w:rPr>
          <w:b/>
        </w:rPr>
      </w:pPr>
      <w:r w:rsidRPr="00AD2165">
        <w:rPr>
          <w:b/>
        </w:rPr>
        <w:t xml:space="preserve">DECIDE, </w:t>
      </w:r>
    </w:p>
    <w:p w14:paraId="0A6B1E51" w14:textId="77777777" w:rsidR="00324758" w:rsidRPr="00AD2165" w:rsidRDefault="00324758" w:rsidP="00324758">
      <w:pPr>
        <w:pStyle w:val="Prrafodelista2"/>
        <w:tabs>
          <w:tab w:val="left" w:pos="720"/>
        </w:tabs>
        <w:ind w:left="0" w:right="-90"/>
        <w:contextualSpacing/>
      </w:pPr>
      <w:r w:rsidRPr="00AD2165">
        <w:t xml:space="preserve"> </w:t>
      </w:r>
    </w:p>
    <w:p w14:paraId="4A76C4B2" w14:textId="5082841E" w:rsidR="00324758" w:rsidRPr="00A8512D" w:rsidRDefault="00324758" w:rsidP="00324758">
      <w:pPr>
        <w:pStyle w:val="Prrafodelista2"/>
        <w:tabs>
          <w:tab w:val="left" w:pos="720"/>
        </w:tabs>
        <w:ind w:left="0" w:right="-90"/>
        <w:contextualSpacing/>
      </w:pPr>
      <w:r w:rsidRPr="00AD2165">
        <w:t xml:space="preserve">Por </w:t>
      </w:r>
      <w:r w:rsidR="002E2250">
        <w:t>unanimidad</w:t>
      </w:r>
      <w:r w:rsidRPr="00A8512D">
        <w:t>,</w:t>
      </w:r>
      <w:r w:rsidR="002E2250">
        <w:t xml:space="preserve"> que:</w:t>
      </w:r>
      <w:r w:rsidRPr="00A8512D">
        <w:t xml:space="preserve"> </w:t>
      </w:r>
    </w:p>
    <w:p w14:paraId="4964AE24" w14:textId="77777777" w:rsidR="00324758" w:rsidRPr="00AD2165" w:rsidRDefault="00324758" w:rsidP="00B0111A">
      <w:pPr>
        <w:pStyle w:val="Prrafodelista2"/>
        <w:tabs>
          <w:tab w:val="left" w:pos="720"/>
        </w:tabs>
        <w:ind w:left="0" w:right="-90"/>
        <w:contextualSpacing/>
      </w:pPr>
    </w:p>
    <w:p w14:paraId="2FC04342" w14:textId="03D40959" w:rsidR="00B0111A" w:rsidRPr="007005FF" w:rsidRDefault="00B0111A" w:rsidP="00E66DD7">
      <w:pPr>
        <w:pStyle w:val="ListParagraph"/>
        <w:widowControl w:val="0"/>
        <w:numPr>
          <w:ilvl w:val="0"/>
          <w:numId w:val="16"/>
        </w:numPr>
        <w:tabs>
          <w:tab w:val="center" w:pos="567"/>
        </w:tabs>
        <w:autoSpaceDE w:val="0"/>
        <w:autoSpaceDN w:val="0"/>
        <w:adjustRightInd w:val="0"/>
        <w:ind w:left="0" w:right="-90" w:hanging="11"/>
        <w:jc w:val="both"/>
        <w:rPr>
          <w:rFonts w:ascii="Verdana" w:hAnsi="Verdana"/>
          <w:sz w:val="20"/>
          <w:szCs w:val="20"/>
          <w:lang w:val="es-CR"/>
        </w:rPr>
      </w:pPr>
      <w:r>
        <w:rPr>
          <w:rFonts w:ascii="Verdana" w:hAnsi="Verdana"/>
          <w:sz w:val="20"/>
          <w:szCs w:val="20"/>
          <w:lang w:val="es-MX"/>
        </w:rPr>
        <w:t xml:space="preserve">Desestimar </w:t>
      </w:r>
      <w:r w:rsidRPr="007005FF">
        <w:rPr>
          <w:rFonts w:ascii="Verdana" w:hAnsi="Verdana"/>
          <w:sz w:val="20"/>
          <w:szCs w:val="20"/>
          <w:lang w:val="es-ES"/>
        </w:rPr>
        <w:t xml:space="preserve">las </w:t>
      </w:r>
      <w:r w:rsidR="00D214EC" w:rsidRPr="001D51F0">
        <w:rPr>
          <w:rFonts w:ascii="Verdana" w:hAnsi="Verdana"/>
          <w:sz w:val="20"/>
          <w:szCs w:val="20"/>
          <w:lang w:val="es-ES"/>
        </w:rPr>
        <w:t>objeciones</w:t>
      </w:r>
      <w:r w:rsidRPr="007005FF">
        <w:rPr>
          <w:rFonts w:ascii="Verdana" w:hAnsi="Verdana"/>
          <w:sz w:val="20"/>
          <w:szCs w:val="20"/>
          <w:lang w:val="es-ES"/>
        </w:rPr>
        <w:t xml:space="preserve"> planteadas por el Estado </w:t>
      </w:r>
      <w:r>
        <w:rPr>
          <w:rFonts w:ascii="Verdana" w:hAnsi="Verdana"/>
          <w:sz w:val="20"/>
          <w:szCs w:val="20"/>
          <w:lang w:val="es-ES"/>
        </w:rPr>
        <w:t xml:space="preserve">relativas </w:t>
      </w:r>
      <w:r w:rsidRPr="00175E75">
        <w:rPr>
          <w:rFonts w:ascii="Verdana" w:hAnsi="Verdana"/>
          <w:sz w:val="20"/>
          <w:szCs w:val="20"/>
          <w:lang w:val="es-ES"/>
        </w:rPr>
        <w:t>a</w:t>
      </w:r>
      <w:r w:rsidR="00175E75" w:rsidRPr="00175E75">
        <w:rPr>
          <w:rFonts w:ascii="Verdana" w:hAnsi="Verdana"/>
          <w:sz w:val="20"/>
          <w:szCs w:val="20"/>
          <w:lang w:val="es-ES"/>
        </w:rPr>
        <w:t>l</w:t>
      </w:r>
      <w:r w:rsidR="00175E75" w:rsidRPr="005D0F69">
        <w:rPr>
          <w:rFonts w:ascii="Verdana" w:hAnsi="Verdana"/>
          <w:sz w:val="20"/>
          <w:szCs w:val="20"/>
          <w:lang w:val="es-MX"/>
        </w:rPr>
        <w:t xml:space="preserve"> </w:t>
      </w:r>
      <w:r w:rsidR="00343744" w:rsidRPr="00333304">
        <w:rPr>
          <w:rFonts w:ascii="Verdana" w:hAnsi="Verdana"/>
          <w:sz w:val="20"/>
          <w:szCs w:val="20"/>
          <w:lang w:val="es-MX"/>
        </w:rPr>
        <w:t>c</w:t>
      </w:r>
      <w:r w:rsidR="00175E75" w:rsidRPr="005D0F69">
        <w:rPr>
          <w:rFonts w:ascii="Verdana" w:hAnsi="Verdana"/>
          <w:sz w:val="20"/>
          <w:szCs w:val="20"/>
          <w:lang w:val="es-MX"/>
        </w:rPr>
        <w:t xml:space="preserve">ontrol de legalidad sobre el </w:t>
      </w:r>
      <w:r w:rsidR="000828BB">
        <w:rPr>
          <w:rFonts w:ascii="Verdana" w:hAnsi="Verdana"/>
          <w:sz w:val="20"/>
          <w:szCs w:val="20"/>
          <w:lang w:val="es-MX"/>
        </w:rPr>
        <w:t>I</w:t>
      </w:r>
      <w:r w:rsidR="00175E75" w:rsidRPr="005D0F69">
        <w:rPr>
          <w:rFonts w:ascii="Verdana" w:hAnsi="Verdana"/>
          <w:sz w:val="20"/>
          <w:szCs w:val="20"/>
          <w:lang w:val="es-MX"/>
        </w:rPr>
        <w:t xml:space="preserve">nforme de </w:t>
      </w:r>
      <w:r w:rsidR="000828BB">
        <w:rPr>
          <w:rFonts w:ascii="Verdana" w:hAnsi="Verdana"/>
          <w:sz w:val="20"/>
          <w:szCs w:val="20"/>
          <w:lang w:val="es-MX"/>
        </w:rPr>
        <w:t>A</w:t>
      </w:r>
      <w:r w:rsidR="00175E75" w:rsidRPr="005D0F69">
        <w:rPr>
          <w:rFonts w:ascii="Verdana" w:hAnsi="Verdana"/>
          <w:sz w:val="20"/>
          <w:szCs w:val="20"/>
          <w:lang w:val="es-MX"/>
        </w:rPr>
        <w:t xml:space="preserve">dmisibilidad </w:t>
      </w:r>
      <w:r w:rsidR="009A3098">
        <w:rPr>
          <w:rFonts w:ascii="Verdana" w:hAnsi="Verdana"/>
          <w:sz w:val="20"/>
          <w:szCs w:val="20"/>
          <w:lang w:val="es-MX"/>
        </w:rPr>
        <w:t>por</w:t>
      </w:r>
      <w:r w:rsidR="00175E75" w:rsidRPr="005D0F69">
        <w:rPr>
          <w:rFonts w:ascii="Verdana" w:hAnsi="Verdana"/>
          <w:sz w:val="20"/>
          <w:szCs w:val="20"/>
          <w:lang w:val="es-MX"/>
        </w:rPr>
        <w:t xml:space="preserve"> la C</w:t>
      </w:r>
      <w:r w:rsidR="00175E75">
        <w:rPr>
          <w:rFonts w:ascii="Verdana" w:hAnsi="Verdana"/>
          <w:sz w:val="20"/>
          <w:szCs w:val="20"/>
          <w:lang w:val="es-MX"/>
        </w:rPr>
        <w:t>omisión</w:t>
      </w:r>
      <w:r w:rsidR="00D214EC">
        <w:rPr>
          <w:rFonts w:ascii="Verdana" w:hAnsi="Verdana"/>
          <w:sz w:val="20"/>
          <w:szCs w:val="20"/>
          <w:lang w:val="es-MX"/>
        </w:rPr>
        <w:t>,</w:t>
      </w:r>
      <w:r w:rsidR="00175E75" w:rsidRPr="00175E75">
        <w:rPr>
          <w:rFonts w:ascii="Verdana" w:hAnsi="Verdana"/>
          <w:sz w:val="20"/>
          <w:szCs w:val="20"/>
          <w:lang w:val="es-ES"/>
        </w:rPr>
        <w:t xml:space="preserve"> </w:t>
      </w:r>
      <w:r w:rsidR="00D214EC">
        <w:rPr>
          <w:rFonts w:ascii="Verdana" w:hAnsi="Verdana"/>
          <w:sz w:val="20"/>
          <w:szCs w:val="20"/>
          <w:lang w:val="es-ES"/>
        </w:rPr>
        <w:t>a</w:t>
      </w:r>
      <w:r w:rsidR="00175E75" w:rsidRPr="00175E75">
        <w:rPr>
          <w:rFonts w:ascii="Verdana" w:hAnsi="Verdana"/>
          <w:sz w:val="20"/>
          <w:szCs w:val="20"/>
          <w:lang w:val="es-ES"/>
        </w:rPr>
        <w:t xml:space="preserve"> </w:t>
      </w:r>
      <w:r w:rsidRPr="007005FF">
        <w:rPr>
          <w:rFonts w:ascii="Verdana" w:hAnsi="Verdana"/>
          <w:sz w:val="20"/>
          <w:szCs w:val="20"/>
          <w:lang w:val="es-ES"/>
        </w:rPr>
        <w:t>la</w:t>
      </w:r>
      <w:r w:rsidR="00C96AF0">
        <w:rPr>
          <w:rFonts w:ascii="Verdana" w:hAnsi="Verdana"/>
          <w:sz w:val="20"/>
          <w:szCs w:val="20"/>
          <w:lang w:val="es-ES"/>
        </w:rPr>
        <w:t xml:space="preserve"> alegada</w:t>
      </w:r>
      <w:r w:rsidRPr="007005FF">
        <w:rPr>
          <w:rFonts w:ascii="Verdana" w:hAnsi="Verdana"/>
          <w:sz w:val="20"/>
          <w:szCs w:val="20"/>
          <w:lang w:val="es-ES"/>
        </w:rPr>
        <w:t xml:space="preserve"> </w:t>
      </w:r>
      <w:r w:rsidR="00D214EC">
        <w:rPr>
          <w:rFonts w:ascii="Verdana" w:hAnsi="Verdana"/>
          <w:sz w:val="20"/>
          <w:szCs w:val="20"/>
          <w:lang w:val="es-ES"/>
        </w:rPr>
        <w:t>ausencia del agotamiento de los recursos internos,</w:t>
      </w:r>
      <w:r w:rsidR="002A08A9">
        <w:rPr>
          <w:rFonts w:ascii="Verdana" w:hAnsi="Verdana"/>
          <w:sz w:val="20"/>
          <w:szCs w:val="20"/>
          <w:lang w:val="es-ES"/>
        </w:rPr>
        <w:t xml:space="preserve"> y</w:t>
      </w:r>
      <w:r w:rsidR="00730CA2">
        <w:rPr>
          <w:rFonts w:ascii="Verdana" w:hAnsi="Verdana"/>
          <w:sz w:val="20"/>
          <w:szCs w:val="20"/>
          <w:lang w:val="es-ES"/>
        </w:rPr>
        <w:t xml:space="preserve"> a la falta de competencia </w:t>
      </w:r>
      <w:r w:rsidR="002A08A9">
        <w:rPr>
          <w:rFonts w:ascii="Verdana" w:hAnsi="Verdana"/>
          <w:sz w:val="20"/>
          <w:szCs w:val="20"/>
          <w:lang w:val="es-ES"/>
        </w:rPr>
        <w:t>de la Comisión,</w:t>
      </w:r>
      <w:r w:rsidRPr="007005FF">
        <w:rPr>
          <w:rFonts w:ascii="Verdana" w:hAnsi="Verdana"/>
          <w:sz w:val="20"/>
          <w:szCs w:val="20"/>
          <w:lang w:val="es-ES"/>
        </w:rPr>
        <w:t xml:space="preserve"> </w:t>
      </w:r>
      <w:r w:rsidRPr="00B0111A">
        <w:rPr>
          <w:rFonts w:ascii="Verdana" w:hAnsi="Verdana"/>
          <w:sz w:val="20"/>
          <w:szCs w:val="20"/>
          <w:lang w:val="es-MX"/>
        </w:rPr>
        <w:t xml:space="preserve">en los términos </w:t>
      </w:r>
      <w:r w:rsidR="00882FB7">
        <w:rPr>
          <w:rFonts w:ascii="Verdana" w:hAnsi="Verdana"/>
          <w:sz w:val="20"/>
          <w:szCs w:val="20"/>
          <w:lang w:val="es-MX"/>
        </w:rPr>
        <w:t>de los</w:t>
      </w:r>
      <w:r w:rsidR="00604459">
        <w:rPr>
          <w:rFonts w:ascii="Verdana" w:hAnsi="Verdana"/>
          <w:sz w:val="20"/>
          <w:szCs w:val="20"/>
          <w:lang w:val="es-MX"/>
        </w:rPr>
        <w:t xml:space="preserve"> párrafo</w:t>
      </w:r>
      <w:r w:rsidR="00882FB7">
        <w:rPr>
          <w:rFonts w:ascii="Verdana" w:hAnsi="Verdana"/>
          <w:sz w:val="20"/>
          <w:szCs w:val="20"/>
          <w:lang w:val="es-MX"/>
        </w:rPr>
        <w:t>s 17 y 18</w:t>
      </w:r>
      <w:r w:rsidRPr="00B0111A">
        <w:rPr>
          <w:rFonts w:ascii="Verdana" w:hAnsi="Verdana"/>
          <w:sz w:val="20"/>
          <w:szCs w:val="20"/>
          <w:lang w:val="es-MX"/>
        </w:rPr>
        <w:t xml:space="preserve"> de la presente Sentencia</w:t>
      </w:r>
      <w:r>
        <w:rPr>
          <w:rFonts w:ascii="Verdana" w:hAnsi="Verdana"/>
          <w:sz w:val="20"/>
          <w:szCs w:val="20"/>
          <w:lang w:val="es-MX"/>
        </w:rPr>
        <w:t>.</w:t>
      </w:r>
    </w:p>
    <w:p w14:paraId="791D9F3F" w14:textId="77777777" w:rsidR="00324758" w:rsidRPr="00324758" w:rsidRDefault="00324758" w:rsidP="005B3D37">
      <w:pPr>
        <w:pStyle w:val="NormalNumbered"/>
        <w:numPr>
          <w:ilvl w:val="0"/>
          <w:numId w:val="0"/>
        </w:numPr>
      </w:pPr>
    </w:p>
    <w:p w14:paraId="0177D8E8" w14:textId="0E0F929E" w:rsidR="00CB46A0" w:rsidRDefault="00CB46A0" w:rsidP="00E66DD7">
      <w:pPr>
        <w:pStyle w:val="ListParagraph"/>
        <w:widowControl w:val="0"/>
        <w:numPr>
          <w:ilvl w:val="0"/>
          <w:numId w:val="16"/>
        </w:numPr>
        <w:tabs>
          <w:tab w:val="center" w:pos="567"/>
        </w:tabs>
        <w:autoSpaceDE w:val="0"/>
        <w:autoSpaceDN w:val="0"/>
        <w:adjustRightInd w:val="0"/>
        <w:ind w:left="0" w:right="-90" w:hanging="11"/>
        <w:jc w:val="both"/>
        <w:rPr>
          <w:rFonts w:ascii="Verdana" w:hAnsi="Verdana"/>
          <w:sz w:val="20"/>
          <w:szCs w:val="20"/>
          <w:lang w:val="es-MX"/>
        </w:rPr>
      </w:pPr>
      <w:r>
        <w:rPr>
          <w:rFonts w:ascii="Verdana" w:hAnsi="Verdana"/>
          <w:sz w:val="20"/>
          <w:szCs w:val="20"/>
          <w:lang w:val="es-MX"/>
        </w:rPr>
        <w:t xml:space="preserve">Desestimar la objeción del Estado sobre la inclusión del artículo 16 de la Convención en el Informe de fondo, </w:t>
      </w:r>
      <w:r w:rsidRPr="00CB46A0">
        <w:rPr>
          <w:rFonts w:ascii="Verdana" w:hAnsi="Verdana"/>
          <w:sz w:val="20"/>
          <w:szCs w:val="20"/>
          <w:lang w:val="es-MX"/>
        </w:rPr>
        <w:t xml:space="preserve">en los términos de los párrafos </w:t>
      </w:r>
      <w:r w:rsidR="00882FB7">
        <w:rPr>
          <w:rFonts w:ascii="Verdana" w:hAnsi="Verdana"/>
          <w:sz w:val="20"/>
          <w:szCs w:val="20"/>
          <w:lang w:val="es-MX"/>
        </w:rPr>
        <w:t>20 a 23</w:t>
      </w:r>
      <w:r w:rsidRPr="00CB46A0">
        <w:rPr>
          <w:rFonts w:ascii="Verdana" w:hAnsi="Verdana"/>
          <w:sz w:val="20"/>
          <w:szCs w:val="20"/>
          <w:lang w:val="es-MX"/>
        </w:rPr>
        <w:t xml:space="preserve"> de la presente Sentencia. </w:t>
      </w:r>
    </w:p>
    <w:p w14:paraId="72C0D6D9" w14:textId="77777777" w:rsidR="00CB46A0" w:rsidRDefault="00CB46A0" w:rsidP="00CB46A0">
      <w:pPr>
        <w:pStyle w:val="ListParagraph"/>
        <w:widowControl w:val="0"/>
        <w:tabs>
          <w:tab w:val="center" w:pos="567"/>
        </w:tabs>
        <w:autoSpaceDE w:val="0"/>
        <w:autoSpaceDN w:val="0"/>
        <w:adjustRightInd w:val="0"/>
        <w:ind w:left="0" w:right="-90"/>
        <w:jc w:val="both"/>
        <w:rPr>
          <w:rFonts w:ascii="Verdana" w:hAnsi="Verdana"/>
          <w:sz w:val="20"/>
          <w:szCs w:val="20"/>
          <w:lang w:val="es-MX"/>
        </w:rPr>
      </w:pPr>
    </w:p>
    <w:p w14:paraId="4A28213D" w14:textId="05F299CA" w:rsidR="00CB46A0" w:rsidRDefault="00CB46A0" w:rsidP="00E66DD7">
      <w:pPr>
        <w:pStyle w:val="ListParagraph"/>
        <w:widowControl w:val="0"/>
        <w:numPr>
          <w:ilvl w:val="0"/>
          <w:numId w:val="16"/>
        </w:numPr>
        <w:tabs>
          <w:tab w:val="center" w:pos="567"/>
        </w:tabs>
        <w:autoSpaceDE w:val="0"/>
        <w:autoSpaceDN w:val="0"/>
        <w:adjustRightInd w:val="0"/>
        <w:ind w:left="0" w:right="-90" w:hanging="11"/>
        <w:jc w:val="both"/>
        <w:rPr>
          <w:rFonts w:ascii="Verdana" w:hAnsi="Verdana"/>
          <w:sz w:val="20"/>
          <w:szCs w:val="20"/>
          <w:lang w:val="es-MX"/>
        </w:rPr>
      </w:pPr>
      <w:r w:rsidRPr="00CB46A0">
        <w:rPr>
          <w:rFonts w:ascii="Verdana" w:hAnsi="Verdana"/>
          <w:sz w:val="20"/>
          <w:szCs w:val="20"/>
          <w:lang w:val="es-MX"/>
        </w:rPr>
        <w:t>Desestimar la objeción planteada por el Estado relativa a</w:t>
      </w:r>
      <w:r>
        <w:rPr>
          <w:rFonts w:ascii="Verdana" w:hAnsi="Verdana"/>
          <w:sz w:val="20"/>
          <w:szCs w:val="20"/>
          <w:lang w:val="es-MX"/>
        </w:rPr>
        <w:t xml:space="preserve"> la delimitación temporal del </w:t>
      </w:r>
      <w:r>
        <w:rPr>
          <w:rFonts w:ascii="Verdana" w:hAnsi="Verdana"/>
          <w:sz w:val="20"/>
          <w:szCs w:val="20"/>
          <w:lang w:val="es-MX"/>
        </w:rPr>
        <w:lastRenderedPageBreak/>
        <w:t xml:space="preserve">análisis de acciones judiciales y el marco fáctico e inclusión de afectaciones no contenidas en el Informe de Fondo, </w:t>
      </w:r>
      <w:r w:rsidRPr="00CB46A0">
        <w:rPr>
          <w:rFonts w:ascii="Verdana" w:hAnsi="Verdana"/>
          <w:sz w:val="20"/>
          <w:szCs w:val="20"/>
          <w:lang w:val="es-MX"/>
        </w:rPr>
        <w:t xml:space="preserve">en los términos de los párrafos </w:t>
      </w:r>
      <w:r w:rsidR="00882FB7">
        <w:rPr>
          <w:rFonts w:ascii="Verdana" w:hAnsi="Verdana"/>
          <w:sz w:val="20"/>
          <w:szCs w:val="20"/>
          <w:lang w:val="es-MX"/>
        </w:rPr>
        <w:t>24 y 25</w:t>
      </w:r>
      <w:r w:rsidRPr="00CB46A0">
        <w:rPr>
          <w:rFonts w:ascii="Verdana" w:hAnsi="Verdana"/>
          <w:sz w:val="20"/>
          <w:szCs w:val="20"/>
          <w:lang w:val="es-MX"/>
        </w:rPr>
        <w:t xml:space="preserve"> de la presente Sentencia.</w:t>
      </w:r>
    </w:p>
    <w:p w14:paraId="5C5AA247" w14:textId="77777777" w:rsidR="00324758" w:rsidRPr="00464C90" w:rsidRDefault="00324758" w:rsidP="00324758">
      <w:pPr>
        <w:pStyle w:val="Prrafodelista2"/>
        <w:tabs>
          <w:tab w:val="left" w:pos="720"/>
        </w:tabs>
        <w:ind w:left="0" w:right="-90"/>
        <w:contextualSpacing/>
        <w:rPr>
          <w:b/>
          <w:bCs/>
        </w:rPr>
      </w:pPr>
    </w:p>
    <w:p w14:paraId="1C107622" w14:textId="77777777" w:rsidR="00324758" w:rsidRPr="00FB6A50" w:rsidRDefault="00324758" w:rsidP="00324758">
      <w:pPr>
        <w:pStyle w:val="Prrafodelista2"/>
        <w:tabs>
          <w:tab w:val="left" w:pos="720"/>
        </w:tabs>
        <w:ind w:left="0" w:right="-90"/>
        <w:contextualSpacing/>
      </w:pPr>
      <w:r w:rsidRPr="00464C90">
        <w:rPr>
          <w:b/>
          <w:bCs/>
        </w:rPr>
        <w:t xml:space="preserve">DECLARA: </w:t>
      </w:r>
    </w:p>
    <w:p w14:paraId="3E90AA5A" w14:textId="77777777" w:rsidR="00324758" w:rsidRPr="008059FF" w:rsidRDefault="00324758" w:rsidP="00324758">
      <w:pPr>
        <w:pStyle w:val="Prrafodelista2"/>
        <w:tabs>
          <w:tab w:val="left" w:pos="720"/>
        </w:tabs>
        <w:ind w:left="0" w:right="-90"/>
        <w:contextualSpacing/>
      </w:pPr>
    </w:p>
    <w:p w14:paraId="4EE41AC8" w14:textId="7D716443" w:rsidR="00324758" w:rsidRPr="00A8512D" w:rsidRDefault="00324758" w:rsidP="00324758">
      <w:pPr>
        <w:pStyle w:val="Prrafodelista2"/>
        <w:ind w:left="0" w:right="-90"/>
        <w:contextualSpacing/>
      </w:pPr>
      <w:r w:rsidRPr="008059FF">
        <w:t xml:space="preserve">Por </w:t>
      </w:r>
      <w:r w:rsidR="000828BB">
        <w:t>unanimidad</w:t>
      </w:r>
      <w:r w:rsidRPr="00A8512D">
        <w:t>, que:</w:t>
      </w:r>
    </w:p>
    <w:p w14:paraId="1FE44D90" w14:textId="77777777" w:rsidR="00324758" w:rsidRPr="00AD2165" w:rsidRDefault="00324758" w:rsidP="00324758">
      <w:pPr>
        <w:pStyle w:val="Prrafodelista2"/>
        <w:ind w:left="0" w:right="-90"/>
        <w:contextualSpacing/>
      </w:pPr>
    </w:p>
    <w:p w14:paraId="5B278E9C" w14:textId="6F9A5CCD" w:rsidR="00401656" w:rsidRPr="00B06027" w:rsidRDefault="00BF0FD7" w:rsidP="00401656">
      <w:pPr>
        <w:pStyle w:val="ListParagraph"/>
        <w:widowControl w:val="0"/>
        <w:numPr>
          <w:ilvl w:val="0"/>
          <w:numId w:val="16"/>
        </w:numPr>
        <w:tabs>
          <w:tab w:val="center" w:pos="567"/>
        </w:tabs>
        <w:autoSpaceDE w:val="0"/>
        <w:autoSpaceDN w:val="0"/>
        <w:adjustRightInd w:val="0"/>
        <w:ind w:left="0" w:right="-90" w:hanging="11"/>
        <w:jc w:val="both"/>
        <w:rPr>
          <w:rFonts w:ascii="Verdana" w:hAnsi="Verdana"/>
          <w:sz w:val="20"/>
          <w:szCs w:val="20"/>
          <w:lang w:val="es-CR"/>
        </w:rPr>
      </w:pPr>
      <w:r>
        <w:rPr>
          <w:rFonts w:ascii="Verdana" w:hAnsi="Verdana"/>
          <w:sz w:val="20"/>
          <w:szCs w:val="20"/>
          <w:lang w:val="es-MX"/>
        </w:rPr>
        <w:t>E</w:t>
      </w:r>
      <w:r w:rsidRPr="00BF0FD7">
        <w:rPr>
          <w:rFonts w:ascii="Verdana" w:hAnsi="Verdana"/>
          <w:sz w:val="20"/>
          <w:szCs w:val="20"/>
        </w:rPr>
        <w:t>l E</w:t>
      </w:r>
      <w:r w:rsidRPr="006B755F">
        <w:rPr>
          <w:rFonts w:ascii="Verdana" w:hAnsi="Verdana"/>
          <w:sz w:val="20"/>
          <w:szCs w:val="20"/>
        </w:rPr>
        <w:t>stado es responsable por la violación a</w:t>
      </w:r>
      <w:r w:rsidR="00172797" w:rsidRPr="006B755F">
        <w:rPr>
          <w:rFonts w:ascii="Verdana" w:hAnsi="Verdana"/>
          <w:sz w:val="20"/>
          <w:szCs w:val="20"/>
        </w:rPr>
        <w:t xml:space="preserve"> los</w:t>
      </w:r>
      <w:r w:rsidRPr="006B755F">
        <w:rPr>
          <w:rFonts w:ascii="Verdana" w:hAnsi="Verdana"/>
          <w:sz w:val="20"/>
          <w:szCs w:val="20"/>
        </w:rPr>
        <w:t xml:space="preserve"> derecho</w:t>
      </w:r>
      <w:r w:rsidR="00172797" w:rsidRPr="006B755F">
        <w:rPr>
          <w:rFonts w:ascii="Verdana" w:hAnsi="Verdana"/>
          <w:sz w:val="20"/>
          <w:szCs w:val="20"/>
        </w:rPr>
        <w:t>s</w:t>
      </w:r>
      <w:r w:rsidRPr="006B755F">
        <w:rPr>
          <w:rFonts w:ascii="Verdana" w:hAnsi="Verdana"/>
          <w:sz w:val="20"/>
          <w:szCs w:val="20"/>
        </w:rPr>
        <w:t xml:space="preserve"> a la libertad de pensamiento </w:t>
      </w:r>
      <w:r w:rsidR="00172797" w:rsidRPr="006B755F">
        <w:rPr>
          <w:rFonts w:ascii="Verdana" w:hAnsi="Verdana"/>
          <w:sz w:val="20"/>
          <w:szCs w:val="20"/>
        </w:rPr>
        <w:t xml:space="preserve">y </w:t>
      </w:r>
      <w:r w:rsidRPr="006B755F">
        <w:rPr>
          <w:rFonts w:ascii="Verdana" w:hAnsi="Verdana"/>
          <w:sz w:val="20"/>
          <w:szCs w:val="20"/>
        </w:rPr>
        <w:t>expresión</w:t>
      </w:r>
      <w:r w:rsidR="006B755F">
        <w:rPr>
          <w:rFonts w:ascii="Verdana" w:hAnsi="Verdana"/>
          <w:sz w:val="20"/>
          <w:szCs w:val="20"/>
        </w:rPr>
        <w:t xml:space="preserve"> y</w:t>
      </w:r>
      <w:r w:rsidR="00172797" w:rsidRPr="006B755F">
        <w:rPr>
          <w:rFonts w:ascii="Verdana" w:hAnsi="Verdana"/>
          <w:sz w:val="20"/>
          <w:szCs w:val="20"/>
        </w:rPr>
        <w:t xml:space="preserve"> garantías judiciales</w:t>
      </w:r>
      <w:r w:rsidR="0088700B" w:rsidRPr="006B755F">
        <w:rPr>
          <w:rFonts w:ascii="Verdana" w:hAnsi="Verdana"/>
          <w:sz w:val="20"/>
          <w:szCs w:val="20"/>
        </w:rPr>
        <w:t>,</w:t>
      </w:r>
      <w:r w:rsidR="00401656" w:rsidRPr="006B755F">
        <w:rPr>
          <w:rFonts w:ascii="Verdana" w:hAnsi="Verdana"/>
          <w:sz w:val="20"/>
          <w:szCs w:val="20"/>
        </w:rPr>
        <w:t xml:space="preserve"> reconocidos en los artículos 13.2 y 8.2 de la Convención Americana, </w:t>
      </w:r>
      <w:r w:rsidR="00401656" w:rsidRPr="006B755F">
        <w:rPr>
          <w:rFonts w:ascii="Verdana" w:hAnsi="Verdana"/>
          <w:sz w:val="20"/>
        </w:rPr>
        <w:t xml:space="preserve">en relación con el artículo 1.1 de la misma, en perjuicio del señor Lagos del Campo, </w:t>
      </w:r>
      <w:r w:rsidR="00401656" w:rsidRPr="006B755F">
        <w:rPr>
          <w:rFonts w:ascii="Verdana" w:hAnsi="Verdana"/>
          <w:sz w:val="20"/>
          <w:szCs w:val="20"/>
          <w:lang w:val="es-MX"/>
        </w:rPr>
        <w:t xml:space="preserve">en los </w:t>
      </w:r>
      <w:r w:rsidR="00882FB7">
        <w:rPr>
          <w:rFonts w:ascii="Verdana" w:hAnsi="Verdana"/>
          <w:sz w:val="20"/>
          <w:szCs w:val="20"/>
          <w:lang w:val="es-MX"/>
        </w:rPr>
        <w:t>términos de los párrafos 88 a 132</w:t>
      </w:r>
      <w:r w:rsidR="00401656" w:rsidRPr="006B755F">
        <w:rPr>
          <w:rFonts w:ascii="Verdana" w:hAnsi="Verdana"/>
          <w:sz w:val="20"/>
          <w:szCs w:val="20"/>
          <w:lang w:val="es-MX"/>
        </w:rPr>
        <w:t xml:space="preserve"> de la presente Sentencia.</w:t>
      </w:r>
    </w:p>
    <w:p w14:paraId="32E196EB" w14:textId="77777777" w:rsidR="00401656" w:rsidRDefault="00401656" w:rsidP="00B06027">
      <w:pPr>
        <w:pStyle w:val="ListParagraph"/>
        <w:widowControl w:val="0"/>
        <w:tabs>
          <w:tab w:val="center" w:pos="567"/>
        </w:tabs>
        <w:autoSpaceDE w:val="0"/>
        <w:autoSpaceDN w:val="0"/>
        <w:adjustRightInd w:val="0"/>
        <w:ind w:left="0" w:right="-90"/>
        <w:jc w:val="both"/>
        <w:rPr>
          <w:rFonts w:ascii="Verdana" w:hAnsi="Verdana"/>
          <w:sz w:val="20"/>
          <w:szCs w:val="20"/>
          <w:lang w:val="es-CR"/>
        </w:rPr>
      </w:pPr>
    </w:p>
    <w:p w14:paraId="183C3021" w14:textId="2454EB90" w:rsidR="000828BB" w:rsidRPr="00A8512D" w:rsidRDefault="000828BB" w:rsidP="000828BB">
      <w:pPr>
        <w:pStyle w:val="Prrafodelista2"/>
        <w:ind w:left="0" w:right="-90"/>
        <w:contextualSpacing/>
      </w:pPr>
      <w:r w:rsidRPr="008059FF">
        <w:t xml:space="preserve">Por </w:t>
      </w:r>
      <w:r>
        <w:t xml:space="preserve">cinco votos </w:t>
      </w:r>
      <w:r w:rsidR="002E2250">
        <w:t xml:space="preserve">a favor y dos en </w:t>
      </w:r>
      <w:r>
        <w:t>contra</w:t>
      </w:r>
      <w:r w:rsidRPr="00A8512D">
        <w:t>, que:</w:t>
      </w:r>
    </w:p>
    <w:p w14:paraId="0EBB81A4" w14:textId="77777777" w:rsidR="000828BB" w:rsidRPr="006B755F" w:rsidRDefault="000828BB" w:rsidP="00B06027">
      <w:pPr>
        <w:pStyle w:val="ListParagraph"/>
        <w:widowControl w:val="0"/>
        <w:tabs>
          <w:tab w:val="center" w:pos="567"/>
        </w:tabs>
        <w:autoSpaceDE w:val="0"/>
        <w:autoSpaceDN w:val="0"/>
        <w:adjustRightInd w:val="0"/>
        <w:ind w:left="0" w:right="-90"/>
        <w:jc w:val="both"/>
        <w:rPr>
          <w:rFonts w:ascii="Verdana" w:hAnsi="Verdana"/>
          <w:sz w:val="20"/>
          <w:szCs w:val="20"/>
          <w:lang w:val="es-CR"/>
        </w:rPr>
      </w:pPr>
    </w:p>
    <w:p w14:paraId="1BA9245D" w14:textId="1A7703EF" w:rsidR="00324758" w:rsidRPr="00B06027" w:rsidRDefault="00401656" w:rsidP="00401656">
      <w:pPr>
        <w:pStyle w:val="ListParagraph"/>
        <w:widowControl w:val="0"/>
        <w:numPr>
          <w:ilvl w:val="0"/>
          <w:numId w:val="16"/>
        </w:numPr>
        <w:tabs>
          <w:tab w:val="center" w:pos="567"/>
        </w:tabs>
        <w:autoSpaceDE w:val="0"/>
        <w:autoSpaceDN w:val="0"/>
        <w:adjustRightInd w:val="0"/>
        <w:ind w:left="0" w:right="-90" w:hanging="11"/>
        <w:jc w:val="both"/>
        <w:rPr>
          <w:rFonts w:ascii="Verdana" w:hAnsi="Verdana"/>
          <w:sz w:val="20"/>
          <w:szCs w:val="20"/>
          <w:lang w:val="es-CR"/>
        </w:rPr>
      </w:pPr>
      <w:r w:rsidRPr="006B755F">
        <w:rPr>
          <w:rFonts w:ascii="Verdana" w:hAnsi="Verdana"/>
          <w:sz w:val="20"/>
          <w:szCs w:val="20"/>
          <w:lang w:val="es-MX"/>
        </w:rPr>
        <w:t>E</w:t>
      </w:r>
      <w:r w:rsidRPr="006B755F">
        <w:rPr>
          <w:rFonts w:ascii="Verdana" w:hAnsi="Verdana"/>
          <w:sz w:val="20"/>
          <w:szCs w:val="20"/>
        </w:rPr>
        <w:t xml:space="preserve">l Estado es responsable por la violación al derecho a la </w:t>
      </w:r>
      <w:r w:rsidR="007C10CE" w:rsidRPr="00B06027">
        <w:rPr>
          <w:rFonts w:ascii="Verdana" w:hAnsi="Verdana"/>
          <w:sz w:val="20"/>
          <w:szCs w:val="20"/>
        </w:rPr>
        <w:t xml:space="preserve">estabilidad </w:t>
      </w:r>
      <w:r w:rsidRPr="00B06027">
        <w:rPr>
          <w:rFonts w:ascii="Verdana" w:hAnsi="Verdana"/>
          <w:sz w:val="20"/>
          <w:szCs w:val="20"/>
        </w:rPr>
        <w:t xml:space="preserve">laboral, </w:t>
      </w:r>
      <w:r w:rsidR="00487AE7" w:rsidRPr="006B755F">
        <w:rPr>
          <w:rFonts w:ascii="Verdana" w:hAnsi="Verdana"/>
          <w:sz w:val="20"/>
          <w:szCs w:val="20"/>
        </w:rPr>
        <w:t>reconocido</w:t>
      </w:r>
      <w:r w:rsidR="00BF0FD7" w:rsidRPr="006B755F">
        <w:rPr>
          <w:rFonts w:ascii="Verdana" w:hAnsi="Verdana"/>
          <w:sz w:val="20"/>
          <w:szCs w:val="20"/>
        </w:rPr>
        <w:t xml:space="preserve"> en </w:t>
      </w:r>
      <w:r w:rsidRPr="006B755F">
        <w:rPr>
          <w:rFonts w:ascii="Verdana" w:hAnsi="Verdana"/>
          <w:sz w:val="20"/>
          <w:szCs w:val="20"/>
        </w:rPr>
        <w:t>el</w:t>
      </w:r>
      <w:r w:rsidR="00BF0FD7" w:rsidRPr="006B755F">
        <w:rPr>
          <w:rFonts w:ascii="Verdana" w:hAnsi="Verdana"/>
          <w:sz w:val="20"/>
          <w:szCs w:val="20"/>
        </w:rPr>
        <w:t xml:space="preserve"> artículo</w:t>
      </w:r>
      <w:r w:rsidRPr="006B755F">
        <w:rPr>
          <w:rFonts w:ascii="Verdana" w:hAnsi="Verdana"/>
          <w:sz w:val="20"/>
          <w:szCs w:val="20"/>
        </w:rPr>
        <w:t xml:space="preserve"> </w:t>
      </w:r>
      <w:r w:rsidR="007C10CE" w:rsidRPr="00B06027">
        <w:rPr>
          <w:rFonts w:ascii="Verdana" w:hAnsi="Verdana"/>
          <w:sz w:val="20"/>
          <w:szCs w:val="20"/>
        </w:rPr>
        <w:t>26</w:t>
      </w:r>
      <w:r w:rsidR="00F830E9" w:rsidRPr="00B06027">
        <w:rPr>
          <w:rFonts w:ascii="Verdana" w:hAnsi="Verdana"/>
          <w:sz w:val="20"/>
          <w:szCs w:val="20"/>
        </w:rPr>
        <w:t xml:space="preserve"> </w:t>
      </w:r>
      <w:r w:rsidR="00BF0FD7" w:rsidRPr="006B755F">
        <w:rPr>
          <w:rFonts w:ascii="Verdana" w:hAnsi="Verdana"/>
          <w:sz w:val="20"/>
          <w:szCs w:val="20"/>
        </w:rPr>
        <w:t xml:space="preserve">de la Convención Americana, </w:t>
      </w:r>
      <w:r w:rsidR="00BF0FD7" w:rsidRPr="006B755F">
        <w:rPr>
          <w:rFonts w:ascii="Verdana" w:hAnsi="Verdana"/>
          <w:sz w:val="20"/>
        </w:rPr>
        <w:t>en relación con</w:t>
      </w:r>
      <w:r w:rsidR="00BE5724" w:rsidRPr="006B755F">
        <w:rPr>
          <w:rFonts w:ascii="Verdana" w:hAnsi="Verdana"/>
          <w:sz w:val="20"/>
        </w:rPr>
        <w:t xml:space="preserve"> </w:t>
      </w:r>
      <w:r w:rsidRPr="006B755F">
        <w:rPr>
          <w:rFonts w:ascii="Verdana" w:hAnsi="Verdana"/>
          <w:sz w:val="20"/>
        </w:rPr>
        <w:t>los</w:t>
      </w:r>
      <w:r w:rsidR="00BF0FD7" w:rsidRPr="006B755F">
        <w:rPr>
          <w:rFonts w:ascii="Verdana" w:hAnsi="Verdana"/>
          <w:sz w:val="20"/>
        </w:rPr>
        <w:t xml:space="preserve"> artículo</w:t>
      </w:r>
      <w:r w:rsidRPr="006B755F">
        <w:rPr>
          <w:rFonts w:ascii="Verdana" w:hAnsi="Verdana"/>
          <w:sz w:val="20"/>
        </w:rPr>
        <w:t>s</w:t>
      </w:r>
      <w:r w:rsidR="00BF0FD7" w:rsidRPr="006B755F">
        <w:rPr>
          <w:rFonts w:ascii="Verdana" w:hAnsi="Verdana"/>
          <w:sz w:val="20"/>
        </w:rPr>
        <w:t xml:space="preserve"> 1.1</w:t>
      </w:r>
      <w:r w:rsidRPr="006B755F">
        <w:rPr>
          <w:rFonts w:ascii="Verdana" w:hAnsi="Verdana"/>
          <w:sz w:val="20"/>
        </w:rPr>
        <w:t>, 13, 8 y 16</w:t>
      </w:r>
      <w:r w:rsidR="00BF0FD7" w:rsidRPr="006B755F">
        <w:rPr>
          <w:rFonts w:ascii="Verdana" w:hAnsi="Verdana"/>
          <w:sz w:val="20"/>
        </w:rPr>
        <w:t xml:space="preserve"> de la misma, en perj</w:t>
      </w:r>
      <w:r w:rsidR="00604459" w:rsidRPr="006B755F">
        <w:rPr>
          <w:rFonts w:ascii="Verdana" w:hAnsi="Verdana"/>
          <w:sz w:val="20"/>
        </w:rPr>
        <w:t xml:space="preserve">uicio del señor Lagos del Campo, </w:t>
      </w:r>
      <w:r w:rsidR="00604459" w:rsidRPr="006B755F">
        <w:rPr>
          <w:rFonts w:ascii="Verdana" w:hAnsi="Verdana"/>
          <w:sz w:val="20"/>
          <w:szCs w:val="20"/>
          <w:lang w:val="es-MX"/>
        </w:rPr>
        <w:t>en</w:t>
      </w:r>
      <w:r w:rsidR="00882FB7">
        <w:rPr>
          <w:rFonts w:ascii="Verdana" w:hAnsi="Verdana"/>
          <w:sz w:val="20"/>
          <w:szCs w:val="20"/>
          <w:lang w:val="es-MX"/>
        </w:rPr>
        <w:t xml:space="preserve"> los términos de los párrafos 133</w:t>
      </w:r>
      <w:r w:rsidR="00604459" w:rsidRPr="006B755F">
        <w:rPr>
          <w:rFonts w:ascii="Verdana" w:hAnsi="Verdana"/>
          <w:sz w:val="20"/>
          <w:szCs w:val="20"/>
          <w:lang w:val="es-MX"/>
        </w:rPr>
        <w:t xml:space="preserve"> a </w:t>
      </w:r>
      <w:r w:rsidR="00882FB7">
        <w:rPr>
          <w:rFonts w:ascii="Verdana" w:hAnsi="Verdana"/>
          <w:sz w:val="20"/>
          <w:szCs w:val="20"/>
          <w:lang w:val="es-MX"/>
        </w:rPr>
        <w:t>154 y 166</w:t>
      </w:r>
      <w:r w:rsidR="00604459" w:rsidRPr="006B755F">
        <w:rPr>
          <w:rFonts w:ascii="Verdana" w:hAnsi="Verdana"/>
          <w:sz w:val="20"/>
          <w:szCs w:val="20"/>
          <w:lang w:val="es-MX"/>
        </w:rPr>
        <w:t xml:space="preserve"> de la presente Sentencia.</w:t>
      </w:r>
    </w:p>
    <w:p w14:paraId="62D91D9B" w14:textId="77777777" w:rsidR="00401656" w:rsidRPr="00B06027" w:rsidRDefault="00401656" w:rsidP="00B06027">
      <w:pPr>
        <w:pStyle w:val="ListParagraph"/>
        <w:rPr>
          <w:rFonts w:ascii="Verdana" w:hAnsi="Verdana"/>
          <w:sz w:val="20"/>
          <w:szCs w:val="20"/>
          <w:lang w:val="es-CR"/>
        </w:rPr>
      </w:pPr>
    </w:p>
    <w:p w14:paraId="293D0243" w14:textId="7B84132C" w:rsidR="00401656" w:rsidRPr="006B755F" w:rsidRDefault="00401656" w:rsidP="00B06027">
      <w:pPr>
        <w:pStyle w:val="ListParagraph"/>
        <w:widowControl w:val="0"/>
        <w:numPr>
          <w:ilvl w:val="0"/>
          <w:numId w:val="16"/>
        </w:numPr>
        <w:tabs>
          <w:tab w:val="center" w:pos="567"/>
        </w:tabs>
        <w:autoSpaceDE w:val="0"/>
        <w:autoSpaceDN w:val="0"/>
        <w:adjustRightInd w:val="0"/>
        <w:ind w:left="0" w:right="-90" w:hanging="11"/>
        <w:jc w:val="both"/>
        <w:rPr>
          <w:rFonts w:ascii="Verdana" w:hAnsi="Verdana"/>
          <w:sz w:val="20"/>
          <w:szCs w:val="20"/>
          <w:lang w:val="es-CR"/>
        </w:rPr>
      </w:pPr>
      <w:r w:rsidRPr="006B755F">
        <w:rPr>
          <w:rFonts w:ascii="Verdana" w:hAnsi="Verdana"/>
          <w:sz w:val="20"/>
          <w:szCs w:val="20"/>
          <w:lang w:val="es-MX"/>
        </w:rPr>
        <w:t>E</w:t>
      </w:r>
      <w:r w:rsidRPr="006B755F">
        <w:rPr>
          <w:rFonts w:ascii="Verdana" w:hAnsi="Verdana"/>
          <w:sz w:val="20"/>
          <w:szCs w:val="20"/>
        </w:rPr>
        <w:t>l Estado es responsable por la violación al derecho a la</w:t>
      </w:r>
      <w:r w:rsidR="007F5D36" w:rsidRPr="00B06027">
        <w:rPr>
          <w:rFonts w:ascii="Verdana" w:hAnsi="Verdana"/>
          <w:sz w:val="20"/>
          <w:szCs w:val="20"/>
        </w:rPr>
        <w:t xml:space="preserve"> </w:t>
      </w:r>
      <w:r w:rsidR="006B755F" w:rsidRPr="00B06027">
        <w:rPr>
          <w:rFonts w:ascii="Verdana" w:hAnsi="Verdana"/>
          <w:sz w:val="20"/>
          <w:szCs w:val="20"/>
        </w:rPr>
        <w:t>libertad de asociación</w:t>
      </w:r>
      <w:r w:rsidRPr="00B06027">
        <w:rPr>
          <w:rFonts w:ascii="Verdana" w:hAnsi="Verdana"/>
          <w:sz w:val="20"/>
          <w:szCs w:val="20"/>
        </w:rPr>
        <w:t xml:space="preserve">, </w:t>
      </w:r>
      <w:r w:rsidR="006B755F">
        <w:rPr>
          <w:rFonts w:ascii="Verdana" w:hAnsi="Verdana"/>
          <w:sz w:val="20"/>
          <w:szCs w:val="20"/>
        </w:rPr>
        <w:t>reconocido</w:t>
      </w:r>
      <w:r w:rsidRPr="006B755F">
        <w:rPr>
          <w:rFonts w:ascii="Verdana" w:hAnsi="Verdana"/>
          <w:sz w:val="20"/>
          <w:szCs w:val="20"/>
        </w:rPr>
        <w:t xml:space="preserve"> en </w:t>
      </w:r>
      <w:r w:rsidR="006B755F" w:rsidRPr="006B755F">
        <w:rPr>
          <w:rFonts w:ascii="Verdana" w:hAnsi="Verdana"/>
          <w:sz w:val="20"/>
          <w:szCs w:val="20"/>
        </w:rPr>
        <w:t>los</w:t>
      </w:r>
      <w:r w:rsidRPr="006B755F">
        <w:rPr>
          <w:rFonts w:ascii="Verdana" w:hAnsi="Verdana"/>
          <w:sz w:val="20"/>
          <w:szCs w:val="20"/>
        </w:rPr>
        <w:t xml:space="preserve"> artículo</w:t>
      </w:r>
      <w:r w:rsidR="006B755F" w:rsidRPr="006B755F">
        <w:rPr>
          <w:rFonts w:ascii="Verdana" w:hAnsi="Verdana"/>
          <w:sz w:val="20"/>
          <w:szCs w:val="20"/>
        </w:rPr>
        <w:t>s</w:t>
      </w:r>
      <w:r w:rsidRPr="006B755F">
        <w:rPr>
          <w:rFonts w:ascii="Verdana" w:hAnsi="Verdana"/>
          <w:sz w:val="20"/>
          <w:szCs w:val="20"/>
        </w:rPr>
        <w:t xml:space="preserve"> </w:t>
      </w:r>
      <w:r w:rsidR="006B755F" w:rsidRPr="00B06027">
        <w:rPr>
          <w:rFonts w:ascii="Verdana" w:hAnsi="Verdana"/>
          <w:sz w:val="20"/>
          <w:szCs w:val="20"/>
        </w:rPr>
        <w:t>1</w:t>
      </w:r>
      <w:r w:rsidRPr="00B06027">
        <w:rPr>
          <w:rFonts w:ascii="Verdana" w:hAnsi="Verdana"/>
          <w:sz w:val="20"/>
          <w:szCs w:val="20"/>
        </w:rPr>
        <w:t xml:space="preserve">6 </w:t>
      </w:r>
      <w:r w:rsidR="006B755F" w:rsidRPr="00B06027">
        <w:rPr>
          <w:rFonts w:ascii="Verdana" w:hAnsi="Verdana"/>
          <w:sz w:val="20"/>
          <w:szCs w:val="20"/>
        </w:rPr>
        <w:t xml:space="preserve">y 26 </w:t>
      </w:r>
      <w:r w:rsidRPr="006B755F">
        <w:rPr>
          <w:rFonts w:ascii="Verdana" w:hAnsi="Verdana"/>
          <w:sz w:val="20"/>
          <w:szCs w:val="20"/>
        </w:rPr>
        <w:t xml:space="preserve">de la Convención Americana, </w:t>
      </w:r>
      <w:r w:rsidRPr="006B755F">
        <w:rPr>
          <w:rFonts w:ascii="Verdana" w:hAnsi="Verdana"/>
          <w:sz w:val="20"/>
        </w:rPr>
        <w:t>en relación con los artículos 1.1</w:t>
      </w:r>
      <w:r w:rsidR="006B755F" w:rsidRPr="006B755F">
        <w:rPr>
          <w:rFonts w:ascii="Verdana" w:hAnsi="Verdana"/>
          <w:sz w:val="20"/>
        </w:rPr>
        <w:t>, 13 y 8</w:t>
      </w:r>
      <w:r w:rsidRPr="006B755F">
        <w:rPr>
          <w:rFonts w:ascii="Verdana" w:hAnsi="Verdana"/>
          <w:sz w:val="20"/>
        </w:rPr>
        <w:t xml:space="preserve"> de la misma, en perjuicio del señor Lagos del Campo, </w:t>
      </w:r>
      <w:r w:rsidRPr="006B755F">
        <w:rPr>
          <w:rFonts w:ascii="Verdana" w:hAnsi="Verdana"/>
          <w:sz w:val="20"/>
          <w:szCs w:val="20"/>
          <w:lang w:val="es-MX"/>
        </w:rPr>
        <w:t>en</w:t>
      </w:r>
      <w:r w:rsidR="00882FB7">
        <w:rPr>
          <w:rFonts w:ascii="Verdana" w:hAnsi="Verdana"/>
          <w:sz w:val="20"/>
          <w:szCs w:val="20"/>
          <w:lang w:val="es-MX"/>
        </w:rPr>
        <w:t xml:space="preserve"> los términos de los párrafos 155 a 163</w:t>
      </w:r>
      <w:r w:rsidRPr="006B755F">
        <w:rPr>
          <w:rFonts w:ascii="Verdana" w:hAnsi="Verdana"/>
          <w:sz w:val="20"/>
          <w:szCs w:val="20"/>
          <w:lang w:val="es-MX"/>
        </w:rPr>
        <w:t xml:space="preserve"> de la presente Sentencia.</w:t>
      </w:r>
    </w:p>
    <w:p w14:paraId="508B3B6B" w14:textId="77777777" w:rsidR="00F830E9" w:rsidRDefault="00F830E9" w:rsidP="00801513">
      <w:pPr>
        <w:pStyle w:val="ListParagraph"/>
        <w:widowControl w:val="0"/>
        <w:tabs>
          <w:tab w:val="center" w:pos="567"/>
        </w:tabs>
        <w:autoSpaceDE w:val="0"/>
        <w:autoSpaceDN w:val="0"/>
        <w:adjustRightInd w:val="0"/>
        <w:ind w:left="0" w:right="-90"/>
        <w:jc w:val="both"/>
        <w:rPr>
          <w:rFonts w:ascii="Verdana" w:hAnsi="Verdana"/>
          <w:sz w:val="20"/>
          <w:szCs w:val="20"/>
          <w:lang w:val="es-CR"/>
        </w:rPr>
      </w:pPr>
    </w:p>
    <w:p w14:paraId="12D783D3" w14:textId="24494F86" w:rsidR="002E2250" w:rsidRDefault="0044649E" w:rsidP="00801513">
      <w:pPr>
        <w:pStyle w:val="ListParagraph"/>
        <w:widowControl w:val="0"/>
        <w:tabs>
          <w:tab w:val="center" w:pos="567"/>
        </w:tabs>
        <w:autoSpaceDE w:val="0"/>
        <w:autoSpaceDN w:val="0"/>
        <w:adjustRightInd w:val="0"/>
        <w:ind w:left="0" w:right="-90"/>
        <w:jc w:val="both"/>
        <w:rPr>
          <w:rFonts w:ascii="Verdana" w:hAnsi="Verdana"/>
          <w:sz w:val="20"/>
          <w:szCs w:val="20"/>
          <w:lang w:val="es-CR"/>
        </w:rPr>
      </w:pPr>
      <w:r>
        <w:rPr>
          <w:rFonts w:ascii="Verdana" w:hAnsi="Verdana"/>
          <w:sz w:val="20"/>
          <w:szCs w:val="20"/>
          <w:lang w:val="es-CR"/>
        </w:rPr>
        <w:t xml:space="preserve">Disienten los </w:t>
      </w:r>
      <w:r w:rsidR="00341FCF">
        <w:rPr>
          <w:rFonts w:ascii="Verdana" w:hAnsi="Verdana"/>
          <w:sz w:val="20"/>
          <w:szCs w:val="20"/>
          <w:lang w:val="es-CR"/>
        </w:rPr>
        <w:t>j</w:t>
      </w:r>
      <w:r w:rsidR="002E2250">
        <w:rPr>
          <w:rFonts w:ascii="Verdana" w:hAnsi="Verdana"/>
          <w:sz w:val="20"/>
          <w:szCs w:val="20"/>
          <w:lang w:val="es-CR"/>
        </w:rPr>
        <w:t>ueces Eduardo Vio Grossi y Humberto Antonio Sierra Porto</w:t>
      </w:r>
      <w:r w:rsidR="002F31BD">
        <w:rPr>
          <w:rFonts w:ascii="Verdana" w:hAnsi="Verdana"/>
          <w:sz w:val="20"/>
          <w:szCs w:val="20"/>
          <w:lang w:val="es-CR"/>
        </w:rPr>
        <w:t>.</w:t>
      </w:r>
    </w:p>
    <w:p w14:paraId="4DFA470A" w14:textId="77777777" w:rsidR="00B74567" w:rsidRDefault="00B74567" w:rsidP="000828BB">
      <w:pPr>
        <w:pStyle w:val="Prrafodelista2"/>
        <w:ind w:left="0" w:right="-90"/>
        <w:contextualSpacing/>
      </w:pPr>
    </w:p>
    <w:p w14:paraId="218F1C80" w14:textId="77777777" w:rsidR="000828BB" w:rsidRPr="00A8512D" w:rsidRDefault="000828BB" w:rsidP="000828BB">
      <w:pPr>
        <w:pStyle w:val="Prrafodelista2"/>
        <w:ind w:left="0" w:right="-90"/>
        <w:contextualSpacing/>
      </w:pPr>
      <w:r w:rsidRPr="008059FF">
        <w:t xml:space="preserve">Por </w:t>
      </w:r>
      <w:r>
        <w:t>unanimidad</w:t>
      </w:r>
      <w:r w:rsidRPr="00A8512D">
        <w:t>, que:</w:t>
      </w:r>
    </w:p>
    <w:p w14:paraId="040D59EF" w14:textId="77777777" w:rsidR="000828BB" w:rsidRPr="006B755F" w:rsidRDefault="000828BB" w:rsidP="00801513">
      <w:pPr>
        <w:pStyle w:val="ListParagraph"/>
        <w:widowControl w:val="0"/>
        <w:tabs>
          <w:tab w:val="center" w:pos="567"/>
        </w:tabs>
        <w:autoSpaceDE w:val="0"/>
        <w:autoSpaceDN w:val="0"/>
        <w:adjustRightInd w:val="0"/>
        <w:ind w:left="0" w:right="-90"/>
        <w:jc w:val="both"/>
        <w:rPr>
          <w:rFonts w:ascii="Verdana" w:hAnsi="Verdana"/>
          <w:sz w:val="20"/>
          <w:szCs w:val="20"/>
          <w:lang w:val="es-CR"/>
        </w:rPr>
      </w:pPr>
    </w:p>
    <w:p w14:paraId="02DB419B" w14:textId="4121ECA5" w:rsidR="00F830E9" w:rsidRPr="00B06027" w:rsidRDefault="00F830E9" w:rsidP="00E66DD7">
      <w:pPr>
        <w:pStyle w:val="ListParagraph"/>
        <w:widowControl w:val="0"/>
        <w:numPr>
          <w:ilvl w:val="0"/>
          <w:numId w:val="16"/>
        </w:numPr>
        <w:tabs>
          <w:tab w:val="center" w:pos="567"/>
        </w:tabs>
        <w:autoSpaceDE w:val="0"/>
        <w:autoSpaceDN w:val="0"/>
        <w:adjustRightInd w:val="0"/>
        <w:ind w:left="0" w:right="-90" w:hanging="11"/>
        <w:jc w:val="both"/>
        <w:rPr>
          <w:rFonts w:ascii="Verdana" w:hAnsi="Verdana"/>
          <w:sz w:val="20"/>
          <w:szCs w:val="20"/>
          <w:lang w:val="es-CR"/>
        </w:rPr>
      </w:pPr>
      <w:r w:rsidRPr="00B06027">
        <w:rPr>
          <w:rFonts w:ascii="Verdana" w:hAnsi="Verdana"/>
          <w:sz w:val="20"/>
          <w:szCs w:val="20"/>
          <w:lang w:val="es-CR"/>
        </w:rPr>
        <w:t>El Estado es responsable por la violación de</w:t>
      </w:r>
      <w:r w:rsidR="002F6EA6">
        <w:rPr>
          <w:rFonts w:ascii="Verdana" w:hAnsi="Verdana"/>
          <w:sz w:val="20"/>
          <w:szCs w:val="20"/>
          <w:lang w:val="es-CR"/>
        </w:rPr>
        <w:t xml:space="preserve"> </w:t>
      </w:r>
      <w:r w:rsidRPr="00B06027">
        <w:rPr>
          <w:rFonts w:ascii="Verdana" w:hAnsi="Verdana"/>
          <w:sz w:val="20"/>
          <w:szCs w:val="20"/>
          <w:lang w:val="es-CR"/>
        </w:rPr>
        <w:t>l</w:t>
      </w:r>
      <w:r w:rsidR="002F6EA6">
        <w:rPr>
          <w:rFonts w:ascii="Verdana" w:hAnsi="Verdana"/>
          <w:sz w:val="20"/>
          <w:szCs w:val="20"/>
          <w:lang w:val="es-CR"/>
        </w:rPr>
        <w:t>os</w:t>
      </w:r>
      <w:r w:rsidRPr="00B06027">
        <w:rPr>
          <w:rFonts w:ascii="Verdana" w:hAnsi="Verdana"/>
          <w:sz w:val="20"/>
          <w:szCs w:val="20"/>
          <w:lang w:val="es-CR"/>
        </w:rPr>
        <w:t xml:space="preserve"> derecho</w:t>
      </w:r>
      <w:r w:rsidR="002F6EA6">
        <w:rPr>
          <w:rFonts w:ascii="Verdana" w:hAnsi="Verdana"/>
          <w:sz w:val="20"/>
          <w:szCs w:val="20"/>
          <w:lang w:val="es-CR"/>
        </w:rPr>
        <w:t>s</w:t>
      </w:r>
      <w:r w:rsidRPr="00B06027">
        <w:rPr>
          <w:rFonts w:ascii="Verdana" w:hAnsi="Verdana"/>
          <w:sz w:val="20"/>
          <w:szCs w:val="20"/>
          <w:lang w:val="es-CR"/>
        </w:rPr>
        <w:t xml:space="preserve"> a</w:t>
      </w:r>
      <w:r w:rsidR="002F6EA6">
        <w:rPr>
          <w:rFonts w:ascii="Verdana" w:hAnsi="Verdana"/>
          <w:sz w:val="20"/>
          <w:szCs w:val="20"/>
          <w:lang w:val="es-CR"/>
        </w:rPr>
        <w:t xml:space="preserve"> la protección judicial y las garantías judiciales,</w:t>
      </w:r>
      <w:r w:rsidR="00D9601C" w:rsidRPr="00B06027">
        <w:rPr>
          <w:rFonts w:ascii="Verdana" w:hAnsi="Verdana"/>
          <w:sz w:val="20"/>
          <w:szCs w:val="20"/>
          <w:lang w:val="es-CR"/>
        </w:rPr>
        <w:t xml:space="preserve"> de conformidad con los artículos 8 y 25 </w:t>
      </w:r>
      <w:r w:rsidR="00D9601C" w:rsidRPr="00B06027">
        <w:rPr>
          <w:rFonts w:ascii="Verdana" w:hAnsi="Verdana"/>
          <w:sz w:val="20"/>
          <w:szCs w:val="20"/>
        </w:rPr>
        <w:t xml:space="preserve">de la Convención Americana, </w:t>
      </w:r>
      <w:r w:rsidR="00D9601C" w:rsidRPr="00B06027">
        <w:rPr>
          <w:rFonts w:ascii="Verdana" w:hAnsi="Verdana"/>
          <w:sz w:val="20"/>
        </w:rPr>
        <w:t xml:space="preserve">en relación con el artículo 1.1 de la misma, en perjuicio del señor Lagos del Campo, </w:t>
      </w:r>
      <w:r w:rsidR="00D9601C" w:rsidRPr="00B06027">
        <w:rPr>
          <w:rFonts w:ascii="Verdana" w:hAnsi="Verdana"/>
          <w:sz w:val="20"/>
          <w:szCs w:val="20"/>
          <w:lang w:val="es-MX"/>
        </w:rPr>
        <w:t>en</w:t>
      </w:r>
      <w:r w:rsidR="00882FB7">
        <w:rPr>
          <w:rFonts w:ascii="Verdana" w:hAnsi="Verdana"/>
          <w:sz w:val="20"/>
          <w:szCs w:val="20"/>
          <w:lang w:val="es-MX"/>
        </w:rPr>
        <w:t xml:space="preserve"> los términos de los párrafos 170 a 191</w:t>
      </w:r>
      <w:r w:rsidR="00D9601C" w:rsidRPr="00B06027">
        <w:rPr>
          <w:rFonts w:ascii="Verdana" w:hAnsi="Verdana"/>
          <w:sz w:val="20"/>
          <w:szCs w:val="20"/>
          <w:lang w:val="es-MX"/>
        </w:rPr>
        <w:t xml:space="preserve"> de la presente Sentencia.</w:t>
      </w:r>
    </w:p>
    <w:p w14:paraId="378EBB57" w14:textId="77777777" w:rsidR="00324758" w:rsidRPr="00604459" w:rsidRDefault="00324758" w:rsidP="00324758">
      <w:pPr>
        <w:pStyle w:val="ListParagraph"/>
        <w:widowControl w:val="0"/>
        <w:tabs>
          <w:tab w:val="center" w:pos="567"/>
        </w:tabs>
        <w:autoSpaceDE w:val="0"/>
        <w:autoSpaceDN w:val="0"/>
        <w:adjustRightInd w:val="0"/>
        <w:ind w:left="0" w:right="-90"/>
        <w:jc w:val="both"/>
        <w:rPr>
          <w:rFonts w:ascii="Verdana" w:hAnsi="Verdana"/>
          <w:sz w:val="20"/>
          <w:szCs w:val="20"/>
          <w:lang w:val="es-CR"/>
        </w:rPr>
      </w:pPr>
    </w:p>
    <w:p w14:paraId="1E46EF5A" w14:textId="7DB04D40" w:rsidR="00172797" w:rsidRPr="00487AE7" w:rsidRDefault="00487AE7">
      <w:pPr>
        <w:pStyle w:val="ListParagraph"/>
        <w:widowControl w:val="0"/>
        <w:numPr>
          <w:ilvl w:val="0"/>
          <w:numId w:val="16"/>
        </w:numPr>
        <w:tabs>
          <w:tab w:val="center" w:pos="567"/>
        </w:tabs>
        <w:autoSpaceDE w:val="0"/>
        <w:autoSpaceDN w:val="0"/>
        <w:adjustRightInd w:val="0"/>
        <w:ind w:left="0" w:right="-90" w:hanging="11"/>
        <w:jc w:val="both"/>
        <w:rPr>
          <w:rFonts w:ascii="Verdana" w:hAnsi="Verdana"/>
          <w:sz w:val="20"/>
          <w:szCs w:val="20"/>
          <w:lang w:val="es-CR"/>
        </w:rPr>
      </w:pPr>
      <w:r w:rsidRPr="00487AE7">
        <w:rPr>
          <w:rFonts w:ascii="Verdana" w:hAnsi="Verdana"/>
          <w:sz w:val="20"/>
          <w:szCs w:val="20"/>
        </w:rPr>
        <w:t>El Estado no es responsable por la violación al artículo 2 de la Convención, respecto del inciso h) del artículo 5 de la Ley 24514 y el artículo 25 del Decreto Legislativo No. 728</w:t>
      </w:r>
      <w:r>
        <w:rPr>
          <w:rFonts w:ascii="Verdana" w:hAnsi="Verdana"/>
          <w:sz w:val="20"/>
          <w:szCs w:val="20"/>
        </w:rPr>
        <w:t>,</w:t>
      </w:r>
      <w:r w:rsidRPr="00487AE7">
        <w:rPr>
          <w:rFonts w:ascii="Verdana" w:hAnsi="Verdana"/>
          <w:sz w:val="20"/>
          <w:szCs w:val="20"/>
          <w:lang w:val="es-MX"/>
        </w:rPr>
        <w:t xml:space="preserve"> en</w:t>
      </w:r>
      <w:r w:rsidR="00882FB7">
        <w:rPr>
          <w:rFonts w:ascii="Verdana" w:hAnsi="Verdana"/>
          <w:sz w:val="20"/>
          <w:szCs w:val="20"/>
          <w:lang w:val="es-MX"/>
        </w:rPr>
        <w:t xml:space="preserve"> los términos de los párrafos 164 a 165</w:t>
      </w:r>
      <w:r w:rsidRPr="00487AE7">
        <w:rPr>
          <w:rFonts w:ascii="Verdana" w:hAnsi="Verdana"/>
          <w:sz w:val="20"/>
          <w:szCs w:val="20"/>
          <w:lang w:val="es-MX"/>
        </w:rPr>
        <w:t xml:space="preserve"> de la presente Sentencia.</w:t>
      </w:r>
      <w:r w:rsidR="0015750D">
        <w:rPr>
          <w:rFonts w:ascii="Verdana" w:hAnsi="Verdana"/>
          <w:sz w:val="20"/>
          <w:szCs w:val="20"/>
          <w:lang w:val="es-MX"/>
        </w:rPr>
        <w:t xml:space="preserve"> </w:t>
      </w:r>
    </w:p>
    <w:p w14:paraId="164820F7" w14:textId="77777777" w:rsidR="00172797" w:rsidRPr="005D0F69" w:rsidRDefault="00172797" w:rsidP="00324758">
      <w:pPr>
        <w:pStyle w:val="ListParagraph"/>
        <w:widowControl w:val="0"/>
        <w:tabs>
          <w:tab w:val="center" w:pos="567"/>
        </w:tabs>
        <w:autoSpaceDE w:val="0"/>
        <w:autoSpaceDN w:val="0"/>
        <w:adjustRightInd w:val="0"/>
        <w:ind w:left="0" w:right="-90"/>
        <w:jc w:val="both"/>
        <w:rPr>
          <w:rFonts w:ascii="Verdana" w:hAnsi="Verdana"/>
          <w:sz w:val="20"/>
          <w:szCs w:val="20"/>
          <w:lang w:val="es-CR"/>
        </w:rPr>
      </w:pPr>
    </w:p>
    <w:p w14:paraId="53D7D436" w14:textId="77777777" w:rsidR="00324758" w:rsidRPr="006A44AD" w:rsidRDefault="00324758" w:rsidP="00324758">
      <w:pPr>
        <w:pStyle w:val="Prrafodelista2"/>
        <w:tabs>
          <w:tab w:val="left" w:pos="720"/>
        </w:tabs>
        <w:ind w:left="0" w:right="-90"/>
        <w:contextualSpacing/>
        <w:jc w:val="both"/>
        <w:rPr>
          <w:b/>
          <w:bCs/>
        </w:rPr>
      </w:pPr>
      <w:r w:rsidRPr="006A44AD">
        <w:rPr>
          <w:b/>
          <w:bCs/>
        </w:rPr>
        <w:t>Y DISPONE:</w:t>
      </w:r>
    </w:p>
    <w:p w14:paraId="19F501AC" w14:textId="77777777" w:rsidR="00324758" w:rsidRPr="006A44AD" w:rsidRDefault="00324758" w:rsidP="00324758">
      <w:pPr>
        <w:pStyle w:val="Prrafodelista2"/>
        <w:tabs>
          <w:tab w:val="left" w:pos="720"/>
        </w:tabs>
        <w:ind w:left="0" w:right="-90"/>
        <w:contextualSpacing/>
        <w:jc w:val="both"/>
        <w:rPr>
          <w:b/>
          <w:bCs/>
        </w:rPr>
      </w:pPr>
    </w:p>
    <w:p w14:paraId="1B7C0778" w14:textId="77777777" w:rsidR="000828BB" w:rsidRPr="00A8512D" w:rsidRDefault="000828BB" w:rsidP="000828BB">
      <w:pPr>
        <w:pStyle w:val="Prrafodelista2"/>
        <w:ind w:left="0" w:right="-90"/>
        <w:contextualSpacing/>
      </w:pPr>
      <w:r w:rsidRPr="008059FF">
        <w:t xml:space="preserve">Por </w:t>
      </w:r>
      <w:r>
        <w:t>unanimidad</w:t>
      </w:r>
      <w:r w:rsidRPr="00A8512D">
        <w:t>, que:</w:t>
      </w:r>
    </w:p>
    <w:p w14:paraId="24A509FA" w14:textId="77777777" w:rsidR="00324758" w:rsidRPr="00324758" w:rsidRDefault="00324758" w:rsidP="00324758">
      <w:pPr>
        <w:pStyle w:val="ListParagraph"/>
        <w:widowControl w:val="0"/>
        <w:tabs>
          <w:tab w:val="center" w:pos="567"/>
        </w:tabs>
        <w:autoSpaceDE w:val="0"/>
        <w:autoSpaceDN w:val="0"/>
        <w:adjustRightInd w:val="0"/>
        <w:ind w:left="0" w:right="-90"/>
        <w:jc w:val="both"/>
        <w:rPr>
          <w:rFonts w:ascii="Verdana" w:hAnsi="Verdana"/>
          <w:sz w:val="20"/>
          <w:szCs w:val="20"/>
          <w:lang w:val="es-MX"/>
        </w:rPr>
      </w:pPr>
    </w:p>
    <w:p w14:paraId="6D07B812" w14:textId="2BAA50C5" w:rsidR="00324758" w:rsidRPr="00BF5E6E" w:rsidRDefault="00324758" w:rsidP="00E66DD7">
      <w:pPr>
        <w:pStyle w:val="ListParagraph"/>
        <w:widowControl w:val="0"/>
        <w:numPr>
          <w:ilvl w:val="0"/>
          <w:numId w:val="16"/>
        </w:numPr>
        <w:tabs>
          <w:tab w:val="center" w:pos="567"/>
        </w:tabs>
        <w:autoSpaceDE w:val="0"/>
        <w:autoSpaceDN w:val="0"/>
        <w:adjustRightInd w:val="0"/>
        <w:ind w:left="0" w:right="-90" w:hanging="11"/>
        <w:jc w:val="both"/>
        <w:rPr>
          <w:rFonts w:ascii="Verdana" w:hAnsi="Verdana"/>
          <w:sz w:val="20"/>
          <w:szCs w:val="20"/>
          <w:lang w:val="es-MX"/>
        </w:rPr>
      </w:pPr>
      <w:r w:rsidRPr="00324758">
        <w:rPr>
          <w:rFonts w:ascii="Verdana" w:hAnsi="Verdana"/>
          <w:sz w:val="20"/>
          <w:szCs w:val="20"/>
          <w:lang w:val="es-MX"/>
        </w:rPr>
        <w:t xml:space="preserve">Esta Sentencia constituye, </w:t>
      </w:r>
      <w:r w:rsidR="000828BB">
        <w:rPr>
          <w:rFonts w:ascii="Verdana" w:hAnsi="Verdana"/>
          <w:sz w:val="20"/>
          <w:szCs w:val="20"/>
          <w:lang w:val="es-MX"/>
        </w:rPr>
        <w:t>por sí misma</w:t>
      </w:r>
      <w:r w:rsidRPr="00324758">
        <w:rPr>
          <w:rFonts w:ascii="Verdana" w:hAnsi="Verdana"/>
          <w:sz w:val="20"/>
          <w:szCs w:val="20"/>
          <w:lang w:val="es-MX"/>
        </w:rPr>
        <w:t>, una forma de reparación.</w:t>
      </w:r>
    </w:p>
    <w:p w14:paraId="5C2D69EC" w14:textId="77777777" w:rsidR="00324758" w:rsidRPr="00324758" w:rsidRDefault="00324758" w:rsidP="00324758">
      <w:pPr>
        <w:pStyle w:val="ListParagraph"/>
        <w:widowControl w:val="0"/>
        <w:tabs>
          <w:tab w:val="center" w:pos="567"/>
        </w:tabs>
        <w:autoSpaceDE w:val="0"/>
        <w:autoSpaceDN w:val="0"/>
        <w:adjustRightInd w:val="0"/>
        <w:ind w:left="0" w:right="-90"/>
        <w:jc w:val="both"/>
        <w:rPr>
          <w:rFonts w:ascii="Verdana" w:hAnsi="Verdana"/>
          <w:sz w:val="20"/>
          <w:szCs w:val="20"/>
          <w:lang w:val="es-MX"/>
        </w:rPr>
      </w:pPr>
    </w:p>
    <w:p w14:paraId="5545656A" w14:textId="2A1EBAE8" w:rsidR="00324758" w:rsidRDefault="00324758" w:rsidP="00E66DD7">
      <w:pPr>
        <w:pStyle w:val="ListParagraph"/>
        <w:widowControl w:val="0"/>
        <w:numPr>
          <w:ilvl w:val="0"/>
          <w:numId w:val="16"/>
        </w:numPr>
        <w:tabs>
          <w:tab w:val="center" w:pos="567"/>
        </w:tabs>
        <w:autoSpaceDE w:val="0"/>
        <w:autoSpaceDN w:val="0"/>
        <w:adjustRightInd w:val="0"/>
        <w:ind w:left="0" w:right="-90" w:hanging="11"/>
        <w:jc w:val="both"/>
        <w:rPr>
          <w:rFonts w:ascii="Verdana" w:hAnsi="Verdana"/>
          <w:sz w:val="20"/>
          <w:szCs w:val="20"/>
          <w:lang w:val="es-MX"/>
        </w:rPr>
      </w:pPr>
      <w:r w:rsidRPr="00324758">
        <w:rPr>
          <w:rFonts w:ascii="Verdana" w:hAnsi="Verdana"/>
          <w:sz w:val="20"/>
          <w:szCs w:val="20"/>
          <w:lang w:val="es-MX"/>
        </w:rPr>
        <w:t>El Estado debe realizar las publica</w:t>
      </w:r>
      <w:r w:rsidR="00882FB7">
        <w:rPr>
          <w:rFonts w:ascii="Verdana" w:hAnsi="Verdana"/>
          <w:sz w:val="20"/>
          <w:szCs w:val="20"/>
          <w:lang w:val="es-MX"/>
        </w:rPr>
        <w:t>ciones indicadas en el párrafo 200</w:t>
      </w:r>
      <w:r w:rsidRPr="00324758">
        <w:rPr>
          <w:rFonts w:ascii="Verdana" w:hAnsi="Verdana"/>
          <w:sz w:val="20"/>
          <w:szCs w:val="20"/>
          <w:lang w:val="es-MX"/>
        </w:rPr>
        <w:t xml:space="preserve"> e informar a esta Corte de </w:t>
      </w:r>
      <w:r w:rsidR="00431AE6">
        <w:rPr>
          <w:rFonts w:ascii="Verdana" w:hAnsi="Verdana"/>
          <w:sz w:val="20"/>
          <w:szCs w:val="20"/>
          <w:lang w:val="es-MX"/>
        </w:rPr>
        <w:t>las mismas</w:t>
      </w:r>
      <w:r w:rsidRPr="00324758">
        <w:rPr>
          <w:rFonts w:ascii="Verdana" w:hAnsi="Verdana"/>
          <w:sz w:val="20"/>
          <w:szCs w:val="20"/>
          <w:lang w:val="es-MX"/>
        </w:rPr>
        <w:t>, conf</w:t>
      </w:r>
      <w:r w:rsidR="00604459">
        <w:rPr>
          <w:rFonts w:ascii="Verdana" w:hAnsi="Verdana"/>
          <w:sz w:val="20"/>
          <w:szCs w:val="20"/>
          <w:lang w:val="es-MX"/>
        </w:rPr>
        <w:t>o</w:t>
      </w:r>
      <w:r w:rsidR="00882FB7">
        <w:rPr>
          <w:rFonts w:ascii="Verdana" w:hAnsi="Verdana"/>
          <w:sz w:val="20"/>
          <w:szCs w:val="20"/>
          <w:lang w:val="es-MX"/>
        </w:rPr>
        <w:t>rme lo indicado en el párrafo 201</w:t>
      </w:r>
      <w:r w:rsidRPr="00324758">
        <w:rPr>
          <w:rFonts w:ascii="Verdana" w:hAnsi="Verdana"/>
          <w:sz w:val="20"/>
          <w:szCs w:val="20"/>
          <w:lang w:val="es-MX"/>
        </w:rPr>
        <w:t xml:space="preserve"> de esta Sentencia.</w:t>
      </w:r>
    </w:p>
    <w:p w14:paraId="625075D0" w14:textId="77777777" w:rsidR="00324758" w:rsidRPr="00324758" w:rsidRDefault="00324758" w:rsidP="00324758">
      <w:pPr>
        <w:pStyle w:val="ListParagraph"/>
        <w:widowControl w:val="0"/>
        <w:tabs>
          <w:tab w:val="center" w:pos="567"/>
        </w:tabs>
        <w:autoSpaceDE w:val="0"/>
        <w:autoSpaceDN w:val="0"/>
        <w:adjustRightInd w:val="0"/>
        <w:ind w:left="0" w:right="-90"/>
        <w:jc w:val="both"/>
        <w:rPr>
          <w:rFonts w:ascii="Verdana" w:hAnsi="Verdana"/>
          <w:sz w:val="20"/>
          <w:szCs w:val="20"/>
          <w:lang w:val="es-MX"/>
        </w:rPr>
      </w:pPr>
    </w:p>
    <w:p w14:paraId="43C49264" w14:textId="1EAC9173" w:rsidR="00324758" w:rsidRPr="00324758" w:rsidRDefault="00324758" w:rsidP="00E66DD7">
      <w:pPr>
        <w:pStyle w:val="ListParagraph"/>
        <w:widowControl w:val="0"/>
        <w:numPr>
          <w:ilvl w:val="0"/>
          <w:numId w:val="16"/>
        </w:numPr>
        <w:tabs>
          <w:tab w:val="center" w:pos="567"/>
        </w:tabs>
        <w:autoSpaceDE w:val="0"/>
        <w:autoSpaceDN w:val="0"/>
        <w:adjustRightInd w:val="0"/>
        <w:ind w:left="0" w:right="-90" w:hanging="11"/>
        <w:jc w:val="both"/>
        <w:rPr>
          <w:rFonts w:ascii="Verdana" w:hAnsi="Verdana"/>
          <w:sz w:val="20"/>
          <w:szCs w:val="20"/>
          <w:lang w:val="es-MX"/>
        </w:rPr>
      </w:pPr>
      <w:r w:rsidRPr="00324758">
        <w:rPr>
          <w:rFonts w:ascii="Verdana" w:hAnsi="Verdana"/>
          <w:sz w:val="20"/>
          <w:szCs w:val="20"/>
          <w:lang w:val="es-MX"/>
        </w:rPr>
        <w:t xml:space="preserve">El Estado debe pagar las cantidades fijadas en los párrafos </w:t>
      </w:r>
      <w:r w:rsidR="00882FB7">
        <w:rPr>
          <w:rFonts w:ascii="Verdana" w:hAnsi="Verdana"/>
          <w:sz w:val="20"/>
          <w:szCs w:val="20"/>
          <w:lang w:val="es-MX"/>
        </w:rPr>
        <w:t>215, 216, 222 y 227</w:t>
      </w:r>
      <w:r w:rsidRPr="00324758">
        <w:rPr>
          <w:rFonts w:ascii="Verdana" w:hAnsi="Verdana"/>
          <w:sz w:val="20"/>
          <w:szCs w:val="20"/>
          <w:lang w:val="es-MX"/>
        </w:rPr>
        <w:t xml:space="preserve"> de la presente Sentencia, por concepto de compensación por daño </w:t>
      </w:r>
      <w:r w:rsidR="00FF2083">
        <w:rPr>
          <w:rFonts w:ascii="Verdana" w:hAnsi="Verdana"/>
          <w:sz w:val="20"/>
          <w:szCs w:val="20"/>
          <w:lang w:val="es-MX"/>
        </w:rPr>
        <w:t xml:space="preserve">material e </w:t>
      </w:r>
      <w:r w:rsidRPr="00324758">
        <w:rPr>
          <w:rFonts w:ascii="Verdana" w:hAnsi="Verdana"/>
          <w:sz w:val="20"/>
          <w:szCs w:val="20"/>
          <w:lang w:val="es-MX"/>
        </w:rPr>
        <w:t>inmaterial y por e</w:t>
      </w:r>
      <w:r w:rsidR="00B34FD4">
        <w:rPr>
          <w:rFonts w:ascii="Verdana" w:hAnsi="Verdana"/>
          <w:sz w:val="20"/>
          <w:szCs w:val="20"/>
          <w:lang w:val="es-MX"/>
        </w:rPr>
        <w:t xml:space="preserve">l reintegro de </w:t>
      </w:r>
      <w:r w:rsidRPr="00324758">
        <w:rPr>
          <w:rFonts w:ascii="Verdana" w:hAnsi="Verdana"/>
          <w:sz w:val="20"/>
          <w:szCs w:val="20"/>
          <w:lang w:val="es-MX"/>
        </w:rPr>
        <w:t xml:space="preserve">costas y gastos, en los términos de los referidos párrafos y de lo previsto en </w:t>
      </w:r>
      <w:r w:rsidR="00882FB7">
        <w:rPr>
          <w:rFonts w:ascii="Verdana" w:hAnsi="Verdana"/>
          <w:sz w:val="20"/>
          <w:szCs w:val="20"/>
          <w:lang w:val="es-MX"/>
        </w:rPr>
        <w:t xml:space="preserve">los </w:t>
      </w:r>
      <w:r w:rsidR="00FF2083">
        <w:rPr>
          <w:rFonts w:ascii="Verdana" w:hAnsi="Verdana"/>
          <w:sz w:val="20"/>
          <w:szCs w:val="20"/>
          <w:lang w:val="es-MX"/>
        </w:rPr>
        <w:t>párrafo</w:t>
      </w:r>
      <w:r w:rsidR="00882FB7">
        <w:rPr>
          <w:rFonts w:ascii="Verdana" w:hAnsi="Verdana"/>
          <w:sz w:val="20"/>
          <w:szCs w:val="20"/>
          <w:lang w:val="es-MX"/>
        </w:rPr>
        <w:t>s</w:t>
      </w:r>
      <w:r w:rsidR="00604459">
        <w:rPr>
          <w:rFonts w:ascii="Verdana" w:hAnsi="Verdana"/>
          <w:sz w:val="20"/>
          <w:szCs w:val="20"/>
          <w:lang w:val="es-MX"/>
        </w:rPr>
        <w:t xml:space="preserve"> </w:t>
      </w:r>
      <w:r w:rsidR="00882FB7">
        <w:rPr>
          <w:rFonts w:ascii="Verdana" w:hAnsi="Verdana"/>
          <w:sz w:val="20"/>
          <w:szCs w:val="20"/>
          <w:lang w:val="es-MX"/>
        </w:rPr>
        <w:t xml:space="preserve">230 a 235 </w:t>
      </w:r>
      <w:r w:rsidRPr="00324758">
        <w:rPr>
          <w:rFonts w:ascii="Verdana" w:hAnsi="Verdana"/>
          <w:sz w:val="20"/>
          <w:szCs w:val="20"/>
          <w:lang w:val="es-MX"/>
        </w:rPr>
        <w:t>de esta Sentencia.</w:t>
      </w:r>
    </w:p>
    <w:p w14:paraId="6730DA65" w14:textId="77777777" w:rsidR="00324758" w:rsidRPr="00324758" w:rsidRDefault="00324758" w:rsidP="00324758">
      <w:pPr>
        <w:pStyle w:val="ListParagraph"/>
        <w:widowControl w:val="0"/>
        <w:tabs>
          <w:tab w:val="center" w:pos="567"/>
        </w:tabs>
        <w:autoSpaceDE w:val="0"/>
        <w:autoSpaceDN w:val="0"/>
        <w:adjustRightInd w:val="0"/>
        <w:ind w:left="0" w:right="-90"/>
        <w:jc w:val="both"/>
        <w:rPr>
          <w:rFonts w:ascii="Verdana" w:hAnsi="Verdana"/>
          <w:sz w:val="20"/>
          <w:szCs w:val="20"/>
          <w:lang w:val="es-MX"/>
        </w:rPr>
      </w:pPr>
    </w:p>
    <w:p w14:paraId="58374D40" w14:textId="0D84575E" w:rsidR="00324758" w:rsidRPr="00324758" w:rsidRDefault="00324758" w:rsidP="00E66DD7">
      <w:pPr>
        <w:pStyle w:val="ListParagraph"/>
        <w:widowControl w:val="0"/>
        <w:numPr>
          <w:ilvl w:val="0"/>
          <w:numId w:val="16"/>
        </w:numPr>
        <w:tabs>
          <w:tab w:val="center" w:pos="567"/>
        </w:tabs>
        <w:autoSpaceDE w:val="0"/>
        <w:autoSpaceDN w:val="0"/>
        <w:adjustRightInd w:val="0"/>
        <w:ind w:left="0" w:right="-90" w:hanging="11"/>
        <w:jc w:val="both"/>
        <w:rPr>
          <w:rFonts w:ascii="Verdana" w:hAnsi="Verdana"/>
          <w:sz w:val="20"/>
          <w:szCs w:val="20"/>
          <w:lang w:val="es-MX"/>
        </w:rPr>
      </w:pPr>
      <w:r w:rsidRPr="00324758">
        <w:rPr>
          <w:rFonts w:ascii="Verdana" w:hAnsi="Verdana"/>
          <w:sz w:val="20"/>
          <w:szCs w:val="20"/>
          <w:lang w:val="es-MX"/>
        </w:rPr>
        <w:t>El Estado debe reintegrar al Fondo de Asistencia Legal de Víctimas de la Corte Interamericana de Derechos Humanos la cantidad erogada durante la tramitación del presente cas</w:t>
      </w:r>
      <w:r w:rsidR="00604459">
        <w:rPr>
          <w:rFonts w:ascii="Verdana" w:hAnsi="Verdana"/>
          <w:sz w:val="20"/>
          <w:szCs w:val="20"/>
          <w:lang w:val="es-MX"/>
        </w:rPr>
        <w:t>o</w:t>
      </w:r>
      <w:r w:rsidR="00882FB7">
        <w:rPr>
          <w:rFonts w:ascii="Verdana" w:hAnsi="Verdana"/>
          <w:sz w:val="20"/>
          <w:szCs w:val="20"/>
          <w:lang w:val="es-MX"/>
        </w:rPr>
        <w:t>, en los términos del párrafo 229</w:t>
      </w:r>
      <w:r w:rsidRPr="00324758">
        <w:rPr>
          <w:rFonts w:ascii="Verdana" w:hAnsi="Verdana"/>
          <w:sz w:val="20"/>
          <w:szCs w:val="20"/>
          <w:lang w:val="es-MX"/>
        </w:rPr>
        <w:t xml:space="preserve"> de esta Sentencia.</w:t>
      </w:r>
    </w:p>
    <w:p w14:paraId="5C9B740E" w14:textId="77777777" w:rsidR="00324758" w:rsidRPr="00324758" w:rsidRDefault="00324758" w:rsidP="00324758">
      <w:pPr>
        <w:pStyle w:val="ListParagraph"/>
        <w:widowControl w:val="0"/>
        <w:tabs>
          <w:tab w:val="center" w:pos="567"/>
        </w:tabs>
        <w:autoSpaceDE w:val="0"/>
        <w:autoSpaceDN w:val="0"/>
        <w:adjustRightInd w:val="0"/>
        <w:ind w:left="0" w:right="-90"/>
        <w:jc w:val="both"/>
        <w:rPr>
          <w:rFonts w:ascii="Verdana" w:hAnsi="Verdana"/>
          <w:sz w:val="20"/>
          <w:szCs w:val="20"/>
          <w:lang w:val="es-MX"/>
        </w:rPr>
      </w:pPr>
    </w:p>
    <w:p w14:paraId="52C014D3" w14:textId="0302FF31" w:rsidR="00324758" w:rsidRPr="00324758" w:rsidRDefault="00324758" w:rsidP="00E66DD7">
      <w:pPr>
        <w:pStyle w:val="ListParagraph"/>
        <w:widowControl w:val="0"/>
        <w:numPr>
          <w:ilvl w:val="0"/>
          <w:numId w:val="16"/>
        </w:numPr>
        <w:tabs>
          <w:tab w:val="center" w:pos="567"/>
        </w:tabs>
        <w:autoSpaceDE w:val="0"/>
        <w:autoSpaceDN w:val="0"/>
        <w:adjustRightInd w:val="0"/>
        <w:ind w:left="0" w:right="-90" w:hanging="11"/>
        <w:jc w:val="both"/>
        <w:rPr>
          <w:rFonts w:ascii="Verdana" w:hAnsi="Verdana"/>
          <w:sz w:val="20"/>
          <w:szCs w:val="20"/>
          <w:lang w:val="es-MX"/>
        </w:rPr>
      </w:pPr>
      <w:r w:rsidRPr="00324758">
        <w:rPr>
          <w:rFonts w:ascii="Verdana" w:hAnsi="Verdana"/>
          <w:sz w:val="20"/>
          <w:szCs w:val="20"/>
          <w:lang w:val="es-MX"/>
        </w:rPr>
        <w:t xml:space="preserve">El Estado debe, dentro del plazo de un año contado a partir de la notificación de esta Sentencia, rendir al Tribunal un informe sobre las medidas adoptadas para cumplir con la misma, sin perjuicio de </w:t>
      </w:r>
      <w:r w:rsidR="00882FB7">
        <w:rPr>
          <w:rFonts w:ascii="Verdana" w:hAnsi="Verdana"/>
          <w:sz w:val="20"/>
          <w:szCs w:val="20"/>
          <w:lang w:val="es-MX"/>
        </w:rPr>
        <w:t>lo establecido en el párrafo 201</w:t>
      </w:r>
      <w:r w:rsidRPr="00324758">
        <w:rPr>
          <w:rFonts w:ascii="Verdana" w:hAnsi="Verdana"/>
          <w:sz w:val="20"/>
          <w:szCs w:val="20"/>
          <w:lang w:val="es-MX"/>
        </w:rPr>
        <w:t xml:space="preserve"> de la presente Sentencia.</w:t>
      </w:r>
    </w:p>
    <w:p w14:paraId="2DEBD764" w14:textId="77777777" w:rsidR="00324758" w:rsidRPr="00324758" w:rsidRDefault="00324758" w:rsidP="00324758">
      <w:pPr>
        <w:pStyle w:val="ListParagraph"/>
        <w:widowControl w:val="0"/>
        <w:tabs>
          <w:tab w:val="center" w:pos="567"/>
        </w:tabs>
        <w:autoSpaceDE w:val="0"/>
        <w:autoSpaceDN w:val="0"/>
        <w:adjustRightInd w:val="0"/>
        <w:ind w:left="0" w:right="-90"/>
        <w:jc w:val="both"/>
        <w:rPr>
          <w:rFonts w:ascii="Verdana" w:hAnsi="Verdana"/>
          <w:sz w:val="20"/>
          <w:szCs w:val="20"/>
          <w:lang w:val="es-MX"/>
        </w:rPr>
      </w:pPr>
    </w:p>
    <w:p w14:paraId="4BB2F104" w14:textId="77777777" w:rsidR="00324758" w:rsidRPr="00324758" w:rsidRDefault="00324758" w:rsidP="00E66DD7">
      <w:pPr>
        <w:pStyle w:val="ListParagraph"/>
        <w:widowControl w:val="0"/>
        <w:numPr>
          <w:ilvl w:val="0"/>
          <w:numId w:val="16"/>
        </w:numPr>
        <w:tabs>
          <w:tab w:val="center" w:pos="567"/>
        </w:tabs>
        <w:autoSpaceDE w:val="0"/>
        <w:autoSpaceDN w:val="0"/>
        <w:adjustRightInd w:val="0"/>
        <w:ind w:left="0" w:right="-90" w:hanging="11"/>
        <w:jc w:val="both"/>
        <w:rPr>
          <w:rFonts w:ascii="Verdana" w:hAnsi="Verdana"/>
          <w:sz w:val="20"/>
          <w:szCs w:val="20"/>
          <w:lang w:val="es-MX"/>
        </w:rPr>
      </w:pPr>
      <w:r w:rsidRPr="00324758">
        <w:rPr>
          <w:rFonts w:ascii="Verdana" w:hAnsi="Verdana"/>
          <w:sz w:val="20"/>
          <w:szCs w:val="20"/>
          <w:lang w:val="es-MX"/>
        </w:rPr>
        <w:t>La Corte supervisará el cumplimiento íntegro de esta Sentencia, en ejercicio de sus atribuciones y en cumplimiento de sus deberes conforme a la Convención Americana sobre Derechos Humanos, y dará por concluido el presente caso una vez que el Estado haya dado cabal cumplimiento a lo dispuesto en la misma.</w:t>
      </w:r>
    </w:p>
    <w:p w14:paraId="05A85B24" w14:textId="77777777" w:rsidR="006A2D03" w:rsidRDefault="006A2D03" w:rsidP="00324758">
      <w:pPr>
        <w:pStyle w:val="ListParagraph"/>
        <w:widowControl w:val="0"/>
        <w:tabs>
          <w:tab w:val="center" w:pos="567"/>
        </w:tabs>
        <w:autoSpaceDE w:val="0"/>
        <w:autoSpaceDN w:val="0"/>
        <w:adjustRightInd w:val="0"/>
        <w:ind w:left="0" w:right="-90"/>
        <w:jc w:val="both"/>
        <w:rPr>
          <w:rFonts w:ascii="Verdana" w:hAnsi="Verdana"/>
          <w:sz w:val="20"/>
          <w:szCs w:val="20"/>
          <w:lang w:val="es-MX"/>
        </w:rPr>
      </w:pPr>
    </w:p>
    <w:p w14:paraId="268D88C3" w14:textId="78775BFE" w:rsidR="003F1454" w:rsidRDefault="0044649E" w:rsidP="00324758">
      <w:pPr>
        <w:pStyle w:val="ListParagraph"/>
        <w:widowControl w:val="0"/>
        <w:tabs>
          <w:tab w:val="center" w:pos="567"/>
        </w:tabs>
        <w:autoSpaceDE w:val="0"/>
        <w:autoSpaceDN w:val="0"/>
        <w:adjustRightInd w:val="0"/>
        <w:ind w:left="0" w:right="-90"/>
        <w:jc w:val="both"/>
        <w:rPr>
          <w:rFonts w:ascii="Verdana" w:hAnsi="Verdana"/>
          <w:sz w:val="20"/>
          <w:szCs w:val="20"/>
          <w:lang w:val="es-MX"/>
        </w:rPr>
      </w:pPr>
      <w:r>
        <w:rPr>
          <w:rFonts w:ascii="Verdana" w:hAnsi="Verdana"/>
          <w:sz w:val="20"/>
          <w:szCs w:val="20"/>
          <w:lang w:val="es-MX"/>
        </w:rPr>
        <w:t>Los j</w:t>
      </w:r>
      <w:r w:rsidR="003F1454" w:rsidRPr="003F1454">
        <w:rPr>
          <w:rFonts w:ascii="Verdana" w:hAnsi="Verdana"/>
          <w:sz w:val="20"/>
          <w:szCs w:val="20"/>
          <w:lang w:val="es-MX"/>
        </w:rPr>
        <w:t xml:space="preserve">ueces </w:t>
      </w:r>
      <w:r w:rsidR="003F1454">
        <w:rPr>
          <w:rFonts w:ascii="Verdana" w:hAnsi="Verdana"/>
          <w:sz w:val="20"/>
          <w:szCs w:val="20"/>
          <w:lang w:val="es-MX"/>
        </w:rPr>
        <w:t>Roberto F. Caldas</w:t>
      </w:r>
      <w:r w:rsidR="009A3098">
        <w:rPr>
          <w:rFonts w:ascii="Verdana" w:hAnsi="Verdana"/>
          <w:sz w:val="20"/>
          <w:szCs w:val="20"/>
          <w:lang w:val="es-MX"/>
        </w:rPr>
        <w:t xml:space="preserve"> y</w:t>
      </w:r>
      <w:r w:rsidR="003F1454">
        <w:rPr>
          <w:rFonts w:ascii="Verdana" w:hAnsi="Verdana"/>
          <w:sz w:val="20"/>
          <w:szCs w:val="20"/>
          <w:lang w:val="es-MX"/>
        </w:rPr>
        <w:t xml:space="preserve"> </w:t>
      </w:r>
      <w:r w:rsidR="003F1454" w:rsidRPr="003F1454">
        <w:rPr>
          <w:rFonts w:ascii="Verdana" w:hAnsi="Verdana"/>
          <w:sz w:val="20"/>
          <w:szCs w:val="20"/>
          <w:lang w:val="es-MX"/>
        </w:rPr>
        <w:t>Ed</w:t>
      </w:r>
      <w:r w:rsidR="003F1454">
        <w:rPr>
          <w:rFonts w:ascii="Verdana" w:hAnsi="Verdana"/>
          <w:sz w:val="20"/>
          <w:szCs w:val="20"/>
          <w:lang w:val="es-MX"/>
        </w:rPr>
        <w:t>uardo Ferrer Mac-Gregor Poisot</w:t>
      </w:r>
      <w:r w:rsidR="00730D77">
        <w:rPr>
          <w:rFonts w:ascii="Verdana" w:hAnsi="Verdana"/>
          <w:sz w:val="20"/>
          <w:szCs w:val="20"/>
          <w:lang w:val="es-MX"/>
        </w:rPr>
        <w:t>, hicieron conocer a la C</w:t>
      </w:r>
      <w:r>
        <w:rPr>
          <w:rFonts w:ascii="Verdana" w:hAnsi="Verdana"/>
          <w:sz w:val="20"/>
          <w:szCs w:val="20"/>
          <w:lang w:val="es-MX"/>
        </w:rPr>
        <w:t>orte sus votos individuales</w:t>
      </w:r>
      <w:r w:rsidRPr="0044649E">
        <w:rPr>
          <w:rFonts w:ascii="Verdana" w:hAnsi="Verdana"/>
          <w:sz w:val="20"/>
          <w:szCs w:val="20"/>
          <w:lang w:val="es-MX"/>
        </w:rPr>
        <w:t xml:space="preserve"> </w:t>
      </w:r>
      <w:r>
        <w:rPr>
          <w:rFonts w:ascii="Verdana" w:hAnsi="Verdana"/>
          <w:sz w:val="20"/>
          <w:szCs w:val="20"/>
          <w:lang w:val="es-MX"/>
        </w:rPr>
        <w:t xml:space="preserve">concurrentes, y los jueces </w:t>
      </w:r>
      <w:r w:rsidR="003F1454" w:rsidRPr="003F1454">
        <w:rPr>
          <w:rFonts w:ascii="Verdana" w:hAnsi="Verdana"/>
          <w:sz w:val="20"/>
          <w:szCs w:val="20"/>
          <w:lang w:val="es-MX"/>
        </w:rPr>
        <w:t>Eduardo Vio Grossi</w:t>
      </w:r>
      <w:r w:rsidR="003F1454">
        <w:rPr>
          <w:rFonts w:ascii="Verdana" w:hAnsi="Verdana"/>
          <w:sz w:val="20"/>
          <w:szCs w:val="20"/>
          <w:lang w:val="es-MX"/>
        </w:rPr>
        <w:t xml:space="preserve"> y Humberto A</w:t>
      </w:r>
      <w:r>
        <w:rPr>
          <w:rFonts w:ascii="Verdana" w:hAnsi="Verdana"/>
          <w:sz w:val="20"/>
          <w:szCs w:val="20"/>
          <w:lang w:val="es-MX"/>
        </w:rPr>
        <w:t>ntonio</w:t>
      </w:r>
      <w:r w:rsidR="003F1454">
        <w:rPr>
          <w:rFonts w:ascii="Verdana" w:hAnsi="Verdana"/>
          <w:sz w:val="20"/>
          <w:szCs w:val="20"/>
          <w:lang w:val="es-MX"/>
        </w:rPr>
        <w:t xml:space="preserve"> Sierra Porto,</w:t>
      </w:r>
      <w:r w:rsidR="003F1454" w:rsidRPr="003F1454">
        <w:rPr>
          <w:rFonts w:ascii="Verdana" w:hAnsi="Verdana"/>
          <w:sz w:val="20"/>
          <w:szCs w:val="20"/>
          <w:lang w:val="es-MX"/>
        </w:rPr>
        <w:t xml:space="preserve"> sus votos individuales</w:t>
      </w:r>
      <w:r>
        <w:rPr>
          <w:rFonts w:ascii="Verdana" w:hAnsi="Verdana"/>
          <w:sz w:val="20"/>
          <w:szCs w:val="20"/>
          <w:lang w:val="es-MX"/>
        </w:rPr>
        <w:t xml:space="preserve"> parcialmente disidentes, los cuales acompañan esta Sentencia</w:t>
      </w:r>
      <w:r w:rsidR="003F1454" w:rsidRPr="003F1454">
        <w:rPr>
          <w:rFonts w:ascii="Verdana" w:hAnsi="Verdana"/>
          <w:sz w:val="20"/>
          <w:szCs w:val="20"/>
          <w:lang w:val="es-MX"/>
        </w:rPr>
        <w:t>.</w:t>
      </w:r>
    </w:p>
    <w:p w14:paraId="5DFC262F" w14:textId="77777777" w:rsidR="009A3098" w:rsidRDefault="009A3098" w:rsidP="00324758">
      <w:pPr>
        <w:pStyle w:val="ListParagraph"/>
        <w:widowControl w:val="0"/>
        <w:tabs>
          <w:tab w:val="center" w:pos="567"/>
        </w:tabs>
        <w:autoSpaceDE w:val="0"/>
        <w:autoSpaceDN w:val="0"/>
        <w:adjustRightInd w:val="0"/>
        <w:ind w:left="0" w:right="-90"/>
        <w:jc w:val="both"/>
        <w:rPr>
          <w:rFonts w:ascii="Verdana" w:hAnsi="Verdana"/>
          <w:sz w:val="20"/>
          <w:szCs w:val="20"/>
          <w:lang w:val="es-MX"/>
        </w:rPr>
      </w:pPr>
    </w:p>
    <w:p w14:paraId="2211D111" w14:textId="563202EB" w:rsidR="00324758" w:rsidRPr="00324758" w:rsidRDefault="00326D8F" w:rsidP="00324758">
      <w:pPr>
        <w:pStyle w:val="ListParagraph"/>
        <w:widowControl w:val="0"/>
        <w:tabs>
          <w:tab w:val="center" w:pos="567"/>
        </w:tabs>
        <w:autoSpaceDE w:val="0"/>
        <w:autoSpaceDN w:val="0"/>
        <w:adjustRightInd w:val="0"/>
        <w:ind w:left="0" w:right="-90"/>
        <w:jc w:val="both"/>
        <w:rPr>
          <w:rFonts w:ascii="Verdana" w:hAnsi="Verdana"/>
          <w:sz w:val="20"/>
          <w:szCs w:val="20"/>
          <w:lang w:val="es-MX"/>
        </w:rPr>
      </w:pPr>
      <w:r>
        <w:rPr>
          <w:rFonts w:ascii="Verdana" w:hAnsi="Verdana"/>
          <w:sz w:val="20"/>
          <w:szCs w:val="20"/>
          <w:lang w:val="es-MX"/>
        </w:rPr>
        <w:t>Emitida</w:t>
      </w:r>
      <w:r w:rsidR="00324758" w:rsidRPr="00324758">
        <w:rPr>
          <w:rFonts w:ascii="Verdana" w:hAnsi="Verdana"/>
          <w:sz w:val="20"/>
          <w:szCs w:val="20"/>
          <w:lang w:val="es-MX"/>
        </w:rPr>
        <w:t xml:space="preserve"> en español en San José, Costa Ri</w:t>
      </w:r>
      <w:r>
        <w:rPr>
          <w:rFonts w:ascii="Verdana" w:hAnsi="Verdana"/>
          <w:sz w:val="20"/>
          <w:szCs w:val="20"/>
          <w:lang w:val="es-MX"/>
        </w:rPr>
        <w:t>ca, el</w:t>
      </w:r>
      <w:r w:rsidR="00431AE6">
        <w:rPr>
          <w:rFonts w:ascii="Verdana" w:hAnsi="Verdana"/>
          <w:sz w:val="20"/>
          <w:szCs w:val="20"/>
          <w:lang w:val="es-MX"/>
        </w:rPr>
        <w:t xml:space="preserve"> 31</w:t>
      </w:r>
      <w:r>
        <w:rPr>
          <w:rFonts w:ascii="Verdana" w:hAnsi="Verdana"/>
          <w:sz w:val="20"/>
          <w:szCs w:val="20"/>
          <w:lang w:val="es-MX"/>
        </w:rPr>
        <w:t xml:space="preserve"> de </w:t>
      </w:r>
      <w:r w:rsidR="009409BF">
        <w:rPr>
          <w:rFonts w:ascii="Verdana" w:hAnsi="Verdana"/>
          <w:sz w:val="20"/>
          <w:szCs w:val="20"/>
          <w:lang w:val="es-MX"/>
        </w:rPr>
        <w:t xml:space="preserve">agosto </w:t>
      </w:r>
      <w:r>
        <w:rPr>
          <w:rFonts w:ascii="Verdana" w:hAnsi="Verdana"/>
          <w:sz w:val="20"/>
          <w:szCs w:val="20"/>
          <w:lang w:val="es-MX"/>
        </w:rPr>
        <w:t>de 2017</w:t>
      </w:r>
    </w:p>
    <w:p w14:paraId="208E4801" w14:textId="77777777" w:rsidR="00324758" w:rsidRPr="00324758" w:rsidRDefault="00324758" w:rsidP="00324758">
      <w:pPr>
        <w:pStyle w:val="ListParagraph"/>
        <w:widowControl w:val="0"/>
        <w:tabs>
          <w:tab w:val="center" w:pos="567"/>
        </w:tabs>
        <w:autoSpaceDE w:val="0"/>
        <w:autoSpaceDN w:val="0"/>
        <w:adjustRightInd w:val="0"/>
        <w:ind w:left="0" w:right="-90"/>
        <w:jc w:val="both"/>
        <w:rPr>
          <w:rFonts w:ascii="Verdana" w:hAnsi="Verdana"/>
          <w:sz w:val="20"/>
          <w:szCs w:val="20"/>
          <w:lang w:val="es-MX"/>
        </w:rPr>
      </w:pPr>
    </w:p>
    <w:p w14:paraId="1036AD72" w14:textId="6ED06507" w:rsidR="0060277E" w:rsidRDefault="0060277E">
      <w:pPr>
        <w:spacing w:after="200" w:line="276" w:lineRule="auto"/>
        <w:rPr>
          <w:rFonts w:ascii="Verdana" w:hAnsi="Verdana"/>
          <w:sz w:val="20"/>
          <w:szCs w:val="20"/>
          <w:lang w:val="es-MX"/>
        </w:rPr>
      </w:pPr>
      <w:r>
        <w:rPr>
          <w:rFonts w:ascii="Verdana" w:hAnsi="Verdana"/>
          <w:sz w:val="20"/>
          <w:szCs w:val="20"/>
          <w:lang w:val="es-MX"/>
        </w:rPr>
        <w:br w:type="page"/>
      </w:r>
    </w:p>
    <w:p w14:paraId="3B814277" w14:textId="77777777" w:rsidR="0060277E" w:rsidRDefault="0060277E" w:rsidP="0060277E">
      <w:pPr>
        <w:jc w:val="both"/>
        <w:rPr>
          <w:rFonts w:ascii="Verdana" w:hAnsi="Verdana"/>
          <w:sz w:val="20"/>
        </w:rPr>
      </w:pPr>
      <w:r>
        <w:rPr>
          <w:rFonts w:ascii="Verdana" w:hAnsi="Verdana"/>
          <w:sz w:val="20"/>
          <w:lang w:val="es-CR"/>
        </w:rPr>
        <w:lastRenderedPageBreak/>
        <w:t xml:space="preserve">Corte IDH. Caso </w:t>
      </w:r>
      <w:r w:rsidRPr="00BF49D8">
        <w:rPr>
          <w:rFonts w:ascii="Verdana" w:hAnsi="Verdana"/>
          <w:i/>
          <w:sz w:val="20"/>
          <w:lang w:val="es-CR"/>
        </w:rPr>
        <w:t>Lagos del Campo Vs. Perú</w:t>
      </w:r>
      <w:r>
        <w:rPr>
          <w:rFonts w:ascii="Verdana" w:hAnsi="Verdana"/>
          <w:sz w:val="20"/>
          <w:lang w:val="es-CR"/>
        </w:rPr>
        <w:t>. Excepciones Preliminares, Fondo, Reparaciones y Costas. Sentencia de 31 de agosto de 2017.</w:t>
      </w:r>
    </w:p>
    <w:p w14:paraId="68DFA7F2" w14:textId="77777777" w:rsidR="0060277E" w:rsidRDefault="0060277E" w:rsidP="0060277E">
      <w:pPr>
        <w:rPr>
          <w:rFonts w:ascii="Verdana" w:hAnsi="Verdana"/>
          <w:sz w:val="20"/>
        </w:rPr>
      </w:pPr>
    </w:p>
    <w:p w14:paraId="673ACB26" w14:textId="77777777" w:rsidR="0060277E" w:rsidRDefault="0060277E" w:rsidP="0060277E">
      <w:pPr>
        <w:rPr>
          <w:rFonts w:ascii="Verdana" w:hAnsi="Verdana"/>
          <w:sz w:val="20"/>
        </w:rPr>
      </w:pPr>
    </w:p>
    <w:p w14:paraId="559061A5" w14:textId="77777777" w:rsidR="0060277E" w:rsidRDefault="0060277E" w:rsidP="0060277E">
      <w:pPr>
        <w:rPr>
          <w:rFonts w:ascii="Verdana" w:hAnsi="Verdana"/>
          <w:sz w:val="20"/>
        </w:rPr>
      </w:pPr>
    </w:p>
    <w:p w14:paraId="1EFEE5EA" w14:textId="77777777" w:rsidR="0060277E" w:rsidRDefault="0060277E" w:rsidP="0060277E">
      <w:pPr>
        <w:rPr>
          <w:rFonts w:ascii="Verdana" w:hAnsi="Verdana"/>
          <w:sz w:val="20"/>
        </w:rPr>
      </w:pPr>
    </w:p>
    <w:p w14:paraId="33C6F5DC" w14:textId="77777777" w:rsidR="0060277E" w:rsidRDefault="0060277E" w:rsidP="0060277E">
      <w:pPr>
        <w:rPr>
          <w:rFonts w:ascii="Verdana" w:hAnsi="Verdana"/>
          <w:sz w:val="20"/>
        </w:rPr>
      </w:pPr>
    </w:p>
    <w:p w14:paraId="72D2C712" w14:textId="77777777" w:rsidR="0060277E" w:rsidRDefault="0060277E" w:rsidP="0060277E">
      <w:pPr>
        <w:jc w:val="center"/>
        <w:rPr>
          <w:rFonts w:ascii="Verdana" w:hAnsi="Verdana"/>
          <w:sz w:val="20"/>
        </w:rPr>
      </w:pPr>
      <w:r>
        <w:rPr>
          <w:rFonts w:ascii="Verdana" w:hAnsi="Verdana"/>
          <w:sz w:val="20"/>
          <w:lang w:val="es-CR"/>
        </w:rPr>
        <w:t>Roberto F. Caldas</w:t>
      </w:r>
    </w:p>
    <w:p w14:paraId="1B2BE8B0" w14:textId="77777777" w:rsidR="0060277E" w:rsidRDefault="0060277E" w:rsidP="0060277E">
      <w:pPr>
        <w:jc w:val="center"/>
        <w:rPr>
          <w:rFonts w:ascii="Verdana" w:hAnsi="Verdana"/>
          <w:sz w:val="20"/>
        </w:rPr>
      </w:pPr>
      <w:r>
        <w:rPr>
          <w:rFonts w:ascii="Verdana" w:hAnsi="Verdana"/>
          <w:sz w:val="20"/>
        </w:rPr>
        <w:t xml:space="preserve">Presidente </w:t>
      </w:r>
    </w:p>
    <w:p w14:paraId="7E8A7808" w14:textId="77777777" w:rsidR="0060277E" w:rsidRDefault="0060277E" w:rsidP="0060277E">
      <w:pPr>
        <w:jc w:val="both"/>
        <w:rPr>
          <w:rFonts w:ascii="Verdana" w:hAnsi="Verdana"/>
          <w:sz w:val="20"/>
        </w:rPr>
      </w:pPr>
    </w:p>
    <w:p w14:paraId="212BD1C8" w14:textId="77777777" w:rsidR="0060277E" w:rsidRDefault="0060277E" w:rsidP="0060277E">
      <w:pPr>
        <w:jc w:val="both"/>
        <w:rPr>
          <w:rFonts w:ascii="Verdana" w:hAnsi="Verdana"/>
          <w:sz w:val="20"/>
        </w:rPr>
      </w:pPr>
    </w:p>
    <w:p w14:paraId="291B9756" w14:textId="77777777" w:rsidR="0060277E" w:rsidRDefault="0060277E" w:rsidP="0060277E">
      <w:pPr>
        <w:jc w:val="both"/>
        <w:rPr>
          <w:rFonts w:ascii="Verdana" w:hAnsi="Verdana"/>
          <w:sz w:val="20"/>
        </w:rPr>
      </w:pPr>
    </w:p>
    <w:p w14:paraId="22898221" w14:textId="77777777" w:rsidR="0060277E" w:rsidRDefault="0060277E" w:rsidP="0060277E">
      <w:pPr>
        <w:jc w:val="both"/>
        <w:rPr>
          <w:rFonts w:ascii="Verdana" w:hAnsi="Verdana"/>
          <w:sz w:val="20"/>
        </w:rPr>
      </w:pPr>
    </w:p>
    <w:p w14:paraId="1051F532" w14:textId="77777777" w:rsidR="0060277E" w:rsidRDefault="0060277E" w:rsidP="0060277E">
      <w:pPr>
        <w:jc w:val="both"/>
        <w:rPr>
          <w:rFonts w:ascii="Verdana" w:hAnsi="Verdana"/>
          <w:sz w:val="20"/>
        </w:rPr>
      </w:pPr>
    </w:p>
    <w:p w14:paraId="33384466" w14:textId="77777777" w:rsidR="0060277E" w:rsidRDefault="0060277E" w:rsidP="0060277E">
      <w:pPr>
        <w:jc w:val="both"/>
        <w:rPr>
          <w:rFonts w:ascii="Verdana" w:hAnsi="Verdana"/>
          <w:sz w:val="20"/>
          <w:lang w:val="es-CR"/>
        </w:rPr>
      </w:pPr>
      <w:r>
        <w:rPr>
          <w:rFonts w:ascii="Verdana" w:hAnsi="Verdana"/>
          <w:sz w:val="20"/>
          <w:lang w:val="es-CR"/>
        </w:rPr>
        <w:t>Eduardo Ferrer Mac-Gregor Poisot</w:t>
      </w:r>
      <w:r>
        <w:rPr>
          <w:rFonts w:ascii="Verdana" w:hAnsi="Verdana"/>
          <w:sz w:val="20"/>
          <w:lang w:val="es-CR"/>
        </w:rPr>
        <w:tab/>
      </w:r>
      <w:r>
        <w:rPr>
          <w:rFonts w:ascii="Verdana" w:hAnsi="Verdana"/>
          <w:sz w:val="20"/>
          <w:lang w:val="es-CR"/>
        </w:rPr>
        <w:tab/>
      </w:r>
      <w:r>
        <w:rPr>
          <w:rFonts w:ascii="Verdana" w:hAnsi="Verdana"/>
          <w:sz w:val="20"/>
          <w:lang w:val="es-CR"/>
        </w:rPr>
        <w:tab/>
      </w:r>
      <w:r>
        <w:rPr>
          <w:rFonts w:ascii="Verdana" w:hAnsi="Verdana"/>
          <w:sz w:val="20"/>
          <w:lang w:val="es-CR"/>
        </w:rPr>
        <w:tab/>
      </w:r>
      <w:r>
        <w:rPr>
          <w:rFonts w:ascii="Verdana" w:hAnsi="Verdana"/>
          <w:sz w:val="20"/>
          <w:lang w:val="es-CR"/>
        </w:rPr>
        <w:tab/>
      </w:r>
      <w:r>
        <w:rPr>
          <w:rFonts w:ascii="Verdana" w:hAnsi="Verdana"/>
          <w:sz w:val="20"/>
          <w:lang w:val="es-CR"/>
        </w:rPr>
        <w:tab/>
        <w:t xml:space="preserve">    Eduardo Vio Grossi</w:t>
      </w:r>
    </w:p>
    <w:p w14:paraId="10A4D09A" w14:textId="77777777" w:rsidR="0060277E" w:rsidRDefault="0060277E" w:rsidP="0060277E">
      <w:pPr>
        <w:jc w:val="both"/>
        <w:rPr>
          <w:rFonts w:ascii="Verdana" w:hAnsi="Verdana"/>
          <w:sz w:val="20"/>
          <w:lang w:val="es-CR"/>
        </w:rPr>
      </w:pPr>
    </w:p>
    <w:p w14:paraId="1DE36BBB" w14:textId="77777777" w:rsidR="0060277E" w:rsidRDefault="0060277E" w:rsidP="0060277E">
      <w:pPr>
        <w:jc w:val="both"/>
        <w:rPr>
          <w:rFonts w:ascii="Verdana" w:hAnsi="Verdana"/>
          <w:sz w:val="20"/>
          <w:lang w:val="es-CR"/>
        </w:rPr>
      </w:pPr>
    </w:p>
    <w:p w14:paraId="38A898DC" w14:textId="77777777" w:rsidR="0060277E" w:rsidRDefault="0060277E" w:rsidP="0060277E">
      <w:pPr>
        <w:jc w:val="both"/>
        <w:rPr>
          <w:rFonts w:ascii="Verdana" w:hAnsi="Verdana"/>
          <w:sz w:val="20"/>
          <w:lang w:val="es-CR"/>
        </w:rPr>
      </w:pPr>
    </w:p>
    <w:p w14:paraId="36FD050B" w14:textId="77777777" w:rsidR="0060277E" w:rsidRDefault="0060277E" w:rsidP="0060277E">
      <w:pPr>
        <w:jc w:val="both"/>
        <w:rPr>
          <w:rFonts w:ascii="Verdana" w:hAnsi="Verdana"/>
          <w:sz w:val="20"/>
          <w:lang w:val="es-CR"/>
        </w:rPr>
      </w:pPr>
    </w:p>
    <w:p w14:paraId="23B737A9" w14:textId="77777777" w:rsidR="0060277E" w:rsidRDefault="0060277E" w:rsidP="0060277E">
      <w:pPr>
        <w:jc w:val="both"/>
        <w:rPr>
          <w:rFonts w:ascii="Verdana" w:hAnsi="Verdana"/>
          <w:sz w:val="20"/>
          <w:lang w:val="es-CR"/>
        </w:rPr>
      </w:pPr>
    </w:p>
    <w:p w14:paraId="46DF1EDE" w14:textId="77777777" w:rsidR="0060277E" w:rsidRPr="003D7CEE" w:rsidRDefault="0060277E" w:rsidP="0060277E">
      <w:pPr>
        <w:jc w:val="both"/>
        <w:rPr>
          <w:rFonts w:ascii="Verdana" w:hAnsi="Verdana"/>
          <w:sz w:val="20"/>
          <w:lang w:val="es-CR"/>
        </w:rPr>
      </w:pPr>
      <w:r>
        <w:rPr>
          <w:rFonts w:ascii="Verdana" w:hAnsi="Verdana"/>
          <w:sz w:val="20"/>
          <w:lang w:val="es-CR"/>
        </w:rPr>
        <w:t>Humberto A. Sierra Porto</w:t>
      </w:r>
      <w:r>
        <w:rPr>
          <w:rFonts w:ascii="Verdana" w:hAnsi="Verdana"/>
          <w:sz w:val="20"/>
          <w:lang w:val="es-CR"/>
        </w:rPr>
        <w:tab/>
      </w:r>
      <w:r>
        <w:rPr>
          <w:rFonts w:ascii="Verdana" w:hAnsi="Verdana"/>
          <w:sz w:val="20"/>
          <w:lang w:val="es-CR"/>
        </w:rPr>
        <w:tab/>
      </w:r>
      <w:r>
        <w:rPr>
          <w:rFonts w:ascii="Verdana" w:hAnsi="Verdana"/>
          <w:sz w:val="20"/>
          <w:lang w:val="es-CR"/>
        </w:rPr>
        <w:tab/>
      </w:r>
      <w:r>
        <w:rPr>
          <w:rFonts w:ascii="Verdana" w:hAnsi="Verdana"/>
          <w:sz w:val="20"/>
          <w:lang w:val="es-CR"/>
        </w:rPr>
        <w:tab/>
      </w:r>
      <w:r>
        <w:rPr>
          <w:rFonts w:ascii="Verdana" w:hAnsi="Verdana"/>
          <w:sz w:val="20"/>
          <w:lang w:val="es-CR"/>
        </w:rPr>
        <w:tab/>
      </w:r>
      <w:r>
        <w:rPr>
          <w:rFonts w:ascii="Verdana" w:hAnsi="Verdana"/>
          <w:sz w:val="20"/>
          <w:lang w:val="es-CR"/>
        </w:rPr>
        <w:tab/>
      </w:r>
      <w:r>
        <w:rPr>
          <w:rFonts w:ascii="Verdana" w:hAnsi="Verdana"/>
          <w:sz w:val="20"/>
          <w:lang w:val="es-CR"/>
        </w:rPr>
        <w:tab/>
        <w:t xml:space="preserve"> Elizabeth Odio Benito</w:t>
      </w:r>
    </w:p>
    <w:p w14:paraId="78B007A2" w14:textId="77777777" w:rsidR="0060277E" w:rsidRDefault="0060277E" w:rsidP="0060277E">
      <w:pPr>
        <w:jc w:val="center"/>
        <w:rPr>
          <w:rFonts w:ascii="Verdana" w:hAnsi="Verdana"/>
          <w:sz w:val="20"/>
        </w:rPr>
      </w:pPr>
    </w:p>
    <w:p w14:paraId="1421BBA7" w14:textId="77777777" w:rsidR="0060277E" w:rsidRDefault="0060277E" w:rsidP="0060277E">
      <w:pPr>
        <w:jc w:val="center"/>
        <w:rPr>
          <w:rFonts w:ascii="Verdana" w:hAnsi="Verdana"/>
          <w:sz w:val="20"/>
        </w:rPr>
      </w:pPr>
    </w:p>
    <w:p w14:paraId="6D28BB6C" w14:textId="77777777" w:rsidR="0060277E" w:rsidRDefault="0060277E" w:rsidP="0060277E">
      <w:pPr>
        <w:jc w:val="center"/>
        <w:rPr>
          <w:rFonts w:ascii="Verdana" w:hAnsi="Verdana"/>
          <w:sz w:val="20"/>
        </w:rPr>
      </w:pPr>
    </w:p>
    <w:p w14:paraId="4EAB228F" w14:textId="77777777" w:rsidR="0060277E" w:rsidRDefault="0060277E" w:rsidP="0060277E">
      <w:pPr>
        <w:jc w:val="center"/>
        <w:rPr>
          <w:rFonts w:ascii="Verdana" w:hAnsi="Verdana"/>
          <w:sz w:val="20"/>
        </w:rPr>
      </w:pPr>
    </w:p>
    <w:p w14:paraId="16599940" w14:textId="77777777" w:rsidR="0060277E" w:rsidRDefault="0060277E" w:rsidP="0060277E">
      <w:pPr>
        <w:rPr>
          <w:rFonts w:ascii="Verdana" w:hAnsi="Verdana"/>
          <w:sz w:val="20"/>
          <w:lang w:val="es-CR"/>
        </w:rPr>
      </w:pPr>
      <w:r>
        <w:rPr>
          <w:rFonts w:ascii="Verdana" w:hAnsi="Verdana"/>
          <w:sz w:val="20"/>
          <w:lang w:val="es-CR"/>
        </w:rPr>
        <w:tab/>
      </w:r>
      <w:r>
        <w:rPr>
          <w:rFonts w:ascii="Verdana" w:hAnsi="Verdana"/>
          <w:sz w:val="20"/>
          <w:lang w:val="es-CR"/>
        </w:rPr>
        <w:tab/>
      </w:r>
    </w:p>
    <w:p w14:paraId="0658E2CD" w14:textId="77777777" w:rsidR="0060277E" w:rsidRDefault="0060277E" w:rsidP="0060277E">
      <w:pPr>
        <w:rPr>
          <w:rFonts w:ascii="Verdana" w:hAnsi="Verdana"/>
          <w:sz w:val="20"/>
          <w:lang w:val="es-CR"/>
        </w:rPr>
      </w:pPr>
      <w:r>
        <w:rPr>
          <w:rFonts w:ascii="Verdana" w:hAnsi="Verdana"/>
          <w:sz w:val="20"/>
          <w:lang w:val="es-CR"/>
        </w:rPr>
        <w:t xml:space="preserve">Eugenio Raúl </w:t>
      </w:r>
      <w:proofErr w:type="spellStart"/>
      <w:r>
        <w:rPr>
          <w:rFonts w:ascii="Verdana" w:hAnsi="Verdana"/>
          <w:sz w:val="20"/>
          <w:lang w:val="es-CR"/>
        </w:rPr>
        <w:t>Zaffaroni</w:t>
      </w:r>
      <w:proofErr w:type="spellEnd"/>
      <w:r>
        <w:rPr>
          <w:rFonts w:ascii="Verdana" w:hAnsi="Verdana"/>
          <w:sz w:val="20"/>
          <w:lang w:val="es-CR"/>
        </w:rPr>
        <w:tab/>
      </w:r>
      <w:r>
        <w:rPr>
          <w:rFonts w:ascii="Verdana" w:hAnsi="Verdana"/>
          <w:sz w:val="20"/>
          <w:lang w:val="es-CR"/>
        </w:rPr>
        <w:tab/>
      </w:r>
      <w:r>
        <w:rPr>
          <w:rFonts w:ascii="Verdana" w:hAnsi="Verdana"/>
          <w:sz w:val="20"/>
          <w:lang w:val="es-CR"/>
        </w:rPr>
        <w:tab/>
      </w:r>
      <w:r>
        <w:rPr>
          <w:rFonts w:ascii="Verdana" w:hAnsi="Verdana"/>
          <w:sz w:val="20"/>
          <w:lang w:val="es-CR"/>
        </w:rPr>
        <w:tab/>
      </w:r>
      <w:r>
        <w:rPr>
          <w:rFonts w:ascii="Verdana" w:hAnsi="Verdana"/>
          <w:sz w:val="20"/>
          <w:lang w:val="es-CR"/>
        </w:rPr>
        <w:tab/>
        <w:t xml:space="preserve">                L. Patricio Pazmiño Freire</w:t>
      </w:r>
    </w:p>
    <w:p w14:paraId="1B018EF1" w14:textId="77777777" w:rsidR="0060277E" w:rsidRDefault="0060277E" w:rsidP="0060277E">
      <w:pPr>
        <w:rPr>
          <w:rFonts w:ascii="Verdana" w:hAnsi="Verdana"/>
          <w:sz w:val="20"/>
          <w:lang w:val="es-CR"/>
        </w:rPr>
      </w:pPr>
      <w:r>
        <w:rPr>
          <w:rFonts w:ascii="Verdana" w:hAnsi="Verdana"/>
          <w:sz w:val="20"/>
          <w:lang w:val="es-CR"/>
        </w:rPr>
        <w:tab/>
      </w:r>
      <w:r>
        <w:rPr>
          <w:rFonts w:ascii="Verdana" w:hAnsi="Verdana"/>
          <w:sz w:val="20"/>
          <w:lang w:val="es-CR"/>
        </w:rPr>
        <w:tab/>
      </w:r>
      <w:r>
        <w:rPr>
          <w:rFonts w:ascii="Verdana" w:hAnsi="Verdana"/>
          <w:sz w:val="20"/>
          <w:lang w:val="es-CR"/>
        </w:rPr>
        <w:tab/>
      </w:r>
    </w:p>
    <w:p w14:paraId="25D57D6F" w14:textId="77777777" w:rsidR="0060277E" w:rsidRDefault="0060277E" w:rsidP="0060277E">
      <w:pPr>
        <w:rPr>
          <w:rFonts w:ascii="Verdana" w:hAnsi="Verdana"/>
          <w:sz w:val="20"/>
          <w:lang w:val="es-CR"/>
        </w:rPr>
      </w:pPr>
    </w:p>
    <w:p w14:paraId="0A39C28D" w14:textId="77777777" w:rsidR="0060277E" w:rsidRDefault="0060277E" w:rsidP="0060277E">
      <w:pPr>
        <w:rPr>
          <w:rFonts w:ascii="Verdana" w:hAnsi="Verdana"/>
          <w:sz w:val="20"/>
          <w:lang w:val="es-CR"/>
        </w:rPr>
      </w:pPr>
    </w:p>
    <w:p w14:paraId="64E949AD" w14:textId="77777777" w:rsidR="0060277E" w:rsidRDefault="0060277E" w:rsidP="0060277E">
      <w:pPr>
        <w:tabs>
          <w:tab w:val="left" w:pos="8460"/>
          <w:tab w:val="left" w:pos="8640"/>
        </w:tabs>
        <w:jc w:val="both"/>
        <w:rPr>
          <w:rFonts w:ascii="Verdana" w:hAnsi="Verdana"/>
          <w:sz w:val="20"/>
          <w:lang w:val="es-CR"/>
        </w:rPr>
      </w:pPr>
    </w:p>
    <w:p w14:paraId="64BC635D" w14:textId="77777777" w:rsidR="0060277E" w:rsidRPr="00274D2F" w:rsidRDefault="0060277E" w:rsidP="0060277E">
      <w:pPr>
        <w:tabs>
          <w:tab w:val="left" w:pos="8460"/>
          <w:tab w:val="left" w:pos="8640"/>
        </w:tabs>
        <w:jc w:val="both"/>
        <w:rPr>
          <w:rFonts w:ascii="Verdana" w:hAnsi="Verdana"/>
          <w:sz w:val="20"/>
          <w:lang w:val="es-CR"/>
        </w:rPr>
      </w:pPr>
    </w:p>
    <w:p w14:paraId="2A3CC7BE" w14:textId="77777777" w:rsidR="0060277E" w:rsidRDefault="0060277E" w:rsidP="0060277E">
      <w:pPr>
        <w:tabs>
          <w:tab w:val="left" w:pos="8460"/>
          <w:tab w:val="left" w:pos="8640"/>
        </w:tabs>
        <w:jc w:val="center"/>
        <w:rPr>
          <w:rFonts w:ascii="Verdana" w:hAnsi="Verdana"/>
          <w:sz w:val="20"/>
        </w:rPr>
      </w:pPr>
      <w:r>
        <w:rPr>
          <w:rFonts w:ascii="Verdana" w:hAnsi="Verdana"/>
          <w:sz w:val="20"/>
        </w:rPr>
        <w:t>Pablo Saavedra Alessandri</w:t>
      </w:r>
    </w:p>
    <w:p w14:paraId="78C79F82" w14:textId="77777777" w:rsidR="0060277E" w:rsidRDefault="0060277E" w:rsidP="0060277E">
      <w:pPr>
        <w:tabs>
          <w:tab w:val="left" w:pos="8460"/>
          <w:tab w:val="left" w:pos="8640"/>
        </w:tabs>
        <w:jc w:val="center"/>
        <w:rPr>
          <w:rFonts w:ascii="Verdana" w:hAnsi="Verdana"/>
          <w:sz w:val="20"/>
        </w:rPr>
      </w:pPr>
      <w:r>
        <w:rPr>
          <w:rFonts w:ascii="Verdana" w:hAnsi="Verdana"/>
          <w:sz w:val="20"/>
        </w:rPr>
        <w:t>Secretario</w:t>
      </w:r>
    </w:p>
    <w:p w14:paraId="1D3F361D" w14:textId="77777777" w:rsidR="0060277E" w:rsidRDefault="0060277E" w:rsidP="0060277E">
      <w:pPr>
        <w:tabs>
          <w:tab w:val="left" w:pos="8460"/>
          <w:tab w:val="left" w:pos="8640"/>
        </w:tabs>
        <w:jc w:val="both"/>
        <w:rPr>
          <w:rFonts w:ascii="Verdana" w:hAnsi="Verdana"/>
          <w:sz w:val="20"/>
        </w:rPr>
      </w:pPr>
    </w:p>
    <w:p w14:paraId="1D0BC1FE" w14:textId="77777777" w:rsidR="0060277E" w:rsidRDefault="0060277E" w:rsidP="0060277E">
      <w:pPr>
        <w:jc w:val="both"/>
        <w:rPr>
          <w:rFonts w:ascii="Verdana" w:hAnsi="Verdana"/>
          <w:sz w:val="20"/>
        </w:rPr>
      </w:pPr>
    </w:p>
    <w:p w14:paraId="671DDD60" w14:textId="77777777" w:rsidR="0060277E" w:rsidRDefault="0060277E" w:rsidP="0060277E">
      <w:pPr>
        <w:tabs>
          <w:tab w:val="left" w:pos="8460"/>
          <w:tab w:val="left" w:pos="8640"/>
        </w:tabs>
        <w:jc w:val="both"/>
        <w:rPr>
          <w:rFonts w:ascii="Verdana" w:hAnsi="Verdana"/>
          <w:sz w:val="20"/>
        </w:rPr>
      </w:pPr>
      <w:r>
        <w:rPr>
          <w:rFonts w:ascii="Verdana" w:hAnsi="Verdana"/>
          <w:sz w:val="20"/>
        </w:rPr>
        <w:t>Comuníquese y ejecútese,</w:t>
      </w:r>
    </w:p>
    <w:p w14:paraId="7FC29D3D" w14:textId="77777777" w:rsidR="0060277E" w:rsidRDefault="0060277E" w:rsidP="0060277E">
      <w:pPr>
        <w:tabs>
          <w:tab w:val="left" w:pos="8460"/>
          <w:tab w:val="left" w:pos="8640"/>
        </w:tabs>
        <w:jc w:val="both"/>
        <w:rPr>
          <w:rFonts w:ascii="Verdana" w:hAnsi="Verdana"/>
          <w:sz w:val="20"/>
        </w:rPr>
      </w:pPr>
    </w:p>
    <w:p w14:paraId="6817268B" w14:textId="77777777" w:rsidR="0060277E" w:rsidRDefault="0060277E" w:rsidP="0060277E">
      <w:pPr>
        <w:tabs>
          <w:tab w:val="left" w:pos="8460"/>
          <w:tab w:val="left" w:pos="8640"/>
        </w:tabs>
        <w:jc w:val="both"/>
        <w:rPr>
          <w:rFonts w:ascii="Verdana" w:hAnsi="Verdana"/>
          <w:sz w:val="20"/>
        </w:rPr>
      </w:pPr>
    </w:p>
    <w:p w14:paraId="5B2E8639" w14:textId="77777777" w:rsidR="0060277E" w:rsidRDefault="0060277E" w:rsidP="0060277E">
      <w:pPr>
        <w:tabs>
          <w:tab w:val="left" w:pos="8460"/>
          <w:tab w:val="left" w:pos="8640"/>
        </w:tabs>
        <w:jc w:val="both"/>
        <w:rPr>
          <w:rFonts w:ascii="Verdana" w:hAnsi="Verdana"/>
          <w:sz w:val="20"/>
        </w:rPr>
      </w:pPr>
    </w:p>
    <w:p w14:paraId="22E02FD8" w14:textId="77777777" w:rsidR="0060277E" w:rsidRDefault="0060277E" w:rsidP="0060277E">
      <w:pPr>
        <w:tabs>
          <w:tab w:val="left" w:pos="8460"/>
          <w:tab w:val="left" w:pos="8640"/>
        </w:tabs>
        <w:jc w:val="both"/>
        <w:rPr>
          <w:rFonts w:ascii="Verdana" w:hAnsi="Verdana"/>
          <w:sz w:val="20"/>
        </w:rPr>
      </w:pPr>
    </w:p>
    <w:p w14:paraId="0D9843F8" w14:textId="77777777" w:rsidR="0060277E" w:rsidRDefault="0060277E" w:rsidP="0060277E">
      <w:pPr>
        <w:ind w:firstLine="720"/>
        <w:jc w:val="right"/>
        <w:rPr>
          <w:rFonts w:ascii="Verdana" w:hAnsi="Verdana"/>
          <w:sz w:val="20"/>
        </w:rPr>
      </w:pPr>
      <w:r>
        <w:rPr>
          <w:rFonts w:ascii="Verdana" w:hAnsi="Verdana"/>
          <w:sz w:val="20"/>
          <w:lang w:val="es-CR"/>
        </w:rPr>
        <w:t xml:space="preserve">                  Roberto F. Caldas</w:t>
      </w:r>
    </w:p>
    <w:p w14:paraId="2574340C" w14:textId="77777777" w:rsidR="0060277E" w:rsidRDefault="0060277E" w:rsidP="0060277E">
      <w:pPr>
        <w:ind w:right="360"/>
        <w:jc w:val="right"/>
        <w:rPr>
          <w:rFonts w:ascii="Verdana" w:hAnsi="Verdana"/>
          <w:sz w:val="20"/>
        </w:rPr>
      </w:pPr>
      <w:r>
        <w:rPr>
          <w:rFonts w:ascii="Verdana" w:hAnsi="Verdana"/>
          <w:sz w:val="20"/>
        </w:rPr>
        <w:t xml:space="preserve">Presidente </w:t>
      </w:r>
    </w:p>
    <w:p w14:paraId="75FD779D" w14:textId="77777777" w:rsidR="0060277E" w:rsidRDefault="0060277E" w:rsidP="0060277E">
      <w:pPr>
        <w:tabs>
          <w:tab w:val="left" w:pos="8460"/>
          <w:tab w:val="left" w:pos="8640"/>
        </w:tabs>
        <w:jc w:val="both"/>
        <w:rPr>
          <w:rFonts w:ascii="Verdana" w:hAnsi="Verdana"/>
          <w:sz w:val="20"/>
        </w:rPr>
      </w:pPr>
    </w:p>
    <w:p w14:paraId="17E2B846" w14:textId="77777777" w:rsidR="0060277E" w:rsidRDefault="0060277E" w:rsidP="0060277E">
      <w:pPr>
        <w:tabs>
          <w:tab w:val="left" w:pos="8460"/>
          <w:tab w:val="left" w:pos="8640"/>
        </w:tabs>
        <w:jc w:val="both"/>
        <w:rPr>
          <w:rFonts w:ascii="Verdana" w:hAnsi="Verdana"/>
          <w:sz w:val="20"/>
        </w:rPr>
      </w:pPr>
    </w:p>
    <w:p w14:paraId="6FC42108" w14:textId="77777777" w:rsidR="0060277E" w:rsidRDefault="0060277E" w:rsidP="0060277E">
      <w:pPr>
        <w:tabs>
          <w:tab w:val="left" w:pos="8460"/>
          <w:tab w:val="left" w:pos="8640"/>
        </w:tabs>
        <w:jc w:val="both"/>
        <w:rPr>
          <w:rFonts w:ascii="Verdana" w:hAnsi="Verdana"/>
          <w:sz w:val="20"/>
        </w:rPr>
      </w:pPr>
    </w:p>
    <w:p w14:paraId="5234144F" w14:textId="77777777" w:rsidR="0060277E" w:rsidRDefault="0060277E" w:rsidP="0060277E">
      <w:pPr>
        <w:tabs>
          <w:tab w:val="left" w:pos="8460"/>
          <w:tab w:val="left" w:pos="8640"/>
        </w:tabs>
        <w:jc w:val="both"/>
        <w:rPr>
          <w:rFonts w:ascii="Verdana" w:hAnsi="Verdana"/>
          <w:sz w:val="20"/>
        </w:rPr>
      </w:pPr>
    </w:p>
    <w:p w14:paraId="32FC03D3" w14:textId="77777777" w:rsidR="0060277E" w:rsidRDefault="0060277E" w:rsidP="0060277E">
      <w:pPr>
        <w:tabs>
          <w:tab w:val="left" w:pos="8460"/>
          <w:tab w:val="left" w:pos="8640"/>
        </w:tabs>
        <w:jc w:val="both"/>
        <w:rPr>
          <w:rFonts w:ascii="Verdana" w:hAnsi="Verdana"/>
          <w:sz w:val="20"/>
        </w:rPr>
      </w:pPr>
      <w:r>
        <w:rPr>
          <w:rFonts w:ascii="Verdana" w:hAnsi="Verdana"/>
          <w:sz w:val="20"/>
        </w:rPr>
        <w:t>Pablo Saavedra Alessandri</w:t>
      </w:r>
    </w:p>
    <w:p w14:paraId="092B896D" w14:textId="77777777" w:rsidR="0060277E" w:rsidRDefault="0060277E" w:rsidP="0060277E">
      <w:pPr>
        <w:tabs>
          <w:tab w:val="left" w:pos="8640"/>
        </w:tabs>
        <w:ind w:left="720"/>
        <w:rPr>
          <w:rFonts w:ascii="Verdana" w:hAnsi="Verdana"/>
          <w:sz w:val="20"/>
        </w:rPr>
      </w:pPr>
      <w:r>
        <w:rPr>
          <w:rFonts w:ascii="Verdana" w:hAnsi="Verdana"/>
          <w:sz w:val="20"/>
        </w:rPr>
        <w:t xml:space="preserve">  Secretario</w:t>
      </w:r>
    </w:p>
    <w:p w14:paraId="6643D0EB" w14:textId="77777777" w:rsidR="0060277E" w:rsidRDefault="0060277E" w:rsidP="0060277E">
      <w:pPr>
        <w:tabs>
          <w:tab w:val="left" w:pos="8640"/>
        </w:tabs>
        <w:ind w:left="720"/>
        <w:rPr>
          <w:rFonts w:ascii="Verdana" w:hAnsi="Verdana"/>
          <w:sz w:val="20"/>
        </w:rPr>
      </w:pPr>
    </w:p>
    <w:p w14:paraId="352D4674" w14:textId="77777777" w:rsidR="00F83E8F" w:rsidRDefault="00F83E8F" w:rsidP="0060277E">
      <w:pPr>
        <w:tabs>
          <w:tab w:val="left" w:pos="8640"/>
        </w:tabs>
        <w:ind w:left="720"/>
        <w:rPr>
          <w:rFonts w:ascii="Verdana" w:hAnsi="Verdana"/>
          <w:sz w:val="20"/>
        </w:rPr>
        <w:sectPr w:rsidR="00F83E8F" w:rsidSect="00957B44">
          <w:headerReference w:type="default" r:id="rId12"/>
          <w:pgSz w:w="12240" w:h="15840" w:code="1"/>
          <w:pgMar w:top="1247" w:right="1247" w:bottom="1247" w:left="1247" w:header="709" w:footer="709" w:gutter="0"/>
          <w:cols w:space="708"/>
          <w:titlePg/>
          <w:docGrid w:linePitch="360"/>
        </w:sectPr>
      </w:pPr>
    </w:p>
    <w:p w14:paraId="54BDDBA4" w14:textId="77777777" w:rsidR="00F83E8F" w:rsidRDefault="00F83E8F" w:rsidP="00F83E8F">
      <w:pPr>
        <w:jc w:val="both"/>
        <w:outlineLvl w:val="0"/>
        <w:rPr>
          <w:rFonts w:eastAsia="Verdana" w:cs="Verdana"/>
          <w:b/>
          <w:bCs/>
          <w:szCs w:val="20"/>
          <w:lang w:val="es-CR"/>
        </w:rPr>
      </w:pPr>
    </w:p>
    <w:p w14:paraId="12A00975" w14:textId="77777777" w:rsidR="00F83E8F" w:rsidRDefault="00F83E8F" w:rsidP="00F83E8F">
      <w:pPr>
        <w:outlineLvl w:val="0"/>
        <w:rPr>
          <w:rFonts w:eastAsia="Verdana" w:cs="Verdana"/>
          <w:b/>
          <w:bCs/>
          <w:szCs w:val="20"/>
          <w:lang w:val="es-CR"/>
        </w:rPr>
      </w:pPr>
    </w:p>
    <w:p w14:paraId="2097900B" w14:textId="77777777" w:rsidR="00F83E8F" w:rsidRPr="00444309" w:rsidRDefault="00F83E8F" w:rsidP="00F83E8F">
      <w:pPr>
        <w:jc w:val="center"/>
        <w:outlineLvl w:val="0"/>
        <w:rPr>
          <w:rFonts w:ascii="Verdana" w:eastAsia="Verdana" w:hAnsi="Verdana" w:cs="Verdana"/>
          <w:b/>
          <w:bCs/>
          <w:lang w:val="es-CR"/>
        </w:rPr>
      </w:pPr>
      <w:r w:rsidRPr="00444309">
        <w:rPr>
          <w:rFonts w:ascii="Verdana" w:eastAsia="Verdana" w:hAnsi="Verdana" w:cs="Verdana"/>
          <w:b/>
          <w:bCs/>
          <w:lang w:val="es-CR"/>
        </w:rPr>
        <w:t>VOTO RAZONADO DEL JUEZ ROBERTO F. CALDAS</w:t>
      </w:r>
    </w:p>
    <w:p w14:paraId="717DB4DC" w14:textId="77777777" w:rsidR="00F83E8F" w:rsidRPr="00444309" w:rsidRDefault="00F83E8F" w:rsidP="00F83E8F">
      <w:pPr>
        <w:jc w:val="center"/>
        <w:outlineLvl w:val="0"/>
        <w:rPr>
          <w:rFonts w:ascii="Verdana" w:hAnsi="Verdana"/>
          <w:lang w:val="es-CR"/>
        </w:rPr>
      </w:pPr>
    </w:p>
    <w:p w14:paraId="7E9044F8" w14:textId="77777777" w:rsidR="00F83E8F" w:rsidRPr="00444309" w:rsidRDefault="00F83E8F" w:rsidP="00F83E8F">
      <w:pPr>
        <w:jc w:val="center"/>
        <w:outlineLvl w:val="0"/>
        <w:rPr>
          <w:rFonts w:ascii="Verdana" w:eastAsia="Verdana" w:hAnsi="Verdana" w:cs="Verdana"/>
          <w:b/>
          <w:bCs/>
          <w:lang w:val="es-CR"/>
        </w:rPr>
      </w:pPr>
      <w:r w:rsidRPr="00444309">
        <w:rPr>
          <w:rFonts w:ascii="Verdana" w:eastAsia="Verdana" w:hAnsi="Verdana" w:cs="Verdana"/>
          <w:b/>
          <w:bCs/>
          <w:lang w:val="es-CR"/>
        </w:rPr>
        <w:t>CORTE INTERAMERICANA DE DERECHOS HUMANOS</w:t>
      </w:r>
    </w:p>
    <w:p w14:paraId="7FB2D141" w14:textId="77777777" w:rsidR="00F83E8F" w:rsidRPr="00444309" w:rsidRDefault="00F83E8F" w:rsidP="00F83E8F">
      <w:pPr>
        <w:jc w:val="center"/>
        <w:outlineLvl w:val="0"/>
        <w:rPr>
          <w:rFonts w:ascii="Verdana" w:hAnsi="Verdana"/>
          <w:lang w:val="es-CR"/>
        </w:rPr>
      </w:pPr>
    </w:p>
    <w:p w14:paraId="0A12B1DD" w14:textId="77777777" w:rsidR="00F83E8F" w:rsidRPr="00444309" w:rsidRDefault="00F83E8F" w:rsidP="00F83E8F">
      <w:pPr>
        <w:ind w:hanging="1418"/>
        <w:jc w:val="center"/>
        <w:outlineLvl w:val="0"/>
        <w:rPr>
          <w:rFonts w:ascii="Verdana" w:hAnsi="Verdana"/>
          <w:lang w:val="es-CR"/>
        </w:rPr>
      </w:pPr>
      <w:r w:rsidRPr="00444309">
        <w:rPr>
          <w:rFonts w:ascii="Verdana" w:hAnsi="Verdana"/>
          <w:b/>
          <w:bCs/>
          <w:lang w:val="es-CR"/>
        </w:rPr>
        <w:t>CASO LAGOS DEL CAMPO VS. PERU</w:t>
      </w:r>
    </w:p>
    <w:p w14:paraId="0A3E1985" w14:textId="77777777" w:rsidR="00F83E8F" w:rsidRPr="00444309" w:rsidRDefault="00F83E8F" w:rsidP="00F83E8F">
      <w:pPr>
        <w:tabs>
          <w:tab w:val="left" w:pos="5580"/>
          <w:tab w:val="left" w:pos="6750"/>
        </w:tabs>
        <w:jc w:val="center"/>
        <w:rPr>
          <w:rFonts w:ascii="Verdana" w:hAnsi="Verdana"/>
          <w:b/>
          <w:lang w:val="es-MX"/>
        </w:rPr>
      </w:pPr>
    </w:p>
    <w:p w14:paraId="0B65B991" w14:textId="77777777" w:rsidR="00F83E8F" w:rsidRPr="00444309" w:rsidRDefault="00F83E8F" w:rsidP="00F83E8F">
      <w:pPr>
        <w:jc w:val="center"/>
        <w:outlineLvl w:val="0"/>
        <w:rPr>
          <w:rFonts w:ascii="Verdana" w:hAnsi="Verdana"/>
          <w:b/>
          <w:lang w:val="es-MX"/>
        </w:rPr>
      </w:pPr>
      <w:r w:rsidRPr="00444309">
        <w:rPr>
          <w:rFonts w:ascii="Verdana" w:hAnsi="Verdana"/>
          <w:b/>
          <w:lang w:val="es-MX"/>
        </w:rPr>
        <w:t>SENTENCIA DE 31 DE AGOSTO DE 2017</w:t>
      </w:r>
    </w:p>
    <w:p w14:paraId="588CB6A2" w14:textId="77777777" w:rsidR="00F83E8F" w:rsidRPr="00444309" w:rsidRDefault="00F83E8F" w:rsidP="00F83E8F">
      <w:pPr>
        <w:jc w:val="center"/>
        <w:rPr>
          <w:rFonts w:ascii="Verdana" w:hAnsi="Verdana"/>
          <w:b/>
          <w:i/>
          <w:lang w:val="es-MX"/>
        </w:rPr>
      </w:pPr>
      <w:r w:rsidRPr="00444309">
        <w:rPr>
          <w:rFonts w:ascii="Verdana" w:hAnsi="Verdana"/>
          <w:b/>
          <w:i/>
          <w:lang w:val="es-MX"/>
        </w:rPr>
        <w:t>(Excepciones Preliminares, Fondo, Reparaciones y Costas)</w:t>
      </w:r>
    </w:p>
    <w:p w14:paraId="29473F37" w14:textId="77777777" w:rsidR="00F83E8F" w:rsidRPr="001932BE" w:rsidRDefault="00F83E8F" w:rsidP="00F83E8F">
      <w:pPr>
        <w:jc w:val="center"/>
        <w:rPr>
          <w:b/>
          <w:i/>
          <w:szCs w:val="20"/>
          <w:lang w:val="es-MX"/>
        </w:rPr>
      </w:pPr>
    </w:p>
    <w:p w14:paraId="2D50FD12" w14:textId="77777777" w:rsidR="00F83E8F" w:rsidRPr="001932BE" w:rsidRDefault="00F83E8F" w:rsidP="00F83E8F">
      <w:pPr>
        <w:rPr>
          <w:vanish/>
          <w:szCs w:val="20"/>
          <w:lang w:val="es-CR"/>
        </w:rPr>
      </w:pPr>
    </w:p>
    <w:p w14:paraId="17095815" w14:textId="77777777" w:rsidR="00F83E8F" w:rsidRPr="001932BE" w:rsidRDefault="00F83E8F" w:rsidP="00F83E8F">
      <w:pPr>
        <w:pStyle w:val="ListParagraph"/>
        <w:numPr>
          <w:ilvl w:val="0"/>
          <w:numId w:val="25"/>
        </w:numPr>
        <w:ind w:left="0"/>
        <w:jc w:val="center"/>
        <w:rPr>
          <w:rFonts w:ascii="Verdana" w:hAnsi="Verdana"/>
          <w:b/>
          <w:sz w:val="20"/>
          <w:szCs w:val="20"/>
          <w:u w:val="single"/>
          <w:lang w:val="es-CR"/>
        </w:rPr>
      </w:pPr>
      <w:r w:rsidRPr="001932BE">
        <w:rPr>
          <w:rFonts w:ascii="Verdana" w:hAnsi="Verdana"/>
          <w:b/>
          <w:sz w:val="20"/>
          <w:szCs w:val="20"/>
          <w:u w:val="single"/>
          <w:lang w:val="es-CR"/>
        </w:rPr>
        <w:t>Introducción y relevancia de la Sentencia</w:t>
      </w:r>
    </w:p>
    <w:p w14:paraId="5C84EE7A" w14:textId="77777777" w:rsidR="00F83E8F" w:rsidRPr="001932BE" w:rsidRDefault="00F83E8F" w:rsidP="00F83E8F">
      <w:pPr>
        <w:pStyle w:val="ListParagraph"/>
        <w:ind w:left="0"/>
        <w:rPr>
          <w:rFonts w:ascii="Verdana" w:hAnsi="Verdana"/>
          <w:b/>
          <w:sz w:val="20"/>
          <w:szCs w:val="20"/>
          <w:u w:val="single"/>
          <w:lang w:val="es-CR"/>
        </w:rPr>
      </w:pPr>
    </w:p>
    <w:p w14:paraId="72BD97C8" w14:textId="77777777" w:rsidR="00F83E8F" w:rsidRPr="001932BE" w:rsidRDefault="00F83E8F" w:rsidP="00F83E8F">
      <w:pPr>
        <w:pStyle w:val="ListParagraph"/>
        <w:numPr>
          <w:ilvl w:val="0"/>
          <w:numId w:val="26"/>
        </w:numPr>
        <w:ind w:left="0" w:firstLine="0"/>
        <w:jc w:val="both"/>
        <w:rPr>
          <w:rFonts w:ascii="Verdana" w:hAnsi="Verdana"/>
          <w:sz w:val="20"/>
          <w:szCs w:val="20"/>
          <w:lang w:val="es-MX"/>
        </w:rPr>
      </w:pPr>
      <w:r w:rsidRPr="001932BE">
        <w:rPr>
          <w:rFonts w:ascii="Verdana" w:hAnsi="Verdana"/>
          <w:sz w:val="20"/>
          <w:szCs w:val="20"/>
          <w:lang w:val="es-CR"/>
        </w:rPr>
        <w:t xml:space="preserve">Esta es una decisión histórica, que representa un gran paso jurisprudencial. Si bien, un demorado trayecto pero debidamente estudiado, reflexionado, ponderado y trabajado a lo largo de muchos años sobre la </w:t>
      </w:r>
      <w:proofErr w:type="spellStart"/>
      <w:r w:rsidRPr="001932BE">
        <w:rPr>
          <w:rFonts w:ascii="Verdana" w:hAnsi="Verdana"/>
          <w:sz w:val="20"/>
          <w:szCs w:val="20"/>
          <w:lang w:val="es-CR"/>
        </w:rPr>
        <w:t>justiciabilidad</w:t>
      </w:r>
      <w:proofErr w:type="spellEnd"/>
      <w:r w:rsidRPr="001932BE">
        <w:rPr>
          <w:rFonts w:ascii="Verdana" w:hAnsi="Verdana"/>
          <w:sz w:val="20"/>
          <w:szCs w:val="20"/>
          <w:lang w:val="es-CR"/>
        </w:rPr>
        <w:t xml:space="preserve"> de los </w:t>
      </w:r>
      <w:r w:rsidRPr="001932BE">
        <w:rPr>
          <w:rFonts w:ascii="Verdana" w:hAnsi="Verdana"/>
          <w:sz w:val="20"/>
          <w:szCs w:val="20"/>
          <w:lang w:val="es-MX"/>
        </w:rPr>
        <w:t>Derechos Económicos, Sociales, Culturales y Ambientales (en adelante “DESCA”)</w:t>
      </w:r>
      <w:r w:rsidRPr="001932BE">
        <w:rPr>
          <w:rStyle w:val="FootnoteReference"/>
          <w:lang w:val="es-MX"/>
        </w:rPr>
        <w:footnoteReference w:id="280"/>
      </w:r>
      <w:r w:rsidRPr="001932BE">
        <w:rPr>
          <w:rFonts w:ascii="Verdana" w:hAnsi="Verdana"/>
          <w:sz w:val="20"/>
          <w:szCs w:val="20"/>
          <w:lang w:val="es-MX"/>
        </w:rPr>
        <w:t xml:space="preserve"> por diversas composiciones judiciales de este Tribunal de San José, y con ello la decisión de declarar violado por primera vez, en su historia jurisprudencial, el artículo 26 de la </w:t>
      </w:r>
      <w:r w:rsidRPr="001932BE">
        <w:rPr>
          <w:rFonts w:ascii="Verdana" w:hAnsi="Verdana" w:cs="System Font Regular"/>
          <w:sz w:val="20"/>
          <w:szCs w:val="20"/>
          <w:lang w:val="es-MX"/>
        </w:rPr>
        <w:t xml:space="preserve">Convención Americana sobre Derechos Humanos </w:t>
      </w:r>
      <w:r w:rsidRPr="001932BE">
        <w:rPr>
          <w:rFonts w:ascii="Verdana" w:hAnsi="Verdana"/>
          <w:sz w:val="20"/>
          <w:szCs w:val="20"/>
          <w:lang w:val="es-MX"/>
        </w:rPr>
        <w:t>(en adelante “la Convención” o “CADH”). Esta decisión se adoptó de manera tan consciente y madura que me parece importante reflejar la fuerza conjunta de todas las composiciones que en ese momento llegasen a la misma conclusión. Aunque ampliamente mayoritaria la votación (cinco votos contra dos), creemos que la siempre deseable unanimidad llevará algún tiempo alcanzar debido a las distintas formaciones o experiencias nacionales.</w:t>
      </w:r>
    </w:p>
    <w:p w14:paraId="6E74CF36" w14:textId="77777777" w:rsidR="00F83E8F" w:rsidRPr="001932BE" w:rsidRDefault="00F83E8F" w:rsidP="00F83E8F">
      <w:pPr>
        <w:pStyle w:val="ListParagraph"/>
        <w:ind w:left="0"/>
        <w:jc w:val="both"/>
        <w:rPr>
          <w:rFonts w:ascii="Verdana" w:hAnsi="Verdana"/>
          <w:sz w:val="20"/>
          <w:szCs w:val="20"/>
          <w:lang w:val="es-MX"/>
        </w:rPr>
      </w:pPr>
    </w:p>
    <w:p w14:paraId="123E38B1" w14:textId="77777777" w:rsidR="00F83E8F" w:rsidRPr="001932BE" w:rsidRDefault="00F83E8F" w:rsidP="00F83E8F">
      <w:pPr>
        <w:pStyle w:val="ListParagraph"/>
        <w:numPr>
          <w:ilvl w:val="0"/>
          <w:numId w:val="26"/>
        </w:numPr>
        <w:ind w:left="0" w:firstLine="0"/>
        <w:jc w:val="both"/>
        <w:rPr>
          <w:rFonts w:ascii="Verdana" w:hAnsi="Verdana"/>
          <w:sz w:val="20"/>
          <w:szCs w:val="20"/>
          <w:lang w:val="es-CR"/>
        </w:rPr>
      </w:pPr>
      <w:r w:rsidRPr="001932BE">
        <w:rPr>
          <w:rFonts w:ascii="Verdana" w:hAnsi="Verdana"/>
          <w:sz w:val="20"/>
          <w:szCs w:val="20"/>
          <w:lang w:val="es-MX"/>
        </w:rPr>
        <w:t xml:space="preserve">Que quede claro que la Corte Interamericana hace mucho tiempo protege también los DESCA. El Tribunal lo venía haciendo como derecho secundario o indirecto de un derecho civil o político, cuando en muchos casos, en verdad, era el principal derecho reivindicado. Por ello hasta el día de hoy muchos consideran, incluso juristas, que no cabía encausar una petición directa sobre DESCA en el Sistema Interamericano. </w:t>
      </w:r>
    </w:p>
    <w:p w14:paraId="78118B54" w14:textId="77777777" w:rsidR="00F83E8F" w:rsidRPr="001932BE" w:rsidRDefault="00F83E8F" w:rsidP="00F83E8F">
      <w:pPr>
        <w:pStyle w:val="ListParagraph"/>
        <w:ind w:left="0"/>
        <w:jc w:val="both"/>
        <w:rPr>
          <w:rFonts w:ascii="Verdana" w:hAnsi="Verdana"/>
          <w:sz w:val="20"/>
          <w:szCs w:val="20"/>
          <w:lang w:val="es-CR"/>
        </w:rPr>
      </w:pPr>
    </w:p>
    <w:p w14:paraId="541B1C16" w14:textId="77777777" w:rsidR="00F83E8F" w:rsidRPr="001932BE" w:rsidRDefault="00F83E8F" w:rsidP="00F83E8F">
      <w:pPr>
        <w:pStyle w:val="ListParagraph"/>
        <w:numPr>
          <w:ilvl w:val="0"/>
          <w:numId w:val="26"/>
        </w:numPr>
        <w:ind w:left="0" w:firstLine="0"/>
        <w:jc w:val="both"/>
        <w:rPr>
          <w:rFonts w:ascii="Verdana" w:hAnsi="Verdana"/>
          <w:sz w:val="20"/>
          <w:szCs w:val="20"/>
          <w:lang w:val="es-CR"/>
        </w:rPr>
      </w:pPr>
      <w:r w:rsidRPr="001932BE">
        <w:rPr>
          <w:rFonts w:ascii="Verdana" w:hAnsi="Verdana"/>
          <w:sz w:val="20"/>
          <w:szCs w:val="20"/>
          <w:lang w:val="es-CR"/>
        </w:rPr>
        <w:t xml:space="preserve">Por medio de este voto razonado, de lo cual comparto plenamente las conclusiones a las que llegó esta Corte </w:t>
      </w:r>
      <w:r w:rsidRPr="001932BE">
        <w:rPr>
          <w:rFonts w:ascii="Verdana" w:hAnsi="Verdana"/>
          <w:sz w:val="20"/>
          <w:szCs w:val="20"/>
          <w:lang w:val="es-MX"/>
        </w:rPr>
        <w:t xml:space="preserve">Interamericana de Derechos Humanos (en adelante “Corte” o “Tribunal”) </w:t>
      </w:r>
      <w:r w:rsidRPr="001932BE">
        <w:rPr>
          <w:rFonts w:ascii="Verdana" w:hAnsi="Verdana"/>
          <w:sz w:val="20"/>
          <w:szCs w:val="20"/>
          <w:lang w:val="es-CR"/>
        </w:rPr>
        <w:t xml:space="preserve">y a las reparaciones de ellas resultantes, expreso mi adhesión a la presente Sentencia, solamente discrepando en la amplitud de una sencilla –pero todavía importante– cuestión procesal sobre la aplicación del principio </w:t>
      </w:r>
      <w:proofErr w:type="spellStart"/>
      <w:r w:rsidRPr="001932BE">
        <w:rPr>
          <w:rFonts w:ascii="Verdana" w:hAnsi="Verdana"/>
          <w:i/>
          <w:sz w:val="20"/>
          <w:szCs w:val="20"/>
          <w:lang w:val="es-CR"/>
        </w:rPr>
        <w:t>iura</w:t>
      </w:r>
      <w:proofErr w:type="spellEnd"/>
      <w:r w:rsidRPr="001932BE">
        <w:rPr>
          <w:rFonts w:ascii="Verdana" w:hAnsi="Verdana"/>
          <w:i/>
          <w:sz w:val="20"/>
          <w:szCs w:val="20"/>
          <w:lang w:val="es-CR"/>
        </w:rPr>
        <w:t xml:space="preserve"> </w:t>
      </w:r>
      <w:proofErr w:type="spellStart"/>
      <w:r w:rsidRPr="001932BE">
        <w:rPr>
          <w:rFonts w:ascii="Verdana" w:hAnsi="Verdana"/>
          <w:i/>
          <w:sz w:val="20"/>
          <w:szCs w:val="20"/>
          <w:lang w:val="es-CR"/>
        </w:rPr>
        <w:t>novit</w:t>
      </w:r>
      <w:proofErr w:type="spellEnd"/>
      <w:r w:rsidRPr="001932BE">
        <w:rPr>
          <w:rFonts w:ascii="Verdana" w:hAnsi="Verdana"/>
          <w:i/>
          <w:sz w:val="20"/>
          <w:szCs w:val="20"/>
          <w:lang w:val="es-CR"/>
        </w:rPr>
        <w:t xml:space="preserve"> curi</w:t>
      </w:r>
      <w:r w:rsidRPr="001932BE">
        <w:rPr>
          <w:rFonts w:ascii="Verdana" w:hAnsi="Verdana"/>
          <w:sz w:val="20"/>
          <w:szCs w:val="20"/>
          <w:lang w:val="es-CR"/>
        </w:rPr>
        <w:t xml:space="preserve">a. </w:t>
      </w:r>
    </w:p>
    <w:p w14:paraId="2F115A86" w14:textId="77777777" w:rsidR="00F83E8F" w:rsidRPr="001932BE" w:rsidRDefault="00F83E8F" w:rsidP="00F83E8F">
      <w:pPr>
        <w:pStyle w:val="ListParagraph"/>
        <w:ind w:left="0"/>
        <w:jc w:val="both"/>
        <w:rPr>
          <w:rFonts w:ascii="Verdana" w:hAnsi="Verdana"/>
          <w:sz w:val="20"/>
          <w:szCs w:val="20"/>
          <w:lang w:val="es-CR"/>
        </w:rPr>
      </w:pPr>
    </w:p>
    <w:p w14:paraId="47CA9B0C" w14:textId="77777777" w:rsidR="00F83E8F" w:rsidRDefault="00F83E8F" w:rsidP="00F83E8F">
      <w:pPr>
        <w:pStyle w:val="ListParagraph"/>
        <w:numPr>
          <w:ilvl w:val="0"/>
          <w:numId w:val="26"/>
        </w:numPr>
        <w:ind w:left="0" w:firstLine="0"/>
        <w:jc w:val="both"/>
        <w:rPr>
          <w:rFonts w:ascii="Verdana" w:hAnsi="Verdana"/>
          <w:sz w:val="20"/>
          <w:szCs w:val="20"/>
          <w:lang w:val="es-MX"/>
        </w:rPr>
      </w:pPr>
      <w:r w:rsidRPr="001932BE">
        <w:rPr>
          <w:rFonts w:ascii="Verdana" w:hAnsi="Verdana"/>
          <w:sz w:val="20"/>
          <w:szCs w:val="20"/>
          <w:lang w:val="es-CR"/>
        </w:rPr>
        <w:t xml:space="preserve">Sin perjuicio de otros avances a seguir descritos, resalto que con esta Sentencia hito se reconoce como autónomo, el Derecho del Trabajo y particularmente la estabilidad laboral, siendo entonces </w:t>
      </w:r>
      <w:r w:rsidRPr="001932BE">
        <w:rPr>
          <w:rFonts w:ascii="Verdana" w:hAnsi="Verdana"/>
          <w:sz w:val="20"/>
          <w:szCs w:val="20"/>
          <w:lang w:val="es-MX"/>
        </w:rPr>
        <w:t xml:space="preserve">la primera ocasión en que la Corte IDH declara que el artículo 26 de la </w:t>
      </w:r>
      <w:r w:rsidRPr="001932BE">
        <w:rPr>
          <w:rFonts w:ascii="Verdana" w:hAnsi="Verdana" w:cs="System Font Regular"/>
          <w:sz w:val="20"/>
          <w:szCs w:val="20"/>
          <w:lang w:val="es-MX"/>
        </w:rPr>
        <w:t xml:space="preserve">Convención Americana </w:t>
      </w:r>
      <w:r w:rsidRPr="001932BE">
        <w:rPr>
          <w:rFonts w:ascii="Verdana" w:hAnsi="Verdana"/>
          <w:sz w:val="20"/>
          <w:szCs w:val="20"/>
          <w:lang w:val="es-MX"/>
        </w:rPr>
        <w:t>y los derechos derivados del mismo son justiciables.</w:t>
      </w:r>
    </w:p>
    <w:p w14:paraId="42AB096E" w14:textId="77777777" w:rsidR="00F83E8F" w:rsidRPr="00913000" w:rsidRDefault="00F83E8F" w:rsidP="00F83E8F">
      <w:pPr>
        <w:pStyle w:val="ListParagraph"/>
        <w:rPr>
          <w:rFonts w:ascii="Verdana" w:hAnsi="Verdana"/>
          <w:sz w:val="20"/>
          <w:szCs w:val="20"/>
          <w:lang w:val="es-MX"/>
        </w:rPr>
      </w:pPr>
    </w:p>
    <w:p w14:paraId="36959448" w14:textId="77777777" w:rsidR="00F83E8F" w:rsidRPr="001932BE" w:rsidRDefault="00F83E8F" w:rsidP="00F83E8F">
      <w:pPr>
        <w:pStyle w:val="ListParagraph"/>
        <w:ind w:left="0"/>
        <w:jc w:val="both"/>
        <w:rPr>
          <w:rFonts w:ascii="Verdana" w:hAnsi="Verdana"/>
          <w:sz w:val="20"/>
          <w:szCs w:val="20"/>
          <w:lang w:val="es-MX"/>
        </w:rPr>
      </w:pPr>
    </w:p>
    <w:p w14:paraId="23666766" w14:textId="77777777" w:rsidR="00F83E8F" w:rsidRPr="001932BE" w:rsidRDefault="00F83E8F" w:rsidP="00F83E8F">
      <w:pPr>
        <w:pStyle w:val="ListParagraph"/>
        <w:numPr>
          <w:ilvl w:val="0"/>
          <w:numId w:val="26"/>
        </w:numPr>
        <w:ind w:left="0" w:firstLine="0"/>
        <w:jc w:val="both"/>
        <w:rPr>
          <w:rFonts w:ascii="Verdana" w:hAnsi="Verdana"/>
          <w:sz w:val="20"/>
          <w:szCs w:val="20"/>
          <w:lang w:val="es-MX"/>
        </w:rPr>
      </w:pPr>
      <w:r w:rsidRPr="001932BE">
        <w:rPr>
          <w:rFonts w:ascii="Verdana" w:hAnsi="Verdana"/>
          <w:sz w:val="20"/>
          <w:szCs w:val="20"/>
          <w:lang w:val="es-CR"/>
        </w:rPr>
        <w:lastRenderedPageBreak/>
        <w:t>Asimismo, destaco el tratamiento novedoso que esta Sentencia ha dado a las diferentes temáticas abordadas, tales como las libertades de expresión y asociación, así como el acceso a la justicia a fin de garantizar los derechos de las personas trabajadoras; particularmente en un caso que se originó entre particulares, y así la protección judicial efectiva de tales derechos, lo cual vulnera a su vez los deberes de garantía de los derechos sustantivos abordados en la Sentencia.</w:t>
      </w:r>
    </w:p>
    <w:p w14:paraId="2A997458" w14:textId="77777777" w:rsidR="00F83E8F" w:rsidRPr="001932BE" w:rsidRDefault="00F83E8F" w:rsidP="00F83E8F">
      <w:pPr>
        <w:pStyle w:val="ListParagraph"/>
        <w:ind w:left="0"/>
        <w:jc w:val="both"/>
        <w:rPr>
          <w:rFonts w:ascii="Verdana" w:hAnsi="Verdana"/>
          <w:sz w:val="20"/>
          <w:szCs w:val="20"/>
          <w:lang w:val="es-MX"/>
        </w:rPr>
      </w:pPr>
    </w:p>
    <w:p w14:paraId="5C1127F6" w14:textId="77777777" w:rsidR="00F83E8F" w:rsidRPr="001932BE" w:rsidRDefault="00F83E8F" w:rsidP="00F83E8F">
      <w:pPr>
        <w:pStyle w:val="ListParagraph"/>
        <w:numPr>
          <w:ilvl w:val="0"/>
          <w:numId w:val="26"/>
        </w:numPr>
        <w:ind w:left="0" w:firstLine="0"/>
        <w:jc w:val="both"/>
        <w:rPr>
          <w:rFonts w:ascii="Verdana" w:hAnsi="Verdana"/>
          <w:sz w:val="20"/>
          <w:szCs w:val="20"/>
          <w:lang w:val="es-MX"/>
        </w:rPr>
      </w:pPr>
      <w:r w:rsidRPr="001932BE">
        <w:rPr>
          <w:rFonts w:ascii="Verdana" w:hAnsi="Verdana"/>
          <w:sz w:val="20"/>
          <w:szCs w:val="20"/>
          <w:lang w:val="es-MX"/>
        </w:rPr>
        <w:t xml:space="preserve">Pero sobretodo, estimo que resulta de gran relevancia hacer hincapié en la decisión histórica tomada por la Corte, al declarar la </w:t>
      </w:r>
      <w:proofErr w:type="spellStart"/>
      <w:r w:rsidRPr="001932BE">
        <w:rPr>
          <w:rFonts w:ascii="Verdana" w:hAnsi="Verdana"/>
          <w:sz w:val="20"/>
          <w:szCs w:val="20"/>
          <w:lang w:val="es-MX"/>
        </w:rPr>
        <w:t>justiciabilidad</w:t>
      </w:r>
      <w:proofErr w:type="spellEnd"/>
      <w:r w:rsidRPr="001932BE">
        <w:rPr>
          <w:rFonts w:ascii="Verdana" w:hAnsi="Verdana"/>
          <w:sz w:val="20"/>
          <w:szCs w:val="20"/>
          <w:lang w:val="es-MX"/>
        </w:rPr>
        <w:t xml:space="preserve"> de los DESCA de conformidad con el artículo 26 en relación con las obligaciones contenidas en los artículos 1.1 y 2 de la Convención Americana. Cómo bien fue mencionado en el párrafo 154 de la Sentencia, con este precedente se concreta y desarrolla el primer precedente en la materia y con ellos se abre la puerta a la interpretación de otros derechos derivados del artículo 26 de la Convención. Si bien la Convención Americana que nos compete interpretar es de 1969, la posibilidad que esbozó en su texto para ser interpretada de manera evolutiva respecto de las normas económicas, sociales y sobre educación, ciencia, cultura y medio ambiente, contenidas en la Carta de la OEA a la luz del artículo 29 convencional, fue de gran relevancia para que hoy en día podamos estar dando finalmente un paso más en la consolidación de la interdependencia e integralidad de los derechos humanos. </w:t>
      </w:r>
    </w:p>
    <w:p w14:paraId="1936F9F6" w14:textId="77777777" w:rsidR="00F83E8F" w:rsidRPr="001932BE" w:rsidRDefault="00F83E8F" w:rsidP="00F83E8F">
      <w:pPr>
        <w:pStyle w:val="ListParagraph"/>
        <w:ind w:left="0"/>
        <w:jc w:val="both"/>
        <w:rPr>
          <w:rFonts w:ascii="Verdana" w:hAnsi="Verdana"/>
          <w:sz w:val="20"/>
          <w:szCs w:val="20"/>
          <w:lang w:val="es-MX"/>
        </w:rPr>
      </w:pPr>
    </w:p>
    <w:p w14:paraId="6D2013ED" w14:textId="77777777" w:rsidR="00F83E8F" w:rsidRPr="001932BE" w:rsidRDefault="00F83E8F" w:rsidP="00F83E8F">
      <w:pPr>
        <w:pStyle w:val="ListParagraph"/>
        <w:numPr>
          <w:ilvl w:val="0"/>
          <w:numId w:val="26"/>
        </w:numPr>
        <w:ind w:left="0" w:firstLine="0"/>
        <w:jc w:val="both"/>
        <w:rPr>
          <w:rFonts w:ascii="Verdana" w:hAnsi="Verdana"/>
          <w:sz w:val="20"/>
          <w:szCs w:val="20"/>
          <w:lang w:val="es-MX"/>
        </w:rPr>
      </w:pPr>
      <w:r w:rsidRPr="001932BE">
        <w:rPr>
          <w:rFonts w:ascii="Verdana" w:hAnsi="Verdana"/>
          <w:sz w:val="20"/>
          <w:szCs w:val="20"/>
          <w:lang w:val="es-MX"/>
        </w:rPr>
        <w:t xml:space="preserve">Es fundamental resaltar la importancia de este precedente ya que se extiende más allá del Sistema Interamericano; es un excelente ejemplo de diálogo judicial donde se suman decisiones judiciales de nivel interno que han reconocido ya la </w:t>
      </w:r>
      <w:proofErr w:type="spellStart"/>
      <w:r w:rsidRPr="001932BE">
        <w:rPr>
          <w:rFonts w:ascii="Verdana" w:hAnsi="Verdana"/>
          <w:sz w:val="20"/>
          <w:szCs w:val="20"/>
          <w:lang w:val="es-MX"/>
        </w:rPr>
        <w:t>justiciabilidad</w:t>
      </w:r>
      <w:proofErr w:type="spellEnd"/>
      <w:r w:rsidRPr="001932BE">
        <w:rPr>
          <w:rFonts w:ascii="Verdana" w:hAnsi="Verdana"/>
          <w:sz w:val="20"/>
          <w:szCs w:val="20"/>
          <w:lang w:val="es-MX"/>
        </w:rPr>
        <w:t xml:space="preserve"> de los DESCA</w:t>
      </w:r>
      <w:r w:rsidRPr="001932BE">
        <w:rPr>
          <w:rStyle w:val="FootnoteReference"/>
          <w:lang w:val="es-MX"/>
        </w:rPr>
        <w:footnoteReference w:id="281"/>
      </w:r>
      <w:r w:rsidRPr="001932BE">
        <w:rPr>
          <w:rFonts w:ascii="Verdana" w:hAnsi="Verdana"/>
          <w:sz w:val="20"/>
          <w:szCs w:val="20"/>
          <w:lang w:val="es-MX"/>
        </w:rPr>
        <w:t xml:space="preserve"> con aquellas realizadas en el ámbito internacional. Al hacerlo, la Corte Interamericana demuestra observar las jurisdicciones constitucionales y nacionales y eleva ese necesario reconocimiento al ámbito del Derecho Internacional de los Derechos Humanos.</w:t>
      </w:r>
    </w:p>
    <w:p w14:paraId="02A968D5" w14:textId="77777777" w:rsidR="00F83E8F" w:rsidRPr="001932BE" w:rsidRDefault="00F83E8F" w:rsidP="00F83E8F">
      <w:pPr>
        <w:pStyle w:val="ListParagraph"/>
        <w:ind w:left="0"/>
        <w:jc w:val="both"/>
        <w:rPr>
          <w:rFonts w:ascii="Verdana" w:hAnsi="Verdana"/>
          <w:sz w:val="20"/>
          <w:szCs w:val="20"/>
          <w:lang w:val="es-MX"/>
        </w:rPr>
      </w:pPr>
    </w:p>
    <w:p w14:paraId="38275EEA" w14:textId="77777777" w:rsidR="00F83E8F" w:rsidRPr="001932BE" w:rsidRDefault="00F83E8F" w:rsidP="00F83E8F">
      <w:pPr>
        <w:pStyle w:val="ListParagraph"/>
        <w:numPr>
          <w:ilvl w:val="0"/>
          <w:numId w:val="26"/>
        </w:numPr>
        <w:ind w:left="0" w:firstLine="0"/>
        <w:jc w:val="both"/>
        <w:rPr>
          <w:rFonts w:ascii="Verdana" w:hAnsi="Verdana"/>
          <w:sz w:val="20"/>
          <w:szCs w:val="20"/>
          <w:lang w:val="es-MX"/>
        </w:rPr>
      </w:pPr>
      <w:r w:rsidRPr="001932BE">
        <w:rPr>
          <w:rFonts w:ascii="Verdana" w:hAnsi="Verdana"/>
          <w:sz w:val="20"/>
          <w:szCs w:val="20"/>
          <w:lang w:val="es-MX"/>
        </w:rPr>
        <w:t xml:space="preserve">Desarrollaré a continuación los siguientes puntos adicionales a considerar: </w:t>
      </w:r>
      <w:proofErr w:type="spellStart"/>
      <w:r w:rsidRPr="001932BE">
        <w:rPr>
          <w:rFonts w:ascii="Verdana" w:hAnsi="Verdana"/>
          <w:i/>
          <w:sz w:val="20"/>
          <w:szCs w:val="20"/>
          <w:lang w:val="es-MX"/>
        </w:rPr>
        <w:t>Iura</w:t>
      </w:r>
      <w:proofErr w:type="spellEnd"/>
      <w:r w:rsidRPr="001932BE">
        <w:rPr>
          <w:rFonts w:ascii="Verdana" w:hAnsi="Verdana"/>
          <w:i/>
          <w:sz w:val="20"/>
          <w:szCs w:val="20"/>
          <w:lang w:val="es-MX"/>
        </w:rPr>
        <w:t xml:space="preserve"> </w:t>
      </w:r>
      <w:proofErr w:type="spellStart"/>
      <w:r w:rsidRPr="001932BE">
        <w:rPr>
          <w:rFonts w:ascii="Verdana" w:hAnsi="Verdana"/>
          <w:i/>
          <w:sz w:val="20"/>
          <w:szCs w:val="20"/>
          <w:lang w:val="es-MX"/>
        </w:rPr>
        <w:t>novit</w:t>
      </w:r>
      <w:proofErr w:type="spellEnd"/>
      <w:r w:rsidRPr="001932BE">
        <w:rPr>
          <w:rFonts w:ascii="Verdana" w:hAnsi="Verdana"/>
          <w:i/>
          <w:sz w:val="20"/>
          <w:szCs w:val="20"/>
          <w:lang w:val="es-MX"/>
        </w:rPr>
        <w:t xml:space="preserve"> curia</w:t>
      </w:r>
      <w:r w:rsidRPr="001932BE">
        <w:rPr>
          <w:rFonts w:ascii="Verdana" w:hAnsi="Verdana"/>
          <w:sz w:val="20"/>
          <w:szCs w:val="20"/>
          <w:lang w:val="es-MX"/>
        </w:rPr>
        <w:t xml:space="preserve"> y El derecho al trabajo protegido por los artículos 26 y 25 de la Convención. </w:t>
      </w:r>
    </w:p>
    <w:p w14:paraId="5970FEF1" w14:textId="77777777" w:rsidR="00F83E8F" w:rsidRPr="001932BE" w:rsidRDefault="00F83E8F" w:rsidP="00F83E8F">
      <w:pPr>
        <w:pStyle w:val="ListParagraph"/>
        <w:ind w:left="0"/>
        <w:jc w:val="both"/>
        <w:rPr>
          <w:rFonts w:ascii="Verdana" w:hAnsi="Verdana"/>
          <w:sz w:val="20"/>
          <w:szCs w:val="20"/>
          <w:lang w:val="es-MX"/>
        </w:rPr>
      </w:pPr>
    </w:p>
    <w:p w14:paraId="5EF13C6A" w14:textId="77777777" w:rsidR="00F83E8F" w:rsidRPr="001932BE" w:rsidRDefault="00F83E8F" w:rsidP="00F83E8F">
      <w:pPr>
        <w:pStyle w:val="Style1"/>
        <w:spacing w:after="0" w:line="240" w:lineRule="auto"/>
        <w:ind w:left="0"/>
        <w:rPr>
          <w:i/>
          <w:lang w:val="es-CR"/>
        </w:rPr>
      </w:pPr>
      <w:proofErr w:type="spellStart"/>
      <w:r w:rsidRPr="001932BE">
        <w:rPr>
          <w:i/>
        </w:rPr>
        <w:t>Iura</w:t>
      </w:r>
      <w:proofErr w:type="spellEnd"/>
      <w:r w:rsidRPr="001932BE">
        <w:rPr>
          <w:i/>
        </w:rPr>
        <w:t xml:space="preserve"> </w:t>
      </w:r>
      <w:proofErr w:type="spellStart"/>
      <w:r w:rsidRPr="001932BE">
        <w:rPr>
          <w:i/>
        </w:rPr>
        <w:t>novit</w:t>
      </w:r>
      <w:proofErr w:type="spellEnd"/>
      <w:r w:rsidRPr="001932BE">
        <w:rPr>
          <w:i/>
        </w:rPr>
        <w:t xml:space="preserve"> curia</w:t>
      </w:r>
    </w:p>
    <w:p w14:paraId="67A798AE" w14:textId="77777777" w:rsidR="00F83E8F" w:rsidRPr="001932BE" w:rsidRDefault="00F83E8F" w:rsidP="00F83E8F">
      <w:pPr>
        <w:pStyle w:val="Style1"/>
        <w:numPr>
          <w:ilvl w:val="0"/>
          <w:numId w:val="0"/>
        </w:numPr>
        <w:spacing w:after="0" w:line="240" w:lineRule="auto"/>
        <w:jc w:val="both"/>
        <w:rPr>
          <w:i/>
          <w:lang w:val="es-CR"/>
        </w:rPr>
      </w:pPr>
    </w:p>
    <w:p w14:paraId="239933D0" w14:textId="77777777" w:rsidR="00F83E8F" w:rsidRPr="001932BE" w:rsidRDefault="00F83E8F" w:rsidP="00F83E8F">
      <w:pPr>
        <w:pStyle w:val="Style1"/>
        <w:numPr>
          <w:ilvl w:val="0"/>
          <w:numId w:val="26"/>
        </w:numPr>
        <w:spacing w:after="0" w:line="240" w:lineRule="auto"/>
        <w:ind w:left="0" w:firstLine="0"/>
        <w:jc w:val="both"/>
      </w:pPr>
      <w:r w:rsidRPr="001932BE">
        <w:rPr>
          <w:b w:val="0"/>
          <w:u w:val="none"/>
        </w:rPr>
        <w:t xml:space="preserve">Deseo hacer notar un punto que, en mi parecer, resulta medular, en cuanto a la aplicación del principio </w:t>
      </w:r>
      <w:proofErr w:type="spellStart"/>
      <w:r w:rsidRPr="001932BE">
        <w:rPr>
          <w:b w:val="0"/>
          <w:i/>
          <w:u w:val="none"/>
        </w:rPr>
        <w:t>iuria</w:t>
      </w:r>
      <w:proofErr w:type="spellEnd"/>
      <w:r w:rsidRPr="001932BE">
        <w:rPr>
          <w:b w:val="0"/>
          <w:i/>
          <w:u w:val="none"/>
        </w:rPr>
        <w:t xml:space="preserve"> </w:t>
      </w:r>
      <w:proofErr w:type="spellStart"/>
      <w:r w:rsidRPr="001932BE">
        <w:rPr>
          <w:b w:val="0"/>
          <w:i/>
          <w:u w:val="none"/>
        </w:rPr>
        <w:t>novit</w:t>
      </w:r>
      <w:proofErr w:type="spellEnd"/>
      <w:r w:rsidRPr="001932BE">
        <w:rPr>
          <w:b w:val="0"/>
          <w:i/>
          <w:u w:val="none"/>
        </w:rPr>
        <w:t xml:space="preserve"> curia</w:t>
      </w:r>
      <w:r w:rsidRPr="001932BE">
        <w:rPr>
          <w:b w:val="0"/>
          <w:u w:val="none"/>
        </w:rPr>
        <w:t xml:space="preserve"> en el caso concreto, respecto del cual difiero su necesidad en el presente caso. Me he sumado a la mayoría formada por mis colegas que decidieron hacer uso del principio </w:t>
      </w:r>
      <w:proofErr w:type="spellStart"/>
      <w:r w:rsidRPr="001932BE">
        <w:rPr>
          <w:b w:val="0"/>
          <w:i/>
          <w:u w:val="none"/>
          <w:lang w:val="es-UY"/>
        </w:rPr>
        <w:t>iura</w:t>
      </w:r>
      <w:proofErr w:type="spellEnd"/>
      <w:r w:rsidRPr="001932BE">
        <w:rPr>
          <w:b w:val="0"/>
          <w:i/>
          <w:u w:val="none"/>
          <w:lang w:val="es-UY"/>
        </w:rPr>
        <w:t xml:space="preserve"> </w:t>
      </w:r>
      <w:proofErr w:type="spellStart"/>
      <w:r w:rsidRPr="001932BE">
        <w:rPr>
          <w:b w:val="0"/>
          <w:i/>
          <w:u w:val="none"/>
          <w:lang w:val="es-UY"/>
        </w:rPr>
        <w:t>novi</w:t>
      </w:r>
      <w:proofErr w:type="spellEnd"/>
      <w:r w:rsidRPr="001932BE">
        <w:rPr>
          <w:b w:val="0"/>
          <w:i/>
          <w:u w:val="none"/>
        </w:rPr>
        <w:t>t</w:t>
      </w:r>
      <w:r w:rsidRPr="001932BE">
        <w:rPr>
          <w:b w:val="0"/>
          <w:i/>
          <w:u w:val="none"/>
          <w:lang w:val="es-UY"/>
        </w:rPr>
        <w:t xml:space="preserve"> curia</w:t>
      </w:r>
      <w:r w:rsidRPr="001932BE">
        <w:rPr>
          <w:b w:val="0"/>
          <w:u w:val="none"/>
        </w:rPr>
        <w:t xml:space="preserve"> para conocer de la cuestión. Resolví acompañarlos en la votación porque de cualquier manera yo reconocía el alegato y consideraba la violación al derecho laboral, incluso porque entiendo que ni siquiera sería necesario aplicar dicho principio. En el presente caso no era necesario aplicar el principio para conocer y declarar violado el derecho al trabajo, pues la victima ya había alegado violación al derecho del trabajo y estabilidad laboral sin haber indicado el dispositivo específico violado de la Convención Americana.</w:t>
      </w:r>
    </w:p>
    <w:p w14:paraId="47657BEB" w14:textId="77777777" w:rsidR="00F83E8F" w:rsidRPr="001932BE" w:rsidRDefault="00F83E8F" w:rsidP="00F83E8F">
      <w:pPr>
        <w:rPr>
          <w:szCs w:val="20"/>
          <w:lang w:val="es-MX"/>
        </w:rPr>
      </w:pPr>
    </w:p>
    <w:p w14:paraId="1B4FB98B" w14:textId="77777777" w:rsidR="00F83E8F" w:rsidRPr="001932BE" w:rsidRDefault="00F83E8F" w:rsidP="00F83E8F">
      <w:pPr>
        <w:pStyle w:val="Style1"/>
        <w:numPr>
          <w:ilvl w:val="0"/>
          <w:numId w:val="26"/>
        </w:numPr>
        <w:spacing w:after="0" w:line="240" w:lineRule="auto"/>
        <w:ind w:left="0" w:firstLine="0"/>
        <w:jc w:val="both"/>
        <w:rPr>
          <w:u w:val="none"/>
        </w:rPr>
      </w:pPr>
      <w:r w:rsidRPr="001932BE">
        <w:rPr>
          <w:b w:val="0"/>
          <w:i/>
          <w:u w:val="none"/>
        </w:rPr>
        <w:t>“</w:t>
      </w:r>
      <w:proofErr w:type="spellStart"/>
      <w:r w:rsidRPr="001932BE">
        <w:rPr>
          <w:b w:val="0"/>
          <w:i/>
          <w:u w:val="none"/>
          <w:lang w:val="es-UY"/>
        </w:rPr>
        <w:t>Iura</w:t>
      </w:r>
      <w:proofErr w:type="spellEnd"/>
      <w:r w:rsidRPr="001932BE">
        <w:rPr>
          <w:b w:val="0"/>
          <w:i/>
          <w:u w:val="none"/>
          <w:lang w:val="es-UY"/>
        </w:rPr>
        <w:t xml:space="preserve"> </w:t>
      </w:r>
      <w:proofErr w:type="spellStart"/>
      <w:r w:rsidRPr="001932BE">
        <w:rPr>
          <w:b w:val="0"/>
          <w:i/>
          <w:u w:val="none"/>
          <w:lang w:val="es-UY"/>
        </w:rPr>
        <w:t>novit</w:t>
      </w:r>
      <w:proofErr w:type="spellEnd"/>
      <w:r w:rsidRPr="001932BE">
        <w:rPr>
          <w:b w:val="0"/>
          <w:i/>
          <w:u w:val="none"/>
          <w:lang w:val="es-UY"/>
        </w:rPr>
        <w:t xml:space="preserve"> curia</w:t>
      </w:r>
      <w:r w:rsidRPr="001932BE">
        <w:rPr>
          <w:b w:val="0"/>
          <w:i/>
          <w:u w:val="none"/>
        </w:rPr>
        <w:t>”</w:t>
      </w:r>
      <w:r w:rsidRPr="001932BE">
        <w:rPr>
          <w:b w:val="0"/>
          <w:u w:val="none"/>
        </w:rPr>
        <w:t xml:space="preserve"> proviene del latín y significa “el tribunal conoce el derecho”. Es decir, la parte que venga a juicio a pedir algo y traiga los hechos, sencillamente los hechos, tiene la legitima expectativa de que el juez o tribunal conozca la cuestión y le aplique el derecho. Es la </w:t>
      </w:r>
      <w:r w:rsidRPr="001932BE">
        <w:rPr>
          <w:b w:val="0"/>
          <w:u w:val="none"/>
        </w:rPr>
        <w:lastRenderedPageBreak/>
        <w:t>misma lógica jurídica de otro principio similar “</w:t>
      </w:r>
      <w:r w:rsidRPr="001932BE">
        <w:rPr>
          <w:b w:val="0"/>
          <w:i/>
          <w:u w:val="none"/>
          <w:lang w:val="es-UY"/>
        </w:rPr>
        <w:t xml:space="preserve">da </w:t>
      </w:r>
      <w:proofErr w:type="spellStart"/>
      <w:r w:rsidRPr="001932BE">
        <w:rPr>
          <w:b w:val="0"/>
          <w:i/>
          <w:u w:val="none"/>
          <w:lang w:val="es-UY"/>
        </w:rPr>
        <w:t>mihi</w:t>
      </w:r>
      <w:proofErr w:type="spellEnd"/>
      <w:r w:rsidRPr="001932BE">
        <w:rPr>
          <w:b w:val="0"/>
          <w:i/>
          <w:u w:val="none"/>
          <w:lang w:val="es-UY"/>
        </w:rPr>
        <w:t xml:space="preserve"> </w:t>
      </w:r>
      <w:proofErr w:type="spellStart"/>
      <w:r w:rsidRPr="001932BE">
        <w:rPr>
          <w:b w:val="0"/>
          <w:i/>
          <w:u w:val="none"/>
          <w:lang w:val="es-UY"/>
        </w:rPr>
        <w:t>factum</w:t>
      </w:r>
      <w:proofErr w:type="spellEnd"/>
      <w:r w:rsidRPr="001932BE">
        <w:rPr>
          <w:b w:val="0"/>
          <w:i/>
          <w:u w:val="none"/>
          <w:lang w:val="es-UY"/>
        </w:rPr>
        <w:t xml:space="preserve">, </w:t>
      </w:r>
      <w:proofErr w:type="spellStart"/>
      <w:r w:rsidRPr="001932BE">
        <w:rPr>
          <w:b w:val="0"/>
          <w:i/>
          <w:u w:val="none"/>
          <w:lang w:val="es-UY"/>
        </w:rPr>
        <w:t>dabo</w:t>
      </w:r>
      <w:proofErr w:type="spellEnd"/>
      <w:r w:rsidRPr="001932BE">
        <w:rPr>
          <w:b w:val="0"/>
          <w:i/>
          <w:u w:val="none"/>
          <w:lang w:val="es-UY"/>
        </w:rPr>
        <w:t xml:space="preserve"> tibi </w:t>
      </w:r>
      <w:proofErr w:type="spellStart"/>
      <w:r w:rsidRPr="001932BE">
        <w:rPr>
          <w:b w:val="0"/>
          <w:i/>
          <w:u w:val="none"/>
          <w:lang w:val="es-UY"/>
        </w:rPr>
        <w:t>ius</w:t>
      </w:r>
      <w:proofErr w:type="spellEnd"/>
      <w:r w:rsidRPr="001932BE">
        <w:rPr>
          <w:b w:val="0"/>
          <w:u w:val="none"/>
        </w:rPr>
        <w:t>” (dame el hecho y te daré el derecho). Son principios coherentes con la amplia tutela judicial, especialmente valida y aplicable en un Tribunal de derechos humanos.</w:t>
      </w:r>
    </w:p>
    <w:p w14:paraId="5C8DD4CC" w14:textId="77777777" w:rsidR="00F83E8F" w:rsidRPr="001932BE" w:rsidRDefault="00F83E8F" w:rsidP="00F83E8F">
      <w:pPr>
        <w:rPr>
          <w:szCs w:val="20"/>
          <w:lang w:val="es-MX"/>
        </w:rPr>
      </w:pPr>
    </w:p>
    <w:p w14:paraId="48298501" w14:textId="77777777" w:rsidR="00F83E8F" w:rsidRPr="001932BE" w:rsidRDefault="00F83E8F" w:rsidP="00F83E8F">
      <w:pPr>
        <w:pStyle w:val="Style1"/>
        <w:numPr>
          <w:ilvl w:val="0"/>
          <w:numId w:val="0"/>
        </w:numPr>
        <w:spacing w:after="0" w:line="240" w:lineRule="auto"/>
        <w:jc w:val="both"/>
        <w:rPr>
          <w:u w:val="none"/>
        </w:rPr>
      </w:pPr>
      <w:r w:rsidRPr="001932BE">
        <w:rPr>
          <w:b w:val="0"/>
          <w:u w:val="none"/>
        </w:rPr>
        <w:t>11.</w:t>
      </w:r>
      <w:r w:rsidRPr="001932BE">
        <w:rPr>
          <w:b w:val="0"/>
          <w:u w:val="none"/>
        </w:rPr>
        <w:tab/>
        <w:t xml:space="preserve">En otras palabras, en ciertas circunstancias el Tribunal debe aceptar los hechos como suficientes para basar el pedido sin que la parte interesada haya expresamente alegado la violación a determinado artículo de la ley o la norma. Más aún cuando la contraparte (en este caso el Estado) haya tenido la oportunidad de responder o controvertir el alegato, respetando así el principio del contradictorio. </w:t>
      </w:r>
    </w:p>
    <w:p w14:paraId="7BE04A9B" w14:textId="77777777" w:rsidR="00F83E8F" w:rsidRPr="001932BE" w:rsidRDefault="00F83E8F" w:rsidP="00F83E8F">
      <w:pPr>
        <w:pStyle w:val="Style1"/>
        <w:numPr>
          <w:ilvl w:val="0"/>
          <w:numId w:val="0"/>
        </w:numPr>
        <w:spacing w:after="0" w:line="240" w:lineRule="auto"/>
        <w:jc w:val="both"/>
        <w:rPr>
          <w:lang w:val="es-CR"/>
        </w:rPr>
      </w:pPr>
    </w:p>
    <w:p w14:paraId="669B14F1" w14:textId="77777777" w:rsidR="00F83E8F" w:rsidRPr="001932BE" w:rsidRDefault="00F83E8F" w:rsidP="00F83E8F">
      <w:pPr>
        <w:pStyle w:val="Style1"/>
        <w:numPr>
          <w:ilvl w:val="0"/>
          <w:numId w:val="27"/>
        </w:numPr>
        <w:spacing w:after="0" w:line="240" w:lineRule="auto"/>
        <w:ind w:left="0" w:firstLine="0"/>
        <w:jc w:val="both"/>
      </w:pPr>
      <w:r w:rsidRPr="001932BE">
        <w:rPr>
          <w:b w:val="0"/>
          <w:u w:val="none"/>
          <w:lang w:val="es-CR"/>
        </w:rPr>
        <w:t>Como se menciona en el párrafo 133 de la Sentencia, la Corte señaló</w:t>
      </w:r>
      <w:r w:rsidRPr="001932BE">
        <w:rPr>
          <w:b w:val="0"/>
          <w:u w:val="none"/>
        </w:rPr>
        <w:t xml:space="preserve"> que en este caso ninguna de las partes hizo alusión expresa a la violación al derecho laboral en relación con los artículos de la Convención. No obstante, se resaltó que la víctima alegó reiteradamente en las instancias internas y ante la Comisión Interamericana de Derechos Humanos (en adelante “Comisión” o “CIDH”) la violación a sus derechos laborales, particularmente a la estabilidad laboral, así como las consecuencias derivadas del despido.</w:t>
      </w:r>
    </w:p>
    <w:p w14:paraId="667F4C52" w14:textId="77777777" w:rsidR="00F83E8F" w:rsidRPr="001932BE" w:rsidRDefault="00F83E8F" w:rsidP="00F83E8F">
      <w:pPr>
        <w:rPr>
          <w:szCs w:val="20"/>
          <w:lang w:val="es-MX"/>
        </w:rPr>
      </w:pPr>
    </w:p>
    <w:p w14:paraId="3C9FDFC6" w14:textId="77777777" w:rsidR="00F83E8F" w:rsidRPr="001932BE" w:rsidRDefault="00F83E8F" w:rsidP="00F83E8F">
      <w:pPr>
        <w:pStyle w:val="Style1"/>
        <w:numPr>
          <w:ilvl w:val="0"/>
          <w:numId w:val="27"/>
        </w:numPr>
        <w:spacing w:after="0" w:line="240" w:lineRule="auto"/>
        <w:ind w:left="0" w:firstLine="0"/>
        <w:jc w:val="both"/>
      </w:pPr>
      <w:r w:rsidRPr="001932BE">
        <w:rPr>
          <w:b w:val="0"/>
          <w:u w:val="none"/>
        </w:rPr>
        <w:t>Al respecto, la víctima mencionó en al menos siete diferentes escritos en el fuero interno la violación a su derecho al trabajo y a la estabilidad laboral. En cuanto a los escritos presentados ante la Comisión, se mencionó en nueve diferentes ocasiones la violación a sus derechos como trabajador (párrafos 133 a 135 de la Sentencia). Por ende, la Corte consideró que los hechos correspondientes al despido fueron expuestos en todo momento ante los tribunales de Perú y ante la CIDH (párr. 137 de la Sentencia).</w:t>
      </w:r>
    </w:p>
    <w:p w14:paraId="5C587DAE" w14:textId="77777777" w:rsidR="00F83E8F" w:rsidRPr="001932BE" w:rsidRDefault="00F83E8F" w:rsidP="00F83E8F">
      <w:pPr>
        <w:rPr>
          <w:szCs w:val="20"/>
          <w:lang w:val="es-MX"/>
        </w:rPr>
      </w:pPr>
    </w:p>
    <w:p w14:paraId="49DA5261" w14:textId="77777777" w:rsidR="00F83E8F" w:rsidRPr="001932BE" w:rsidRDefault="00F83E8F" w:rsidP="00F83E8F">
      <w:pPr>
        <w:pStyle w:val="Style1"/>
        <w:numPr>
          <w:ilvl w:val="0"/>
          <w:numId w:val="27"/>
        </w:numPr>
        <w:spacing w:after="0" w:line="240" w:lineRule="auto"/>
        <w:ind w:left="0" w:firstLine="0"/>
        <w:jc w:val="both"/>
        <w:rPr>
          <w:b w:val="0"/>
          <w:u w:val="none"/>
        </w:rPr>
      </w:pPr>
      <w:r w:rsidRPr="001932BE">
        <w:rPr>
          <w:b w:val="0"/>
          <w:u w:val="none"/>
        </w:rPr>
        <w:t xml:space="preserve">El Tribunal decidió que debía invocar el principio </w:t>
      </w:r>
      <w:proofErr w:type="spellStart"/>
      <w:r w:rsidRPr="001932BE">
        <w:rPr>
          <w:b w:val="0"/>
          <w:u w:val="none"/>
        </w:rPr>
        <w:t>iura</w:t>
      </w:r>
      <w:proofErr w:type="spellEnd"/>
      <w:r w:rsidRPr="001932BE">
        <w:rPr>
          <w:b w:val="0"/>
          <w:u w:val="none"/>
        </w:rPr>
        <w:t xml:space="preserve"> </w:t>
      </w:r>
      <w:proofErr w:type="spellStart"/>
      <w:r w:rsidRPr="001932BE">
        <w:rPr>
          <w:b w:val="0"/>
          <w:u w:val="none"/>
        </w:rPr>
        <w:t>novit</w:t>
      </w:r>
      <w:proofErr w:type="spellEnd"/>
      <w:r w:rsidRPr="001932BE">
        <w:rPr>
          <w:b w:val="0"/>
          <w:u w:val="none"/>
        </w:rPr>
        <w:t xml:space="preserve"> curia, a fin de pronunciarse conforme a la violación del derecho al trabajo y a la estabilidad laboral con base en el artículo 26 de la Convención. Sin embargo, difiero de este pronunciamiento, por considerarlo innecesario, ya que el principio </w:t>
      </w:r>
      <w:proofErr w:type="spellStart"/>
      <w:r w:rsidRPr="001932BE">
        <w:rPr>
          <w:b w:val="0"/>
          <w:u w:val="none"/>
        </w:rPr>
        <w:t>iura</w:t>
      </w:r>
      <w:proofErr w:type="spellEnd"/>
      <w:r w:rsidRPr="001932BE">
        <w:rPr>
          <w:b w:val="0"/>
          <w:u w:val="none"/>
        </w:rPr>
        <w:t xml:space="preserve"> </w:t>
      </w:r>
      <w:proofErr w:type="spellStart"/>
      <w:r w:rsidRPr="001932BE">
        <w:rPr>
          <w:b w:val="0"/>
          <w:u w:val="none"/>
        </w:rPr>
        <w:t>novit</w:t>
      </w:r>
      <w:proofErr w:type="spellEnd"/>
      <w:r w:rsidRPr="001932BE">
        <w:rPr>
          <w:b w:val="0"/>
          <w:u w:val="none"/>
        </w:rPr>
        <w:t xml:space="preserve"> curia se aplica solamente cuando se alega el hecho y no se alega el derecho, pero en el presente caso se alegó el derecho, razón por la cual resulta absolutamente regular el pedimento y su forma.</w:t>
      </w:r>
    </w:p>
    <w:p w14:paraId="579728BB" w14:textId="77777777" w:rsidR="00F83E8F" w:rsidRPr="001932BE" w:rsidRDefault="00F83E8F" w:rsidP="00F83E8F">
      <w:pPr>
        <w:rPr>
          <w:szCs w:val="20"/>
          <w:highlight w:val="cyan"/>
          <w:lang w:val="es-MX"/>
        </w:rPr>
      </w:pPr>
    </w:p>
    <w:p w14:paraId="5D027170" w14:textId="77777777" w:rsidR="00F83E8F" w:rsidRPr="001932BE" w:rsidRDefault="00F83E8F" w:rsidP="00F83E8F">
      <w:pPr>
        <w:pStyle w:val="Style1"/>
        <w:numPr>
          <w:ilvl w:val="0"/>
          <w:numId w:val="27"/>
        </w:numPr>
        <w:spacing w:after="0" w:line="240" w:lineRule="auto"/>
        <w:ind w:left="0" w:firstLine="0"/>
        <w:jc w:val="both"/>
      </w:pPr>
      <w:r w:rsidRPr="001932BE">
        <w:rPr>
          <w:b w:val="0"/>
          <w:u w:val="none"/>
        </w:rPr>
        <w:t>Resulta irrazonable exigir que las partes deban alegar ante un órgano no judicial o cuasi judicial como la Comisión Interamericana de manera concurrente los hechos, los derechos y así como también el artículo especifico de la ley o norma internacional, lo cual podría derivar en afectar el derecho a un recurso sencillo y rápido consagrado en el artículo 25 de la Convención.</w:t>
      </w:r>
    </w:p>
    <w:p w14:paraId="41C6B7EB" w14:textId="77777777" w:rsidR="00F83E8F" w:rsidRPr="001932BE" w:rsidRDefault="00F83E8F" w:rsidP="00F83E8F">
      <w:pPr>
        <w:rPr>
          <w:szCs w:val="20"/>
          <w:lang w:val="es-MX"/>
        </w:rPr>
      </w:pPr>
    </w:p>
    <w:p w14:paraId="7F8A913A" w14:textId="77777777" w:rsidR="00F83E8F" w:rsidRPr="001932BE" w:rsidRDefault="00F83E8F" w:rsidP="00F83E8F">
      <w:pPr>
        <w:pStyle w:val="Style1"/>
        <w:numPr>
          <w:ilvl w:val="0"/>
          <w:numId w:val="27"/>
        </w:numPr>
        <w:spacing w:after="0" w:line="240" w:lineRule="auto"/>
        <w:ind w:left="0" w:firstLine="0"/>
        <w:jc w:val="both"/>
      </w:pPr>
      <w:r w:rsidRPr="001932BE">
        <w:rPr>
          <w:b w:val="0"/>
          <w:u w:val="none"/>
        </w:rPr>
        <w:t>En el caso particular fue la propia víctima quien en reiteradas oportunidades invocó estos derechos (y no solamente hechos), los cuales fueron ignorados por la Comisión</w:t>
      </w:r>
      <w:r w:rsidRPr="001932BE">
        <w:rPr>
          <w:rStyle w:val="FootnoteReference"/>
          <w:rFonts w:eastAsiaTheme="majorEastAsia"/>
          <w:u w:val="none"/>
        </w:rPr>
        <w:footnoteReference w:id="282"/>
      </w:r>
      <w:r w:rsidRPr="001932BE">
        <w:rPr>
          <w:b w:val="0"/>
          <w:u w:val="none"/>
        </w:rPr>
        <w:t>. Resulta entonces que de acuerdo con una interpretación sistemática y de efecto útil del tratado y sus órganos de aplicación, la Corte tiene la facultad de valorar y dar sentido a la petición inicial que contiene la demanda de justicia de la víctima que acude al Sistema Interamericano.</w:t>
      </w:r>
    </w:p>
    <w:p w14:paraId="01F25CA1" w14:textId="77777777" w:rsidR="00F83E8F" w:rsidRPr="001932BE" w:rsidRDefault="00F83E8F" w:rsidP="00F83E8F">
      <w:pPr>
        <w:rPr>
          <w:szCs w:val="20"/>
          <w:lang w:val="es-MX"/>
        </w:rPr>
      </w:pPr>
    </w:p>
    <w:p w14:paraId="49D83805" w14:textId="77777777" w:rsidR="00F83E8F" w:rsidRPr="001932BE" w:rsidRDefault="00F83E8F" w:rsidP="00F83E8F">
      <w:pPr>
        <w:pStyle w:val="Style1"/>
        <w:numPr>
          <w:ilvl w:val="0"/>
          <w:numId w:val="27"/>
        </w:numPr>
        <w:spacing w:after="0" w:line="240" w:lineRule="auto"/>
        <w:ind w:left="0" w:firstLine="0"/>
        <w:jc w:val="both"/>
      </w:pPr>
      <w:r w:rsidRPr="001932BE">
        <w:rPr>
          <w:b w:val="0"/>
          <w:u w:val="none"/>
        </w:rPr>
        <w:t>Los derechos alegados por la victima deben ser entonces, valorados también por la Corte, sin que eso signifique romper los límites procesales. Lo anterior, siendo que la petición inicial es la representación más inmediata de la voz del peticionario.</w:t>
      </w:r>
    </w:p>
    <w:p w14:paraId="06EA061E" w14:textId="77777777" w:rsidR="00F83E8F" w:rsidRPr="001932BE" w:rsidRDefault="00F83E8F" w:rsidP="00F83E8F">
      <w:pPr>
        <w:rPr>
          <w:szCs w:val="20"/>
          <w:lang w:val="es-MX"/>
        </w:rPr>
      </w:pPr>
    </w:p>
    <w:p w14:paraId="5AF95F66" w14:textId="77777777" w:rsidR="00F83E8F" w:rsidRPr="001932BE" w:rsidRDefault="00F83E8F" w:rsidP="00F83E8F">
      <w:pPr>
        <w:pStyle w:val="Style1"/>
        <w:numPr>
          <w:ilvl w:val="0"/>
          <w:numId w:val="27"/>
        </w:numPr>
        <w:spacing w:after="0" w:line="240" w:lineRule="auto"/>
        <w:ind w:left="0" w:firstLine="0"/>
        <w:jc w:val="both"/>
        <w:rPr>
          <w:lang w:val="es-CR"/>
        </w:rPr>
      </w:pPr>
      <w:r w:rsidRPr="001932BE">
        <w:rPr>
          <w:b w:val="0"/>
          <w:u w:val="none"/>
        </w:rPr>
        <w:t xml:space="preserve">En este sentido, otros órganos internacionales han atendido el alegato esencial de las víctimas a través de una calificación expresamente dada por el órgano o Tribunal, sin que </w:t>
      </w:r>
      <w:r w:rsidRPr="001932BE">
        <w:rPr>
          <w:b w:val="0"/>
          <w:u w:val="none"/>
        </w:rPr>
        <w:lastRenderedPageBreak/>
        <w:t xml:space="preserve">necesariamente se haya invocado el derecho específico, y sin hacer alusión expresa al principio </w:t>
      </w:r>
      <w:proofErr w:type="spellStart"/>
      <w:r w:rsidRPr="001932BE">
        <w:rPr>
          <w:b w:val="0"/>
          <w:i/>
          <w:u w:val="none"/>
        </w:rPr>
        <w:t>iura</w:t>
      </w:r>
      <w:proofErr w:type="spellEnd"/>
      <w:r w:rsidRPr="001932BE">
        <w:rPr>
          <w:b w:val="0"/>
          <w:i/>
          <w:u w:val="none"/>
        </w:rPr>
        <w:t xml:space="preserve"> </w:t>
      </w:r>
      <w:proofErr w:type="spellStart"/>
      <w:r w:rsidRPr="001932BE">
        <w:rPr>
          <w:b w:val="0"/>
          <w:i/>
          <w:u w:val="none"/>
        </w:rPr>
        <w:t>novit</w:t>
      </w:r>
      <w:proofErr w:type="spellEnd"/>
      <w:r w:rsidRPr="001932BE">
        <w:rPr>
          <w:b w:val="0"/>
          <w:i/>
          <w:u w:val="none"/>
        </w:rPr>
        <w:t xml:space="preserve"> curia</w:t>
      </w:r>
      <w:r w:rsidRPr="001932BE">
        <w:rPr>
          <w:rStyle w:val="FootnoteReference"/>
          <w:rFonts w:eastAsiaTheme="majorEastAsia"/>
          <w:i/>
          <w:u w:val="none"/>
        </w:rPr>
        <w:footnoteReference w:id="283"/>
      </w:r>
      <w:r w:rsidRPr="001932BE">
        <w:rPr>
          <w:b w:val="0"/>
          <w:i/>
          <w:u w:val="none"/>
        </w:rPr>
        <w:t>.</w:t>
      </w:r>
      <w:r w:rsidRPr="001932BE">
        <w:rPr>
          <w:b w:val="0"/>
          <w:u w:val="none"/>
        </w:rPr>
        <w:t xml:space="preserve"> </w:t>
      </w:r>
    </w:p>
    <w:p w14:paraId="2BCDB63B" w14:textId="77777777" w:rsidR="00F83E8F" w:rsidRPr="001932BE" w:rsidRDefault="00F83E8F" w:rsidP="00F83E8F">
      <w:pPr>
        <w:pStyle w:val="Style1"/>
        <w:numPr>
          <w:ilvl w:val="0"/>
          <w:numId w:val="0"/>
        </w:numPr>
        <w:spacing w:after="0" w:line="240" w:lineRule="auto"/>
        <w:jc w:val="both"/>
        <w:rPr>
          <w:lang w:val="es-CR"/>
        </w:rPr>
      </w:pPr>
    </w:p>
    <w:p w14:paraId="0DD4B7AC" w14:textId="77777777" w:rsidR="00F83E8F" w:rsidRPr="001932BE" w:rsidRDefault="00F83E8F" w:rsidP="00F83E8F">
      <w:pPr>
        <w:pStyle w:val="Style1"/>
        <w:numPr>
          <w:ilvl w:val="0"/>
          <w:numId w:val="27"/>
        </w:numPr>
        <w:spacing w:after="0" w:line="240" w:lineRule="auto"/>
        <w:ind w:left="0" w:firstLine="0"/>
        <w:jc w:val="both"/>
      </w:pPr>
      <w:r w:rsidRPr="001932BE">
        <w:rPr>
          <w:b w:val="0"/>
          <w:u w:val="none"/>
        </w:rPr>
        <w:t xml:space="preserve">De esta manera, quedó evidenciado que a todas luces el objetivo principal del peticionario Lagos del Campo fue siempre la tutela de sus derechos laborales, con la consecuencia de ser resarcido en estos derechos. </w:t>
      </w:r>
    </w:p>
    <w:p w14:paraId="34970AD7" w14:textId="77777777" w:rsidR="00F83E8F" w:rsidRPr="001932BE" w:rsidRDefault="00F83E8F" w:rsidP="00F83E8F">
      <w:pPr>
        <w:rPr>
          <w:szCs w:val="20"/>
          <w:highlight w:val="yellow"/>
          <w:lang w:val="es-MX"/>
        </w:rPr>
      </w:pPr>
    </w:p>
    <w:p w14:paraId="2187AD47" w14:textId="77777777" w:rsidR="00F83E8F" w:rsidRPr="001932BE" w:rsidRDefault="00F83E8F" w:rsidP="00F83E8F">
      <w:pPr>
        <w:pStyle w:val="Style1"/>
        <w:spacing w:after="0" w:line="240" w:lineRule="auto"/>
        <w:ind w:left="0" w:firstLine="0"/>
      </w:pPr>
      <w:r w:rsidRPr="001932BE">
        <w:t>El derecho al trabajo protegido por los artículos 26 y 25 de la Convención</w:t>
      </w:r>
    </w:p>
    <w:p w14:paraId="6D0F4818" w14:textId="77777777" w:rsidR="00F83E8F" w:rsidRPr="001932BE" w:rsidRDefault="00F83E8F" w:rsidP="00F83E8F">
      <w:pPr>
        <w:pStyle w:val="Style1"/>
        <w:numPr>
          <w:ilvl w:val="0"/>
          <w:numId w:val="0"/>
        </w:numPr>
        <w:spacing w:after="0" w:line="240" w:lineRule="auto"/>
        <w:ind w:hanging="720"/>
        <w:jc w:val="both"/>
      </w:pPr>
    </w:p>
    <w:p w14:paraId="7E4DAF9C" w14:textId="77777777" w:rsidR="00F83E8F" w:rsidRPr="001932BE" w:rsidRDefault="00F83E8F" w:rsidP="00F83E8F">
      <w:pPr>
        <w:pStyle w:val="ListParagraph"/>
        <w:numPr>
          <w:ilvl w:val="0"/>
          <w:numId w:val="27"/>
        </w:numPr>
        <w:ind w:left="0" w:firstLine="0"/>
        <w:jc w:val="both"/>
        <w:rPr>
          <w:rFonts w:ascii="Verdana" w:hAnsi="Verdana"/>
          <w:sz w:val="20"/>
          <w:szCs w:val="20"/>
          <w:lang w:val="es-CR"/>
        </w:rPr>
      </w:pPr>
      <w:r w:rsidRPr="001932BE">
        <w:rPr>
          <w:rFonts w:ascii="Verdana" w:hAnsi="Verdana"/>
          <w:sz w:val="20"/>
          <w:szCs w:val="20"/>
          <w:lang w:val="es-MX"/>
        </w:rPr>
        <w:t xml:space="preserve">Hago notar que en los </w:t>
      </w:r>
      <w:r w:rsidRPr="001932BE">
        <w:rPr>
          <w:rFonts w:ascii="Verdana" w:hAnsi="Verdana"/>
          <w:i/>
          <w:sz w:val="20"/>
          <w:szCs w:val="20"/>
          <w:lang w:val="es-MX"/>
        </w:rPr>
        <w:t>Casos Canales Huapaya y otros Vs. Perú y Chinchilla Sandoval y otros Vs. Guatemala,</w:t>
      </w:r>
      <w:r w:rsidRPr="001932BE">
        <w:rPr>
          <w:rFonts w:ascii="Verdana" w:hAnsi="Verdana"/>
          <w:sz w:val="20"/>
          <w:szCs w:val="20"/>
          <w:lang w:val="es-MX"/>
        </w:rPr>
        <w:t xml:space="preserve"> manifesté mi opinión sobre la </w:t>
      </w:r>
      <w:proofErr w:type="spellStart"/>
      <w:r w:rsidRPr="001932BE">
        <w:rPr>
          <w:rFonts w:ascii="Verdana" w:hAnsi="Verdana"/>
          <w:sz w:val="20"/>
          <w:szCs w:val="20"/>
          <w:lang w:val="es-MX"/>
        </w:rPr>
        <w:t>justiciabilidad</w:t>
      </w:r>
      <w:proofErr w:type="spellEnd"/>
      <w:r w:rsidRPr="001932BE">
        <w:rPr>
          <w:rFonts w:ascii="Verdana" w:hAnsi="Verdana"/>
          <w:sz w:val="20"/>
          <w:szCs w:val="20"/>
          <w:lang w:val="es-MX"/>
        </w:rPr>
        <w:t xml:space="preserve"> de los derechos que se derivan del artículo 26 de la Convención. En particular, en el voto disidente que realicé junto con el Juez Ferrer Mac-Gregor Poisot en el </w:t>
      </w:r>
      <w:r w:rsidRPr="001932BE">
        <w:rPr>
          <w:rFonts w:ascii="Verdana" w:hAnsi="Verdana"/>
          <w:i/>
          <w:sz w:val="20"/>
          <w:szCs w:val="20"/>
          <w:lang w:val="es-MX"/>
        </w:rPr>
        <w:t>Caso Canales Huapaya y Otros Vs. Perú</w:t>
      </w:r>
      <w:r w:rsidRPr="001932BE">
        <w:rPr>
          <w:rFonts w:ascii="Verdana" w:hAnsi="Verdana"/>
          <w:sz w:val="20"/>
          <w:szCs w:val="20"/>
          <w:lang w:val="es-MX"/>
        </w:rPr>
        <w:t xml:space="preserve"> resaltamos la necesidad de efectuar una interpretación evolutiva respecto al alcance de los derechos consagrados en el artículo 26 de la CADH, y la diligencia de profundizar en la </w:t>
      </w:r>
      <w:proofErr w:type="spellStart"/>
      <w:r w:rsidRPr="001932BE">
        <w:rPr>
          <w:rFonts w:ascii="Verdana" w:hAnsi="Verdana"/>
          <w:sz w:val="20"/>
          <w:szCs w:val="20"/>
          <w:lang w:val="es-MX"/>
        </w:rPr>
        <w:t>justiciabilidad</w:t>
      </w:r>
      <w:proofErr w:type="spellEnd"/>
      <w:r w:rsidRPr="001932BE">
        <w:rPr>
          <w:rFonts w:ascii="Verdana" w:hAnsi="Verdana"/>
          <w:sz w:val="20"/>
          <w:szCs w:val="20"/>
          <w:lang w:val="es-MX"/>
        </w:rPr>
        <w:t xml:space="preserve"> del derecho al trabajo. Asimismo, se hizo notar que el derecho al trabajo está regulado en la mayoría de las Constituciones de los países miembros de la Organización de los Estados Americanos. Además, se resaltó que el derecho al trabajo no implica un derecho absoluto, por ende puede llegar a tener límites. </w:t>
      </w:r>
      <w:r w:rsidRPr="001932BE">
        <w:rPr>
          <w:rFonts w:ascii="Verdana" w:hAnsi="Verdana"/>
          <w:sz w:val="20"/>
          <w:szCs w:val="20"/>
          <w:lang w:val="es-CR"/>
        </w:rPr>
        <w:t>Desde dicho voto estimamos que Perú había violado el derecho al trabajo de las víctimas y nos pronunciamos sobre el derecho al trabajo como derecho autónomo en el derecho comparado.</w:t>
      </w:r>
    </w:p>
    <w:p w14:paraId="0556ED49" w14:textId="77777777" w:rsidR="00F83E8F" w:rsidRPr="001932BE" w:rsidRDefault="00F83E8F" w:rsidP="00F83E8F">
      <w:pPr>
        <w:rPr>
          <w:szCs w:val="20"/>
          <w:lang w:val="es-MX"/>
        </w:rPr>
      </w:pPr>
    </w:p>
    <w:p w14:paraId="72D9B580" w14:textId="77777777" w:rsidR="00F83E8F" w:rsidRPr="001932BE" w:rsidRDefault="00F83E8F" w:rsidP="00F83E8F">
      <w:pPr>
        <w:pStyle w:val="ListParagraph"/>
        <w:numPr>
          <w:ilvl w:val="0"/>
          <w:numId w:val="27"/>
        </w:numPr>
        <w:ind w:left="0" w:firstLine="0"/>
        <w:jc w:val="both"/>
        <w:rPr>
          <w:rFonts w:ascii="Verdana" w:hAnsi="Verdana"/>
          <w:sz w:val="20"/>
          <w:szCs w:val="20"/>
          <w:lang w:val="es-CR"/>
        </w:rPr>
      </w:pPr>
      <w:r w:rsidRPr="001932BE">
        <w:rPr>
          <w:rFonts w:ascii="Verdana" w:hAnsi="Verdana"/>
          <w:sz w:val="20"/>
          <w:szCs w:val="20"/>
        </w:rPr>
        <w:t xml:space="preserve">Por su parte, en el voto </w:t>
      </w:r>
      <w:r w:rsidRPr="001932BE">
        <w:rPr>
          <w:rFonts w:ascii="Verdana" w:hAnsi="Verdana"/>
          <w:sz w:val="20"/>
          <w:szCs w:val="20"/>
          <w:lang w:val="es-MX"/>
        </w:rPr>
        <w:t xml:space="preserve">razonado del caso </w:t>
      </w:r>
      <w:r w:rsidRPr="001932BE">
        <w:rPr>
          <w:rFonts w:ascii="Verdana" w:hAnsi="Verdana"/>
          <w:i/>
          <w:sz w:val="20"/>
          <w:szCs w:val="20"/>
          <w:lang w:val="es-MX"/>
        </w:rPr>
        <w:t>Chinchilla Sandoval y otros Vs. Guatemala</w:t>
      </w:r>
      <w:r w:rsidRPr="001932BE">
        <w:rPr>
          <w:rFonts w:ascii="Verdana" w:hAnsi="Verdana"/>
          <w:sz w:val="20"/>
          <w:szCs w:val="20"/>
          <w:lang w:val="es-MX"/>
        </w:rPr>
        <w:t xml:space="preserve">, manifesté que la tutela jurisdiccional al derecho a la salud debe ser más explícita y directa, más </w:t>
      </w:r>
      <w:r w:rsidRPr="001932BE">
        <w:rPr>
          <w:rFonts w:ascii="Verdana" w:hAnsi="Verdana"/>
          <w:sz w:val="20"/>
          <w:szCs w:val="20"/>
          <w:lang w:val="es-MX"/>
        </w:rPr>
        <w:lastRenderedPageBreak/>
        <w:t xml:space="preserve">que solamente reiterar su protección en relación con los derechos a la vida e integridad personal. Además, mencioné que la Corte y el Continente Americano estaban preparados para dar el paso de </w:t>
      </w:r>
      <w:proofErr w:type="spellStart"/>
      <w:r w:rsidRPr="001932BE">
        <w:rPr>
          <w:rFonts w:ascii="Verdana" w:hAnsi="Verdana"/>
          <w:sz w:val="20"/>
          <w:szCs w:val="20"/>
          <w:lang w:val="es-MX"/>
        </w:rPr>
        <w:t>justiciabilizar</w:t>
      </w:r>
      <w:proofErr w:type="spellEnd"/>
      <w:r w:rsidRPr="001932BE">
        <w:rPr>
          <w:rFonts w:ascii="Verdana" w:hAnsi="Verdana"/>
          <w:sz w:val="20"/>
          <w:szCs w:val="20"/>
          <w:lang w:val="es-MX"/>
        </w:rPr>
        <w:t xml:space="preserve"> los DESCA y así </w:t>
      </w:r>
      <w:r w:rsidRPr="001932BE">
        <w:rPr>
          <w:rFonts w:ascii="Verdana" w:hAnsi="Verdana"/>
          <w:sz w:val="20"/>
          <w:szCs w:val="20"/>
          <w:lang w:val="es-CR"/>
        </w:rPr>
        <w:t>las posibles víctimas pudieran comprender que el Sistema Interamericano es una vía abierta para las personas que necesitan hacer efectivos</w:t>
      </w:r>
      <w:r w:rsidRPr="001932BE" w:rsidDel="00353DD4">
        <w:rPr>
          <w:rFonts w:ascii="Verdana" w:hAnsi="Verdana"/>
          <w:sz w:val="20"/>
          <w:szCs w:val="20"/>
          <w:lang w:val="es-CR"/>
        </w:rPr>
        <w:t xml:space="preserve"> </w:t>
      </w:r>
      <w:r w:rsidRPr="001932BE">
        <w:rPr>
          <w:rFonts w:ascii="Verdana" w:hAnsi="Verdana"/>
          <w:sz w:val="20"/>
          <w:szCs w:val="20"/>
          <w:lang w:val="es-CR"/>
        </w:rPr>
        <w:t>esos derechos.</w:t>
      </w:r>
    </w:p>
    <w:p w14:paraId="2514E13E" w14:textId="77777777" w:rsidR="00F83E8F" w:rsidRPr="001932BE" w:rsidRDefault="00F83E8F" w:rsidP="00F83E8F">
      <w:pPr>
        <w:rPr>
          <w:szCs w:val="20"/>
          <w:lang w:val="es-MX"/>
        </w:rPr>
      </w:pPr>
    </w:p>
    <w:p w14:paraId="2D11D706" w14:textId="77777777" w:rsidR="00F83E8F" w:rsidRPr="001932BE" w:rsidRDefault="00F83E8F" w:rsidP="00F83E8F">
      <w:pPr>
        <w:pStyle w:val="ListParagraph"/>
        <w:numPr>
          <w:ilvl w:val="0"/>
          <w:numId w:val="27"/>
        </w:numPr>
        <w:ind w:left="0" w:firstLine="0"/>
        <w:jc w:val="both"/>
        <w:rPr>
          <w:rFonts w:ascii="Verdana" w:hAnsi="Verdana"/>
          <w:sz w:val="20"/>
          <w:szCs w:val="20"/>
          <w:lang w:val="es-MX"/>
        </w:rPr>
      </w:pPr>
      <w:r w:rsidRPr="001932BE">
        <w:rPr>
          <w:rFonts w:ascii="Verdana" w:hAnsi="Verdana"/>
          <w:sz w:val="20"/>
          <w:szCs w:val="20"/>
          <w:lang w:val="es-MX"/>
        </w:rPr>
        <w:t xml:space="preserve">Así, resulta de mayor relevancia reiterar que el derecho al trabajo es un derecho que está regulado por la mayoría de las constituciones de los países miembros de la Organización de los Estados Americanos ya sea de manera explícita, implícita con otros preceptos o a través de la incorporación de tratados internacionales. En el caso de Perú el derecho a la estabilidad laboral estaba regulado en su Constitución al momento de los hechos y en la actualidad (párr. 138 de la Sentencia). </w:t>
      </w:r>
    </w:p>
    <w:p w14:paraId="2072D04E" w14:textId="77777777" w:rsidR="00F83E8F" w:rsidRPr="001932BE" w:rsidRDefault="00F83E8F" w:rsidP="00F83E8F">
      <w:pPr>
        <w:rPr>
          <w:szCs w:val="20"/>
          <w:lang w:val="es-MX"/>
        </w:rPr>
      </w:pPr>
    </w:p>
    <w:p w14:paraId="6FAE12FB" w14:textId="77777777" w:rsidR="00F83E8F" w:rsidRPr="001932BE" w:rsidRDefault="00F83E8F" w:rsidP="00F83E8F">
      <w:pPr>
        <w:pStyle w:val="ListParagraph"/>
        <w:numPr>
          <w:ilvl w:val="0"/>
          <w:numId w:val="27"/>
        </w:numPr>
        <w:ind w:left="0" w:firstLine="0"/>
        <w:jc w:val="both"/>
        <w:rPr>
          <w:rFonts w:ascii="Verdana" w:hAnsi="Verdana"/>
          <w:sz w:val="20"/>
          <w:szCs w:val="20"/>
          <w:lang w:val="es-MX"/>
        </w:rPr>
      </w:pPr>
      <w:r w:rsidRPr="001932BE">
        <w:rPr>
          <w:rFonts w:ascii="Verdana" w:hAnsi="Verdana"/>
          <w:sz w:val="20"/>
          <w:szCs w:val="20"/>
          <w:lang w:val="es-MX"/>
        </w:rPr>
        <w:t>Tomando en cuenta lo anterior, es pertinente mencionar que el derecho al trabajo no resulta un derecho nuevo o emergente, por el contrario, consiste en un derecho sólidamente consolidado y reconocido desde hace mucho tiempo en los países de la región, como bien fue establecido en el párrafo 145 de la Sentencia. En igual sentido, los diversos Estados americanos han establecido tribunales de fuero interno especializados en la materia para proteger los derechos de los trabajadores, lo cual puede derivar en un cause procesal, en muchos casos, inclusive hasta las más altas instancias judiciales del país. Por consecuencia, el reconocimiento de la autonomía del derecho al trabajo como derecho humano autónomo bajo la protección de la Convención Americana no debe repercutir en mayor medida en la esfera interna de los países que desde hace décadas han dado protección interna a este derecho, sino más bien contribuye a fortalecer las vías para garantizar su efectividad. Lo anterior, resulta evidente además de la necesidad de garantizar una protección judicial (acceso a la justicia) a los derechos reconocidos en la legislación interna, según lo establecen los artículos 25 y 29 de la propia Convención Americana (</w:t>
      </w:r>
      <w:proofErr w:type="spellStart"/>
      <w:r w:rsidRPr="001932BE">
        <w:rPr>
          <w:rFonts w:ascii="Verdana" w:hAnsi="Verdana"/>
          <w:sz w:val="20"/>
          <w:szCs w:val="20"/>
          <w:lang w:val="es-MX"/>
        </w:rPr>
        <w:t>párrs</w:t>
      </w:r>
      <w:proofErr w:type="spellEnd"/>
      <w:r w:rsidRPr="001932BE">
        <w:rPr>
          <w:rFonts w:ascii="Verdana" w:hAnsi="Verdana"/>
          <w:sz w:val="20"/>
          <w:szCs w:val="20"/>
          <w:lang w:val="es-MX"/>
        </w:rPr>
        <w:t>. 173 a 176 de la Sentencia).</w:t>
      </w:r>
    </w:p>
    <w:p w14:paraId="041B0E70" w14:textId="77777777" w:rsidR="00F83E8F" w:rsidRPr="001932BE" w:rsidRDefault="00F83E8F" w:rsidP="00F83E8F">
      <w:pPr>
        <w:pStyle w:val="ListParagraph"/>
        <w:ind w:left="0"/>
        <w:jc w:val="both"/>
        <w:rPr>
          <w:rFonts w:ascii="Verdana" w:hAnsi="Verdana"/>
          <w:sz w:val="20"/>
          <w:szCs w:val="20"/>
          <w:lang w:val="es-MX"/>
        </w:rPr>
      </w:pPr>
    </w:p>
    <w:p w14:paraId="1D059DB4" w14:textId="77777777" w:rsidR="00F83E8F" w:rsidRPr="001932BE" w:rsidRDefault="00F83E8F" w:rsidP="00F83E8F">
      <w:pPr>
        <w:pStyle w:val="ListParagraph"/>
        <w:numPr>
          <w:ilvl w:val="0"/>
          <w:numId w:val="27"/>
        </w:numPr>
        <w:ind w:left="0" w:firstLine="0"/>
        <w:jc w:val="both"/>
        <w:rPr>
          <w:rFonts w:ascii="Verdana" w:hAnsi="Verdana"/>
          <w:sz w:val="20"/>
          <w:szCs w:val="20"/>
          <w:lang w:val="es-MX"/>
        </w:rPr>
      </w:pPr>
      <w:r w:rsidRPr="001932BE">
        <w:rPr>
          <w:rFonts w:ascii="Verdana" w:hAnsi="Verdana"/>
          <w:sz w:val="20"/>
          <w:szCs w:val="20"/>
          <w:lang w:val="es-MX"/>
        </w:rPr>
        <w:t xml:space="preserve">En este sentido el Preámbulo de la Convención Americana (de 1969) es claro en establecer el espíritu integrador y de vigencia de los DESCA: </w:t>
      </w:r>
    </w:p>
    <w:p w14:paraId="7B7FD303" w14:textId="77777777" w:rsidR="00F83E8F" w:rsidRPr="001932BE" w:rsidRDefault="00F83E8F" w:rsidP="00F83E8F">
      <w:pPr>
        <w:pStyle w:val="ListParagraph"/>
        <w:ind w:left="0"/>
        <w:rPr>
          <w:rFonts w:ascii="Verdana" w:hAnsi="Verdana"/>
          <w:sz w:val="20"/>
          <w:szCs w:val="20"/>
          <w:lang w:val="es-MX"/>
        </w:rPr>
      </w:pPr>
    </w:p>
    <w:p w14:paraId="71CF0503" w14:textId="77777777" w:rsidR="00F83E8F" w:rsidRPr="00267C93" w:rsidRDefault="00F83E8F" w:rsidP="00F83E8F">
      <w:pPr>
        <w:pStyle w:val="ListParagraph"/>
        <w:ind w:right="720"/>
        <w:jc w:val="both"/>
        <w:rPr>
          <w:rFonts w:ascii="Verdana" w:hAnsi="Verdana"/>
          <w:sz w:val="16"/>
          <w:szCs w:val="16"/>
          <w:lang w:val="es-MX"/>
        </w:rPr>
      </w:pPr>
      <w:r w:rsidRPr="00267C93">
        <w:rPr>
          <w:rFonts w:ascii="Verdana" w:hAnsi="Verdana"/>
          <w:sz w:val="16"/>
          <w:szCs w:val="16"/>
          <w:lang w:val="es-MX"/>
        </w:rPr>
        <w:t xml:space="preserve">“[…] </w:t>
      </w:r>
      <w:r w:rsidRPr="00267C93">
        <w:rPr>
          <w:rFonts w:ascii="Verdana" w:hAnsi="Verdana"/>
          <w:sz w:val="16"/>
          <w:szCs w:val="16"/>
          <w:lang w:val="es-CR"/>
        </w:rPr>
        <w:t xml:space="preserve">Reiterando que, con arreglo a la Declaración Universal de los Derechos Humanos, sólo puede realizarse el ideal del ser humano libre, exento del temor y de la miseria, si se crean condiciones que permitan a cada persona </w:t>
      </w:r>
      <w:r w:rsidRPr="00267C93">
        <w:rPr>
          <w:rFonts w:ascii="Verdana" w:hAnsi="Verdana"/>
          <w:b/>
          <w:i/>
          <w:sz w:val="16"/>
          <w:szCs w:val="16"/>
          <w:lang w:val="es-CR"/>
        </w:rPr>
        <w:t>gozar de sus derechos económicos, sociales y culturales, tanto como de sus derechos civiles y políticos</w:t>
      </w:r>
      <w:r w:rsidRPr="00267C93">
        <w:rPr>
          <w:rFonts w:ascii="Verdana" w:hAnsi="Verdana"/>
          <w:sz w:val="16"/>
          <w:szCs w:val="16"/>
          <w:lang w:val="es-CR"/>
        </w:rPr>
        <w:t xml:space="preserve">, y </w:t>
      </w:r>
    </w:p>
    <w:p w14:paraId="2E0025B9" w14:textId="77777777" w:rsidR="00F83E8F" w:rsidRPr="00267C93" w:rsidRDefault="00F83E8F" w:rsidP="00F83E8F">
      <w:pPr>
        <w:pStyle w:val="ListParagraph"/>
        <w:ind w:right="720"/>
        <w:jc w:val="both"/>
        <w:rPr>
          <w:rFonts w:ascii="Verdana" w:hAnsi="Verdana"/>
          <w:sz w:val="16"/>
          <w:szCs w:val="16"/>
          <w:lang w:val="es-CR"/>
        </w:rPr>
      </w:pPr>
    </w:p>
    <w:p w14:paraId="56B3F7C2" w14:textId="77777777" w:rsidR="00F83E8F" w:rsidRPr="00267C93" w:rsidRDefault="00F83E8F" w:rsidP="00F83E8F">
      <w:pPr>
        <w:pStyle w:val="ListParagraph"/>
        <w:ind w:right="720"/>
        <w:jc w:val="both"/>
        <w:rPr>
          <w:rFonts w:ascii="Verdana" w:hAnsi="Verdana"/>
          <w:sz w:val="16"/>
          <w:szCs w:val="16"/>
          <w:lang w:val="es-CR"/>
        </w:rPr>
      </w:pPr>
      <w:r w:rsidRPr="00267C93">
        <w:rPr>
          <w:rFonts w:ascii="Verdana" w:hAnsi="Verdana"/>
          <w:sz w:val="16"/>
          <w:szCs w:val="16"/>
          <w:lang w:val="es-CR"/>
        </w:rPr>
        <w:t xml:space="preserve">Considerando que la Tercera Conferencia Interamericana Extraordinaria (Buenos Aires, 1967) aprobó la incorporación a la propia Carta de la Organización </w:t>
      </w:r>
      <w:r w:rsidRPr="00267C93">
        <w:rPr>
          <w:rFonts w:ascii="Verdana" w:hAnsi="Verdana"/>
          <w:b/>
          <w:i/>
          <w:sz w:val="16"/>
          <w:szCs w:val="16"/>
          <w:lang w:val="es-CR"/>
        </w:rPr>
        <w:t>de normas más amplias sobre derechos económicos, sociales y educacionales</w:t>
      </w:r>
      <w:r w:rsidRPr="00267C93">
        <w:rPr>
          <w:rFonts w:ascii="Verdana" w:hAnsi="Verdana"/>
          <w:sz w:val="16"/>
          <w:szCs w:val="16"/>
          <w:lang w:val="es-CR"/>
        </w:rPr>
        <w:t xml:space="preserve"> y resolvió que una convención interamericana sobre derechos humanos determinara la estructura, competencia y procedimiento de los órganos encargados de esa materia […]”</w:t>
      </w:r>
      <w:r w:rsidRPr="00267C93">
        <w:rPr>
          <w:rStyle w:val="FootnoteReference"/>
          <w:sz w:val="16"/>
          <w:szCs w:val="16"/>
          <w:lang w:val="es-CR"/>
        </w:rPr>
        <w:footnoteReference w:id="284"/>
      </w:r>
      <w:r w:rsidRPr="00267C93">
        <w:rPr>
          <w:rFonts w:ascii="Verdana" w:hAnsi="Verdana"/>
          <w:sz w:val="16"/>
          <w:szCs w:val="16"/>
          <w:lang w:val="es-CR"/>
        </w:rPr>
        <w:t>.</w:t>
      </w:r>
    </w:p>
    <w:p w14:paraId="5134A73D" w14:textId="77777777" w:rsidR="00F83E8F" w:rsidRPr="001932BE" w:rsidRDefault="00F83E8F" w:rsidP="00F83E8F">
      <w:pPr>
        <w:pStyle w:val="ListParagraph"/>
        <w:ind w:left="0"/>
        <w:jc w:val="both"/>
        <w:rPr>
          <w:rFonts w:ascii="Verdana" w:hAnsi="Verdana"/>
          <w:sz w:val="20"/>
          <w:szCs w:val="20"/>
          <w:lang w:val="es-MX"/>
        </w:rPr>
      </w:pPr>
    </w:p>
    <w:p w14:paraId="6C00C039" w14:textId="77777777" w:rsidR="00F83E8F" w:rsidRPr="001932BE" w:rsidRDefault="00F83E8F" w:rsidP="00F83E8F">
      <w:pPr>
        <w:pStyle w:val="ListParagraph"/>
        <w:numPr>
          <w:ilvl w:val="0"/>
          <w:numId w:val="27"/>
        </w:numPr>
        <w:ind w:left="0" w:firstLine="0"/>
        <w:jc w:val="both"/>
        <w:rPr>
          <w:rFonts w:ascii="Verdana" w:hAnsi="Verdana"/>
          <w:sz w:val="20"/>
          <w:szCs w:val="20"/>
          <w:lang w:val="es-MX"/>
        </w:rPr>
      </w:pPr>
      <w:r w:rsidRPr="001932BE">
        <w:rPr>
          <w:rFonts w:ascii="Verdana" w:hAnsi="Verdana"/>
          <w:sz w:val="20"/>
          <w:szCs w:val="20"/>
          <w:lang w:val="es-MX"/>
        </w:rPr>
        <w:t>Adicionalmente a lo establecido en la propia Convención Americana, y reafirmando este objetivo, en el año 2012 los Estados americanos aprobaron, sin votos en contrario, la Carta Social de las Américas con claro objetivo establecido en su preámbulo:</w:t>
      </w:r>
    </w:p>
    <w:p w14:paraId="73DB4E94" w14:textId="77777777" w:rsidR="00F83E8F" w:rsidRPr="001932BE" w:rsidRDefault="00F83E8F" w:rsidP="00F83E8F">
      <w:pPr>
        <w:pStyle w:val="ListParagraph"/>
        <w:ind w:left="0"/>
        <w:jc w:val="both"/>
        <w:rPr>
          <w:rFonts w:ascii="Verdana" w:hAnsi="Verdana"/>
          <w:sz w:val="20"/>
          <w:szCs w:val="20"/>
          <w:lang w:val="es-MX"/>
        </w:rPr>
      </w:pPr>
    </w:p>
    <w:p w14:paraId="3F6277FB" w14:textId="77777777" w:rsidR="00F83E8F" w:rsidRPr="00267C93" w:rsidRDefault="00F83E8F" w:rsidP="00F83E8F">
      <w:pPr>
        <w:pStyle w:val="Quote"/>
        <w:spacing w:before="0" w:after="0"/>
        <w:ind w:left="720" w:right="720"/>
        <w:jc w:val="both"/>
        <w:rPr>
          <w:sz w:val="16"/>
          <w:szCs w:val="16"/>
          <w:lang w:val="es-CR"/>
        </w:rPr>
      </w:pPr>
      <w:r w:rsidRPr="00267C93">
        <w:rPr>
          <w:b/>
          <w:sz w:val="16"/>
          <w:szCs w:val="16"/>
          <w:lang w:val="es-ES_tradnl"/>
        </w:rPr>
        <w:t>“fortalecer el sistema interamericano con un instrumento que oriente la acción y la cooperación solidaria hacia la promoción del desarrollo integral y la observancia de los derechos económicos, sociales y culturales, así como la eliminación de la pobreza y la inequidad”.</w:t>
      </w:r>
    </w:p>
    <w:p w14:paraId="3FA1A788" w14:textId="77777777" w:rsidR="00F83E8F" w:rsidRPr="001932BE" w:rsidRDefault="00F83E8F" w:rsidP="00F83E8F">
      <w:pPr>
        <w:rPr>
          <w:szCs w:val="20"/>
          <w:lang w:val="es-MX"/>
        </w:rPr>
      </w:pPr>
    </w:p>
    <w:p w14:paraId="37A4F3F5" w14:textId="77777777" w:rsidR="00F83E8F" w:rsidRPr="001932BE" w:rsidRDefault="00F83E8F" w:rsidP="00F83E8F">
      <w:pPr>
        <w:pStyle w:val="ListParagraph"/>
        <w:numPr>
          <w:ilvl w:val="0"/>
          <w:numId w:val="27"/>
        </w:numPr>
        <w:ind w:left="0" w:firstLine="0"/>
        <w:jc w:val="both"/>
        <w:rPr>
          <w:rFonts w:ascii="Verdana" w:hAnsi="Verdana"/>
          <w:sz w:val="20"/>
          <w:szCs w:val="20"/>
          <w:lang w:val="es-MX"/>
        </w:rPr>
      </w:pPr>
      <w:r w:rsidRPr="001932BE">
        <w:rPr>
          <w:rFonts w:ascii="Verdana" w:hAnsi="Verdana"/>
          <w:sz w:val="20"/>
          <w:szCs w:val="20"/>
          <w:lang w:val="es-MX"/>
        </w:rPr>
        <w:lastRenderedPageBreak/>
        <w:t xml:space="preserve">Por lo tanto, no serían razonables tantos esfuerzos sociales y estatales en la dirección de fortalecer la vigencia de los DESCA y mantener a la Corte Interamericana conociendo esos derechos solamente de una forma indirecta, aun y cuando sea la temática principal de la petición de la víctima y de todo el proceso, como resulta en el presente caso. </w:t>
      </w:r>
    </w:p>
    <w:p w14:paraId="4E2FD8E4" w14:textId="77777777" w:rsidR="00F83E8F" w:rsidRPr="001932BE" w:rsidRDefault="00F83E8F" w:rsidP="00F83E8F">
      <w:pPr>
        <w:rPr>
          <w:szCs w:val="20"/>
          <w:lang w:val="es-MX"/>
        </w:rPr>
      </w:pPr>
    </w:p>
    <w:p w14:paraId="1CA08955" w14:textId="77777777" w:rsidR="00F83E8F" w:rsidRPr="001932BE" w:rsidRDefault="00F83E8F" w:rsidP="00F83E8F">
      <w:pPr>
        <w:pStyle w:val="ListParagraph"/>
        <w:numPr>
          <w:ilvl w:val="0"/>
          <w:numId w:val="27"/>
        </w:numPr>
        <w:ind w:left="0" w:firstLine="0"/>
        <w:jc w:val="both"/>
        <w:rPr>
          <w:rFonts w:ascii="Verdana" w:hAnsi="Verdana"/>
          <w:sz w:val="20"/>
          <w:szCs w:val="20"/>
        </w:rPr>
      </w:pPr>
      <w:r w:rsidRPr="001932BE">
        <w:rPr>
          <w:rFonts w:ascii="Verdana" w:hAnsi="Verdana"/>
          <w:sz w:val="20"/>
          <w:szCs w:val="20"/>
          <w:lang w:val="es-MX"/>
        </w:rPr>
        <w:t xml:space="preserve">En efecto, el </w:t>
      </w:r>
      <w:r w:rsidRPr="001932BE">
        <w:rPr>
          <w:rFonts w:ascii="Verdana" w:hAnsi="Verdana"/>
          <w:sz w:val="20"/>
          <w:szCs w:val="20"/>
          <w:lang w:val="es-UY"/>
        </w:rPr>
        <w:t xml:space="preserve">derecho al trabajo ha sido reconocido, en los diversos instrumentos internacionales y en los textos constitucionales </w:t>
      </w:r>
      <w:r w:rsidRPr="001932BE">
        <w:rPr>
          <w:rFonts w:ascii="Verdana" w:hAnsi="Verdana"/>
          <w:sz w:val="20"/>
          <w:szCs w:val="20"/>
          <w:lang w:val="es-MX"/>
        </w:rPr>
        <w:t>contemporáneos</w:t>
      </w:r>
      <w:r w:rsidRPr="001932BE">
        <w:rPr>
          <w:rFonts w:ascii="Verdana" w:hAnsi="Verdana"/>
          <w:sz w:val="20"/>
          <w:szCs w:val="20"/>
          <w:lang w:val="es-UY"/>
        </w:rPr>
        <w:t xml:space="preserve">, como uno de los </w:t>
      </w:r>
      <w:r w:rsidRPr="001932BE">
        <w:rPr>
          <w:rFonts w:ascii="Verdana" w:hAnsi="Verdana"/>
          <w:sz w:val="20"/>
          <w:szCs w:val="20"/>
          <w:lang w:val="es-MX"/>
        </w:rPr>
        <w:t>elementos</w:t>
      </w:r>
      <w:r w:rsidRPr="001932BE">
        <w:rPr>
          <w:rFonts w:ascii="Verdana" w:hAnsi="Verdana"/>
          <w:sz w:val="20"/>
          <w:szCs w:val="20"/>
          <w:lang w:val="es-UY"/>
        </w:rPr>
        <w:t xml:space="preserve"> fundamentales para la plena </w:t>
      </w:r>
      <w:r w:rsidRPr="001932BE">
        <w:rPr>
          <w:rFonts w:ascii="Verdana" w:hAnsi="Verdana"/>
          <w:sz w:val="20"/>
          <w:szCs w:val="20"/>
          <w:lang w:val="es-MX"/>
        </w:rPr>
        <w:t>vigencia</w:t>
      </w:r>
      <w:r w:rsidRPr="001932BE">
        <w:rPr>
          <w:rFonts w:ascii="Verdana" w:hAnsi="Verdana"/>
          <w:sz w:val="20"/>
          <w:szCs w:val="20"/>
          <w:lang w:val="es-UY"/>
        </w:rPr>
        <w:t xml:space="preserve"> de los derechos humanos, en sus dos dimensiones: aquella de los llamados derechos c</w:t>
      </w:r>
      <w:proofErr w:type="spellStart"/>
      <w:r w:rsidRPr="001932BE">
        <w:rPr>
          <w:rFonts w:ascii="Verdana" w:hAnsi="Verdana"/>
          <w:sz w:val="20"/>
          <w:szCs w:val="20"/>
          <w:lang w:val="es-MX"/>
        </w:rPr>
        <w:t>iviles</w:t>
      </w:r>
      <w:proofErr w:type="spellEnd"/>
      <w:r w:rsidRPr="001932BE">
        <w:rPr>
          <w:rFonts w:ascii="Verdana" w:hAnsi="Verdana"/>
          <w:sz w:val="20"/>
          <w:szCs w:val="20"/>
          <w:lang w:val="es-MX"/>
        </w:rPr>
        <w:t xml:space="preserve"> y políticos, y aquella de los derechos sociales, económicos, culturales y ambientales. </w:t>
      </w:r>
      <w:r w:rsidRPr="001932BE">
        <w:rPr>
          <w:rFonts w:ascii="Verdana" w:hAnsi="Verdana"/>
          <w:sz w:val="20"/>
          <w:szCs w:val="20"/>
        </w:rPr>
        <w:t xml:space="preserve">Como elemento indispensable de integración social y presupuesto material para la existencia de esos derechos, el trabajo debe ser, por sí mismo, definitivamente incorporado en la lógica normativa de los derechos humanos. </w:t>
      </w:r>
    </w:p>
    <w:p w14:paraId="55C147F0" w14:textId="77777777" w:rsidR="00F83E8F" w:rsidRPr="001932BE" w:rsidRDefault="00F83E8F" w:rsidP="00F83E8F">
      <w:pPr>
        <w:rPr>
          <w:szCs w:val="20"/>
          <w:lang w:val="es-ES"/>
        </w:rPr>
      </w:pPr>
    </w:p>
    <w:p w14:paraId="72F195A8" w14:textId="77777777" w:rsidR="00F83E8F" w:rsidRPr="001932BE" w:rsidRDefault="00F83E8F" w:rsidP="00F83E8F">
      <w:pPr>
        <w:pStyle w:val="ListParagraph"/>
        <w:numPr>
          <w:ilvl w:val="0"/>
          <w:numId w:val="27"/>
        </w:numPr>
        <w:ind w:left="0" w:firstLine="0"/>
        <w:jc w:val="both"/>
        <w:rPr>
          <w:rFonts w:ascii="Verdana" w:hAnsi="Verdana"/>
          <w:sz w:val="20"/>
          <w:szCs w:val="20"/>
        </w:rPr>
      </w:pPr>
      <w:r w:rsidRPr="001932BE">
        <w:rPr>
          <w:rFonts w:ascii="Verdana" w:hAnsi="Verdana"/>
          <w:sz w:val="20"/>
          <w:szCs w:val="20"/>
        </w:rPr>
        <w:t>Sin perjuicio de lo anterior</w:t>
      </w:r>
      <w:r w:rsidRPr="001932BE">
        <w:rPr>
          <w:rFonts w:ascii="Verdana" w:hAnsi="Verdana"/>
          <w:sz w:val="20"/>
          <w:szCs w:val="20"/>
          <w:lang w:val="es-MX"/>
        </w:rPr>
        <w:t xml:space="preserve">, es conveniente recordar lo mencionado en nuestro voto del </w:t>
      </w:r>
      <w:r w:rsidRPr="001932BE">
        <w:rPr>
          <w:rFonts w:ascii="Verdana" w:hAnsi="Verdana"/>
          <w:i/>
          <w:sz w:val="20"/>
          <w:szCs w:val="20"/>
          <w:lang w:val="es-MX"/>
        </w:rPr>
        <w:t xml:space="preserve">Caso Canales Huapaya y Otros Vs. Perú </w:t>
      </w:r>
      <w:r w:rsidRPr="001932BE">
        <w:rPr>
          <w:rFonts w:ascii="Verdana" w:hAnsi="Verdana"/>
          <w:sz w:val="20"/>
          <w:szCs w:val="20"/>
          <w:lang w:val="es-MX"/>
        </w:rPr>
        <w:t>sobre el alcance del derecho al trabajo a la luz de la Convención, respecto de que “</w:t>
      </w:r>
      <w:r w:rsidRPr="001932BE">
        <w:rPr>
          <w:rFonts w:ascii="Verdana" w:hAnsi="Verdana"/>
          <w:sz w:val="20"/>
          <w:szCs w:val="20"/>
        </w:rPr>
        <w:t xml:space="preserve">este entendimiento del derecho al trabajo como directamente fundamental en los Estados nacionales, o de la </w:t>
      </w:r>
      <w:proofErr w:type="spellStart"/>
      <w:r w:rsidRPr="001932BE">
        <w:rPr>
          <w:rFonts w:ascii="Verdana" w:hAnsi="Verdana"/>
          <w:sz w:val="20"/>
          <w:szCs w:val="20"/>
        </w:rPr>
        <w:t>justiciabilidad</w:t>
      </w:r>
      <w:proofErr w:type="spellEnd"/>
      <w:r w:rsidRPr="001932BE">
        <w:rPr>
          <w:rFonts w:ascii="Verdana" w:hAnsi="Verdana"/>
          <w:sz w:val="20"/>
          <w:szCs w:val="20"/>
        </w:rPr>
        <w:t xml:space="preserve"> directa del derecho al trabajo en el marco de la Convención Americana, no implica un entendimiento del derecho al trabajo como un derecho absoluto, como un derecho que no tiene límites o que se debe proteger en toda ocasión que se invoque”. Además, cada vez que un derecho sea alegado como violado, la Corte realizará un análisis de las obligaciones que tienen los Estados de garantía y respeto en cada caso en específico.</w:t>
      </w:r>
    </w:p>
    <w:p w14:paraId="39073535" w14:textId="77777777" w:rsidR="00F83E8F" w:rsidRPr="001932BE" w:rsidRDefault="00F83E8F" w:rsidP="00F83E8F">
      <w:pPr>
        <w:pStyle w:val="ListParagraph"/>
        <w:ind w:left="0"/>
        <w:jc w:val="both"/>
        <w:rPr>
          <w:rFonts w:ascii="Verdana" w:hAnsi="Verdana"/>
          <w:sz w:val="20"/>
          <w:szCs w:val="20"/>
        </w:rPr>
      </w:pPr>
    </w:p>
    <w:p w14:paraId="649110BD" w14:textId="77777777" w:rsidR="00F83E8F" w:rsidRPr="001932BE" w:rsidRDefault="00F83E8F" w:rsidP="00F83E8F">
      <w:pPr>
        <w:pStyle w:val="Style1"/>
        <w:spacing w:after="0" w:line="240" w:lineRule="auto"/>
        <w:ind w:left="0"/>
      </w:pPr>
      <w:r w:rsidRPr="001932BE">
        <w:t>Consideraciones finales</w:t>
      </w:r>
    </w:p>
    <w:p w14:paraId="2C3BFE60" w14:textId="77777777" w:rsidR="00F83E8F" w:rsidRPr="001932BE" w:rsidRDefault="00F83E8F" w:rsidP="00F83E8F">
      <w:pPr>
        <w:pStyle w:val="Style1"/>
        <w:numPr>
          <w:ilvl w:val="0"/>
          <w:numId w:val="0"/>
        </w:numPr>
        <w:spacing w:after="0" w:line="240" w:lineRule="auto"/>
        <w:jc w:val="both"/>
      </w:pPr>
    </w:p>
    <w:p w14:paraId="149A68F1" w14:textId="6C2BD4C1" w:rsidR="00F83E8F" w:rsidRPr="001932BE" w:rsidRDefault="00F83E8F" w:rsidP="00F83E8F">
      <w:pPr>
        <w:pStyle w:val="ListParagraph"/>
        <w:numPr>
          <w:ilvl w:val="0"/>
          <w:numId w:val="27"/>
        </w:numPr>
        <w:ind w:left="0" w:firstLine="0"/>
        <w:jc w:val="both"/>
        <w:rPr>
          <w:rFonts w:ascii="Verdana" w:hAnsi="Verdana"/>
          <w:sz w:val="20"/>
          <w:szCs w:val="20"/>
          <w:lang w:val="es-MX"/>
        </w:rPr>
      </w:pPr>
      <w:r w:rsidRPr="001932BE">
        <w:rPr>
          <w:rFonts w:ascii="Verdana" w:hAnsi="Verdana"/>
          <w:sz w:val="20"/>
          <w:szCs w:val="20"/>
          <w:lang w:val="es-MX"/>
        </w:rPr>
        <w:t xml:space="preserve">Por todo lo anterior, reafirmo mi adhesión a esta importante Sentencia, con la sencilla excepción procesal que, a mi criterio, en el presente caso no resulta necesaria la aplicación del principio de </w:t>
      </w:r>
      <w:proofErr w:type="spellStart"/>
      <w:r w:rsidRPr="001932BE">
        <w:rPr>
          <w:rFonts w:ascii="Verdana" w:hAnsi="Verdana"/>
          <w:i/>
          <w:sz w:val="20"/>
          <w:szCs w:val="20"/>
          <w:lang w:val="es-MX"/>
        </w:rPr>
        <w:t>iura</w:t>
      </w:r>
      <w:proofErr w:type="spellEnd"/>
      <w:r w:rsidRPr="001932BE">
        <w:rPr>
          <w:rFonts w:ascii="Verdana" w:hAnsi="Verdana"/>
          <w:i/>
          <w:sz w:val="20"/>
          <w:szCs w:val="20"/>
          <w:lang w:val="es-MX"/>
        </w:rPr>
        <w:t xml:space="preserve"> </w:t>
      </w:r>
      <w:proofErr w:type="spellStart"/>
      <w:r w:rsidRPr="001932BE">
        <w:rPr>
          <w:rFonts w:ascii="Verdana" w:hAnsi="Verdana"/>
          <w:i/>
          <w:sz w:val="20"/>
          <w:szCs w:val="20"/>
          <w:lang w:val="es-MX"/>
        </w:rPr>
        <w:t>novit</w:t>
      </w:r>
      <w:proofErr w:type="spellEnd"/>
      <w:r w:rsidRPr="001932BE">
        <w:rPr>
          <w:rFonts w:ascii="Verdana" w:hAnsi="Verdana"/>
          <w:i/>
          <w:sz w:val="20"/>
          <w:szCs w:val="20"/>
          <w:lang w:val="es-MX"/>
        </w:rPr>
        <w:t xml:space="preserve"> curia </w:t>
      </w:r>
      <w:r w:rsidRPr="001932BE">
        <w:rPr>
          <w:rFonts w:ascii="Verdana" w:hAnsi="Verdana"/>
          <w:sz w:val="20"/>
          <w:szCs w:val="20"/>
          <w:lang w:val="es-MX"/>
        </w:rPr>
        <w:t>para poder declarar la violación del artículo 26 convencional. El resultado no cambia con este detalle</w:t>
      </w:r>
      <w:r w:rsidRPr="001932BE">
        <w:rPr>
          <w:rFonts w:ascii="Verdana" w:hAnsi="Verdana"/>
          <w:i/>
          <w:sz w:val="20"/>
          <w:szCs w:val="20"/>
          <w:lang w:val="es-MX"/>
        </w:rPr>
        <w:t xml:space="preserve">. </w:t>
      </w:r>
      <w:r w:rsidRPr="001932BE">
        <w:rPr>
          <w:rFonts w:ascii="Verdana" w:hAnsi="Verdana"/>
          <w:sz w:val="20"/>
          <w:szCs w:val="20"/>
          <w:lang w:val="es-MX"/>
        </w:rPr>
        <w:t xml:space="preserve">Reitero el gran paso histórico que ha tomado este Tribunal de declarar la </w:t>
      </w:r>
      <w:proofErr w:type="spellStart"/>
      <w:r w:rsidRPr="001932BE">
        <w:rPr>
          <w:rFonts w:ascii="Verdana" w:hAnsi="Verdana"/>
          <w:sz w:val="20"/>
          <w:szCs w:val="20"/>
          <w:lang w:val="es-MX"/>
        </w:rPr>
        <w:t>justiciabilidad</w:t>
      </w:r>
      <w:proofErr w:type="spellEnd"/>
      <w:r w:rsidRPr="001932BE">
        <w:rPr>
          <w:rFonts w:ascii="Verdana" w:hAnsi="Verdana"/>
          <w:sz w:val="20"/>
          <w:szCs w:val="20"/>
          <w:lang w:val="es-MX"/>
        </w:rPr>
        <w:t xml:space="preserve"> del derecho del trabajo y de la estabilidad laboral, y con ello una nueva época para la protección </w:t>
      </w:r>
      <w:r w:rsidRPr="001932BE">
        <w:rPr>
          <w:rFonts w:ascii="Verdana" w:hAnsi="Verdana"/>
          <w:sz w:val="20"/>
          <w:szCs w:val="20"/>
          <w:lang w:val="es-CR"/>
        </w:rPr>
        <w:t>de todos</w:t>
      </w:r>
      <w:r w:rsidRPr="001932BE">
        <w:rPr>
          <w:rFonts w:ascii="Verdana" w:hAnsi="Verdana"/>
          <w:sz w:val="20"/>
          <w:szCs w:val="20"/>
          <w:lang w:val="es-MX"/>
        </w:rPr>
        <w:t xml:space="preserve"> los derechos humanos, </w:t>
      </w:r>
      <w:r w:rsidRPr="001932BE">
        <w:rPr>
          <w:rFonts w:ascii="Verdana" w:hAnsi="Verdana"/>
          <w:sz w:val="20"/>
          <w:szCs w:val="20"/>
          <w:lang w:val="es-CR"/>
        </w:rPr>
        <w:t>interdependientes e indivisibles,</w:t>
      </w:r>
      <w:r w:rsidRPr="001932BE">
        <w:rPr>
          <w:rFonts w:ascii="Verdana" w:hAnsi="Verdana"/>
          <w:sz w:val="20"/>
          <w:szCs w:val="20"/>
          <w:lang w:val="es-MX"/>
        </w:rPr>
        <w:t xml:space="preserve"> y de manera aún más integral.</w:t>
      </w:r>
    </w:p>
    <w:p w14:paraId="02B8A4A5" w14:textId="77777777" w:rsidR="00F83E8F" w:rsidRPr="001932BE" w:rsidRDefault="00F83E8F" w:rsidP="00F83E8F">
      <w:pPr>
        <w:rPr>
          <w:szCs w:val="20"/>
          <w:lang w:val="es-MX"/>
        </w:rPr>
      </w:pPr>
    </w:p>
    <w:p w14:paraId="0090FF2C" w14:textId="77777777" w:rsidR="00F83E8F" w:rsidRPr="001932BE" w:rsidRDefault="00F83E8F" w:rsidP="00F83E8F">
      <w:pPr>
        <w:rPr>
          <w:szCs w:val="20"/>
          <w:lang w:val="es-MX"/>
        </w:rPr>
      </w:pPr>
    </w:p>
    <w:p w14:paraId="5599FB6D" w14:textId="77777777" w:rsidR="00F83E8F" w:rsidRPr="001932BE" w:rsidRDefault="00F83E8F" w:rsidP="00F83E8F">
      <w:pPr>
        <w:rPr>
          <w:szCs w:val="20"/>
          <w:lang w:val="es-MX"/>
        </w:rPr>
      </w:pPr>
    </w:p>
    <w:p w14:paraId="0F4F572B" w14:textId="017E7A70" w:rsidR="00F83E8F" w:rsidRPr="001932BE" w:rsidRDefault="00F83E8F" w:rsidP="00F83E8F">
      <w:pPr>
        <w:rPr>
          <w:szCs w:val="20"/>
          <w:lang w:val="es-MX"/>
        </w:rPr>
      </w:pPr>
    </w:p>
    <w:p w14:paraId="71CFB36E" w14:textId="77777777" w:rsidR="00F83E8F" w:rsidRPr="001932BE" w:rsidRDefault="00F83E8F" w:rsidP="00F83E8F">
      <w:pPr>
        <w:pStyle w:val="NormalWeb"/>
        <w:spacing w:before="0" w:beforeAutospacing="0" w:after="0" w:afterAutospacing="0"/>
        <w:ind w:right="720"/>
        <w:jc w:val="right"/>
        <w:rPr>
          <w:rFonts w:ascii="Verdana" w:eastAsia="Calibri" w:hAnsi="Verdana"/>
          <w:sz w:val="20"/>
          <w:szCs w:val="20"/>
          <w:lang w:val="pt-BR" w:eastAsia="en-US"/>
        </w:rPr>
      </w:pPr>
      <w:r w:rsidRPr="001932BE">
        <w:rPr>
          <w:rFonts w:ascii="Verdana" w:eastAsia="Calibri" w:hAnsi="Verdana"/>
          <w:sz w:val="20"/>
          <w:szCs w:val="20"/>
          <w:lang w:val="pt-BR" w:eastAsia="en-US"/>
        </w:rPr>
        <w:t>Roberto F. Caldas</w:t>
      </w:r>
    </w:p>
    <w:p w14:paraId="4823869C" w14:textId="77777777" w:rsidR="00F83E8F" w:rsidRPr="001932BE" w:rsidRDefault="00F83E8F" w:rsidP="00F83E8F">
      <w:pPr>
        <w:pStyle w:val="NormalWeb"/>
        <w:spacing w:before="0" w:beforeAutospacing="0" w:after="0" w:afterAutospacing="0"/>
        <w:ind w:right="990"/>
        <w:jc w:val="right"/>
        <w:rPr>
          <w:rFonts w:ascii="Verdana" w:eastAsia="Calibri" w:hAnsi="Verdana"/>
          <w:sz w:val="20"/>
          <w:szCs w:val="20"/>
          <w:lang w:val="pt-BR" w:eastAsia="en-US"/>
        </w:rPr>
      </w:pPr>
      <w:r w:rsidRPr="001932BE">
        <w:rPr>
          <w:rFonts w:ascii="Verdana" w:eastAsia="Calibri" w:hAnsi="Verdana"/>
          <w:sz w:val="20"/>
          <w:szCs w:val="20"/>
          <w:lang w:val="pt-BR" w:eastAsia="en-US"/>
        </w:rPr>
        <w:t>Presidente</w:t>
      </w:r>
    </w:p>
    <w:p w14:paraId="15EFEE0F" w14:textId="77777777" w:rsidR="00F83E8F" w:rsidRPr="001932BE" w:rsidRDefault="00F83E8F" w:rsidP="00F83E8F">
      <w:pPr>
        <w:rPr>
          <w:szCs w:val="20"/>
          <w:lang w:val="pt-BR"/>
        </w:rPr>
      </w:pPr>
    </w:p>
    <w:p w14:paraId="308C71B1" w14:textId="77777777" w:rsidR="00F83E8F" w:rsidRPr="001932BE" w:rsidRDefault="00F83E8F" w:rsidP="00F83E8F">
      <w:pPr>
        <w:rPr>
          <w:szCs w:val="20"/>
          <w:lang w:val="pt-BR"/>
        </w:rPr>
      </w:pPr>
    </w:p>
    <w:p w14:paraId="16F26EA4" w14:textId="77777777" w:rsidR="00F83E8F" w:rsidRPr="001932BE" w:rsidRDefault="00F83E8F" w:rsidP="00F83E8F">
      <w:pPr>
        <w:rPr>
          <w:szCs w:val="20"/>
          <w:lang w:val="pt-BR"/>
        </w:rPr>
      </w:pPr>
    </w:p>
    <w:p w14:paraId="6D8B4D29" w14:textId="77777777" w:rsidR="00F83E8F" w:rsidRPr="001932BE" w:rsidRDefault="00F83E8F" w:rsidP="00F83E8F">
      <w:pPr>
        <w:rPr>
          <w:szCs w:val="20"/>
          <w:lang w:val="pt-BR"/>
        </w:rPr>
      </w:pPr>
    </w:p>
    <w:p w14:paraId="141C17F5" w14:textId="77777777" w:rsidR="00F83E8F" w:rsidRPr="001932BE" w:rsidRDefault="00F83E8F" w:rsidP="00F83E8F">
      <w:pPr>
        <w:rPr>
          <w:szCs w:val="20"/>
          <w:lang w:val="pt-BR"/>
        </w:rPr>
      </w:pPr>
      <w:r w:rsidRPr="001932BE">
        <w:rPr>
          <w:szCs w:val="20"/>
          <w:lang w:val="pt-BR"/>
        </w:rPr>
        <w:t>Pablo Saavedra Alessandri</w:t>
      </w:r>
    </w:p>
    <w:p w14:paraId="14CFC170" w14:textId="77777777" w:rsidR="00F83E8F" w:rsidRPr="001932BE" w:rsidRDefault="00F83E8F" w:rsidP="00F83E8F">
      <w:pPr>
        <w:ind w:firstLine="720"/>
        <w:rPr>
          <w:szCs w:val="20"/>
          <w:lang w:val="es-CR"/>
        </w:rPr>
      </w:pPr>
      <w:r w:rsidRPr="001932BE">
        <w:rPr>
          <w:szCs w:val="20"/>
          <w:lang w:val="es-CR"/>
        </w:rPr>
        <w:t xml:space="preserve">  Secretario</w:t>
      </w:r>
    </w:p>
    <w:p w14:paraId="013C9858" w14:textId="77777777" w:rsidR="00F83E8F" w:rsidRPr="001932BE" w:rsidRDefault="00F83E8F" w:rsidP="00F83E8F">
      <w:pPr>
        <w:ind w:firstLine="720"/>
        <w:rPr>
          <w:szCs w:val="20"/>
          <w:lang w:val="es-CR"/>
        </w:rPr>
      </w:pPr>
    </w:p>
    <w:p w14:paraId="0CAD135B" w14:textId="77777777" w:rsidR="00F83E8F" w:rsidRPr="001932BE" w:rsidRDefault="00F83E8F" w:rsidP="00F83E8F">
      <w:pPr>
        <w:ind w:firstLine="720"/>
        <w:rPr>
          <w:szCs w:val="20"/>
          <w:lang w:val="es-CR"/>
        </w:rPr>
      </w:pPr>
    </w:p>
    <w:p w14:paraId="66CC440D" w14:textId="77777777" w:rsidR="00F83E8F" w:rsidRPr="001932BE" w:rsidRDefault="00F83E8F" w:rsidP="00F83E8F">
      <w:pPr>
        <w:ind w:firstLine="720"/>
        <w:rPr>
          <w:rFonts w:cs="Arial"/>
          <w:szCs w:val="20"/>
        </w:rPr>
      </w:pPr>
    </w:p>
    <w:p w14:paraId="26F8DFC5" w14:textId="77777777" w:rsidR="00F83E8F" w:rsidRDefault="00F83E8F" w:rsidP="00C16A26">
      <w:pPr>
        <w:rPr>
          <w:rFonts w:cs="Arial"/>
          <w:szCs w:val="20"/>
        </w:rPr>
        <w:sectPr w:rsidR="00F83E8F" w:rsidSect="00F83E8F">
          <w:footnotePr>
            <w:numRestart w:val="eachSect"/>
          </w:footnotePr>
          <w:pgSz w:w="12240" w:h="15840" w:code="1"/>
          <w:pgMar w:top="1247" w:right="1247" w:bottom="1247" w:left="1247" w:header="709" w:footer="709" w:gutter="0"/>
          <w:pgNumType w:start="1"/>
          <w:cols w:space="708"/>
          <w:titlePg/>
          <w:docGrid w:linePitch="360"/>
        </w:sectPr>
      </w:pPr>
    </w:p>
    <w:p w14:paraId="5BAD733F" w14:textId="77777777" w:rsidR="00F83E8F" w:rsidRDefault="00F83E8F" w:rsidP="00C16A26">
      <w:pPr>
        <w:rPr>
          <w:rFonts w:ascii="Verdana" w:hAnsi="Verdana"/>
          <w:b/>
          <w:caps/>
          <w:sz w:val="20"/>
          <w:szCs w:val="20"/>
        </w:rPr>
      </w:pPr>
    </w:p>
    <w:p w14:paraId="3C5AC88B" w14:textId="77777777" w:rsidR="00C16A26" w:rsidRDefault="00C16A26" w:rsidP="00C16A26">
      <w:pPr>
        <w:rPr>
          <w:rFonts w:ascii="Verdana" w:hAnsi="Verdana"/>
          <w:b/>
          <w:caps/>
          <w:sz w:val="20"/>
          <w:szCs w:val="20"/>
        </w:rPr>
      </w:pPr>
    </w:p>
    <w:p w14:paraId="01CC4B06" w14:textId="77777777" w:rsidR="00C16A26" w:rsidRDefault="00C16A26" w:rsidP="00C16A26">
      <w:pPr>
        <w:rPr>
          <w:rFonts w:ascii="Verdana" w:hAnsi="Verdana"/>
          <w:b/>
          <w:caps/>
          <w:sz w:val="20"/>
          <w:szCs w:val="20"/>
        </w:rPr>
      </w:pPr>
    </w:p>
    <w:p w14:paraId="6F36D47C" w14:textId="77777777" w:rsidR="00C16A26" w:rsidRDefault="00C16A26" w:rsidP="00C16A26">
      <w:pPr>
        <w:rPr>
          <w:rFonts w:ascii="Verdana" w:hAnsi="Verdana"/>
          <w:b/>
          <w:caps/>
          <w:sz w:val="20"/>
          <w:szCs w:val="20"/>
        </w:rPr>
      </w:pPr>
    </w:p>
    <w:p w14:paraId="1566E672" w14:textId="77777777" w:rsidR="00C16A26" w:rsidRDefault="00C16A26" w:rsidP="00C16A26">
      <w:pPr>
        <w:rPr>
          <w:rFonts w:ascii="Verdana" w:hAnsi="Verdana"/>
          <w:b/>
          <w:caps/>
          <w:sz w:val="20"/>
          <w:szCs w:val="20"/>
        </w:rPr>
      </w:pPr>
    </w:p>
    <w:p w14:paraId="27A35EE9" w14:textId="77777777" w:rsidR="00C16A26" w:rsidRDefault="00C16A26" w:rsidP="00C16A26">
      <w:pPr>
        <w:rPr>
          <w:rFonts w:ascii="Verdana" w:hAnsi="Verdana"/>
          <w:b/>
          <w:caps/>
          <w:sz w:val="20"/>
          <w:szCs w:val="20"/>
        </w:rPr>
      </w:pPr>
    </w:p>
    <w:p w14:paraId="417CE3AA" w14:textId="77777777" w:rsidR="00C16A26" w:rsidRDefault="00C16A26" w:rsidP="00C16A26">
      <w:pPr>
        <w:rPr>
          <w:rFonts w:ascii="Verdana" w:hAnsi="Verdana"/>
          <w:b/>
          <w:caps/>
          <w:sz w:val="20"/>
          <w:szCs w:val="20"/>
        </w:rPr>
      </w:pPr>
    </w:p>
    <w:p w14:paraId="282B2881" w14:textId="77777777" w:rsidR="00F83E8F" w:rsidRPr="000D35BC" w:rsidRDefault="00F83E8F" w:rsidP="00F83E8F">
      <w:pPr>
        <w:rPr>
          <w:rFonts w:ascii="Verdana" w:hAnsi="Verdana"/>
          <w:b/>
          <w:caps/>
          <w:sz w:val="20"/>
          <w:szCs w:val="20"/>
          <w:lang w:val="es-CR"/>
        </w:rPr>
      </w:pPr>
    </w:p>
    <w:p w14:paraId="1ABDB6EE" w14:textId="77777777" w:rsidR="00F83E8F" w:rsidRPr="003D4E91" w:rsidRDefault="00F83E8F" w:rsidP="00F83E8F">
      <w:pPr>
        <w:jc w:val="center"/>
        <w:rPr>
          <w:rFonts w:ascii="Verdana" w:hAnsi="Verdana"/>
          <w:b/>
          <w:caps/>
          <w:sz w:val="20"/>
          <w:szCs w:val="20"/>
        </w:rPr>
      </w:pPr>
      <w:r w:rsidRPr="003D4E91">
        <w:rPr>
          <w:rFonts w:ascii="Verdana" w:hAnsi="Verdana"/>
          <w:b/>
          <w:caps/>
          <w:sz w:val="20"/>
          <w:szCs w:val="20"/>
        </w:rPr>
        <w:t>VOTO CONCURRENTE DEL</w:t>
      </w:r>
    </w:p>
    <w:p w14:paraId="7B1F88AC" w14:textId="77777777" w:rsidR="00F83E8F" w:rsidRPr="003D4E91" w:rsidRDefault="00F83E8F" w:rsidP="00F83E8F">
      <w:pPr>
        <w:jc w:val="center"/>
        <w:rPr>
          <w:rFonts w:ascii="Verdana" w:hAnsi="Verdana"/>
          <w:b/>
          <w:caps/>
          <w:sz w:val="20"/>
          <w:szCs w:val="20"/>
        </w:rPr>
      </w:pPr>
      <w:r w:rsidRPr="003D4E91">
        <w:rPr>
          <w:rFonts w:ascii="Verdana" w:hAnsi="Verdana"/>
          <w:b/>
          <w:caps/>
          <w:sz w:val="20"/>
          <w:szCs w:val="20"/>
        </w:rPr>
        <w:t>JUEZ EDUARDO FERRER MAC-GREGOR POISOT</w:t>
      </w:r>
    </w:p>
    <w:p w14:paraId="03CB21E1" w14:textId="77777777" w:rsidR="00F83E8F" w:rsidRPr="00DC6005" w:rsidRDefault="00F83E8F" w:rsidP="00F83E8F">
      <w:pPr>
        <w:jc w:val="center"/>
        <w:rPr>
          <w:rFonts w:ascii="Verdana" w:hAnsi="Verdana"/>
          <w:caps/>
          <w:sz w:val="20"/>
          <w:szCs w:val="20"/>
        </w:rPr>
      </w:pPr>
    </w:p>
    <w:p w14:paraId="22DF5DBA" w14:textId="77777777" w:rsidR="00F83E8F" w:rsidRPr="003D4E91" w:rsidRDefault="00F83E8F" w:rsidP="00F83E8F">
      <w:pPr>
        <w:jc w:val="center"/>
        <w:rPr>
          <w:rFonts w:ascii="Verdana" w:hAnsi="Verdana"/>
          <w:b/>
          <w:i/>
          <w:caps/>
          <w:sz w:val="20"/>
          <w:szCs w:val="20"/>
          <w:u w:val="single"/>
        </w:rPr>
      </w:pPr>
      <w:r w:rsidRPr="003D4E91">
        <w:rPr>
          <w:rFonts w:ascii="Verdana" w:hAnsi="Verdana"/>
          <w:b/>
          <w:i/>
          <w:caps/>
          <w:sz w:val="20"/>
          <w:szCs w:val="20"/>
          <w:u w:val="single"/>
        </w:rPr>
        <w:t xml:space="preserve">caso lagos del cAmpo vs. perú </w:t>
      </w:r>
    </w:p>
    <w:p w14:paraId="6E1B69C1" w14:textId="77777777" w:rsidR="00F83E8F" w:rsidRPr="003D4E91" w:rsidRDefault="00F83E8F" w:rsidP="00F83E8F">
      <w:pPr>
        <w:jc w:val="center"/>
        <w:rPr>
          <w:rFonts w:ascii="Verdana" w:hAnsi="Verdana"/>
          <w:b/>
          <w:caps/>
          <w:sz w:val="20"/>
          <w:szCs w:val="20"/>
        </w:rPr>
      </w:pPr>
    </w:p>
    <w:p w14:paraId="2CB5125E" w14:textId="77777777" w:rsidR="00F83E8F" w:rsidRPr="003D4E91" w:rsidRDefault="00F83E8F" w:rsidP="00F83E8F">
      <w:pPr>
        <w:jc w:val="center"/>
        <w:rPr>
          <w:rFonts w:ascii="Verdana" w:hAnsi="Verdana"/>
          <w:b/>
          <w:caps/>
          <w:sz w:val="18"/>
          <w:szCs w:val="18"/>
        </w:rPr>
      </w:pPr>
      <w:r w:rsidRPr="003D4E91">
        <w:rPr>
          <w:rFonts w:ascii="Verdana" w:hAnsi="Verdana"/>
          <w:b/>
          <w:caps/>
          <w:sz w:val="18"/>
          <w:szCs w:val="18"/>
        </w:rPr>
        <w:t>Sentencia de 31 de agosto de 2017</w:t>
      </w:r>
    </w:p>
    <w:p w14:paraId="398E605D" w14:textId="77777777" w:rsidR="00F83E8F" w:rsidRPr="003D4E91" w:rsidRDefault="00F83E8F" w:rsidP="00F83E8F">
      <w:pPr>
        <w:widowControl w:val="0"/>
        <w:autoSpaceDE w:val="0"/>
        <w:autoSpaceDN w:val="0"/>
        <w:adjustRightInd w:val="0"/>
        <w:jc w:val="center"/>
        <w:rPr>
          <w:rFonts w:ascii="Verdana" w:hAnsi="Verdana"/>
          <w:b/>
          <w:i/>
          <w:caps/>
          <w:sz w:val="18"/>
          <w:szCs w:val="18"/>
        </w:rPr>
      </w:pPr>
      <w:r w:rsidRPr="003D4E91">
        <w:rPr>
          <w:rFonts w:ascii="Verdana" w:hAnsi="Verdana"/>
          <w:b/>
          <w:i/>
          <w:caps/>
          <w:sz w:val="18"/>
          <w:szCs w:val="18"/>
        </w:rPr>
        <w:t>(Excepciones preliminares, fondo, reparaciones y costas)</w:t>
      </w:r>
    </w:p>
    <w:p w14:paraId="26139CD0" w14:textId="77777777" w:rsidR="00F83E8F" w:rsidRDefault="00F83E8F" w:rsidP="00F83E8F">
      <w:pPr>
        <w:widowControl w:val="0"/>
        <w:autoSpaceDE w:val="0"/>
        <w:autoSpaceDN w:val="0"/>
        <w:adjustRightInd w:val="0"/>
        <w:rPr>
          <w:rFonts w:ascii="Verdana" w:hAnsi="Verdana"/>
          <w:i/>
          <w:sz w:val="20"/>
          <w:szCs w:val="20"/>
        </w:rPr>
      </w:pPr>
    </w:p>
    <w:p w14:paraId="5973A6E9" w14:textId="77777777" w:rsidR="00F83E8F" w:rsidRPr="00DC6005" w:rsidRDefault="00F83E8F" w:rsidP="00F83E8F">
      <w:pPr>
        <w:widowControl w:val="0"/>
        <w:autoSpaceDE w:val="0"/>
        <w:autoSpaceDN w:val="0"/>
        <w:adjustRightInd w:val="0"/>
        <w:jc w:val="center"/>
        <w:rPr>
          <w:rFonts w:ascii="Verdana" w:hAnsi="Verdana"/>
          <w:i/>
          <w:sz w:val="20"/>
          <w:szCs w:val="20"/>
        </w:rPr>
      </w:pPr>
      <w:r w:rsidRPr="00DC6005">
        <w:rPr>
          <w:rFonts w:ascii="Verdana" w:hAnsi="Verdana"/>
          <w:i/>
          <w:sz w:val="20"/>
          <w:szCs w:val="20"/>
        </w:rPr>
        <w:t xml:space="preserve">LA JUSTICIABILIDAD DIRECTA DE LOS </w:t>
      </w:r>
    </w:p>
    <w:p w14:paraId="44D72032" w14:textId="77777777" w:rsidR="00F83E8F" w:rsidRPr="00DC6005" w:rsidRDefault="00F83E8F" w:rsidP="00F83E8F">
      <w:pPr>
        <w:widowControl w:val="0"/>
        <w:autoSpaceDE w:val="0"/>
        <w:autoSpaceDN w:val="0"/>
        <w:adjustRightInd w:val="0"/>
        <w:jc w:val="center"/>
        <w:rPr>
          <w:rFonts w:ascii="Verdana" w:hAnsi="Verdana"/>
          <w:i/>
          <w:sz w:val="20"/>
          <w:szCs w:val="20"/>
        </w:rPr>
      </w:pPr>
      <w:r w:rsidRPr="00DC6005">
        <w:rPr>
          <w:rFonts w:ascii="Verdana" w:hAnsi="Verdana"/>
          <w:i/>
          <w:sz w:val="20"/>
          <w:szCs w:val="20"/>
        </w:rPr>
        <w:t xml:space="preserve">DERECHOS ECONÓMICOS, SOCIALES, CULTURALES Y AMBIENTALES: </w:t>
      </w:r>
    </w:p>
    <w:p w14:paraId="0BFAF90E" w14:textId="77777777" w:rsidR="00F83E8F" w:rsidRPr="00DC6005" w:rsidRDefault="00F83E8F" w:rsidP="00F83E8F">
      <w:pPr>
        <w:widowControl w:val="0"/>
        <w:autoSpaceDE w:val="0"/>
        <w:autoSpaceDN w:val="0"/>
        <w:adjustRightInd w:val="0"/>
        <w:jc w:val="center"/>
        <w:rPr>
          <w:rFonts w:ascii="Verdana" w:hAnsi="Verdana"/>
          <w:i/>
          <w:sz w:val="20"/>
          <w:szCs w:val="20"/>
        </w:rPr>
      </w:pPr>
      <w:r w:rsidRPr="00DC6005">
        <w:rPr>
          <w:rFonts w:ascii="Verdana" w:hAnsi="Verdana"/>
          <w:i/>
          <w:sz w:val="20"/>
          <w:szCs w:val="20"/>
        </w:rPr>
        <w:t>UNA NUEVA ETAPA EN LA JURISPRUDENCIA INTERAMERICANA</w:t>
      </w:r>
    </w:p>
    <w:p w14:paraId="36314E3A" w14:textId="77777777" w:rsidR="00F83E8F" w:rsidRDefault="00F83E8F" w:rsidP="00F83E8F">
      <w:pPr>
        <w:widowControl w:val="0"/>
        <w:autoSpaceDE w:val="0"/>
        <w:autoSpaceDN w:val="0"/>
        <w:adjustRightInd w:val="0"/>
        <w:jc w:val="center"/>
        <w:rPr>
          <w:rFonts w:ascii="Verdana" w:hAnsi="Verdana"/>
          <w:b/>
          <w:sz w:val="20"/>
          <w:szCs w:val="20"/>
        </w:rPr>
      </w:pPr>
    </w:p>
    <w:p w14:paraId="1C92CD21" w14:textId="77777777" w:rsidR="00F83E8F" w:rsidRDefault="00F83E8F" w:rsidP="00E70701">
      <w:pPr>
        <w:pStyle w:val="ListParagraph"/>
        <w:widowControl w:val="0"/>
        <w:numPr>
          <w:ilvl w:val="0"/>
          <w:numId w:val="28"/>
        </w:numPr>
        <w:autoSpaceDE w:val="0"/>
        <w:autoSpaceDN w:val="0"/>
        <w:adjustRightInd w:val="0"/>
        <w:ind w:left="0" w:firstLine="0"/>
        <w:jc w:val="both"/>
        <w:rPr>
          <w:rFonts w:ascii="Verdana" w:hAnsi="Verdana"/>
          <w:sz w:val="20"/>
          <w:szCs w:val="20"/>
        </w:rPr>
      </w:pPr>
      <w:r w:rsidRPr="000A31C6">
        <w:rPr>
          <w:rFonts w:ascii="Verdana" w:hAnsi="Verdana"/>
          <w:sz w:val="20"/>
          <w:szCs w:val="20"/>
        </w:rPr>
        <w:t xml:space="preserve">El caso </w:t>
      </w:r>
      <w:r w:rsidRPr="000A31C6">
        <w:rPr>
          <w:rFonts w:ascii="Verdana" w:hAnsi="Verdana"/>
          <w:i/>
          <w:sz w:val="20"/>
          <w:szCs w:val="20"/>
        </w:rPr>
        <w:t xml:space="preserve">Lagos del Campos Vs. Perú </w:t>
      </w:r>
      <w:r w:rsidRPr="000A31C6">
        <w:rPr>
          <w:rFonts w:ascii="Verdana" w:hAnsi="Verdana"/>
          <w:sz w:val="20"/>
          <w:szCs w:val="20"/>
        </w:rPr>
        <w:t>abre un nuevo</w:t>
      </w:r>
      <w:r>
        <w:rPr>
          <w:rFonts w:ascii="Verdana" w:hAnsi="Verdana"/>
          <w:sz w:val="20"/>
          <w:szCs w:val="20"/>
        </w:rPr>
        <w:t xml:space="preserve"> y rico</w:t>
      </w:r>
      <w:r w:rsidRPr="000A31C6">
        <w:rPr>
          <w:rFonts w:ascii="Verdana" w:hAnsi="Verdana"/>
          <w:sz w:val="20"/>
          <w:szCs w:val="20"/>
        </w:rPr>
        <w:t xml:space="preserve"> horizonte en el Sistema Interamericano de Derechos Humanos</w:t>
      </w:r>
      <w:r>
        <w:rPr>
          <w:rFonts w:ascii="Verdana" w:hAnsi="Verdana"/>
          <w:sz w:val="20"/>
          <w:szCs w:val="20"/>
        </w:rPr>
        <w:t>. Lo anterior debido a la interpretación evolutiva</w:t>
      </w:r>
      <w:r>
        <w:rPr>
          <w:rStyle w:val="FootnoteReference"/>
          <w:szCs w:val="20"/>
        </w:rPr>
        <w:footnoteReference w:id="285"/>
      </w:r>
      <w:r>
        <w:rPr>
          <w:rFonts w:ascii="Verdana" w:hAnsi="Verdana"/>
          <w:sz w:val="20"/>
          <w:szCs w:val="20"/>
        </w:rPr>
        <w:t xml:space="preserve"> que la Corte Interamericana de Derechos Humanos (en adelante “la Corte IDH” o “el Tribunal Interamericano”) realiza del artículo 26 de la Convención Americana sobre Derechos Humanos (en adelante “Convención Americana” o “Pacto de San José”).  Particularmente, por el paso que se da hacia la </w:t>
      </w:r>
      <w:proofErr w:type="spellStart"/>
      <w:r>
        <w:rPr>
          <w:rFonts w:ascii="Verdana" w:hAnsi="Verdana"/>
          <w:sz w:val="20"/>
          <w:szCs w:val="20"/>
        </w:rPr>
        <w:t>justiciabilidad</w:t>
      </w:r>
      <w:proofErr w:type="spellEnd"/>
      <w:r>
        <w:rPr>
          <w:rFonts w:ascii="Verdana" w:hAnsi="Verdana"/>
          <w:sz w:val="20"/>
          <w:szCs w:val="20"/>
        </w:rPr>
        <w:t xml:space="preserve"> plena y directa de los derechos económicos, sociales, culturales y ambientales (en adelante “los DESCA” o “los derechos sociales”). </w:t>
      </w:r>
    </w:p>
    <w:p w14:paraId="46D43E75" w14:textId="77777777" w:rsidR="00F83E8F" w:rsidRDefault="00F83E8F" w:rsidP="00F83E8F">
      <w:pPr>
        <w:pStyle w:val="ListParagraph"/>
        <w:widowControl w:val="0"/>
        <w:autoSpaceDE w:val="0"/>
        <w:autoSpaceDN w:val="0"/>
        <w:adjustRightInd w:val="0"/>
        <w:ind w:left="0"/>
        <w:jc w:val="both"/>
        <w:rPr>
          <w:rFonts w:ascii="Verdana" w:hAnsi="Verdana"/>
          <w:sz w:val="20"/>
          <w:szCs w:val="20"/>
        </w:rPr>
      </w:pPr>
    </w:p>
    <w:p w14:paraId="0A19F2A0" w14:textId="15193E92" w:rsidR="00F83E8F" w:rsidRPr="007A2B35" w:rsidRDefault="00F83E8F" w:rsidP="00F83E8F">
      <w:pPr>
        <w:pStyle w:val="ListParagraph"/>
        <w:widowControl w:val="0"/>
        <w:numPr>
          <w:ilvl w:val="0"/>
          <w:numId w:val="28"/>
        </w:numPr>
        <w:autoSpaceDE w:val="0"/>
        <w:autoSpaceDN w:val="0"/>
        <w:adjustRightInd w:val="0"/>
        <w:ind w:left="0" w:firstLine="0"/>
        <w:jc w:val="both"/>
        <w:rPr>
          <w:rFonts w:ascii="Verdana" w:hAnsi="Verdana"/>
          <w:sz w:val="20"/>
          <w:szCs w:val="20"/>
        </w:rPr>
      </w:pPr>
      <w:r w:rsidRPr="00EE74D4">
        <w:rPr>
          <w:rFonts w:ascii="Verdana" w:hAnsi="Verdana"/>
          <w:sz w:val="20"/>
          <w:szCs w:val="20"/>
          <w:u w:val="single"/>
        </w:rPr>
        <w:t>En primer lugar</w:t>
      </w:r>
      <w:r w:rsidRPr="000A31C6">
        <w:rPr>
          <w:rFonts w:ascii="Verdana" w:hAnsi="Verdana"/>
          <w:sz w:val="20"/>
          <w:szCs w:val="20"/>
        </w:rPr>
        <w:t xml:space="preserve">, </w:t>
      </w:r>
      <w:r>
        <w:rPr>
          <w:rFonts w:ascii="Verdana" w:hAnsi="Verdana"/>
          <w:sz w:val="20"/>
          <w:szCs w:val="20"/>
        </w:rPr>
        <w:t xml:space="preserve">en la Sentencia se </w:t>
      </w:r>
      <w:r w:rsidRPr="000A31C6">
        <w:rPr>
          <w:rFonts w:ascii="Verdana" w:hAnsi="Verdana"/>
          <w:sz w:val="20"/>
          <w:szCs w:val="20"/>
        </w:rPr>
        <w:t>aborda la violación del derecho a la libertad de expresión desde el ámbito de las relaciones entre particulares en contextos laborales —trabajador/empresa—</w:t>
      </w:r>
      <w:r>
        <w:rPr>
          <w:rFonts w:ascii="Verdana" w:hAnsi="Verdana"/>
          <w:sz w:val="20"/>
          <w:szCs w:val="20"/>
        </w:rPr>
        <w:t xml:space="preserve">. En el fallo se comprueba </w:t>
      </w:r>
      <w:r w:rsidRPr="00295CC3">
        <w:rPr>
          <w:rFonts w:ascii="Verdana" w:hAnsi="Verdana"/>
          <w:sz w:val="20"/>
        </w:rPr>
        <w:t>que</w:t>
      </w:r>
      <w:r w:rsidRPr="00295CC3">
        <w:rPr>
          <w:rFonts w:ascii="Verdana" w:hAnsi="Verdana"/>
          <w:sz w:val="20"/>
          <w:szCs w:val="20"/>
          <w:lang w:val="es-CR"/>
        </w:rPr>
        <w:t xml:space="preserve"> “</w:t>
      </w:r>
      <w:r w:rsidRPr="00295CC3">
        <w:rPr>
          <w:rFonts w:ascii="Verdana" w:hAnsi="Verdana"/>
          <w:sz w:val="20"/>
        </w:rPr>
        <w:t>no existió una necesidad imperante que justificara el despido del señor Lagos del Campo”</w:t>
      </w:r>
      <w:r>
        <w:rPr>
          <w:rFonts w:ascii="Verdana" w:hAnsi="Verdana"/>
          <w:sz w:val="20"/>
        </w:rPr>
        <w:t>, el cual se produjo debido a sus declaraciones públicas como dirigente laboral. Por ello, se restringió</w:t>
      </w:r>
      <w:r w:rsidRPr="00295CC3">
        <w:rPr>
          <w:rFonts w:ascii="Verdana" w:hAnsi="Verdana"/>
          <w:sz w:val="20"/>
        </w:rPr>
        <w:t xml:space="preserve"> su libertad de expresión sin</w:t>
      </w:r>
      <w:r>
        <w:rPr>
          <w:rFonts w:ascii="Verdana" w:hAnsi="Verdana"/>
          <w:sz w:val="20"/>
        </w:rPr>
        <w:t xml:space="preserve"> tener en consideración que dichas </w:t>
      </w:r>
      <w:r w:rsidRPr="00295CC3">
        <w:rPr>
          <w:rFonts w:ascii="Verdana" w:hAnsi="Verdana"/>
          <w:sz w:val="20"/>
        </w:rPr>
        <w:t xml:space="preserve">declaraciones se referían </w:t>
      </w:r>
      <w:r>
        <w:rPr>
          <w:rFonts w:ascii="Verdana" w:hAnsi="Verdana"/>
          <w:sz w:val="20"/>
        </w:rPr>
        <w:t xml:space="preserve">esencialmente </w:t>
      </w:r>
      <w:r w:rsidRPr="00295CC3">
        <w:rPr>
          <w:rFonts w:ascii="Verdana" w:hAnsi="Verdana"/>
          <w:sz w:val="20"/>
        </w:rPr>
        <w:t xml:space="preserve">a cuestiones de interés público, las cuales </w:t>
      </w:r>
      <w:r>
        <w:rPr>
          <w:rFonts w:ascii="Verdana" w:hAnsi="Verdana"/>
          <w:sz w:val="20"/>
        </w:rPr>
        <w:t>le correspondían dar al señor Lagos del Campo en su</w:t>
      </w:r>
      <w:r w:rsidRPr="00295CC3">
        <w:rPr>
          <w:rFonts w:ascii="Verdana" w:hAnsi="Verdana"/>
          <w:sz w:val="20"/>
        </w:rPr>
        <w:t xml:space="preserve"> calidad de representante de los trabajadores </w:t>
      </w:r>
      <w:r>
        <w:rPr>
          <w:rFonts w:ascii="Verdana" w:hAnsi="Verdana"/>
          <w:sz w:val="20"/>
        </w:rPr>
        <w:t xml:space="preserve">y </w:t>
      </w:r>
      <w:r w:rsidRPr="00295CC3">
        <w:rPr>
          <w:rFonts w:ascii="Verdana" w:hAnsi="Verdana"/>
          <w:sz w:val="20"/>
        </w:rPr>
        <w:t>como Presidente del Comité Electoral.</w:t>
      </w:r>
      <w:r>
        <w:rPr>
          <w:rFonts w:ascii="Verdana" w:hAnsi="Verdana"/>
          <w:sz w:val="20"/>
        </w:rPr>
        <w:t xml:space="preserve"> En ese sentido, se consolida y amplía </w:t>
      </w:r>
      <w:r w:rsidRPr="00295CC3">
        <w:rPr>
          <w:rFonts w:ascii="Verdana" w:hAnsi="Verdana"/>
          <w:sz w:val="20"/>
          <w:szCs w:val="20"/>
        </w:rPr>
        <w:t>la extensa jurisprudencia interamericana sobre el derecho a la libertad de pensamiento y expresión consagrado en el artículo 13 del Pacto de San José</w:t>
      </w:r>
      <w:r w:rsidRPr="00295CC3">
        <w:rPr>
          <w:rStyle w:val="FootnoteReference"/>
          <w:rFonts w:cs="Arial"/>
          <w:iCs/>
          <w:szCs w:val="20"/>
          <w:lang w:val="es-ES"/>
        </w:rPr>
        <w:t xml:space="preserve"> </w:t>
      </w:r>
      <w:r w:rsidRPr="00E35C84">
        <w:rPr>
          <w:rStyle w:val="FootnoteReference"/>
          <w:rFonts w:cs="Arial"/>
          <w:iCs/>
          <w:szCs w:val="20"/>
          <w:lang w:val="es-ES"/>
        </w:rPr>
        <w:footnoteReference w:id="286"/>
      </w:r>
      <w:r w:rsidRPr="00295CC3">
        <w:rPr>
          <w:rFonts w:ascii="Verdana" w:hAnsi="Verdana" w:cs="Arial"/>
          <w:sz w:val="20"/>
          <w:szCs w:val="20"/>
          <w:lang w:val="es-ES"/>
        </w:rPr>
        <w:t>.</w:t>
      </w:r>
    </w:p>
    <w:p w14:paraId="207D9282" w14:textId="77777777" w:rsidR="00F83E8F" w:rsidRPr="00CB1BC9" w:rsidRDefault="00F83E8F" w:rsidP="00E70701">
      <w:pPr>
        <w:pStyle w:val="ListParagraph"/>
        <w:widowControl w:val="0"/>
        <w:numPr>
          <w:ilvl w:val="0"/>
          <w:numId w:val="28"/>
        </w:numPr>
        <w:autoSpaceDE w:val="0"/>
        <w:autoSpaceDN w:val="0"/>
        <w:adjustRightInd w:val="0"/>
        <w:ind w:left="0" w:firstLine="0"/>
        <w:jc w:val="both"/>
        <w:rPr>
          <w:rFonts w:ascii="Verdana" w:hAnsi="Verdana"/>
          <w:sz w:val="20"/>
          <w:szCs w:val="20"/>
        </w:rPr>
      </w:pPr>
      <w:r w:rsidRPr="00295CC3">
        <w:rPr>
          <w:rFonts w:ascii="Verdana" w:hAnsi="Verdana"/>
          <w:sz w:val="20"/>
          <w:szCs w:val="20"/>
          <w:u w:val="single"/>
        </w:rPr>
        <w:lastRenderedPageBreak/>
        <w:t>En segundo lugar</w:t>
      </w:r>
      <w:r>
        <w:rPr>
          <w:rFonts w:ascii="Verdana" w:hAnsi="Verdana"/>
          <w:sz w:val="20"/>
          <w:szCs w:val="20"/>
        </w:rPr>
        <w:t>, en esta histórica Sentencia se declara</w:t>
      </w:r>
      <w:r>
        <w:rPr>
          <w:rStyle w:val="FootnoteReference"/>
          <w:szCs w:val="20"/>
        </w:rPr>
        <w:footnoteReference w:id="287"/>
      </w:r>
      <w:r>
        <w:rPr>
          <w:rFonts w:ascii="Verdana" w:hAnsi="Verdana"/>
          <w:sz w:val="20"/>
          <w:szCs w:val="20"/>
        </w:rPr>
        <w:t xml:space="preserve">, por primera vez, </w:t>
      </w:r>
      <w:r w:rsidRPr="0077077F">
        <w:rPr>
          <w:rFonts w:ascii="Verdana" w:hAnsi="Verdana"/>
          <w:sz w:val="20"/>
          <w:szCs w:val="20"/>
        </w:rPr>
        <w:t>la violación del artículo 26 de la Convención Americana</w:t>
      </w:r>
      <w:r>
        <w:rPr>
          <w:rFonts w:ascii="Verdana" w:hAnsi="Verdana"/>
          <w:sz w:val="20"/>
          <w:szCs w:val="20"/>
        </w:rPr>
        <w:t xml:space="preserve"> en relación con el artículo 1.1</w:t>
      </w:r>
      <w:r w:rsidRPr="005B3CA3">
        <w:rPr>
          <w:rStyle w:val="FootnoteReference"/>
          <w:szCs w:val="20"/>
        </w:rPr>
        <w:footnoteReference w:id="288"/>
      </w:r>
      <w:r>
        <w:rPr>
          <w:rFonts w:ascii="Verdana" w:hAnsi="Verdana"/>
          <w:sz w:val="20"/>
          <w:szCs w:val="20"/>
        </w:rPr>
        <w:t>,</w:t>
      </w:r>
      <w:r w:rsidRPr="0077077F">
        <w:rPr>
          <w:rFonts w:ascii="Verdana" w:hAnsi="Verdana"/>
          <w:sz w:val="20"/>
          <w:szCs w:val="20"/>
        </w:rPr>
        <w:t xml:space="preserve"> por la vulneración de la estabilidad la</w:t>
      </w:r>
      <w:r>
        <w:rPr>
          <w:rFonts w:ascii="Verdana" w:hAnsi="Verdana"/>
          <w:sz w:val="20"/>
          <w:szCs w:val="20"/>
        </w:rPr>
        <w:t>boral del señor Lagos del Campo</w:t>
      </w:r>
      <w:r w:rsidRPr="005B3CA3">
        <w:rPr>
          <w:rStyle w:val="FootnoteReference"/>
          <w:szCs w:val="20"/>
        </w:rPr>
        <w:footnoteReference w:id="289"/>
      </w:r>
      <w:r w:rsidRPr="005B3CA3">
        <w:rPr>
          <w:rFonts w:ascii="Verdana" w:hAnsi="Verdana"/>
          <w:sz w:val="20"/>
          <w:szCs w:val="20"/>
        </w:rPr>
        <w:t>.</w:t>
      </w:r>
      <w:r>
        <w:rPr>
          <w:rFonts w:ascii="Verdana" w:hAnsi="Verdana"/>
          <w:sz w:val="20"/>
          <w:szCs w:val="20"/>
        </w:rPr>
        <w:t xml:space="preserve"> A través de una interpretación evolutiva y apartándose de su </w:t>
      </w:r>
      <w:r>
        <w:rPr>
          <w:rFonts w:ascii="Verdana" w:hAnsi="Verdana"/>
          <w:bCs/>
          <w:sz w:val="20"/>
          <w:szCs w:val="20"/>
        </w:rPr>
        <w:t>jurisprudencia tradicional,</w:t>
      </w:r>
      <w:r w:rsidRPr="0077077F">
        <w:rPr>
          <w:rFonts w:ascii="Verdana" w:hAnsi="Verdana"/>
          <w:bCs/>
          <w:sz w:val="20"/>
          <w:szCs w:val="20"/>
        </w:rPr>
        <w:t xml:space="preserve"> </w:t>
      </w:r>
      <w:r>
        <w:rPr>
          <w:rFonts w:ascii="Verdana" w:hAnsi="Verdana"/>
          <w:bCs/>
          <w:sz w:val="20"/>
          <w:szCs w:val="20"/>
        </w:rPr>
        <w:t>la Corte IDH le otorga un nuevo contenido normativo al</w:t>
      </w:r>
      <w:r w:rsidRPr="0077077F">
        <w:rPr>
          <w:rFonts w:ascii="Verdana" w:hAnsi="Verdana"/>
          <w:bCs/>
          <w:sz w:val="20"/>
          <w:szCs w:val="20"/>
        </w:rPr>
        <w:t xml:space="preserve"> ar</w:t>
      </w:r>
      <w:r>
        <w:rPr>
          <w:rFonts w:ascii="Verdana" w:hAnsi="Verdana"/>
          <w:bCs/>
          <w:sz w:val="20"/>
          <w:szCs w:val="20"/>
        </w:rPr>
        <w:t xml:space="preserve">tículo 26 del Pacto de San José, leído a la luz del artículo 29 del mismo instrumento. Así, dicho artículo </w:t>
      </w:r>
      <w:r w:rsidRPr="0077077F">
        <w:rPr>
          <w:rFonts w:ascii="Verdana" w:hAnsi="Verdana"/>
          <w:bCs/>
          <w:sz w:val="20"/>
          <w:szCs w:val="20"/>
        </w:rPr>
        <w:t xml:space="preserve">no es meramente una norma programática para los Estados Parte de la Convención Americana, sino que constituye una disposición que impone a este Tribunal </w:t>
      </w:r>
      <w:r>
        <w:rPr>
          <w:rFonts w:ascii="Verdana" w:hAnsi="Verdana"/>
          <w:bCs/>
          <w:sz w:val="20"/>
          <w:szCs w:val="20"/>
        </w:rPr>
        <w:t>Interamericano la obligación de remitirse a la Carta de la Organización de Estados Americanos (en adelante “la Carta de la OEA”) para lograr la plena efectividad de los derechos que se deriven</w:t>
      </w:r>
      <w:r w:rsidRPr="0077077F">
        <w:rPr>
          <w:rFonts w:ascii="Verdana" w:hAnsi="Verdana"/>
          <w:bCs/>
          <w:i/>
          <w:sz w:val="20"/>
          <w:szCs w:val="20"/>
        </w:rPr>
        <w:t xml:space="preserve"> </w:t>
      </w:r>
      <w:r w:rsidRPr="00222532">
        <w:rPr>
          <w:rFonts w:ascii="Verdana" w:hAnsi="Verdana"/>
          <w:bCs/>
          <w:sz w:val="20"/>
          <w:szCs w:val="20"/>
        </w:rPr>
        <w:t>de las normas económicas, sociales y sobre educac</w:t>
      </w:r>
      <w:r>
        <w:rPr>
          <w:rFonts w:ascii="Verdana" w:hAnsi="Verdana"/>
          <w:bCs/>
          <w:sz w:val="20"/>
          <w:szCs w:val="20"/>
        </w:rPr>
        <w:t>ión, ciencia y cultura contenida</w:t>
      </w:r>
      <w:r w:rsidRPr="00222532">
        <w:rPr>
          <w:rFonts w:ascii="Verdana" w:hAnsi="Verdana"/>
          <w:bCs/>
          <w:sz w:val="20"/>
          <w:szCs w:val="20"/>
        </w:rPr>
        <w:t>s en dicha Carta</w:t>
      </w:r>
      <w:r w:rsidRPr="00223E4E">
        <w:rPr>
          <w:rStyle w:val="FootnoteReference"/>
          <w:bCs/>
          <w:szCs w:val="20"/>
        </w:rPr>
        <w:footnoteReference w:id="290"/>
      </w:r>
      <w:r>
        <w:rPr>
          <w:rFonts w:ascii="Verdana" w:hAnsi="Verdana"/>
          <w:bCs/>
          <w:i/>
          <w:sz w:val="20"/>
          <w:szCs w:val="20"/>
        </w:rPr>
        <w:t xml:space="preserve">. </w:t>
      </w:r>
      <w:r>
        <w:rPr>
          <w:rFonts w:ascii="Verdana" w:hAnsi="Verdana"/>
          <w:bCs/>
          <w:sz w:val="20"/>
          <w:szCs w:val="20"/>
        </w:rPr>
        <w:t>La posibilidad para considerar justiciable los DESCA, vía artículo 26 de la Convención Americana, la expresé en el primer caso que conocí como juez titular de la Corte IDH en 2013</w:t>
      </w:r>
      <w:r w:rsidRPr="004E66B4">
        <w:rPr>
          <w:rStyle w:val="FootnoteReference"/>
          <w:szCs w:val="20"/>
        </w:rPr>
        <w:footnoteReference w:id="291"/>
      </w:r>
      <w:r>
        <w:rPr>
          <w:rFonts w:ascii="Verdana" w:hAnsi="Verdana"/>
          <w:bCs/>
          <w:sz w:val="20"/>
          <w:szCs w:val="20"/>
        </w:rPr>
        <w:t>. Asimismo, lo he reiterado en casos posteriores relacionados con el derecho a la salud (2015-2016)</w:t>
      </w:r>
      <w:r w:rsidRPr="00F74B60">
        <w:rPr>
          <w:rStyle w:val="FootnoteReference"/>
          <w:szCs w:val="20"/>
        </w:rPr>
        <w:footnoteReference w:id="292"/>
      </w:r>
      <w:r>
        <w:rPr>
          <w:rFonts w:ascii="Verdana" w:hAnsi="Verdana"/>
          <w:bCs/>
          <w:sz w:val="20"/>
          <w:szCs w:val="20"/>
        </w:rPr>
        <w:t>, el derecho al trabajo (2015)</w:t>
      </w:r>
      <w:r w:rsidRPr="00F74B60">
        <w:rPr>
          <w:rStyle w:val="FootnoteReference"/>
          <w:szCs w:val="20"/>
        </w:rPr>
        <w:footnoteReference w:id="293"/>
      </w:r>
      <w:r w:rsidRPr="00F74B60">
        <w:rPr>
          <w:rFonts w:ascii="Verdana" w:hAnsi="Verdana"/>
          <w:bCs/>
          <w:sz w:val="20"/>
          <w:szCs w:val="20"/>
        </w:rPr>
        <w:t xml:space="preserve"> </w:t>
      </w:r>
      <w:r>
        <w:rPr>
          <w:rFonts w:ascii="Verdana" w:hAnsi="Verdana"/>
          <w:bCs/>
          <w:sz w:val="20"/>
          <w:szCs w:val="20"/>
        </w:rPr>
        <w:t>y el derecho a la vivienda digna (2016)</w:t>
      </w:r>
      <w:r w:rsidRPr="00F74B60">
        <w:rPr>
          <w:rStyle w:val="FootnoteReference"/>
          <w:szCs w:val="20"/>
        </w:rPr>
        <w:footnoteReference w:id="294"/>
      </w:r>
      <w:r>
        <w:rPr>
          <w:rFonts w:ascii="Verdana" w:hAnsi="Verdana"/>
          <w:bCs/>
          <w:sz w:val="20"/>
          <w:szCs w:val="20"/>
        </w:rPr>
        <w:t xml:space="preserve">; materias sobre las que he tenido oportunidad de pronunciarme hasta el momento. </w:t>
      </w:r>
    </w:p>
    <w:p w14:paraId="0C6A496A" w14:textId="77777777" w:rsidR="00F83E8F" w:rsidRDefault="00F83E8F" w:rsidP="00F83E8F">
      <w:pPr>
        <w:pStyle w:val="ListParagraph"/>
        <w:widowControl w:val="0"/>
        <w:autoSpaceDE w:val="0"/>
        <w:autoSpaceDN w:val="0"/>
        <w:adjustRightInd w:val="0"/>
        <w:ind w:left="0"/>
        <w:jc w:val="both"/>
        <w:rPr>
          <w:rFonts w:ascii="Verdana" w:hAnsi="Verdana"/>
          <w:sz w:val="20"/>
          <w:szCs w:val="20"/>
        </w:rPr>
      </w:pPr>
    </w:p>
    <w:p w14:paraId="648F2639" w14:textId="77777777" w:rsidR="00F83E8F" w:rsidRPr="00CB1BC9" w:rsidRDefault="00F83E8F" w:rsidP="00E70701">
      <w:pPr>
        <w:pStyle w:val="ListParagraph"/>
        <w:widowControl w:val="0"/>
        <w:numPr>
          <w:ilvl w:val="0"/>
          <w:numId w:val="28"/>
        </w:numPr>
        <w:autoSpaceDE w:val="0"/>
        <w:autoSpaceDN w:val="0"/>
        <w:adjustRightInd w:val="0"/>
        <w:ind w:left="0" w:firstLine="0"/>
        <w:jc w:val="both"/>
        <w:rPr>
          <w:rFonts w:ascii="Verdana" w:hAnsi="Verdana"/>
          <w:sz w:val="20"/>
          <w:szCs w:val="20"/>
        </w:rPr>
      </w:pPr>
      <w:r w:rsidRPr="00CB1BC9">
        <w:rPr>
          <w:rFonts w:ascii="Verdana" w:hAnsi="Verdana"/>
          <w:sz w:val="20"/>
          <w:szCs w:val="20"/>
        </w:rPr>
        <w:lastRenderedPageBreak/>
        <w:t>De esta manera, el Tribunal Interamericano consideró el derecho a la estabilidad laboral como un derecho protegido por el artículo 26 de la Convención Americana</w:t>
      </w:r>
      <w:r>
        <w:rPr>
          <w:rFonts w:ascii="Verdana" w:hAnsi="Verdana"/>
          <w:sz w:val="20"/>
          <w:szCs w:val="20"/>
        </w:rPr>
        <w:t>;</w:t>
      </w:r>
      <w:r w:rsidRPr="00CB1BC9">
        <w:rPr>
          <w:rFonts w:ascii="Verdana" w:hAnsi="Verdana"/>
          <w:sz w:val="20"/>
          <w:szCs w:val="20"/>
        </w:rPr>
        <w:t xml:space="preserve"> y</w:t>
      </w:r>
      <w:r>
        <w:rPr>
          <w:rFonts w:ascii="Verdana" w:hAnsi="Verdana"/>
          <w:sz w:val="20"/>
          <w:szCs w:val="20"/>
        </w:rPr>
        <w:t xml:space="preserve"> por ende,</w:t>
      </w:r>
      <w:r w:rsidRPr="00CB1BC9">
        <w:rPr>
          <w:rFonts w:ascii="Verdana" w:hAnsi="Verdana"/>
          <w:sz w:val="20"/>
          <w:szCs w:val="20"/>
        </w:rPr>
        <w:t xml:space="preserve"> </w:t>
      </w:r>
      <w:r>
        <w:rPr>
          <w:rFonts w:ascii="Verdana" w:hAnsi="Verdana"/>
          <w:sz w:val="20"/>
          <w:szCs w:val="20"/>
        </w:rPr>
        <w:t xml:space="preserve">declara responsable internacionalmente al </w:t>
      </w:r>
      <w:r w:rsidRPr="00CB1BC9">
        <w:rPr>
          <w:rFonts w:ascii="Verdana" w:hAnsi="Verdana"/>
          <w:color w:val="000000"/>
          <w:sz w:val="20"/>
          <w:szCs w:val="20"/>
        </w:rPr>
        <w:t xml:space="preserve">Estado </w:t>
      </w:r>
      <w:r>
        <w:rPr>
          <w:rFonts w:ascii="Verdana" w:hAnsi="Verdana"/>
          <w:color w:val="000000"/>
          <w:sz w:val="20"/>
          <w:szCs w:val="20"/>
        </w:rPr>
        <w:t>peruano por no adoptar</w:t>
      </w:r>
      <w:r w:rsidRPr="00CB1BC9">
        <w:rPr>
          <w:rFonts w:ascii="Verdana" w:hAnsi="Verdana"/>
          <w:color w:val="000000"/>
          <w:sz w:val="20"/>
          <w:szCs w:val="20"/>
        </w:rPr>
        <w:t xml:space="preserve"> las medidas adecuadas para proteger la vulneración del derecho al trabajo imputable a terceros</w:t>
      </w:r>
      <w:r>
        <w:rPr>
          <w:rStyle w:val="FootnoteReference"/>
          <w:color w:val="000000"/>
          <w:szCs w:val="20"/>
        </w:rPr>
        <w:footnoteReference w:id="295"/>
      </w:r>
      <w:r w:rsidRPr="00CB1BC9">
        <w:rPr>
          <w:rFonts w:ascii="Verdana" w:hAnsi="Verdana"/>
          <w:color w:val="000000"/>
          <w:sz w:val="20"/>
          <w:szCs w:val="20"/>
        </w:rPr>
        <w:t xml:space="preserve">. </w:t>
      </w:r>
      <w:r>
        <w:rPr>
          <w:rFonts w:ascii="Verdana" w:hAnsi="Verdana"/>
          <w:color w:val="000000"/>
          <w:sz w:val="20"/>
          <w:szCs w:val="20"/>
        </w:rPr>
        <w:t xml:space="preserve">Ahora bien, </w:t>
      </w:r>
      <w:r>
        <w:rPr>
          <w:rFonts w:ascii="Verdana" w:hAnsi="Verdana"/>
          <w:sz w:val="20"/>
          <w:szCs w:val="20"/>
        </w:rPr>
        <w:t>p</w:t>
      </w:r>
      <w:r w:rsidRPr="00CB1BC9">
        <w:rPr>
          <w:rFonts w:ascii="Verdana" w:hAnsi="Verdana"/>
          <w:sz w:val="20"/>
          <w:szCs w:val="20"/>
        </w:rPr>
        <w:t>ara analizar el contenido y alcance de</w:t>
      </w:r>
      <w:r>
        <w:rPr>
          <w:rFonts w:ascii="Verdana" w:hAnsi="Verdana"/>
          <w:sz w:val="20"/>
          <w:szCs w:val="20"/>
        </w:rPr>
        <w:t>l artículo 26 del Pacto de San José</w:t>
      </w:r>
      <w:r w:rsidRPr="00CB1BC9">
        <w:rPr>
          <w:rFonts w:ascii="Verdana" w:hAnsi="Verdana"/>
          <w:sz w:val="20"/>
          <w:szCs w:val="20"/>
        </w:rPr>
        <w:t xml:space="preserve">, se tuvo en consideración las reglas generales de interpretación establecidas en el </w:t>
      </w:r>
      <w:r w:rsidRPr="00CB1BC9">
        <w:rPr>
          <w:rFonts w:ascii="Verdana" w:hAnsi="Verdana" w:cs="Verdana"/>
          <w:sz w:val="20"/>
          <w:szCs w:val="20"/>
        </w:rPr>
        <w:t xml:space="preserve">artículo 29, incisos b, c y d del mismo tratado; y en ese sentido se derivaron derechos laborales específicos contenidos en los </w:t>
      </w:r>
      <w:r w:rsidRPr="00CB1BC9">
        <w:rPr>
          <w:rFonts w:ascii="Verdana" w:hAnsi="Verdana"/>
          <w:color w:val="000000"/>
          <w:sz w:val="20"/>
          <w:szCs w:val="20"/>
        </w:rPr>
        <w:t xml:space="preserve">artículos </w:t>
      </w:r>
      <w:r>
        <w:rPr>
          <w:rFonts w:ascii="Verdana" w:hAnsi="Verdana"/>
          <w:color w:val="000000"/>
          <w:sz w:val="20"/>
          <w:szCs w:val="20"/>
        </w:rPr>
        <w:t xml:space="preserve">34 inciso g, </w:t>
      </w:r>
      <w:r w:rsidRPr="00CB1BC9">
        <w:rPr>
          <w:rFonts w:ascii="Verdana" w:hAnsi="Verdana"/>
          <w:color w:val="000000"/>
          <w:sz w:val="20"/>
          <w:szCs w:val="20"/>
        </w:rPr>
        <w:t>45</w:t>
      </w:r>
      <w:r>
        <w:rPr>
          <w:rFonts w:ascii="Verdana" w:hAnsi="Verdana"/>
          <w:color w:val="000000"/>
          <w:sz w:val="20"/>
          <w:szCs w:val="20"/>
        </w:rPr>
        <w:t>, incisos b y c, y</w:t>
      </w:r>
      <w:r w:rsidRPr="00CB1BC9">
        <w:rPr>
          <w:rFonts w:ascii="Verdana" w:hAnsi="Verdana"/>
          <w:color w:val="000000"/>
          <w:sz w:val="20"/>
          <w:szCs w:val="20"/>
        </w:rPr>
        <w:t xml:space="preserve"> 46 de la Carta de la OEA</w:t>
      </w:r>
      <w:r>
        <w:rPr>
          <w:rStyle w:val="FootnoteReference"/>
          <w:color w:val="000000"/>
          <w:szCs w:val="20"/>
        </w:rPr>
        <w:footnoteReference w:id="296"/>
      </w:r>
      <w:r>
        <w:rPr>
          <w:rFonts w:ascii="Verdana" w:hAnsi="Verdana"/>
          <w:color w:val="000000"/>
          <w:sz w:val="20"/>
          <w:szCs w:val="20"/>
        </w:rPr>
        <w:t>. Así también, se consideró</w:t>
      </w:r>
      <w:r w:rsidRPr="00CB1BC9">
        <w:rPr>
          <w:rFonts w:ascii="Verdana" w:hAnsi="Verdana"/>
          <w:color w:val="000000"/>
          <w:sz w:val="20"/>
          <w:szCs w:val="20"/>
        </w:rPr>
        <w:t xml:space="preserve"> la Declaración Americana de los Derechos y Deberes del Hombre</w:t>
      </w:r>
      <w:r>
        <w:rPr>
          <w:rStyle w:val="FootnoteReference"/>
          <w:color w:val="000000"/>
          <w:szCs w:val="20"/>
        </w:rPr>
        <w:footnoteReference w:id="297"/>
      </w:r>
      <w:r w:rsidRPr="00CB1BC9">
        <w:rPr>
          <w:rFonts w:ascii="Verdana" w:hAnsi="Verdana"/>
          <w:color w:val="000000"/>
          <w:sz w:val="20"/>
          <w:szCs w:val="20"/>
        </w:rPr>
        <w:t xml:space="preserve">, </w:t>
      </w:r>
      <w:r>
        <w:rPr>
          <w:rFonts w:ascii="Verdana" w:hAnsi="Verdana"/>
          <w:color w:val="000000"/>
          <w:sz w:val="20"/>
          <w:szCs w:val="20"/>
        </w:rPr>
        <w:t>el</w:t>
      </w:r>
      <w:r w:rsidRPr="00CB1BC9">
        <w:rPr>
          <w:rFonts w:ascii="Verdana" w:hAnsi="Verdana"/>
          <w:color w:val="000000"/>
          <w:sz w:val="20"/>
          <w:szCs w:val="20"/>
        </w:rPr>
        <w:t xml:space="preserve"> reconocimiento explícito </w:t>
      </w:r>
      <w:r>
        <w:rPr>
          <w:rFonts w:ascii="Verdana" w:hAnsi="Verdana"/>
          <w:color w:val="000000"/>
          <w:sz w:val="20"/>
          <w:szCs w:val="20"/>
        </w:rPr>
        <w:t>de los derechos controvertidos en la Constitución y leyes en el Perú (advirtiendo la tendencia regional),</w:t>
      </w:r>
      <w:r w:rsidRPr="00CB1BC9">
        <w:rPr>
          <w:rFonts w:ascii="Verdana" w:hAnsi="Verdana"/>
          <w:color w:val="000000"/>
          <w:sz w:val="20"/>
          <w:szCs w:val="20"/>
        </w:rPr>
        <w:t xml:space="preserve"> y</w:t>
      </w:r>
      <w:r>
        <w:rPr>
          <w:rFonts w:ascii="Verdana" w:hAnsi="Verdana"/>
          <w:color w:val="000000"/>
          <w:sz w:val="20"/>
          <w:szCs w:val="20"/>
        </w:rPr>
        <w:t xml:space="preserve"> </w:t>
      </w:r>
      <w:r w:rsidRPr="00CB1BC9">
        <w:rPr>
          <w:rFonts w:ascii="Verdana" w:hAnsi="Verdana"/>
          <w:color w:val="000000"/>
          <w:sz w:val="20"/>
          <w:szCs w:val="20"/>
        </w:rPr>
        <w:t xml:space="preserve">el vasto </w:t>
      </w:r>
      <w:r w:rsidRPr="009058DE">
        <w:rPr>
          <w:rFonts w:ascii="Verdana" w:hAnsi="Verdana"/>
          <w:i/>
          <w:color w:val="000000"/>
          <w:sz w:val="20"/>
          <w:szCs w:val="20"/>
        </w:rPr>
        <w:t>corpus iuris</w:t>
      </w:r>
      <w:r w:rsidRPr="00CB1BC9">
        <w:rPr>
          <w:rFonts w:ascii="Verdana" w:hAnsi="Verdana"/>
          <w:color w:val="000000"/>
          <w:sz w:val="20"/>
          <w:szCs w:val="20"/>
        </w:rPr>
        <w:t xml:space="preserve"> internacional sobre la materia</w:t>
      </w:r>
      <w:r>
        <w:rPr>
          <w:rFonts w:ascii="Verdana" w:hAnsi="Verdana"/>
          <w:color w:val="000000"/>
          <w:sz w:val="20"/>
          <w:szCs w:val="20"/>
        </w:rPr>
        <w:t xml:space="preserve">, </w:t>
      </w:r>
      <w:r w:rsidRPr="001A0F20">
        <w:rPr>
          <w:rFonts w:ascii="Verdana" w:hAnsi="Verdana"/>
          <w:color w:val="000000"/>
          <w:sz w:val="20"/>
          <w:szCs w:val="20"/>
        </w:rPr>
        <w:t>que se ha visto reflejado, por ejemplo, en los 17 Objetivos de Naciones Unidas para el año 2030</w:t>
      </w:r>
      <w:r w:rsidRPr="001A0F20">
        <w:rPr>
          <w:rStyle w:val="FootnoteReference"/>
          <w:color w:val="000000"/>
          <w:szCs w:val="20"/>
        </w:rPr>
        <w:footnoteReference w:id="298"/>
      </w:r>
      <w:r w:rsidRPr="001A0F20">
        <w:rPr>
          <w:rFonts w:ascii="Verdana" w:hAnsi="Verdana"/>
          <w:color w:val="000000"/>
          <w:sz w:val="20"/>
          <w:szCs w:val="20"/>
        </w:rPr>
        <w:t>.</w:t>
      </w:r>
    </w:p>
    <w:p w14:paraId="62BA33D1" w14:textId="77777777" w:rsidR="00F83E8F" w:rsidRPr="0077077F" w:rsidRDefault="00F83E8F" w:rsidP="00F83E8F">
      <w:pPr>
        <w:widowControl w:val="0"/>
        <w:autoSpaceDE w:val="0"/>
        <w:autoSpaceDN w:val="0"/>
        <w:adjustRightInd w:val="0"/>
        <w:jc w:val="both"/>
        <w:rPr>
          <w:rFonts w:ascii="Verdana" w:hAnsi="Verdana"/>
          <w:sz w:val="20"/>
          <w:szCs w:val="20"/>
        </w:rPr>
      </w:pPr>
    </w:p>
    <w:p w14:paraId="1C62D456" w14:textId="77777777" w:rsidR="00F83E8F" w:rsidRDefault="00F83E8F" w:rsidP="00E70701">
      <w:pPr>
        <w:pStyle w:val="ListParagraph"/>
        <w:widowControl w:val="0"/>
        <w:numPr>
          <w:ilvl w:val="0"/>
          <w:numId w:val="28"/>
        </w:numPr>
        <w:autoSpaceDE w:val="0"/>
        <w:autoSpaceDN w:val="0"/>
        <w:adjustRightInd w:val="0"/>
        <w:ind w:left="0" w:firstLine="0"/>
        <w:jc w:val="both"/>
        <w:rPr>
          <w:rFonts w:ascii="Verdana" w:hAnsi="Verdana"/>
          <w:sz w:val="20"/>
          <w:szCs w:val="20"/>
        </w:rPr>
      </w:pPr>
      <w:r w:rsidRPr="00A1496A">
        <w:rPr>
          <w:rFonts w:ascii="Verdana" w:hAnsi="Verdana"/>
          <w:sz w:val="20"/>
          <w:szCs w:val="20"/>
          <w:u w:val="single"/>
        </w:rPr>
        <w:t>En tercer lugar</w:t>
      </w:r>
      <w:r w:rsidRPr="002172FA">
        <w:rPr>
          <w:rFonts w:ascii="Verdana" w:hAnsi="Verdana"/>
          <w:sz w:val="20"/>
          <w:szCs w:val="20"/>
        </w:rPr>
        <w:t>, la Corte IDH aplica la protección de</w:t>
      </w:r>
      <w:r>
        <w:rPr>
          <w:rFonts w:ascii="Verdana" w:hAnsi="Verdana"/>
          <w:sz w:val="20"/>
          <w:szCs w:val="20"/>
        </w:rPr>
        <w:t>l artículo 16 en relación con el</w:t>
      </w:r>
      <w:r w:rsidRPr="002172FA">
        <w:rPr>
          <w:rFonts w:ascii="Verdana" w:hAnsi="Verdana"/>
          <w:sz w:val="20"/>
          <w:szCs w:val="20"/>
        </w:rPr>
        <w:t xml:space="preserve"> artículo 26 </w:t>
      </w:r>
      <w:r>
        <w:rPr>
          <w:rFonts w:ascii="Verdana" w:hAnsi="Verdana"/>
          <w:sz w:val="20"/>
          <w:szCs w:val="20"/>
        </w:rPr>
        <w:t xml:space="preserve">del Pacto de San José, </w:t>
      </w:r>
      <w:r w:rsidRPr="002172FA">
        <w:rPr>
          <w:rFonts w:ascii="Verdana" w:hAnsi="Verdana"/>
          <w:sz w:val="20"/>
          <w:szCs w:val="20"/>
        </w:rPr>
        <w:t xml:space="preserve">por la vulneración del </w:t>
      </w:r>
      <w:r w:rsidRPr="00A635E6">
        <w:rPr>
          <w:rFonts w:ascii="Verdana" w:hAnsi="Verdana"/>
          <w:i/>
          <w:sz w:val="20"/>
          <w:szCs w:val="20"/>
        </w:rPr>
        <w:t>derecho de asociación en contextos laborales.</w:t>
      </w:r>
      <w:r w:rsidRPr="002172FA">
        <w:rPr>
          <w:rFonts w:ascii="Verdana" w:hAnsi="Verdana"/>
          <w:sz w:val="20"/>
          <w:szCs w:val="20"/>
        </w:rPr>
        <w:t xml:space="preserve"> </w:t>
      </w:r>
      <w:r>
        <w:rPr>
          <w:rFonts w:ascii="Verdana" w:hAnsi="Verdana"/>
          <w:sz w:val="20"/>
          <w:szCs w:val="20"/>
        </w:rPr>
        <w:t>Lo anterior es de vital importancia, teniendo en consideración que también constituye la primera ocasión en que el Tribunal Interamericano aborda la protección de la libertad de asociación en materia estrictamente laboral; y no, como en casos anteriores, solo “sindical”. Precisamente, esta nueva vertiente en la jurisprudencia interamericana es la que estimo pertinente desarrollar en el presente voto.</w:t>
      </w:r>
    </w:p>
    <w:p w14:paraId="1678A0F1" w14:textId="77777777" w:rsidR="00F83E8F" w:rsidRPr="00A75D43" w:rsidRDefault="00F83E8F" w:rsidP="00F83E8F">
      <w:pPr>
        <w:widowControl w:val="0"/>
        <w:autoSpaceDE w:val="0"/>
        <w:autoSpaceDN w:val="0"/>
        <w:adjustRightInd w:val="0"/>
        <w:jc w:val="both"/>
        <w:rPr>
          <w:rFonts w:ascii="Verdana" w:hAnsi="Verdana"/>
          <w:sz w:val="20"/>
          <w:szCs w:val="20"/>
        </w:rPr>
      </w:pPr>
    </w:p>
    <w:p w14:paraId="2CC2EBC8" w14:textId="77777777" w:rsidR="00F83E8F" w:rsidRPr="0047021F" w:rsidRDefault="00F83E8F" w:rsidP="00E70701">
      <w:pPr>
        <w:pStyle w:val="ListParagraph"/>
        <w:widowControl w:val="0"/>
        <w:numPr>
          <w:ilvl w:val="0"/>
          <w:numId w:val="28"/>
        </w:numPr>
        <w:autoSpaceDE w:val="0"/>
        <w:autoSpaceDN w:val="0"/>
        <w:adjustRightInd w:val="0"/>
        <w:ind w:left="0" w:firstLine="0"/>
        <w:jc w:val="both"/>
        <w:rPr>
          <w:rFonts w:ascii="Verdana" w:hAnsi="Verdana"/>
          <w:sz w:val="20"/>
          <w:szCs w:val="20"/>
        </w:rPr>
      </w:pPr>
      <w:r w:rsidRPr="00A75D43">
        <w:rPr>
          <w:rFonts w:ascii="Verdana" w:hAnsi="Verdana"/>
          <w:sz w:val="20"/>
          <w:szCs w:val="20"/>
        </w:rPr>
        <w:t xml:space="preserve">En </w:t>
      </w:r>
      <w:r>
        <w:rPr>
          <w:rFonts w:ascii="Verdana" w:hAnsi="Verdana"/>
          <w:sz w:val="20"/>
          <w:szCs w:val="20"/>
        </w:rPr>
        <w:t xml:space="preserve">el presente caso, la Corte IDH aborda los derechos violados integralmente y de forma conglobada, declarando la violación directa del artículo 26 de la Convención Americana. Ello, en contraste con la jurisprudencia histórica que lo hacía mediante la conexidad con los derechos civiles y políticos. Por tal razón, </w:t>
      </w:r>
      <w:r w:rsidRPr="00A75D43">
        <w:rPr>
          <w:rFonts w:ascii="Verdana" w:hAnsi="Verdana"/>
          <w:sz w:val="20"/>
          <w:szCs w:val="20"/>
        </w:rPr>
        <w:t xml:space="preserve">concurro esencialmente con todas las violaciones declaradas en </w:t>
      </w:r>
      <w:r>
        <w:rPr>
          <w:rFonts w:ascii="Verdana" w:hAnsi="Verdana"/>
          <w:sz w:val="20"/>
          <w:szCs w:val="20"/>
        </w:rPr>
        <w:t xml:space="preserve">la Sentencia. Sin embargo, debido a la importancia de la decisión en materia de </w:t>
      </w:r>
      <w:proofErr w:type="spellStart"/>
      <w:r>
        <w:rPr>
          <w:rFonts w:ascii="Verdana" w:hAnsi="Verdana"/>
          <w:sz w:val="20"/>
          <w:szCs w:val="20"/>
        </w:rPr>
        <w:t>justiciabilidad</w:t>
      </w:r>
      <w:proofErr w:type="spellEnd"/>
      <w:r>
        <w:rPr>
          <w:rFonts w:ascii="Verdana" w:hAnsi="Verdana"/>
          <w:sz w:val="20"/>
          <w:szCs w:val="20"/>
        </w:rPr>
        <w:t xml:space="preserve"> plena de los DESCA, considero oportuno </w:t>
      </w:r>
      <w:r w:rsidRPr="0047021F">
        <w:rPr>
          <w:rFonts w:ascii="Verdana" w:hAnsi="Verdana"/>
          <w:sz w:val="20"/>
          <w:szCs w:val="20"/>
        </w:rPr>
        <w:t xml:space="preserve">establecer algunos alcances </w:t>
      </w:r>
      <w:r w:rsidRPr="00C761FB">
        <w:rPr>
          <w:rFonts w:ascii="Verdana" w:hAnsi="Verdana"/>
          <w:sz w:val="20"/>
          <w:szCs w:val="20"/>
        </w:rPr>
        <w:t>en relación con el</w:t>
      </w:r>
      <w:r w:rsidRPr="0047021F">
        <w:rPr>
          <w:rFonts w:ascii="Verdana" w:hAnsi="Verdana"/>
          <w:i/>
          <w:sz w:val="20"/>
          <w:szCs w:val="20"/>
        </w:rPr>
        <w:t xml:space="preserve"> derecho de asociación en materia laboral para la defensa y promoción de los intereses de los trabajadores </w:t>
      </w:r>
      <w:r w:rsidRPr="0047021F">
        <w:rPr>
          <w:rFonts w:ascii="Verdana" w:hAnsi="Verdana"/>
          <w:sz w:val="20"/>
          <w:szCs w:val="20"/>
        </w:rPr>
        <w:t>mediante los artículos 26 y 16 de la Convención Americ</w:t>
      </w:r>
      <w:r>
        <w:rPr>
          <w:rFonts w:ascii="Verdana" w:hAnsi="Verdana"/>
          <w:sz w:val="20"/>
          <w:szCs w:val="20"/>
        </w:rPr>
        <w:t>ana. L</w:t>
      </w:r>
      <w:r w:rsidRPr="0047021F">
        <w:rPr>
          <w:rFonts w:ascii="Verdana" w:hAnsi="Verdana"/>
          <w:sz w:val="20"/>
          <w:szCs w:val="20"/>
        </w:rPr>
        <w:t xml:space="preserve">o anterior, con la finalidad de destacar cómo diversos instrumentos internacionales pueden actuar de manera sinérgica para delimitar los alcances de la protección de derechos sociales </w:t>
      </w:r>
      <w:r>
        <w:rPr>
          <w:rFonts w:ascii="Verdana" w:hAnsi="Verdana"/>
          <w:sz w:val="20"/>
          <w:szCs w:val="20"/>
        </w:rPr>
        <w:t xml:space="preserve">interamericanos </w:t>
      </w:r>
      <w:r w:rsidRPr="0047021F">
        <w:rPr>
          <w:rFonts w:ascii="Verdana" w:hAnsi="Verdana"/>
          <w:sz w:val="20"/>
          <w:szCs w:val="20"/>
        </w:rPr>
        <w:t xml:space="preserve">mediante el Pacto de San José. </w:t>
      </w:r>
    </w:p>
    <w:p w14:paraId="4CDC3444" w14:textId="77777777" w:rsidR="00F83E8F" w:rsidRPr="00B46BC3" w:rsidRDefault="00F83E8F" w:rsidP="00F83E8F">
      <w:pPr>
        <w:widowControl w:val="0"/>
        <w:autoSpaceDE w:val="0"/>
        <w:autoSpaceDN w:val="0"/>
        <w:adjustRightInd w:val="0"/>
        <w:jc w:val="both"/>
        <w:rPr>
          <w:rFonts w:ascii="Verdana" w:hAnsi="Verdana"/>
          <w:sz w:val="20"/>
          <w:szCs w:val="20"/>
          <w:highlight w:val="yellow"/>
        </w:rPr>
      </w:pPr>
    </w:p>
    <w:p w14:paraId="36CE0206" w14:textId="77777777" w:rsidR="00F83E8F" w:rsidRPr="003D4E91" w:rsidRDefault="00F83E8F" w:rsidP="00E70701">
      <w:pPr>
        <w:pStyle w:val="ListParagraph"/>
        <w:widowControl w:val="0"/>
        <w:numPr>
          <w:ilvl w:val="0"/>
          <w:numId w:val="28"/>
        </w:numPr>
        <w:autoSpaceDE w:val="0"/>
        <w:autoSpaceDN w:val="0"/>
        <w:adjustRightInd w:val="0"/>
        <w:ind w:left="0" w:firstLine="0"/>
        <w:jc w:val="both"/>
        <w:rPr>
          <w:rFonts w:ascii="Verdana" w:hAnsi="Verdana"/>
          <w:b/>
          <w:sz w:val="20"/>
          <w:szCs w:val="20"/>
        </w:rPr>
      </w:pPr>
      <w:r>
        <w:rPr>
          <w:rFonts w:ascii="Verdana" w:hAnsi="Verdana"/>
          <w:sz w:val="20"/>
          <w:szCs w:val="20"/>
        </w:rPr>
        <w:t>Teniendo en cuenta lo anterior,</w:t>
      </w:r>
      <w:r w:rsidRPr="0055116B">
        <w:rPr>
          <w:rFonts w:ascii="Verdana" w:hAnsi="Verdana"/>
          <w:sz w:val="20"/>
          <w:szCs w:val="20"/>
        </w:rPr>
        <w:t xml:space="preserve"> a continuación desarrollaré</w:t>
      </w:r>
      <w:r w:rsidRPr="00B5676E">
        <w:rPr>
          <w:rFonts w:ascii="Verdana" w:hAnsi="Verdana"/>
          <w:sz w:val="20"/>
          <w:szCs w:val="20"/>
        </w:rPr>
        <w:t xml:space="preserve">: </w:t>
      </w:r>
      <w:r>
        <w:rPr>
          <w:rFonts w:ascii="Verdana" w:hAnsi="Verdana"/>
          <w:b/>
          <w:bCs/>
          <w:iCs/>
          <w:sz w:val="20"/>
          <w:szCs w:val="20"/>
        </w:rPr>
        <w:t>I</w:t>
      </w:r>
      <w:r w:rsidRPr="001C21C2">
        <w:rPr>
          <w:rFonts w:ascii="Verdana" w:hAnsi="Verdana"/>
          <w:bCs/>
          <w:iCs/>
          <w:sz w:val="20"/>
          <w:szCs w:val="20"/>
        </w:rPr>
        <w:t>.</w:t>
      </w:r>
      <w:r>
        <w:rPr>
          <w:rFonts w:ascii="Verdana" w:hAnsi="Verdana"/>
          <w:bCs/>
          <w:iCs/>
          <w:sz w:val="20"/>
          <w:szCs w:val="20"/>
        </w:rPr>
        <w:t xml:space="preserve"> L</w:t>
      </w:r>
      <w:r w:rsidRPr="00B5676E">
        <w:rPr>
          <w:rFonts w:ascii="Verdana" w:hAnsi="Verdana"/>
          <w:bCs/>
          <w:iCs/>
          <w:sz w:val="20"/>
          <w:szCs w:val="20"/>
        </w:rPr>
        <w:t xml:space="preserve">a </w:t>
      </w:r>
      <w:proofErr w:type="spellStart"/>
      <w:r w:rsidRPr="00B5676E">
        <w:rPr>
          <w:rFonts w:ascii="Verdana" w:hAnsi="Verdana"/>
          <w:bCs/>
          <w:iCs/>
          <w:sz w:val="20"/>
          <w:szCs w:val="20"/>
        </w:rPr>
        <w:t>justiciabilidad</w:t>
      </w:r>
      <w:proofErr w:type="spellEnd"/>
      <w:r w:rsidRPr="00B5676E">
        <w:rPr>
          <w:rFonts w:ascii="Verdana" w:hAnsi="Verdana"/>
          <w:bCs/>
          <w:iCs/>
          <w:sz w:val="20"/>
          <w:szCs w:val="20"/>
        </w:rPr>
        <w:t xml:space="preserve"> del derecho al trabajo mediante el artículo 26 de la Convención Americana y la aplicación del principio </w:t>
      </w:r>
      <w:proofErr w:type="spellStart"/>
      <w:r w:rsidRPr="00A635E6">
        <w:rPr>
          <w:rFonts w:ascii="Verdana" w:hAnsi="Verdana"/>
          <w:bCs/>
          <w:i/>
          <w:iCs/>
          <w:sz w:val="20"/>
          <w:szCs w:val="20"/>
        </w:rPr>
        <w:t>iura</w:t>
      </w:r>
      <w:proofErr w:type="spellEnd"/>
      <w:r w:rsidRPr="00A635E6">
        <w:rPr>
          <w:rFonts w:ascii="Verdana" w:hAnsi="Verdana"/>
          <w:bCs/>
          <w:i/>
          <w:iCs/>
          <w:sz w:val="20"/>
          <w:szCs w:val="20"/>
        </w:rPr>
        <w:t xml:space="preserve"> </w:t>
      </w:r>
      <w:proofErr w:type="spellStart"/>
      <w:r w:rsidRPr="00A635E6">
        <w:rPr>
          <w:rFonts w:ascii="Verdana" w:hAnsi="Verdana"/>
          <w:bCs/>
          <w:i/>
          <w:iCs/>
          <w:sz w:val="20"/>
          <w:szCs w:val="20"/>
        </w:rPr>
        <w:t>novit</w:t>
      </w:r>
      <w:proofErr w:type="spellEnd"/>
      <w:r w:rsidRPr="00A635E6">
        <w:rPr>
          <w:rFonts w:ascii="Verdana" w:hAnsi="Verdana"/>
          <w:bCs/>
          <w:i/>
          <w:iCs/>
          <w:sz w:val="20"/>
          <w:szCs w:val="20"/>
        </w:rPr>
        <w:t xml:space="preserve"> curia</w:t>
      </w:r>
      <w:r>
        <w:rPr>
          <w:rFonts w:ascii="Verdana" w:hAnsi="Verdana"/>
          <w:bCs/>
          <w:i/>
          <w:iCs/>
          <w:sz w:val="20"/>
          <w:szCs w:val="20"/>
        </w:rPr>
        <w:t>;</w:t>
      </w:r>
      <w:r w:rsidRPr="0055116B">
        <w:rPr>
          <w:rFonts w:ascii="Verdana" w:hAnsi="Verdana"/>
          <w:bCs/>
          <w:i/>
          <w:iCs/>
          <w:sz w:val="20"/>
          <w:szCs w:val="20"/>
        </w:rPr>
        <w:t xml:space="preserve"> </w:t>
      </w:r>
      <w:r>
        <w:rPr>
          <w:rFonts w:ascii="Verdana" w:hAnsi="Verdana"/>
          <w:b/>
          <w:sz w:val="20"/>
          <w:szCs w:val="20"/>
        </w:rPr>
        <w:t>II</w:t>
      </w:r>
      <w:r>
        <w:rPr>
          <w:rFonts w:ascii="Verdana" w:hAnsi="Verdana"/>
          <w:sz w:val="20"/>
          <w:szCs w:val="20"/>
        </w:rPr>
        <w:t>.</w:t>
      </w:r>
      <w:r w:rsidRPr="00B5676E">
        <w:rPr>
          <w:rFonts w:ascii="Verdana" w:hAnsi="Verdana"/>
          <w:bCs/>
          <w:iCs/>
          <w:sz w:val="20"/>
          <w:szCs w:val="20"/>
        </w:rPr>
        <w:t xml:space="preserve"> El derecho de asociación en la jurisprudencia de la Corte I</w:t>
      </w:r>
      <w:r>
        <w:rPr>
          <w:rFonts w:ascii="Verdana" w:hAnsi="Verdana"/>
          <w:bCs/>
          <w:iCs/>
          <w:sz w:val="20"/>
          <w:szCs w:val="20"/>
        </w:rPr>
        <w:t>DH</w:t>
      </w:r>
      <w:r>
        <w:rPr>
          <w:rFonts w:ascii="Verdana" w:hAnsi="Verdana"/>
          <w:sz w:val="20"/>
          <w:szCs w:val="20"/>
        </w:rPr>
        <w:t xml:space="preserve">.; </w:t>
      </w:r>
      <w:r>
        <w:rPr>
          <w:rFonts w:ascii="Verdana" w:hAnsi="Verdana"/>
          <w:b/>
          <w:sz w:val="20"/>
          <w:szCs w:val="20"/>
        </w:rPr>
        <w:t>III</w:t>
      </w:r>
      <w:r w:rsidRPr="001C21C2">
        <w:rPr>
          <w:rFonts w:ascii="Verdana" w:hAnsi="Verdana"/>
          <w:sz w:val="20"/>
          <w:szCs w:val="20"/>
        </w:rPr>
        <w:t>.</w:t>
      </w:r>
      <w:r w:rsidRPr="00B5676E">
        <w:rPr>
          <w:rFonts w:ascii="Verdana" w:hAnsi="Verdana"/>
          <w:bCs/>
          <w:iCs/>
          <w:sz w:val="20"/>
          <w:szCs w:val="20"/>
        </w:rPr>
        <w:t xml:space="preserve"> derecho de asociación laboral para la protección y promoción de los intereses de los </w:t>
      </w:r>
      <w:r w:rsidRPr="00B5676E">
        <w:rPr>
          <w:rFonts w:ascii="Verdana" w:hAnsi="Verdana"/>
          <w:bCs/>
          <w:iCs/>
          <w:sz w:val="20"/>
          <w:szCs w:val="20"/>
        </w:rPr>
        <w:lastRenderedPageBreak/>
        <w:t>trabajadores como parte del derecho al trabajo</w:t>
      </w:r>
      <w:r>
        <w:rPr>
          <w:rFonts w:ascii="Verdana" w:hAnsi="Verdana"/>
          <w:bCs/>
          <w:iCs/>
          <w:sz w:val="20"/>
          <w:szCs w:val="20"/>
        </w:rPr>
        <w:t>,</w:t>
      </w:r>
      <w:r w:rsidRPr="0055116B">
        <w:rPr>
          <w:rFonts w:ascii="Verdana" w:hAnsi="Verdana"/>
          <w:bCs/>
          <w:i/>
          <w:iCs/>
          <w:sz w:val="20"/>
          <w:szCs w:val="20"/>
        </w:rPr>
        <w:t xml:space="preserve"> </w:t>
      </w:r>
      <w:r w:rsidRPr="0055116B">
        <w:rPr>
          <w:rFonts w:ascii="Verdana" w:hAnsi="Verdana"/>
          <w:sz w:val="20"/>
          <w:szCs w:val="20"/>
        </w:rPr>
        <w:t xml:space="preserve">y </w:t>
      </w:r>
      <w:r w:rsidRPr="00064565">
        <w:rPr>
          <w:rFonts w:ascii="Verdana" w:hAnsi="Verdana"/>
          <w:b/>
          <w:sz w:val="20"/>
          <w:szCs w:val="20"/>
        </w:rPr>
        <w:t>IV</w:t>
      </w:r>
      <w:r w:rsidRPr="001C21C2">
        <w:rPr>
          <w:rFonts w:ascii="Verdana" w:hAnsi="Verdana"/>
          <w:sz w:val="20"/>
          <w:szCs w:val="20"/>
        </w:rPr>
        <w:t>.</w:t>
      </w:r>
      <w:r>
        <w:rPr>
          <w:rFonts w:ascii="Verdana" w:hAnsi="Verdana"/>
          <w:bCs/>
          <w:i/>
          <w:iCs/>
          <w:sz w:val="20"/>
          <w:szCs w:val="20"/>
        </w:rPr>
        <w:t xml:space="preserve"> Conclusiones.</w:t>
      </w:r>
    </w:p>
    <w:p w14:paraId="18307A8C" w14:textId="77777777" w:rsidR="00F83E8F" w:rsidRPr="00AD360E" w:rsidRDefault="00F83E8F" w:rsidP="00F83E8F">
      <w:pPr>
        <w:widowControl w:val="0"/>
        <w:autoSpaceDE w:val="0"/>
        <w:autoSpaceDN w:val="0"/>
        <w:adjustRightInd w:val="0"/>
        <w:rPr>
          <w:rFonts w:ascii="Verdana" w:hAnsi="Verdana"/>
          <w:sz w:val="20"/>
          <w:szCs w:val="20"/>
        </w:rPr>
      </w:pPr>
    </w:p>
    <w:p w14:paraId="16DA0296" w14:textId="77777777" w:rsidR="00F83E8F" w:rsidRPr="00064565" w:rsidRDefault="00F83E8F" w:rsidP="00F83E8F">
      <w:pPr>
        <w:widowControl w:val="0"/>
        <w:autoSpaceDE w:val="0"/>
        <w:autoSpaceDN w:val="0"/>
        <w:adjustRightInd w:val="0"/>
        <w:jc w:val="center"/>
        <w:rPr>
          <w:rFonts w:ascii="Verdana" w:hAnsi="Verdana"/>
          <w:sz w:val="20"/>
          <w:szCs w:val="20"/>
        </w:rPr>
      </w:pPr>
      <w:r w:rsidRPr="00064565">
        <w:rPr>
          <w:rFonts w:ascii="Verdana" w:hAnsi="Verdana"/>
          <w:sz w:val="20"/>
          <w:szCs w:val="20"/>
        </w:rPr>
        <w:t xml:space="preserve">I. </w:t>
      </w:r>
      <w:r>
        <w:rPr>
          <w:rFonts w:ascii="Verdana" w:hAnsi="Verdana"/>
          <w:sz w:val="20"/>
          <w:szCs w:val="20"/>
        </w:rPr>
        <w:t xml:space="preserve"> </w:t>
      </w:r>
      <w:r w:rsidRPr="00064565">
        <w:rPr>
          <w:rFonts w:ascii="Verdana" w:hAnsi="Verdana"/>
          <w:sz w:val="20"/>
          <w:szCs w:val="20"/>
        </w:rPr>
        <w:t xml:space="preserve">LA JUSTICIABILIDAD DEL DERECHO AL TRABAJO MEDIANTE EL ARTÍCULO 26 DE LA CONVENCIÓN AMERICANA Y LA APLICACIÓN DEL PRINCIPIO </w:t>
      </w:r>
      <w:r w:rsidRPr="00064565">
        <w:rPr>
          <w:rFonts w:ascii="Verdana" w:hAnsi="Verdana"/>
          <w:i/>
          <w:sz w:val="20"/>
          <w:szCs w:val="20"/>
        </w:rPr>
        <w:t>IURA NOVIT CURIA</w:t>
      </w:r>
      <w:r w:rsidRPr="00064565">
        <w:rPr>
          <w:rFonts w:ascii="Verdana" w:hAnsi="Verdana"/>
          <w:sz w:val="20"/>
          <w:szCs w:val="20"/>
        </w:rPr>
        <w:t xml:space="preserve"> </w:t>
      </w:r>
    </w:p>
    <w:p w14:paraId="44A1F109" w14:textId="77777777" w:rsidR="00F83E8F" w:rsidRPr="00AD360E" w:rsidRDefault="00F83E8F" w:rsidP="00F83E8F">
      <w:pPr>
        <w:widowControl w:val="0"/>
        <w:autoSpaceDE w:val="0"/>
        <w:autoSpaceDN w:val="0"/>
        <w:adjustRightInd w:val="0"/>
        <w:jc w:val="both"/>
        <w:rPr>
          <w:rFonts w:ascii="Verdana" w:hAnsi="Verdana"/>
          <w:sz w:val="20"/>
          <w:szCs w:val="20"/>
        </w:rPr>
      </w:pPr>
    </w:p>
    <w:p w14:paraId="13A8B71F" w14:textId="77777777" w:rsidR="00F83E8F" w:rsidRPr="004E66B4" w:rsidRDefault="00F83E8F" w:rsidP="00E70701">
      <w:pPr>
        <w:pStyle w:val="ListParagraph"/>
        <w:widowControl w:val="0"/>
        <w:numPr>
          <w:ilvl w:val="0"/>
          <w:numId w:val="28"/>
        </w:numPr>
        <w:autoSpaceDE w:val="0"/>
        <w:autoSpaceDN w:val="0"/>
        <w:adjustRightInd w:val="0"/>
        <w:ind w:left="0" w:right="49" w:firstLine="0"/>
        <w:jc w:val="both"/>
        <w:rPr>
          <w:rFonts w:ascii="Verdana" w:hAnsi="Verdana"/>
          <w:sz w:val="20"/>
          <w:szCs w:val="20"/>
        </w:rPr>
      </w:pPr>
      <w:r w:rsidRPr="004E66B4">
        <w:rPr>
          <w:rFonts w:ascii="Verdana" w:hAnsi="Verdana"/>
          <w:sz w:val="20"/>
          <w:szCs w:val="20"/>
        </w:rPr>
        <w:t>Como se mencionó</w:t>
      </w:r>
      <w:r>
        <w:rPr>
          <w:rFonts w:ascii="Verdana" w:hAnsi="Verdana"/>
          <w:sz w:val="20"/>
          <w:szCs w:val="20"/>
        </w:rPr>
        <w:t>, en el presente caso la Corte IDH declara</w:t>
      </w:r>
      <w:r w:rsidRPr="004E66B4">
        <w:rPr>
          <w:rFonts w:ascii="Verdana" w:hAnsi="Verdana"/>
          <w:sz w:val="20"/>
          <w:szCs w:val="20"/>
        </w:rPr>
        <w:t xml:space="preserve"> </w:t>
      </w:r>
      <w:r>
        <w:rPr>
          <w:rFonts w:ascii="Verdana" w:hAnsi="Verdana"/>
          <w:sz w:val="20"/>
          <w:szCs w:val="20"/>
        </w:rPr>
        <w:t>por primera vez violado</w:t>
      </w:r>
      <w:r w:rsidRPr="004E66B4">
        <w:rPr>
          <w:rFonts w:ascii="Verdana" w:hAnsi="Verdana"/>
          <w:sz w:val="20"/>
          <w:szCs w:val="20"/>
        </w:rPr>
        <w:t xml:space="preserve"> el artículo 26 de la Convención Americana</w:t>
      </w:r>
      <w:r>
        <w:rPr>
          <w:rFonts w:ascii="Verdana" w:hAnsi="Verdana"/>
          <w:sz w:val="20"/>
          <w:szCs w:val="20"/>
        </w:rPr>
        <w:t>,</w:t>
      </w:r>
      <w:r w:rsidRPr="004E66B4">
        <w:rPr>
          <w:rFonts w:ascii="Verdana" w:hAnsi="Verdana"/>
          <w:sz w:val="20"/>
          <w:szCs w:val="20"/>
        </w:rPr>
        <w:t xml:space="preserve"> </w:t>
      </w:r>
      <w:r>
        <w:rPr>
          <w:rFonts w:ascii="Verdana" w:hAnsi="Verdana"/>
          <w:sz w:val="20"/>
          <w:szCs w:val="20"/>
        </w:rPr>
        <w:t>en relación con el</w:t>
      </w:r>
      <w:r w:rsidRPr="004E66B4">
        <w:rPr>
          <w:rFonts w:ascii="Verdana" w:hAnsi="Verdana"/>
          <w:sz w:val="20"/>
          <w:szCs w:val="20"/>
        </w:rPr>
        <w:t xml:space="preserve"> derecho a la estabilidad laboral</w:t>
      </w:r>
      <w:r w:rsidRPr="004E66B4">
        <w:rPr>
          <w:rStyle w:val="FootnoteReference"/>
          <w:szCs w:val="20"/>
        </w:rPr>
        <w:footnoteReference w:id="299"/>
      </w:r>
      <w:r w:rsidRPr="004E66B4">
        <w:rPr>
          <w:rFonts w:ascii="Verdana" w:hAnsi="Verdana"/>
          <w:sz w:val="20"/>
          <w:szCs w:val="20"/>
        </w:rPr>
        <w:t xml:space="preserve"> y </w:t>
      </w:r>
      <w:r>
        <w:rPr>
          <w:rFonts w:ascii="Verdana" w:hAnsi="Verdana"/>
          <w:sz w:val="20"/>
          <w:szCs w:val="20"/>
        </w:rPr>
        <w:t xml:space="preserve">con el </w:t>
      </w:r>
      <w:r w:rsidRPr="004E66B4">
        <w:rPr>
          <w:rFonts w:ascii="Verdana" w:hAnsi="Verdana"/>
          <w:sz w:val="20"/>
          <w:szCs w:val="20"/>
        </w:rPr>
        <w:t>derecho a la asociación laboral</w:t>
      </w:r>
      <w:r w:rsidRPr="004E66B4">
        <w:rPr>
          <w:rStyle w:val="FootnoteReference"/>
          <w:szCs w:val="20"/>
        </w:rPr>
        <w:footnoteReference w:id="300"/>
      </w:r>
      <w:r>
        <w:rPr>
          <w:rFonts w:ascii="Verdana" w:hAnsi="Verdana"/>
          <w:sz w:val="20"/>
          <w:szCs w:val="20"/>
        </w:rPr>
        <w:t>. En ambos casos</w:t>
      </w:r>
      <w:r w:rsidRPr="004E66B4">
        <w:rPr>
          <w:rFonts w:ascii="Verdana" w:hAnsi="Verdana"/>
          <w:sz w:val="20"/>
          <w:szCs w:val="20"/>
        </w:rPr>
        <w:t xml:space="preserve"> invocando el principio </w:t>
      </w:r>
      <w:proofErr w:type="spellStart"/>
      <w:r w:rsidRPr="004E66B4">
        <w:rPr>
          <w:rFonts w:ascii="Verdana" w:hAnsi="Verdana"/>
          <w:i/>
          <w:sz w:val="20"/>
          <w:szCs w:val="20"/>
        </w:rPr>
        <w:t>iura</w:t>
      </w:r>
      <w:proofErr w:type="spellEnd"/>
      <w:r w:rsidRPr="004E66B4">
        <w:rPr>
          <w:rFonts w:ascii="Verdana" w:hAnsi="Verdana"/>
          <w:i/>
          <w:sz w:val="20"/>
          <w:szCs w:val="20"/>
        </w:rPr>
        <w:t xml:space="preserve"> </w:t>
      </w:r>
      <w:proofErr w:type="spellStart"/>
      <w:r w:rsidRPr="004E66B4">
        <w:rPr>
          <w:rFonts w:ascii="Verdana" w:hAnsi="Verdana"/>
          <w:i/>
          <w:sz w:val="20"/>
          <w:szCs w:val="20"/>
        </w:rPr>
        <w:t>novit</w:t>
      </w:r>
      <w:proofErr w:type="spellEnd"/>
      <w:r w:rsidRPr="004E66B4">
        <w:rPr>
          <w:rFonts w:ascii="Verdana" w:hAnsi="Verdana"/>
          <w:i/>
          <w:sz w:val="20"/>
          <w:szCs w:val="20"/>
        </w:rPr>
        <w:t xml:space="preserve"> curia</w:t>
      </w:r>
      <w:r w:rsidRPr="004E66B4">
        <w:rPr>
          <w:rFonts w:ascii="Verdana" w:hAnsi="Verdana"/>
          <w:sz w:val="20"/>
          <w:szCs w:val="20"/>
        </w:rPr>
        <w:t xml:space="preserve">. En este sentido, la Corte IDH sienta un precedente importante para la </w:t>
      </w:r>
      <w:proofErr w:type="spellStart"/>
      <w:r w:rsidRPr="004E66B4">
        <w:rPr>
          <w:rFonts w:ascii="Verdana" w:hAnsi="Verdana"/>
          <w:sz w:val="20"/>
          <w:szCs w:val="20"/>
        </w:rPr>
        <w:t>justiciabilidad</w:t>
      </w:r>
      <w:proofErr w:type="spellEnd"/>
      <w:r w:rsidRPr="004E66B4">
        <w:rPr>
          <w:rFonts w:ascii="Verdana" w:hAnsi="Verdana"/>
          <w:sz w:val="20"/>
          <w:szCs w:val="20"/>
        </w:rPr>
        <w:t xml:space="preserve"> de los derechos sociales en el Sistema Interamericano</w:t>
      </w:r>
      <w:r>
        <w:rPr>
          <w:rFonts w:ascii="Verdana" w:hAnsi="Verdana"/>
          <w:sz w:val="20"/>
          <w:szCs w:val="20"/>
        </w:rPr>
        <w:t>,</w:t>
      </w:r>
      <w:r w:rsidRPr="004E66B4">
        <w:rPr>
          <w:rFonts w:ascii="Verdana" w:hAnsi="Verdana"/>
          <w:sz w:val="20"/>
          <w:szCs w:val="20"/>
        </w:rPr>
        <w:t xml:space="preserve"> </w:t>
      </w:r>
      <w:r>
        <w:rPr>
          <w:rFonts w:ascii="Verdana" w:hAnsi="Verdana"/>
          <w:sz w:val="20"/>
          <w:szCs w:val="20"/>
        </w:rPr>
        <w:t xml:space="preserve">al abrir </w:t>
      </w:r>
      <w:r w:rsidRPr="004E66B4">
        <w:rPr>
          <w:rFonts w:ascii="Verdana" w:hAnsi="Verdana"/>
          <w:sz w:val="20"/>
          <w:szCs w:val="20"/>
        </w:rPr>
        <w:t>la posibilida</w:t>
      </w:r>
      <w:r>
        <w:rPr>
          <w:rFonts w:ascii="Verdana" w:hAnsi="Verdana"/>
          <w:sz w:val="20"/>
          <w:szCs w:val="20"/>
        </w:rPr>
        <w:t xml:space="preserve">d de que derechos que no fueron expresamente </w:t>
      </w:r>
      <w:r w:rsidRPr="004E66B4">
        <w:rPr>
          <w:rFonts w:ascii="Verdana" w:hAnsi="Verdana"/>
          <w:sz w:val="20"/>
          <w:szCs w:val="20"/>
        </w:rPr>
        <w:t>contemplados en el artículo 19.6 del</w:t>
      </w:r>
      <w:r>
        <w:rPr>
          <w:rFonts w:ascii="Verdana" w:hAnsi="Verdana"/>
          <w:sz w:val="20"/>
          <w:szCs w:val="20"/>
        </w:rPr>
        <w:t xml:space="preserve"> Protocolo de San Salvador</w:t>
      </w:r>
      <w:r>
        <w:rPr>
          <w:rStyle w:val="FootnoteReference"/>
          <w:szCs w:val="20"/>
        </w:rPr>
        <w:footnoteReference w:id="301"/>
      </w:r>
      <w:r>
        <w:rPr>
          <w:rFonts w:ascii="Verdana" w:hAnsi="Verdana"/>
          <w:sz w:val="20"/>
          <w:szCs w:val="20"/>
        </w:rPr>
        <w:t xml:space="preserve"> —</w:t>
      </w:r>
      <w:r w:rsidRPr="004E66B4">
        <w:rPr>
          <w:rFonts w:ascii="Verdana" w:hAnsi="Verdana"/>
          <w:sz w:val="20"/>
          <w:szCs w:val="20"/>
        </w:rPr>
        <w:t>como el derecho al trabajo y sus vertientes</w:t>
      </w:r>
      <w:r>
        <w:rPr>
          <w:rFonts w:ascii="Verdana" w:hAnsi="Verdana"/>
          <w:sz w:val="20"/>
          <w:szCs w:val="20"/>
        </w:rPr>
        <w:t>—,</w:t>
      </w:r>
      <w:r w:rsidRPr="004E66B4">
        <w:rPr>
          <w:rFonts w:ascii="Verdana" w:hAnsi="Verdana"/>
          <w:sz w:val="20"/>
          <w:szCs w:val="20"/>
        </w:rPr>
        <w:t xml:space="preserve"> puedan ser protegidos </w:t>
      </w:r>
      <w:r>
        <w:rPr>
          <w:rFonts w:ascii="Verdana" w:hAnsi="Verdana"/>
          <w:sz w:val="20"/>
          <w:szCs w:val="20"/>
        </w:rPr>
        <w:t xml:space="preserve">directamente </w:t>
      </w:r>
      <w:r w:rsidRPr="004E66B4">
        <w:rPr>
          <w:rFonts w:ascii="Verdana" w:hAnsi="Verdana"/>
          <w:sz w:val="20"/>
          <w:szCs w:val="20"/>
        </w:rPr>
        <w:t xml:space="preserve">mediante la Convención Americana.  </w:t>
      </w:r>
    </w:p>
    <w:p w14:paraId="4A85D35D" w14:textId="77777777" w:rsidR="00F83E8F" w:rsidRPr="004E66B4" w:rsidRDefault="00F83E8F" w:rsidP="00F83E8F">
      <w:pPr>
        <w:pStyle w:val="ListParagraph"/>
        <w:widowControl w:val="0"/>
        <w:autoSpaceDE w:val="0"/>
        <w:autoSpaceDN w:val="0"/>
        <w:adjustRightInd w:val="0"/>
        <w:ind w:left="0" w:right="49"/>
        <w:jc w:val="both"/>
        <w:rPr>
          <w:rFonts w:ascii="Verdana" w:hAnsi="Verdana"/>
          <w:sz w:val="20"/>
          <w:szCs w:val="20"/>
        </w:rPr>
      </w:pPr>
    </w:p>
    <w:p w14:paraId="0B0A6BFB" w14:textId="77777777" w:rsidR="00F83E8F" w:rsidRDefault="00F83E8F" w:rsidP="00E70701">
      <w:pPr>
        <w:pStyle w:val="ListParagraph"/>
        <w:widowControl w:val="0"/>
        <w:numPr>
          <w:ilvl w:val="0"/>
          <w:numId w:val="28"/>
        </w:numPr>
        <w:autoSpaceDE w:val="0"/>
        <w:autoSpaceDN w:val="0"/>
        <w:adjustRightInd w:val="0"/>
        <w:ind w:left="0" w:right="49" w:firstLine="0"/>
        <w:jc w:val="both"/>
        <w:rPr>
          <w:rFonts w:ascii="Verdana" w:hAnsi="Verdana"/>
          <w:sz w:val="20"/>
          <w:szCs w:val="20"/>
        </w:rPr>
      </w:pPr>
      <w:r>
        <w:rPr>
          <w:rFonts w:ascii="Verdana" w:hAnsi="Verdana"/>
          <w:sz w:val="20"/>
          <w:szCs w:val="20"/>
        </w:rPr>
        <w:t>E</w:t>
      </w:r>
      <w:r w:rsidRPr="004E66B4">
        <w:rPr>
          <w:rFonts w:ascii="Verdana" w:hAnsi="Verdana"/>
          <w:sz w:val="20"/>
          <w:szCs w:val="20"/>
        </w:rPr>
        <w:t>n la Sentencia</w:t>
      </w:r>
      <w:r>
        <w:rPr>
          <w:rFonts w:ascii="Verdana" w:hAnsi="Verdana"/>
          <w:sz w:val="20"/>
          <w:szCs w:val="20"/>
        </w:rPr>
        <w:t>, l</w:t>
      </w:r>
      <w:r w:rsidRPr="004E66B4">
        <w:rPr>
          <w:rFonts w:ascii="Verdana" w:hAnsi="Verdana"/>
          <w:sz w:val="20"/>
          <w:szCs w:val="20"/>
        </w:rPr>
        <w:t>a Corte IDH afianza los principios de interdependencia e indivisibilidad entre los derechos económicos, sociales</w:t>
      </w:r>
      <w:r>
        <w:rPr>
          <w:rFonts w:ascii="Verdana" w:hAnsi="Verdana"/>
          <w:sz w:val="20"/>
          <w:szCs w:val="20"/>
        </w:rPr>
        <w:t xml:space="preserve">, </w:t>
      </w:r>
      <w:r w:rsidRPr="004E66B4">
        <w:rPr>
          <w:rFonts w:ascii="Verdana" w:hAnsi="Verdana"/>
          <w:sz w:val="20"/>
          <w:szCs w:val="20"/>
        </w:rPr>
        <w:t>culturales</w:t>
      </w:r>
      <w:r>
        <w:rPr>
          <w:rFonts w:ascii="Verdana" w:hAnsi="Verdana"/>
          <w:sz w:val="20"/>
          <w:szCs w:val="20"/>
        </w:rPr>
        <w:t xml:space="preserve"> y ambientales con respecto a</w:t>
      </w:r>
      <w:r w:rsidRPr="004E66B4">
        <w:rPr>
          <w:rFonts w:ascii="Verdana" w:hAnsi="Verdana"/>
          <w:sz w:val="20"/>
          <w:szCs w:val="20"/>
        </w:rPr>
        <w:t xml:space="preserve"> l</w:t>
      </w:r>
      <w:r>
        <w:rPr>
          <w:rFonts w:ascii="Verdana" w:hAnsi="Verdana"/>
          <w:sz w:val="20"/>
          <w:szCs w:val="20"/>
        </w:rPr>
        <w:t>os derechos civiles y políticos. Ello es así, a partir de su comprensión de los derechos humanos entendidos integralmente y de forma conglobada</w:t>
      </w:r>
      <w:r>
        <w:rPr>
          <w:rFonts w:ascii="Verdana" w:hAnsi="Verdana" w:cs="Verdana"/>
          <w:sz w:val="20"/>
          <w:szCs w:val="20"/>
          <w:lang w:eastAsia="es-MX"/>
        </w:rPr>
        <w:t xml:space="preserve">, </w:t>
      </w:r>
      <w:r w:rsidRPr="00B3760D">
        <w:rPr>
          <w:rFonts w:ascii="Verdana" w:hAnsi="Verdana" w:cs="Verdana"/>
          <w:sz w:val="20"/>
          <w:szCs w:val="20"/>
          <w:lang w:eastAsia="es-MX"/>
        </w:rPr>
        <w:t>sin jerarquía entre sí y exigibles en todos los casos ante aquellas autoridades que resulten competentes para ello</w:t>
      </w:r>
      <w:r>
        <w:rPr>
          <w:rStyle w:val="FootnoteReference"/>
          <w:rFonts w:cs="Verdana"/>
          <w:szCs w:val="20"/>
          <w:lang w:eastAsia="es-MX"/>
        </w:rPr>
        <w:footnoteReference w:id="302"/>
      </w:r>
      <w:r w:rsidRPr="00BD786A">
        <w:rPr>
          <w:rFonts w:ascii="Verdana" w:hAnsi="Verdana" w:cs="Verdana"/>
          <w:sz w:val="20"/>
          <w:szCs w:val="20"/>
          <w:lang w:eastAsia="es-MX"/>
        </w:rPr>
        <w:t>.</w:t>
      </w:r>
      <w:r>
        <w:rPr>
          <w:rFonts w:ascii="Verdana" w:hAnsi="Verdana" w:cs="Verdana"/>
          <w:sz w:val="20"/>
          <w:szCs w:val="20"/>
          <w:lang w:eastAsia="es-MX"/>
        </w:rPr>
        <w:t xml:space="preserve"> </w:t>
      </w:r>
      <w:r w:rsidRPr="00AD07F6">
        <w:rPr>
          <w:rFonts w:ascii="Verdana" w:hAnsi="Verdana" w:cs="Verdana"/>
          <w:sz w:val="20"/>
          <w:szCs w:val="20"/>
          <w:lang w:eastAsia="es-MX"/>
        </w:rPr>
        <w:t>En otras palabras, la Sentencia reconoce que existe una dependencia recíproca entre todos los derechos humanos, lo cual ha sido incorporado en el marco internacional de los derechos humanos, sin jerarquizar ni subsumir en algunos derechos el contenido de otros</w:t>
      </w:r>
      <w:r w:rsidRPr="00AD07F6">
        <w:rPr>
          <w:rStyle w:val="FootnoteReference"/>
          <w:rFonts w:cs="Verdana"/>
          <w:szCs w:val="20"/>
          <w:lang w:eastAsia="es-MX"/>
        </w:rPr>
        <w:footnoteReference w:id="303"/>
      </w:r>
      <w:r w:rsidRPr="00AD07F6">
        <w:rPr>
          <w:rFonts w:ascii="Verdana" w:hAnsi="Verdana" w:cs="Verdana"/>
          <w:sz w:val="20"/>
          <w:szCs w:val="20"/>
          <w:lang w:eastAsia="es-MX"/>
        </w:rPr>
        <w:t>.</w:t>
      </w:r>
    </w:p>
    <w:p w14:paraId="29DD43D1" w14:textId="77777777" w:rsidR="00F83E8F" w:rsidRPr="00AD07F6" w:rsidRDefault="00F83E8F" w:rsidP="00F83E8F">
      <w:pPr>
        <w:widowControl w:val="0"/>
        <w:autoSpaceDE w:val="0"/>
        <w:autoSpaceDN w:val="0"/>
        <w:adjustRightInd w:val="0"/>
        <w:ind w:right="49"/>
        <w:jc w:val="both"/>
        <w:rPr>
          <w:rFonts w:ascii="Verdana" w:hAnsi="Verdana"/>
          <w:sz w:val="20"/>
          <w:szCs w:val="20"/>
        </w:rPr>
      </w:pPr>
    </w:p>
    <w:p w14:paraId="287F7548" w14:textId="77777777" w:rsidR="00F83E8F" w:rsidRPr="00AD07F6" w:rsidRDefault="00F83E8F" w:rsidP="00E70701">
      <w:pPr>
        <w:pStyle w:val="ListParagraph"/>
        <w:widowControl w:val="0"/>
        <w:numPr>
          <w:ilvl w:val="0"/>
          <w:numId w:val="28"/>
        </w:numPr>
        <w:autoSpaceDE w:val="0"/>
        <w:autoSpaceDN w:val="0"/>
        <w:adjustRightInd w:val="0"/>
        <w:ind w:left="0" w:right="49" w:firstLine="0"/>
        <w:jc w:val="both"/>
        <w:rPr>
          <w:rFonts w:ascii="Verdana" w:hAnsi="Verdana"/>
          <w:sz w:val="20"/>
          <w:szCs w:val="20"/>
        </w:rPr>
      </w:pPr>
      <w:r w:rsidRPr="00AD07F6">
        <w:rPr>
          <w:rFonts w:ascii="Verdana" w:hAnsi="Verdana"/>
          <w:sz w:val="20"/>
          <w:szCs w:val="20"/>
        </w:rPr>
        <w:t xml:space="preserve">Así, para derivar la estabilidad laboral como parte del derecho al trabajo mediante el artículo 26 de la Convención Americana, la Corte IDH considera cuatro aspectos de especial relevancia. El primer aspecto, referido a los derechos que se pueden proteger por el artículo 26 de la Convención Americana, son aquellos que se derivan o se identifican de las normas económicas, sociales y sobre educación, ciencia y cultura que se encuentran contenidas en la Carta de la OEA. En particular, para los efectos del caso </w:t>
      </w:r>
      <w:r w:rsidRPr="00AD07F6">
        <w:rPr>
          <w:rFonts w:ascii="Verdana" w:hAnsi="Verdana"/>
          <w:i/>
          <w:sz w:val="20"/>
          <w:szCs w:val="20"/>
        </w:rPr>
        <w:t xml:space="preserve">Lagos del Campos, </w:t>
      </w:r>
      <w:r w:rsidRPr="00AD07F6">
        <w:rPr>
          <w:rFonts w:ascii="Verdana" w:hAnsi="Verdana"/>
          <w:sz w:val="20"/>
          <w:szCs w:val="20"/>
        </w:rPr>
        <w:t>la Corte IDH estima que el artículo</w:t>
      </w:r>
      <w:r>
        <w:rPr>
          <w:rFonts w:ascii="Verdana" w:hAnsi="Verdana"/>
          <w:sz w:val="20"/>
          <w:szCs w:val="20"/>
        </w:rPr>
        <w:t xml:space="preserve"> 34 </w:t>
      </w:r>
      <w:proofErr w:type="gramStart"/>
      <w:r>
        <w:rPr>
          <w:rFonts w:ascii="Verdana" w:hAnsi="Verdana"/>
          <w:sz w:val="20"/>
          <w:szCs w:val="20"/>
        </w:rPr>
        <w:t>inciso</w:t>
      </w:r>
      <w:proofErr w:type="gramEnd"/>
      <w:r>
        <w:rPr>
          <w:rFonts w:ascii="Verdana" w:hAnsi="Verdana"/>
          <w:sz w:val="20"/>
          <w:szCs w:val="20"/>
        </w:rPr>
        <w:t xml:space="preserve"> g</w:t>
      </w:r>
      <w:r w:rsidRPr="00AD07F6">
        <w:rPr>
          <w:rFonts w:ascii="Verdana" w:hAnsi="Verdana"/>
          <w:sz w:val="20"/>
          <w:szCs w:val="20"/>
        </w:rPr>
        <w:t>), artículo 45, incisos b) y c), y el artículo 46 de la Carta de la OEA, contemplan diversos aspectos del derecho al trabajo</w:t>
      </w:r>
      <w:r w:rsidRPr="004E66B4">
        <w:rPr>
          <w:rStyle w:val="FootnoteReference"/>
          <w:szCs w:val="20"/>
        </w:rPr>
        <w:footnoteReference w:id="304"/>
      </w:r>
      <w:r w:rsidRPr="00AD07F6">
        <w:rPr>
          <w:rFonts w:ascii="Verdana" w:hAnsi="Verdana"/>
          <w:sz w:val="20"/>
          <w:szCs w:val="20"/>
        </w:rPr>
        <w:t xml:space="preserve">. Así, el artículo 26 contiene derechos sociales y no es una mera norma programática como algunos opinan. Sobre el particular, me permito reproducir lo que expresé en mi Voto Concurrente a la Sentencia del </w:t>
      </w:r>
      <w:r w:rsidRPr="00AD07F6">
        <w:rPr>
          <w:rFonts w:ascii="Verdana" w:hAnsi="Verdana"/>
          <w:i/>
          <w:sz w:val="20"/>
          <w:szCs w:val="20"/>
        </w:rPr>
        <w:t xml:space="preserve">Caso </w:t>
      </w:r>
      <w:proofErr w:type="spellStart"/>
      <w:r w:rsidRPr="00AD07F6">
        <w:rPr>
          <w:rFonts w:ascii="Verdana" w:hAnsi="Verdana"/>
          <w:i/>
          <w:sz w:val="20"/>
          <w:szCs w:val="20"/>
        </w:rPr>
        <w:t>Yarce</w:t>
      </w:r>
      <w:proofErr w:type="spellEnd"/>
      <w:r w:rsidRPr="00AD07F6">
        <w:rPr>
          <w:rFonts w:ascii="Verdana" w:hAnsi="Verdana"/>
          <w:i/>
          <w:sz w:val="20"/>
          <w:szCs w:val="20"/>
        </w:rPr>
        <w:t xml:space="preserve"> y Otras Vs. Colombia</w:t>
      </w:r>
      <w:r w:rsidRPr="00AD07F6">
        <w:rPr>
          <w:rStyle w:val="FootnoteReference"/>
          <w:szCs w:val="20"/>
        </w:rPr>
        <w:footnoteReference w:id="305"/>
      </w:r>
      <w:r w:rsidRPr="00AD07F6">
        <w:rPr>
          <w:rFonts w:ascii="Verdana" w:hAnsi="Verdana"/>
          <w:sz w:val="20"/>
          <w:szCs w:val="20"/>
        </w:rPr>
        <w:t xml:space="preserve">: </w:t>
      </w:r>
    </w:p>
    <w:p w14:paraId="3CC30227" w14:textId="77777777" w:rsidR="00F83E8F" w:rsidRPr="00AD07F6" w:rsidRDefault="00F83E8F" w:rsidP="00F83E8F">
      <w:pPr>
        <w:widowControl w:val="0"/>
        <w:autoSpaceDE w:val="0"/>
        <w:autoSpaceDN w:val="0"/>
        <w:adjustRightInd w:val="0"/>
        <w:ind w:right="49"/>
        <w:jc w:val="both"/>
        <w:rPr>
          <w:rFonts w:ascii="Verdana" w:hAnsi="Verdana"/>
          <w:sz w:val="20"/>
          <w:szCs w:val="20"/>
        </w:rPr>
      </w:pPr>
    </w:p>
    <w:p w14:paraId="20367873" w14:textId="77777777" w:rsidR="00F83E8F" w:rsidRPr="00AD07F6" w:rsidRDefault="00F83E8F" w:rsidP="00F83E8F">
      <w:pPr>
        <w:pStyle w:val="ListParagraph"/>
        <w:ind w:right="738"/>
        <w:contextualSpacing w:val="0"/>
        <w:jc w:val="both"/>
        <w:rPr>
          <w:rFonts w:ascii="Verdana" w:hAnsi="Verdana"/>
          <w:sz w:val="16"/>
          <w:szCs w:val="16"/>
        </w:rPr>
      </w:pPr>
      <w:r w:rsidRPr="00AD07F6">
        <w:rPr>
          <w:rFonts w:ascii="Verdana" w:hAnsi="Verdana"/>
          <w:sz w:val="16"/>
          <w:szCs w:val="16"/>
        </w:rPr>
        <w:t xml:space="preserve">19. </w:t>
      </w:r>
      <w:r w:rsidRPr="00AD07F6">
        <w:rPr>
          <w:rFonts w:ascii="Verdana" w:hAnsi="Verdana"/>
          <w:sz w:val="16"/>
          <w:szCs w:val="16"/>
        </w:rPr>
        <w:tab/>
        <w:t>Una argumentación recurrente para pretender negar competencia a la Corte IDH en relación a los “derechos” que consagra el artículo 26 parte del entendimiento de que esa norma no establece propiamente “derechos”, sino solo el compromiso de “desarrollo progresivo”; es decir, un objetivo programático. Considero que esta perspectiva que se argumenta resulta limitada a la luz de la protección que debe brindar el Sistema Interamericano por lo que no comparto esta visión por diversos motivos.</w:t>
      </w:r>
    </w:p>
    <w:p w14:paraId="64B784EE" w14:textId="77777777" w:rsidR="00F83E8F" w:rsidRPr="00AD07F6" w:rsidRDefault="00F83E8F" w:rsidP="00F83E8F">
      <w:pPr>
        <w:pStyle w:val="ListParagraph"/>
        <w:ind w:right="738"/>
        <w:contextualSpacing w:val="0"/>
        <w:jc w:val="both"/>
        <w:rPr>
          <w:rFonts w:ascii="Verdana" w:hAnsi="Verdana"/>
          <w:sz w:val="16"/>
          <w:szCs w:val="16"/>
        </w:rPr>
      </w:pPr>
    </w:p>
    <w:p w14:paraId="6F737E4B" w14:textId="77777777" w:rsidR="00F83E8F" w:rsidRPr="00AD07F6" w:rsidRDefault="00F83E8F" w:rsidP="00F83E8F">
      <w:pPr>
        <w:pStyle w:val="ListParagraph"/>
        <w:ind w:right="738"/>
        <w:contextualSpacing w:val="0"/>
        <w:jc w:val="both"/>
        <w:rPr>
          <w:rFonts w:ascii="Verdana" w:hAnsi="Verdana"/>
          <w:sz w:val="16"/>
          <w:szCs w:val="16"/>
        </w:rPr>
      </w:pPr>
      <w:r w:rsidRPr="00AD07F6">
        <w:rPr>
          <w:rFonts w:ascii="Verdana" w:hAnsi="Verdana"/>
          <w:sz w:val="16"/>
          <w:szCs w:val="16"/>
        </w:rPr>
        <w:t xml:space="preserve">20. </w:t>
      </w:r>
      <w:r w:rsidRPr="00AD07F6">
        <w:rPr>
          <w:rFonts w:ascii="Verdana" w:hAnsi="Verdana"/>
          <w:sz w:val="16"/>
          <w:szCs w:val="16"/>
        </w:rPr>
        <w:tab/>
        <w:t xml:space="preserve">En primer lugar, de acuerdo al texto del artículo 26, el compromiso de desarrollo progresivo se refiere a “derechos”, por el señalamiento literal de la norma; es decir, no podría predicarse tal obligación sino respecto de “derechos”, por lo que es imperioso colegir que la norma refiere a “derechos” y no a meros objetivos. </w:t>
      </w:r>
    </w:p>
    <w:p w14:paraId="3CC0E94D" w14:textId="77777777" w:rsidR="00F83E8F" w:rsidRPr="00AD07F6" w:rsidRDefault="00F83E8F" w:rsidP="00F83E8F">
      <w:pPr>
        <w:pStyle w:val="ListParagraph"/>
        <w:ind w:right="738"/>
        <w:contextualSpacing w:val="0"/>
        <w:jc w:val="both"/>
        <w:rPr>
          <w:rFonts w:ascii="Verdana" w:hAnsi="Verdana"/>
          <w:sz w:val="16"/>
          <w:szCs w:val="16"/>
        </w:rPr>
      </w:pPr>
    </w:p>
    <w:p w14:paraId="4FC2F195" w14:textId="77777777" w:rsidR="00F83E8F" w:rsidRPr="00AD07F6" w:rsidRDefault="00F83E8F" w:rsidP="00F83E8F">
      <w:pPr>
        <w:pStyle w:val="ListParagraph"/>
        <w:ind w:right="738"/>
        <w:contextualSpacing w:val="0"/>
        <w:jc w:val="both"/>
        <w:rPr>
          <w:rFonts w:ascii="Verdana" w:hAnsi="Verdana"/>
          <w:sz w:val="16"/>
          <w:szCs w:val="16"/>
        </w:rPr>
      </w:pPr>
      <w:r w:rsidRPr="00AD07F6">
        <w:rPr>
          <w:rFonts w:ascii="Verdana" w:hAnsi="Verdana"/>
          <w:sz w:val="16"/>
          <w:szCs w:val="16"/>
        </w:rPr>
        <w:t xml:space="preserve">21. </w:t>
      </w:r>
      <w:r w:rsidRPr="00AD07F6">
        <w:rPr>
          <w:rFonts w:ascii="Verdana" w:hAnsi="Verdana"/>
          <w:sz w:val="16"/>
          <w:szCs w:val="16"/>
        </w:rPr>
        <w:tab/>
        <w:t>Este entendimiento es acorde a lo previsto en la Convención de Viena sobre el Derecho de los Tratados, que manda a interpretar un tratado “de buena fe conforme al sentido corriente que haya de atribuirse a los términos del tratado en el contexto de estos y teniendo en cuenta su objeto y fin”</w:t>
      </w:r>
      <w:r w:rsidRPr="00AD07F6">
        <w:rPr>
          <w:rStyle w:val="FootnoteReference"/>
          <w:sz w:val="16"/>
          <w:szCs w:val="16"/>
        </w:rPr>
        <w:footnoteReference w:id="306"/>
      </w:r>
      <w:r w:rsidRPr="00AD07F6">
        <w:rPr>
          <w:rFonts w:ascii="Verdana" w:hAnsi="Verdana"/>
          <w:sz w:val="16"/>
          <w:szCs w:val="16"/>
        </w:rPr>
        <w:t>. En ese sentido, es evidente que un entendimiento de buena fe de la palabra “derechos” incluida en el citado artículo 26, que sea “conforme al sentido corriente” del término, indica que el mismo se refiere a “derechos” propiamente dichos, de igual naturaleza que el resto de los “derechos” aludidos en la Convención Americana. Lo anterior se corrobora al advertirse que precisamente el artículo 26 es el único artículo del Capítulo III denominado “</w:t>
      </w:r>
      <w:r w:rsidRPr="00AD07F6">
        <w:rPr>
          <w:rFonts w:ascii="Verdana" w:hAnsi="Verdana"/>
          <w:sz w:val="16"/>
          <w:szCs w:val="16"/>
          <w:u w:val="single"/>
        </w:rPr>
        <w:t>Derechos</w:t>
      </w:r>
      <w:r w:rsidRPr="00AD07F6">
        <w:rPr>
          <w:rFonts w:ascii="Verdana" w:hAnsi="Verdana"/>
          <w:sz w:val="16"/>
          <w:szCs w:val="16"/>
        </w:rPr>
        <w:t xml:space="preserve"> económicos, sociales y culturales”. Tal entendimiento es acorde al objeto y fin del tratado, que propende a la protección de los derechos de la persona humana. </w:t>
      </w:r>
    </w:p>
    <w:p w14:paraId="04BACD54" w14:textId="77777777" w:rsidR="00F83E8F" w:rsidRPr="00AD07F6" w:rsidRDefault="00F83E8F" w:rsidP="00F83E8F">
      <w:pPr>
        <w:pStyle w:val="Estilo4"/>
        <w:numPr>
          <w:ilvl w:val="0"/>
          <w:numId w:val="0"/>
        </w:numPr>
        <w:spacing w:after="0"/>
        <w:ind w:left="720" w:right="738"/>
        <w:rPr>
          <w:sz w:val="16"/>
          <w:szCs w:val="16"/>
          <w:lang w:val="es-ES_tradnl"/>
        </w:rPr>
      </w:pPr>
    </w:p>
    <w:p w14:paraId="0D63CE16" w14:textId="77777777" w:rsidR="00F83E8F" w:rsidRPr="002228F7" w:rsidRDefault="00F83E8F" w:rsidP="00F83E8F">
      <w:pPr>
        <w:pStyle w:val="Estilo4"/>
        <w:numPr>
          <w:ilvl w:val="0"/>
          <w:numId w:val="0"/>
        </w:numPr>
        <w:spacing w:after="0"/>
        <w:ind w:left="720" w:right="738"/>
        <w:rPr>
          <w:sz w:val="16"/>
          <w:szCs w:val="16"/>
          <w:lang w:val="es-ES_tradnl"/>
        </w:rPr>
      </w:pPr>
      <w:r w:rsidRPr="00AD07F6">
        <w:rPr>
          <w:sz w:val="16"/>
          <w:szCs w:val="16"/>
          <w:lang w:val="es-ES_tradnl"/>
        </w:rPr>
        <w:t xml:space="preserve">22. </w:t>
      </w:r>
      <w:r w:rsidRPr="00AD07F6">
        <w:rPr>
          <w:sz w:val="16"/>
          <w:szCs w:val="16"/>
          <w:lang w:val="es-ES_tradnl"/>
        </w:rPr>
        <w:tab/>
        <w:t>Así, el artículo 26 no es meramente una norma programática para los Estados Parte de la Convención Americana, sino que constituye una disposición que impone a la Corte IDH derivar derechos de las normas existentes en la Carta de la OEA, por lo que, atendiendo al caso concreto, contiene derechos de naturaleza económica, social o cultural y no meros objetivos</w:t>
      </w:r>
      <w:r>
        <w:rPr>
          <w:sz w:val="16"/>
          <w:szCs w:val="16"/>
          <w:lang w:val="es-ES_tradnl"/>
        </w:rPr>
        <w:t xml:space="preserve">. </w:t>
      </w:r>
      <w:r w:rsidRPr="002228F7">
        <w:rPr>
          <w:sz w:val="16"/>
          <w:szCs w:val="16"/>
          <w:lang w:val="es-ES_tradnl"/>
        </w:rPr>
        <w:t>[…].</w:t>
      </w:r>
    </w:p>
    <w:p w14:paraId="48E5C8CE" w14:textId="77777777" w:rsidR="00F83E8F" w:rsidRPr="00AD07F6" w:rsidRDefault="00F83E8F" w:rsidP="00F83E8F">
      <w:pPr>
        <w:pStyle w:val="Estilo4"/>
        <w:numPr>
          <w:ilvl w:val="0"/>
          <w:numId w:val="0"/>
        </w:numPr>
        <w:spacing w:after="0"/>
        <w:ind w:left="720" w:right="738"/>
        <w:rPr>
          <w:sz w:val="16"/>
          <w:szCs w:val="16"/>
          <w:lang w:val="es-ES_tradnl"/>
        </w:rPr>
      </w:pPr>
    </w:p>
    <w:p w14:paraId="3255641F" w14:textId="77777777" w:rsidR="00F83E8F" w:rsidRPr="00AD07F6" w:rsidRDefault="00F83E8F" w:rsidP="00F83E8F">
      <w:pPr>
        <w:pStyle w:val="Estilo4"/>
        <w:numPr>
          <w:ilvl w:val="0"/>
          <w:numId w:val="0"/>
        </w:numPr>
        <w:spacing w:after="0"/>
        <w:ind w:left="720" w:right="738"/>
        <w:rPr>
          <w:sz w:val="16"/>
          <w:szCs w:val="16"/>
          <w:lang w:val="es-ES_tradnl"/>
        </w:rPr>
      </w:pPr>
      <w:r w:rsidRPr="00AD07F6">
        <w:rPr>
          <w:sz w:val="16"/>
          <w:szCs w:val="16"/>
          <w:lang w:val="es-ES_tradnl"/>
        </w:rPr>
        <w:t xml:space="preserve">23. </w:t>
      </w:r>
      <w:r w:rsidRPr="00AD07F6">
        <w:rPr>
          <w:sz w:val="16"/>
          <w:szCs w:val="16"/>
          <w:lang w:val="es-ES_tradnl"/>
        </w:rPr>
        <w:tab/>
        <w:t>En segundo lugar, y siguiendo con la argumentación precedente, no puede pasar inadvertido que el artículo 26 de la Convención Americana expresamente indica que de las normas pertinentes de la Carta de la OEA</w:t>
      </w:r>
      <w:r w:rsidRPr="00AD07F6">
        <w:rPr>
          <w:rStyle w:val="FootnoteReference"/>
          <w:rFonts w:eastAsiaTheme="majorEastAsia"/>
          <w:sz w:val="16"/>
          <w:szCs w:val="16"/>
          <w:lang w:val="es-ES_tradnl"/>
        </w:rPr>
        <w:footnoteReference w:id="307"/>
      </w:r>
      <w:r w:rsidRPr="00AD07F6">
        <w:rPr>
          <w:sz w:val="16"/>
          <w:szCs w:val="16"/>
          <w:lang w:val="es-ES_tradnl"/>
        </w:rPr>
        <w:t xml:space="preserve"> se “derivan” derechos. El sentido literal es claro</w:t>
      </w:r>
      <w:r w:rsidRPr="00AD07F6">
        <w:rPr>
          <w:rStyle w:val="FootnoteReference"/>
          <w:rFonts w:eastAsiaTheme="majorEastAsia"/>
          <w:sz w:val="16"/>
          <w:szCs w:val="16"/>
          <w:lang w:val="es-ES_tradnl"/>
        </w:rPr>
        <w:footnoteReference w:id="308"/>
      </w:r>
      <w:r w:rsidRPr="00AD07F6">
        <w:rPr>
          <w:sz w:val="16"/>
          <w:szCs w:val="16"/>
          <w:lang w:val="es-ES_tradnl"/>
        </w:rPr>
        <w:t xml:space="preserve">: la norma no señala que para </w:t>
      </w:r>
      <w:r w:rsidRPr="00AD07F6">
        <w:rPr>
          <w:sz w:val="16"/>
          <w:szCs w:val="16"/>
          <w:lang w:val="es-ES_tradnl"/>
        </w:rPr>
        <w:lastRenderedPageBreak/>
        <w:t>esclarecer cuáles son los “derechos” a los que se refiere el artículo 26 deba buscarse a aquellos derechos que estén reconocidos expresamente como tales en la Carta de la OEA; por el contrario, lo que expresa este precepto —siendo el mandato principal del artículo 26— es que hay derechos que se “derivan” de ciertas normas de la Carta: “</w:t>
      </w:r>
      <w:r w:rsidRPr="00AD07F6">
        <w:rPr>
          <w:sz w:val="16"/>
          <w:szCs w:val="16"/>
        </w:rPr>
        <w:t>las normas económicas, sociales y sobre educación, ciencia y cultura”.</w:t>
      </w:r>
      <w:r w:rsidRPr="00AD07F6">
        <w:rPr>
          <w:sz w:val="16"/>
          <w:szCs w:val="16"/>
          <w:lang w:val="es-ES_tradnl"/>
        </w:rPr>
        <w:t xml:space="preserve"> </w:t>
      </w:r>
    </w:p>
    <w:p w14:paraId="10EED893" w14:textId="77777777" w:rsidR="00F83E8F" w:rsidRPr="00AD07F6" w:rsidRDefault="00F83E8F" w:rsidP="00F83E8F">
      <w:pPr>
        <w:pStyle w:val="Estilo4"/>
        <w:numPr>
          <w:ilvl w:val="0"/>
          <w:numId w:val="0"/>
        </w:numPr>
        <w:spacing w:after="0"/>
        <w:ind w:left="720" w:right="738"/>
        <w:rPr>
          <w:sz w:val="16"/>
          <w:szCs w:val="16"/>
          <w:lang w:val="es-ES_tradnl"/>
        </w:rPr>
      </w:pPr>
    </w:p>
    <w:p w14:paraId="35F734AD" w14:textId="77777777" w:rsidR="00F83E8F" w:rsidRPr="00AD07F6" w:rsidRDefault="00F83E8F" w:rsidP="00F83E8F">
      <w:pPr>
        <w:pStyle w:val="Estilo4"/>
        <w:numPr>
          <w:ilvl w:val="0"/>
          <w:numId w:val="0"/>
        </w:numPr>
        <w:spacing w:after="0"/>
        <w:ind w:left="720" w:right="738"/>
        <w:rPr>
          <w:sz w:val="16"/>
          <w:szCs w:val="16"/>
          <w:lang w:val="es-ES_tradnl"/>
        </w:rPr>
      </w:pPr>
      <w:r w:rsidRPr="00AD07F6">
        <w:rPr>
          <w:sz w:val="16"/>
          <w:szCs w:val="16"/>
          <w:lang w:val="es-ES_tradnl"/>
        </w:rPr>
        <w:t xml:space="preserve">24. </w:t>
      </w:r>
      <w:r w:rsidRPr="00AD07F6">
        <w:rPr>
          <w:sz w:val="16"/>
          <w:szCs w:val="16"/>
          <w:lang w:val="es-ES_tradnl"/>
        </w:rPr>
        <w:tab/>
        <w:t>De acuerdo al diccionario de la Real Academia Española “derivar”, en las acepciones pertinentes, es: “[d]</w:t>
      </w:r>
      <w:r w:rsidRPr="00AD07F6">
        <w:rPr>
          <w:rFonts w:eastAsia="Arial Unicode MS" w:cs="Arial Unicode MS"/>
          <w:sz w:val="16"/>
          <w:szCs w:val="16"/>
          <w:lang w:val="es-ES_tradnl"/>
        </w:rPr>
        <w:t xml:space="preserve">icho de una cosa: Traer su origen de </w:t>
      </w:r>
      <w:proofErr w:type="gramStart"/>
      <w:r w:rsidRPr="00AD07F6">
        <w:rPr>
          <w:rFonts w:eastAsia="Arial Unicode MS" w:cs="Arial Unicode MS"/>
          <w:sz w:val="16"/>
          <w:szCs w:val="16"/>
          <w:lang w:val="es-ES_tradnl"/>
        </w:rPr>
        <w:t>otra[</w:t>
      </w:r>
      <w:proofErr w:type="gramEnd"/>
      <w:r w:rsidRPr="00AD07F6">
        <w:rPr>
          <w:rFonts w:eastAsia="Arial Unicode MS" w:cs="Arial Unicode MS"/>
          <w:sz w:val="16"/>
          <w:szCs w:val="16"/>
          <w:lang w:val="es-ES_tradnl"/>
        </w:rPr>
        <w:t>; d]icho de una palabra: Proceder de cierta base léxica[, y] establecer una relación morfológica o etimológica entre dos voces”</w:t>
      </w:r>
      <w:r w:rsidRPr="00AD07F6">
        <w:rPr>
          <w:rStyle w:val="FootnoteReference"/>
          <w:rFonts w:eastAsiaTheme="majorEastAsia"/>
          <w:sz w:val="16"/>
          <w:szCs w:val="16"/>
          <w:lang w:val="es-ES_tradnl"/>
        </w:rPr>
        <w:t xml:space="preserve"> </w:t>
      </w:r>
      <w:r w:rsidRPr="00AD07F6">
        <w:rPr>
          <w:rStyle w:val="FootnoteReference"/>
          <w:rFonts w:eastAsiaTheme="majorEastAsia"/>
          <w:sz w:val="16"/>
          <w:szCs w:val="16"/>
          <w:lang w:val="es-ES_tradnl"/>
        </w:rPr>
        <w:footnoteReference w:id="309"/>
      </w:r>
      <w:r w:rsidRPr="00AD07F6">
        <w:rPr>
          <w:rFonts w:eastAsia="Arial Unicode MS" w:cs="Arial Unicode MS"/>
          <w:sz w:val="16"/>
          <w:szCs w:val="16"/>
          <w:lang w:val="es-ES_tradnl"/>
        </w:rPr>
        <w:t>.</w:t>
      </w:r>
    </w:p>
    <w:p w14:paraId="67ACB04E" w14:textId="77777777" w:rsidR="00F83E8F" w:rsidRPr="00AD07F6" w:rsidRDefault="00F83E8F" w:rsidP="00F83E8F">
      <w:pPr>
        <w:pStyle w:val="Estilo4"/>
        <w:numPr>
          <w:ilvl w:val="0"/>
          <w:numId w:val="0"/>
        </w:numPr>
        <w:spacing w:after="0"/>
        <w:ind w:left="720" w:right="738"/>
        <w:rPr>
          <w:rFonts w:eastAsia="Arial Unicode MS" w:cs="Arial Unicode MS"/>
          <w:sz w:val="16"/>
          <w:szCs w:val="16"/>
          <w:lang w:val="es-ES_tradnl"/>
        </w:rPr>
      </w:pPr>
    </w:p>
    <w:p w14:paraId="66F489E8" w14:textId="77777777" w:rsidR="00F83E8F" w:rsidRPr="00AD07F6" w:rsidRDefault="00F83E8F" w:rsidP="00F83E8F">
      <w:pPr>
        <w:pStyle w:val="Estilo4"/>
        <w:numPr>
          <w:ilvl w:val="0"/>
          <w:numId w:val="0"/>
        </w:numPr>
        <w:spacing w:after="0"/>
        <w:ind w:left="720" w:right="738"/>
        <w:rPr>
          <w:rFonts w:eastAsia="Arial Unicode MS" w:cs="Arial Unicode MS"/>
          <w:sz w:val="16"/>
          <w:szCs w:val="16"/>
          <w:lang w:val="es-ES_tradnl"/>
        </w:rPr>
      </w:pPr>
      <w:r w:rsidRPr="00AD07F6">
        <w:rPr>
          <w:rFonts w:eastAsia="Arial Unicode MS" w:cs="Arial Unicode MS"/>
          <w:sz w:val="16"/>
          <w:szCs w:val="16"/>
          <w:lang w:val="es-ES_tradnl"/>
        </w:rPr>
        <w:t xml:space="preserve">25. </w:t>
      </w:r>
      <w:r w:rsidRPr="00AD07F6">
        <w:rPr>
          <w:rFonts w:eastAsia="Arial Unicode MS" w:cs="Arial Unicode MS"/>
          <w:sz w:val="16"/>
          <w:szCs w:val="16"/>
          <w:lang w:val="es-ES_tradnl"/>
        </w:rPr>
        <w:tab/>
        <w:t>Por lo tanto, no debe acotarse el entendimiento de los derechos recogidos en el artículo 26 de la Convención Americana solo a aquellos que puedan encontrarse literalmente como tales —como podría entenderse el “derecho al trabajo”</w:t>
      </w:r>
      <w:r w:rsidRPr="00AD07F6">
        <w:rPr>
          <w:rStyle w:val="FootnoteReference"/>
          <w:rFonts w:eastAsia="Arial Unicode MS"/>
          <w:sz w:val="16"/>
          <w:szCs w:val="16"/>
          <w:lang w:val="es-ES_tradnl"/>
        </w:rPr>
        <w:footnoteReference w:id="310"/>
      </w:r>
      <w:r w:rsidRPr="00AD07F6">
        <w:rPr>
          <w:rFonts w:eastAsia="Arial Unicode MS" w:cs="Arial Unicode MS"/>
          <w:sz w:val="16"/>
          <w:szCs w:val="16"/>
          <w:lang w:val="es-ES_tradnl"/>
        </w:rPr>
        <w:t>— en el texto de la Carta de la OEA. Por el contrario, debe efectuarse una “derivación” de las normas correspondientes referidas: “proceder” a partir de “cierta base léxica” para encontrar un derecho. El texto del artículo 26, que habla de “derechos” que se “derivan” de las normas “económicas, sociales y sobre educación, ciencia y cultura, contenidas en la Carta” obliga al interprete, quien no puede desconocer el texto señalado y sostener de modo válido que las normas correspondientes de la Carta de la OEA no ofrecen una base suficiente para “derivar” derechos, pues ello está mandado por el texto convencional. Ello no obsta a la procedencia de métodos de interpretación que lleven a tener en consideración otras normas; inclusive el Protocolo Adicional a la Convención Americana sobre Derechos Humanos en materia de Derechos Económicos, Sociales y Culturales “Protocolo de San Salvador”</w:t>
      </w:r>
      <w:r w:rsidRPr="00AD07F6">
        <w:rPr>
          <w:rStyle w:val="FootnoteReference"/>
          <w:rFonts w:eastAsia="Arial Unicode MS"/>
          <w:sz w:val="16"/>
          <w:szCs w:val="16"/>
          <w:lang w:val="es-ES_tradnl"/>
        </w:rPr>
        <w:footnoteReference w:id="311"/>
      </w:r>
      <w:r w:rsidRPr="00AD07F6">
        <w:rPr>
          <w:rFonts w:eastAsia="Arial Unicode MS" w:cs="Arial Unicode MS"/>
          <w:sz w:val="16"/>
          <w:szCs w:val="16"/>
          <w:lang w:val="es-ES_tradnl"/>
        </w:rPr>
        <w:t>; sobre el particular ya me he referido en otras ocasione</w:t>
      </w:r>
      <w:r>
        <w:rPr>
          <w:rFonts w:eastAsia="Arial Unicode MS" w:cs="Arial Unicode MS"/>
          <w:sz w:val="16"/>
          <w:szCs w:val="16"/>
          <w:lang w:val="es-ES_tradnl"/>
        </w:rPr>
        <w:t>s</w:t>
      </w:r>
      <w:r w:rsidRPr="00AD07F6">
        <w:rPr>
          <w:rFonts w:eastAsia="Arial Unicode MS" w:cs="Arial Unicode MS"/>
          <w:sz w:val="16"/>
          <w:szCs w:val="16"/>
          <w:lang w:val="es-ES_tradnl"/>
        </w:rPr>
        <w:t>.</w:t>
      </w:r>
    </w:p>
    <w:p w14:paraId="4E5B86DC" w14:textId="77777777" w:rsidR="00F83E8F" w:rsidRPr="00AD07F6" w:rsidRDefault="00F83E8F" w:rsidP="00F83E8F">
      <w:pPr>
        <w:pStyle w:val="Estilo4"/>
        <w:numPr>
          <w:ilvl w:val="0"/>
          <w:numId w:val="0"/>
        </w:numPr>
        <w:spacing w:after="0"/>
        <w:ind w:left="720" w:right="738"/>
        <w:rPr>
          <w:sz w:val="16"/>
          <w:szCs w:val="16"/>
          <w:lang w:val="es-ES_tradnl"/>
        </w:rPr>
      </w:pPr>
    </w:p>
    <w:p w14:paraId="2851903F" w14:textId="77777777" w:rsidR="00F83E8F" w:rsidRPr="009B6A6A" w:rsidRDefault="00F83E8F" w:rsidP="00F83E8F">
      <w:pPr>
        <w:pStyle w:val="Estilo4"/>
        <w:numPr>
          <w:ilvl w:val="0"/>
          <w:numId w:val="0"/>
        </w:numPr>
        <w:spacing w:after="0"/>
        <w:ind w:left="720" w:right="738"/>
        <w:rPr>
          <w:rFonts w:eastAsia="Arial Unicode MS" w:cs="Arial Unicode MS"/>
          <w:sz w:val="16"/>
          <w:szCs w:val="16"/>
          <w:lang w:val="es-ES_tradnl"/>
        </w:rPr>
      </w:pPr>
      <w:r w:rsidRPr="00AD07F6">
        <w:rPr>
          <w:rFonts w:eastAsia="Arial Unicode MS" w:cs="Arial Unicode MS"/>
          <w:sz w:val="16"/>
          <w:szCs w:val="16"/>
          <w:lang w:val="es-ES_tradnl"/>
        </w:rPr>
        <w:t xml:space="preserve">26. </w:t>
      </w:r>
      <w:r w:rsidRPr="00AD07F6">
        <w:rPr>
          <w:rFonts w:eastAsia="Arial Unicode MS" w:cs="Arial Unicode MS"/>
          <w:sz w:val="16"/>
          <w:szCs w:val="16"/>
          <w:lang w:val="es-ES_tradnl"/>
        </w:rPr>
        <w:tab/>
        <w:t xml:space="preserve">Lo expuesto hace evidente que se requiere un ejercicio interpretativo evolutivo y dinámico por parte del Tribunal Interamericano y que si bien, ciertamente, existen dificultades interpretativas por el modo en que la Convención Americana ha establecido los derechos económicos, sociales y culturales plasmados en ella, no constituye una dificultad para que la labor hermenéutica e interpretativa sea realizada. Precisamente, es la función propia de la Corte IDH llevar a cabo la interpretación de la Convención Americana, sin que pueda excusarse en la obscuridad, vaguedad o ambigüedad de los términos del tratado y teniendo en consideración el principio </w:t>
      </w:r>
      <w:r w:rsidRPr="00AD07F6">
        <w:rPr>
          <w:rFonts w:eastAsia="Arial Unicode MS" w:cs="Arial Unicode MS"/>
          <w:i/>
          <w:sz w:val="16"/>
          <w:szCs w:val="16"/>
          <w:lang w:val="es-ES_tradnl"/>
        </w:rPr>
        <w:t>pro persona</w:t>
      </w:r>
      <w:r w:rsidRPr="00AD07F6">
        <w:rPr>
          <w:rFonts w:eastAsia="Arial Unicode MS" w:cs="Arial Unicode MS"/>
          <w:sz w:val="16"/>
          <w:szCs w:val="16"/>
          <w:lang w:val="es-ES_tradnl"/>
        </w:rPr>
        <w:t xml:space="preserve"> contenido en el artículo 29 del propio Pacto de San José.</w:t>
      </w:r>
      <w:r w:rsidRPr="009B6A6A">
        <w:rPr>
          <w:rFonts w:eastAsia="Arial Unicode MS" w:cs="Arial Unicode MS"/>
          <w:sz w:val="16"/>
          <w:szCs w:val="16"/>
          <w:lang w:val="es-ES_tradnl"/>
        </w:rPr>
        <w:t xml:space="preserve"> </w:t>
      </w:r>
    </w:p>
    <w:p w14:paraId="5C17910F" w14:textId="77777777" w:rsidR="00F83E8F" w:rsidRPr="00761869" w:rsidRDefault="00F83E8F" w:rsidP="00F83E8F">
      <w:pPr>
        <w:widowControl w:val="0"/>
        <w:autoSpaceDE w:val="0"/>
        <w:autoSpaceDN w:val="0"/>
        <w:adjustRightInd w:val="0"/>
        <w:ind w:right="49"/>
        <w:jc w:val="both"/>
        <w:rPr>
          <w:rFonts w:ascii="Verdana" w:hAnsi="Verdana"/>
          <w:sz w:val="20"/>
          <w:szCs w:val="20"/>
        </w:rPr>
      </w:pPr>
    </w:p>
    <w:p w14:paraId="0F24D3EE" w14:textId="77777777" w:rsidR="00F83E8F" w:rsidRPr="004E66B4" w:rsidRDefault="00F83E8F" w:rsidP="00E70701">
      <w:pPr>
        <w:pStyle w:val="ListParagraph"/>
        <w:widowControl w:val="0"/>
        <w:numPr>
          <w:ilvl w:val="0"/>
          <w:numId w:val="28"/>
        </w:numPr>
        <w:autoSpaceDE w:val="0"/>
        <w:autoSpaceDN w:val="0"/>
        <w:adjustRightInd w:val="0"/>
        <w:ind w:left="0" w:right="49" w:firstLine="0"/>
        <w:jc w:val="both"/>
        <w:rPr>
          <w:rFonts w:ascii="Verdana" w:hAnsi="Verdana"/>
          <w:sz w:val="20"/>
          <w:szCs w:val="20"/>
        </w:rPr>
      </w:pPr>
      <w:r>
        <w:rPr>
          <w:rFonts w:ascii="Verdana" w:hAnsi="Verdana"/>
          <w:sz w:val="20"/>
          <w:szCs w:val="20"/>
        </w:rPr>
        <w:t>El segundo aspecto relevante, referido</w:t>
      </w:r>
      <w:r w:rsidRPr="004E66B4">
        <w:rPr>
          <w:rFonts w:ascii="Verdana" w:hAnsi="Verdana"/>
          <w:sz w:val="20"/>
          <w:szCs w:val="20"/>
        </w:rPr>
        <w:t xml:space="preserve"> a</w:t>
      </w:r>
      <w:r>
        <w:rPr>
          <w:rFonts w:ascii="Verdana" w:hAnsi="Verdana"/>
          <w:sz w:val="20"/>
          <w:szCs w:val="20"/>
        </w:rPr>
        <w:t xml:space="preserve"> la Opinión Consultiva No. 10 —</w:t>
      </w:r>
      <w:r w:rsidRPr="004E66B4">
        <w:rPr>
          <w:rFonts w:ascii="Verdana" w:hAnsi="Verdana"/>
          <w:sz w:val="20"/>
          <w:szCs w:val="20"/>
        </w:rPr>
        <w:t>sobre la Interpretación de la Declaración Americana de los Derechos y Deberes del Hombre en el marco del artículo 64 de la Convención Americana</w:t>
      </w:r>
      <w:r>
        <w:rPr>
          <w:rStyle w:val="FootnoteReference"/>
          <w:szCs w:val="20"/>
        </w:rPr>
        <w:footnoteReference w:id="312"/>
      </w:r>
      <w:r>
        <w:rPr>
          <w:rFonts w:ascii="Verdana" w:hAnsi="Verdana"/>
          <w:sz w:val="20"/>
          <w:szCs w:val="20"/>
        </w:rPr>
        <w:t>—,</w:t>
      </w:r>
      <w:r w:rsidRPr="004E66B4">
        <w:rPr>
          <w:rFonts w:ascii="Verdana" w:hAnsi="Verdana"/>
          <w:sz w:val="20"/>
          <w:szCs w:val="20"/>
        </w:rPr>
        <w:t xml:space="preserve"> </w:t>
      </w:r>
      <w:r>
        <w:rPr>
          <w:rFonts w:ascii="Verdana" w:hAnsi="Verdana"/>
          <w:sz w:val="20"/>
          <w:szCs w:val="20"/>
        </w:rPr>
        <w:t>que la Corte IDH utiliza al emitir la Sentencia. Ello se debe a que, en esa ocasión, el Tribunal Interamericano consideró que</w:t>
      </w:r>
      <w:r w:rsidRPr="004E66B4">
        <w:rPr>
          <w:rFonts w:ascii="Verdana" w:hAnsi="Verdana"/>
          <w:sz w:val="20"/>
          <w:szCs w:val="20"/>
        </w:rPr>
        <w:t xml:space="preserve"> “[l]</w:t>
      </w:r>
      <w:r w:rsidRPr="004E66B4">
        <w:rPr>
          <w:rFonts w:ascii="Verdana" w:eastAsiaTheme="minorHAnsi" w:hAnsi="Verdana" w:cs="Verdana"/>
          <w:sz w:val="20"/>
          <w:szCs w:val="20"/>
        </w:rPr>
        <w:t>os Estados Miembros han entendido que la Declaración contiene y define aquellos derechos humanos esenciales a l</w:t>
      </w:r>
      <w:r>
        <w:rPr>
          <w:rFonts w:ascii="Verdana" w:eastAsiaTheme="minorHAnsi" w:hAnsi="Verdana" w:cs="Verdana"/>
          <w:sz w:val="20"/>
          <w:szCs w:val="20"/>
        </w:rPr>
        <w:t>os que la Carta se refiere […]”. Con lo anterior,</w:t>
      </w:r>
      <w:r w:rsidRPr="004E66B4">
        <w:rPr>
          <w:rFonts w:ascii="Verdana" w:eastAsiaTheme="minorHAnsi" w:hAnsi="Verdana" w:cs="Verdana"/>
          <w:sz w:val="20"/>
          <w:szCs w:val="20"/>
        </w:rPr>
        <w:t xml:space="preserve"> la Corte IDH</w:t>
      </w:r>
      <w:r>
        <w:rPr>
          <w:rFonts w:ascii="Verdana" w:eastAsiaTheme="minorHAnsi" w:hAnsi="Verdana" w:cs="Verdana"/>
          <w:sz w:val="20"/>
          <w:szCs w:val="20"/>
        </w:rPr>
        <w:t xml:space="preserve"> observa</w:t>
      </w:r>
      <w:r w:rsidRPr="004E66B4">
        <w:rPr>
          <w:rFonts w:ascii="Verdana" w:eastAsiaTheme="minorHAnsi" w:hAnsi="Verdana" w:cs="Verdana"/>
          <w:sz w:val="20"/>
          <w:szCs w:val="20"/>
        </w:rPr>
        <w:t xml:space="preserve"> que el derecho al trabajo se encuentra en el artículo XIV de la Declaración Americana</w:t>
      </w:r>
      <w:r w:rsidRPr="004E66B4">
        <w:rPr>
          <w:rStyle w:val="FootnoteReference"/>
          <w:rFonts w:eastAsiaTheme="minorHAnsi" w:cs="Verdana"/>
          <w:szCs w:val="20"/>
        </w:rPr>
        <w:footnoteReference w:id="313"/>
      </w:r>
      <w:r w:rsidRPr="004E66B4">
        <w:rPr>
          <w:rFonts w:ascii="Verdana" w:eastAsiaTheme="minorHAnsi" w:hAnsi="Verdana" w:cs="Verdana"/>
          <w:sz w:val="20"/>
          <w:szCs w:val="20"/>
        </w:rPr>
        <w:t>. E</w:t>
      </w:r>
      <w:r>
        <w:rPr>
          <w:rFonts w:ascii="Verdana" w:eastAsiaTheme="minorHAnsi" w:hAnsi="Verdana" w:cs="Verdana"/>
          <w:sz w:val="20"/>
          <w:szCs w:val="20"/>
        </w:rPr>
        <w:t>l tercer aspecto relevante consiste en el</w:t>
      </w:r>
      <w:r w:rsidRPr="004E66B4">
        <w:rPr>
          <w:rFonts w:ascii="Verdana" w:eastAsiaTheme="minorHAnsi" w:hAnsi="Verdana" w:cs="Verdana"/>
          <w:sz w:val="20"/>
          <w:szCs w:val="20"/>
        </w:rPr>
        <w:t xml:space="preserve"> </w:t>
      </w:r>
      <w:r w:rsidRPr="004E66B4">
        <w:rPr>
          <w:rFonts w:ascii="Verdana" w:eastAsiaTheme="minorHAnsi" w:hAnsi="Verdana" w:cs="Verdana"/>
          <w:i/>
          <w:sz w:val="20"/>
          <w:szCs w:val="20"/>
        </w:rPr>
        <w:t>corpus iuris</w:t>
      </w:r>
      <w:r w:rsidRPr="004E66B4">
        <w:rPr>
          <w:rFonts w:ascii="Verdana" w:eastAsiaTheme="minorHAnsi" w:hAnsi="Verdana" w:cs="Verdana"/>
          <w:sz w:val="20"/>
          <w:szCs w:val="20"/>
        </w:rPr>
        <w:t xml:space="preserve"> nacional e internacional que </w:t>
      </w:r>
      <w:r>
        <w:rPr>
          <w:rFonts w:ascii="Verdana" w:eastAsiaTheme="minorHAnsi" w:hAnsi="Verdana" w:cs="Verdana"/>
          <w:sz w:val="20"/>
          <w:szCs w:val="20"/>
        </w:rPr>
        <w:t>protege</w:t>
      </w:r>
      <w:r w:rsidRPr="004E66B4">
        <w:rPr>
          <w:rFonts w:ascii="Verdana" w:eastAsiaTheme="minorHAnsi" w:hAnsi="Verdana" w:cs="Verdana"/>
          <w:sz w:val="20"/>
          <w:szCs w:val="20"/>
        </w:rPr>
        <w:t xml:space="preserve"> el derecho al trabajo como derecho autónom</w:t>
      </w:r>
      <w:r>
        <w:rPr>
          <w:rFonts w:ascii="Verdana" w:eastAsiaTheme="minorHAnsi" w:hAnsi="Verdana" w:cs="Verdana"/>
          <w:sz w:val="20"/>
          <w:szCs w:val="20"/>
        </w:rPr>
        <w:t>o</w:t>
      </w:r>
      <w:r w:rsidRPr="004E66B4">
        <w:rPr>
          <w:rStyle w:val="FootnoteReference"/>
          <w:rFonts w:eastAsiaTheme="minorHAnsi" w:cs="Verdana"/>
          <w:szCs w:val="20"/>
        </w:rPr>
        <w:footnoteReference w:id="314"/>
      </w:r>
      <w:r>
        <w:rPr>
          <w:rFonts w:ascii="Verdana" w:eastAsiaTheme="minorHAnsi" w:hAnsi="Verdana" w:cs="Verdana"/>
          <w:sz w:val="20"/>
          <w:szCs w:val="20"/>
        </w:rPr>
        <w:t>, que la Corte IDH consideró al tomar su decisión respecto a este caso.  Por último, el cuarto aspecto relevante refiere al desarrollo del derecho a la estabilidad laboral en la normativa peruana, mediante</w:t>
      </w:r>
      <w:r w:rsidRPr="004E66B4">
        <w:rPr>
          <w:rFonts w:ascii="Verdana" w:eastAsiaTheme="minorHAnsi" w:hAnsi="Verdana" w:cs="Verdana"/>
          <w:sz w:val="20"/>
          <w:szCs w:val="20"/>
        </w:rPr>
        <w:t xml:space="preserve"> la</w:t>
      </w:r>
      <w:r>
        <w:rPr>
          <w:rFonts w:ascii="Verdana" w:eastAsiaTheme="minorHAnsi" w:hAnsi="Verdana" w:cs="Verdana"/>
          <w:sz w:val="20"/>
          <w:szCs w:val="20"/>
        </w:rPr>
        <w:t>s c</w:t>
      </w:r>
      <w:r w:rsidRPr="004E66B4">
        <w:rPr>
          <w:rFonts w:ascii="Verdana" w:eastAsiaTheme="minorHAnsi" w:hAnsi="Verdana" w:cs="Verdana"/>
          <w:sz w:val="20"/>
          <w:szCs w:val="20"/>
        </w:rPr>
        <w:t>onstituci</w:t>
      </w:r>
      <w:r>
        <w:rPr>
          <w:rFonts w:ascii="Verdana" w:eastAsiaTheme="minorHAnsi" w:hAnsi="Verdana" w:cs="Verdana"/>
          <w:sz w:val="20"/>
          <w:szCs w:val="20"/>
        </w:rPr>
        <w:t xml:space="preserve">ones (de 1979 y 1993) </w:t>
      </w:r>
      <w:r w:rsidRPr="004E66B4">
        <w:rPr>
          <w:rFonts w:ascii="Verdana" w:eastAsiaTheme="minorHAnsi" w:hAnsi="Verdana" w:cs="Verdana"/>
          <w:sz w:val="20"/>
          <w:szCs w:val="20"/>
        </w:rPr>
        <w:t>y la</w:t>
      </w:r>
      <w:r>
        <w:rPr>
          <w:rFonts w:ascii="Verdana" w:eastAsiaTheme="minorHAnsi" w:hAnsi="Verdana" w:cs="Verdana"/>
          <w:sz w:val="20"/>
          <w:szCs w:val="20"/>
        </w:rPr>
        <w:t xml:space="preserve">s </w:t>
      </w:r>
      <w:r>
        <w:rPr>
          <w:rFonts w:ascii="Verdana" w:eastAsiaTheme="minorHAnsi" w:hAnsi="Verdana" w:cs="Verdana"/>
          <w:sz w:val="20"/>
          <w:szCs w:val="20"/>
        </w:rPr>
        <w:lastRenderedPageBreak/>
        <w:t>leyes laborales</w:t>
      </w:r>
      <w:r w:rsidRPr="004E66B4">
        <w:rPr>
          <w:rStyle w:val="FootnoteReference"/>
          <w:rFonts w:eastAsiaTheme="minorHAnsi" w:cs="Verdana"/>
          <w:szCs w:val="20"/>
        </w:rPr>
        <w:footnoteReference w:id="315"/>
      </w:r>
      <w:r w:rsidRPr="004E66B4">
        <w:rPr>
          <w:rFonts w:ascii="Verdana" w:eastAsiaTheme="minorHAnsi" w:hAnsi="Verdana" w:cs="Verdana"/>
          <w:sz w:val="20"/>
          <w:szCs w:val="20"/>
        </w:rPr>
        <w:t xml:space="preserve">.  </w:t>
      </w:r>
    </w:p>
    <w:p w14:paraId="12E2FF05" w14:textId="77777777" w:rsidR="00F83E8F" w:rsidRPr="004E66B4" w:rsidRDefault="00F83E8F" w:rsidP="00F83E8F">
      <w:pPr>
        <w:pStyle w:val="ListParagraph"/>
        <w:widowControl w:val="0"/>
        <w:autoSpaceDE w:val="0"/>
        <w:autoSpaceDN w:val="0"/>
        <w:adjustRightInd w:val="0"/>
        <w:ind w:left="0" w:right="49"/>
        <w:jc w:val="both"/>
        <w:rPr>
          <w:rFonts w:ascii="Verdana" w:hAnsi="Verdana"/>
          <w:sz w:val="20"/>
          <w:szCs w:val="20"/>
        </w:rPr>
      </w:pPr>
    </w:p>
    <w:p w14:paraId="295E2714" w14:textId="77777777" w:rsidR="00F83E8F" w:rsidRPr="000C7DD1" w:rsidRDefault="00F83E8F" w:rsidP="00E70701">
      <w:pPr>
        <w:pStyle w:val="ListParagraph"/>
        <w:widowControl w:val="0"/>
        <w:numPr>
          <w:ilvl w:val="0"/>
          <w:numId w:val="28"/>
        </w:numPr>
        <w:autoSpaceDE w:val="0"/>
        <w:autoSpaceDN w:val="0"/>
        <w:adjustRightInd w:val="0"/>
        <w:ind w:left="0" w:right="49" w:firstLine="0"/>
        <w:jc w:val="both"/>
        <w:rPr>
          <w:rFonts w:ascii="Verdana" w:hAnsi="Verdana"/>
          <w:sz w:val="20"/>
          <w:szCs w:val="20"/>
        </w:rPr>
      </w:pPr>
      <w:r w:rsidRPr="000C7DD1">
        <w:rPr>
          <w:rFonts w:ascii="Verdana" w:eastAsiaTheme="minorHAnsi" w:hAnsi="Verdana" w:cs="Verdana"/>
          <w:sz w:val="20"/>
          <w:szCs w:val="20"/>
        </w:rPr>
        <w:t>Asimismo, el Tribunal Interamericano utiliza en la Sentencia tres de los incisos del artículo 29 (b, c y d) de la Convención Americana</w:t>
      </w:r>
      <w:r w:rsidRPr="000C7DD1">
        <w:rPr>
          <w:rStyle w:val="FootnoteReference"/>
          <w:rFonts w:eastAsiaTheme="minorHAnsi" w:cs="Verdana"/>
          <w:szCs w:val="20"/>
        </w:rPr>
        <w:t xml:space="preserve"> </w:t>
      </w:r>
      <w:r w:rsidRPr="004E66B4">
        <w:rPr>
          <w:rStyle w:val="FootnoteReference"/>
          <w:rFonts w:eastAsiaTheme="minorHAnsi" w:cs="Verdana"/>
          <w:szCs w:val="20"/>
        </w:rPr>
        <w:footnoteReference w:id="316"/>
      </w:r>
      <w:r w:rsidRPr="000C7DD1">
        <w:rPr>
          <w:rFonts w:ascii="Verdana" w:eastAsiaTheme="minorHAnsi" w:hAnsi="Verdana" w:cs="Verdana"/>
          <w:sz w:val="20"/>
          <w:szCs w:val="20"/>
        </w:rPr>
        <w:t xml:space="preserve">. Es decir, la Corte IDH otorga una protección más amplia, que se deriva del reconocimiento del derecho al trabajo tanto en la ley como en la Constitución nacional, así como de los derechos reconocidos en cualquier tratado del que el Estado sea Parte y los efectos que produzcan la Declaración Americana sobre los Derechos y Deberes del Hombre.  En este caso, su efecto fue delimitar los derechos que se encuentran expresados en normas de la Carta de la OEA. Cabe destacar que estos tres incisos no tienen, </w:t>
      </w:r>
      <w:r w:rsidRPr="000C7DD1">
        <w:rPr>
          <w:rFonts w:ascii="Verdana" w:eastAsiaTheme="minorHAnsi" w:hAnsi="Verdana" w:cs="Verdana"/>
          <w:i/>
          <w:sz w:val="20"/>
          <w:szCs w:val="20"/>
        </w:rPr>
        <w:t xml:space="preserve">prima facie, </w:t>
      </w:r>
      <w:r w:rsidRPr="000C7DD1">
        <w:rPr>
          <w:rFonts w:ascii="Verdana" w:eastAsiaTheme="minorHAnsi" w:hAnsi="Verdana" w:cs="Verdana"/>
          <w:sz w:val="20"/>
          <w:szCs w:val="20"/>
        </w:rPr>
        <w:t xml:space="preserve">que ser concurrentes para hacer justiciables derechos de naturaleza social. Dicho de otro modo, puede que el derecho no esté reconocido expresamente en la legislación nacional, pero si se encuentre en un tratado internacional del que el Estado sea parte. O bien, de manera inversa, puede que el derecho no se encuentre expresamente contemplado en los tratados internacionales del cual el Estado es parte, pero su legislación nacional sí lo contemple. </w:t>
      </w:r>
    </w:p>
    <w:p w14:paraId="1C0DEFF4" w14:textId="77777777" w:rsidR="00F83E8F" w:rsidRPr="000C7DD1" w:rsidRDefault="00F83E8F" w:rsidP="00F83E8F">
      <w:pPr>
        <w:pStyle w:val="ListParagraph"/>
        <w:widowControl w:val="0"/>
        <w:autoSpaceDE w:val="0"/>
        <w:autoSpaceDN w:val="0"/>
        <w:adjustRightInd w:val="0"/>
        <w:ind w:left="0" w:right="49"/>
        <w:jc w:val="both"/>
        <w:rPr>
          <w:rFonts w:ascii="Verdana" w:hAnsi="Verdana"/>
          <w:sz w:val="20"/>
          <w:szCs w:val="20"/>
        </w:rPr>
      </w:pPr>
    </w:p>
    <w:p w14:paraId="5DBB1445" w14:textId="77777777" w:rsidR="00F83E8F" w:rsidRPr="00652C2C" w:rsidRDefault="00F83E8F" w:rsidP="00E70701">
      <w:pPr>
        <w:pStyle w:val="ListParagraph"/>
        <w:widowControl w:val="0"/>
        <w:numPr>
          <w:ilvl w:val="0"/>
          <w:numId w:val="28"/>
        </w:numPr>
        <w:autoSpaceDE w:val="0"/>
        <w:autoSpaceDN w:val="0"/>
        <w:adjustRightInd w:val="0"/>
        <w:ind w:left="0" w:right="49" w:firstLine="0"/>
        <w:jc w:val="both"/>
        <w:rPr>
          <w:rFonts w:ascii="Verdana" w:hAnsi="Verdana"/>
          <w:sz w:val="20"/>
          <w:szCs w:val="20"/>
        </w:rPr>
      </w:pPr>
      <w:r w:rsidRPr="00652C2C">
        <w:rPr>
          <w:rFonts w:ascii="Verdana" w:eastAsiaTheme="minorHAnsi" w:hAnsi="Verdana" w:cs="Verdana"/>
          <w:sz w:val="20"/>
          <w:szCs w:val="20"/>
        </w:rPr>
        <w:t xml:space="preserve">Por otro lado, </w:t>
      </w:r>
      <w:r>
        <w:rPr>
          <w:rFonts w:ascii="Verdana" w:eastAsiaTheme="minorHAnsi" w:hAnsi="Verdana" w:cs="Verdana"/>
          <w:sz w:val="20"/>
          <w:szCs w:val="20"/>
        </w:rPr>
        <w:t>se debe</w:t>
      </w:r>
      <w:r w:rsidRPr="00652C2C">
        <w:rPr>
          <w:rFonts w:ascii="Verdana" w:eastAsiaTheme="minorHAnsi" w:hAnsi="Verdana" w:cs="Verdana"/>
          <w:sz w:val="20"/>
          <w:szCs w:val="20"/>
        </w:rPr>
        <w:t xml:space="preserve"> tener en consideración los efectos de la Declaración Americana sobre los Derechos y Deberes del Hombre, mediante la derivación de derechos vía artículo 26, </w:t>
      </w:r>
      <w:r w:rsidRPr="008D2569">
        <w:rPr>
          <w:rFonts w:ascii="Verdana" w:eastAsiaTheme="minorHAnsi" w:hAnsi="Verdana" w:cs="Verdana"/>
          <w:sz w:val="20"/>
          <w:szCs w:val="20"/>
        </w:rPr>
        <w:t>que delimita con mayor claridad el catálogo de derechos que se encuentran contenidos en la Carta de la OEA</w:t>
      </w:r>
      <w:r w:rsidRPr="00652C2C">
        <w:rPr>
          <w:rFonts w:ascii="Verdana" w:eastAsiaTheme="minorHAnsi" w:hAnsi="Verdana" w:cs="Verdana"/>
          <w:sz w:val="20"/>
          <w:szCs w:val="20"/>
        </w:rPr>
        <w:t xml:space="preserve">. Así, dependiendo del caso y del derecho bajo análisis, competerá a este Tribunal Interamericano verificar qué normas de interpretación se deben aplicar para brindar una mayor protección </w:t>
      </w:r>
      <w:r>
        <w:rPr>
          <w:rFonts w:ascii="Verdana" w:eastAsiaTheme="minorHAnsi" w:hAnsi="Verdana" w:cs="Verdana"/>
          <w:sz w:val="20"/>
          <w:szCs w:val="20"/>
        </w:rPr>
        <w:t xml:space="preserve">a la víctima, </w:t>
      </w:r>
      <w:r w:rsidRPr="00652C2C">
        <w:rPr>
          <w:rFonts w:ascii="Verdana" w:eastAsiaTheme="minorHAnsi" w:hAnsi="Verdana" w:cs="Verdana"/>
          <w:sz w:val="20"/>
          <w:szCs w:val="20"/>
        </w:rPr>
        <w:t xml:space="preserve">y  para valorar si existe o no una violación a los derechos sociales que se aleguen. </w:t>
      </w:r>
    </w:p>
    <w:p w14:paraId="6D05707B" w14:textId="77777777" w:rsidR="00F83E8F" w:rsidRPr="004E66B4" w:rsidRDefault="00F83E8F" w:rsidP="00F83E8F">
      <w:pPr>
        <w:pStyle w:val="ListParagraph"/>
        <w:widowControl w:val="0"/>
        <w:autoSpaceDE w:val="0"/>
        <w:autoSpaceDN w:val="0"/>
        <w:adjustRightInd w:val="0"/>
        <w:ind w:left="0" w:right="49"/>
        <w:jc w:val="both"/>
        <w:rPr>
          <w:rFonts w:ascii="Verdana" w:hAnsi="Verdana"/>
          <w:sz w:val="20"/>
          <w:szCs w:val="20"/>
        </w:rPr>
      </w:pPr>
    </w:p>
    <w:p w14:paraId="04B92196" w14:textId="77777777" w:rsidR="00F83E8F" w:rsidRPr="004E66B4" w:rsidRDefault="00F83E8F" w:rsidP="00E70701">
      <w:pPr>
        <w:pStyle w:val="ListParagraph"/>
        <w:widowControl w:val="0"/>
        <w:numPr>
          <w:ilvl w:val="0"/>
          <w:numId w:val="28"/>
        </w:numPr>
        <w:autoSpaceDE w:val="0"/>
        <w:autoSpaceDN w:val="0"/>
        <w:adjustRightInd w:val="0"/>
        <w:ind w:left="0" w:right="49" w:firstLine="0"/>
        <w:jc w:val="both"/>
        <w:rPr>
          <w:rFonts w:ascii="Verdana" w:hAnsi="Verdana"/>
          <w:sz w:val="20"/>
          <w:szCs w:val="20"/>
        </w:rPr>
      </w:pPr>
      <w:r w:rsidRPr="004E66B4">
        <w:rPr>
          <w:rFonts w:ascii="Verdana" w:hAnsi="Verdana"/>
          <w:sz w:val="20"/>
          <w:szCs w:val="20"/>
        </w:rPr>
        <w:t>Com</w:t>
      </w:r>
      <w:r>
        <w:rPr>
          <w:rFonts w:ascii="Verdana" w:hAnsi="Verdana"/>
          <w:sz w:val="20"/>
          <w:szCs w:val="20"/>
        </w:rPr>
        <w:t xml:space="preserve">plementando </w:t>
      </w:r>
      <w:r w:rsidRPr="004E66B4">
        <w:rPr>
          <w:rFonts w:ascii="Verdana" w:hAnsi="Verdana"/>
          <w:sz w:val="20"/>
          <w:szCs w:val="20"/>
        </w:rPr>
        <w:t>este análisis, la Corte IDH concluye una serie de obligaciones que, en principio</w:t>
      </w:r>
      <w:r>
        <w:rPr>
          <w:rFonts w:ascii="Verdana" w:hAnsi="Verdana"/>
          <w:sz w:val="20"/>
          <w:szCs w:val="20"/>
        </w:rPr>
        <w:t>, se</w:t>
      </w:r>
      <w:r w:rsidRPr="004E66B4">
        <w:rPr>
          <w:rFonts w:ascii="Verdana" w:hAnsi="Verdana"/>
          <w:sz w:val="20"/>
          <w:szCs w:val="20"/>
        </w:rPr>
        <w:t xml:space="preserve"> traducen en los siguientes deberes: “a) adoptar las medidas adecuadas para la debi</w:t>
      </w:r>
      <w:r>
        <w:rPr>
          <w:rFonts w:ascii="Verdana" w:hAnsi="Verdana"/>
          <w:sz w:val="20"/>
          <w:szCs w:val="20"/>
        </w:rPr>
        <w:t>da regulación y fiscalización [del derecho al trabajo]</w:t>
      </w:r>
      <w:r w:rsidRPr="004E66B4">
        <w:rPr>
          <w:rFonts w:ascii="Verdana" w:hAnsi="Verdana"/>
          <w:sz w:val="20"/>
          <w:szCs w:val="20"/>
        </w:rPr>
        <w:t xml:space="preserve">; b) proteger al trabajador y trabajadora, a través de sus órganos competentes, contra el despido injustificado, c) en caso de despido injustificado, remediar la situación (ya sea, a través de la reinstalación o, en su caso, mediante la indemnización y otras prestaciones previstas en la legislación nacional). Por ende, d) el Estado debe </w:t>
      </w:r>
      <w:r w:rsidRPr="004E66B4">
        <w:rPr>
          <w:rFonts w:ascii="Verdana" w:hAnsi="Verdana" w:cs="Verdana"/>
          <w:sz w:val="20"/>
          <w:szCs w:val="20"/>
        </w:rPr>
        <w:t>disponer de mecanismos efectivos de reclamo frente</w:t>
      </w:r>
      <w:r w:rsidRPr="004E66B4">
        <w:rPr>
          <w:rFonts w:ascii="Verdana" w:hAnsi="Verdana"/>
          <w:sz w:val="20"/>
          <w:szCs w:val="20"/>
        </w:rPr>
        <w:t xml:space="preserve"> a una situación de despido injustificado, a fin de garantizar el acceso a la justicia y la tutela judicial efectiva de tales derechos</w:t>
      </w:r>
      <w:r>
        <w:rPr>
          <w:rFonts w:ascii="Verdana" w:hAnsi="Verdana"/>
          <w:sz w:val="20"/>
          <w:szCs w:val="20"/>
        </w:rPr>
        <w:t>”</w:t>
      </w:r>
      <w:r w:rsidRPr="004E66B4">
        <w:rPr>
          <w:rStyle w:val="FootnoteReference"/>
          <w:szCs w:val="20"/>
        </w:rPr>
        <w:footnoteReference w:id="317"/>
      </w:r>
      <w:r w:rsidRPr="004E66B4">
        <w:rPr>
          <w:rFonts w:ascii="Verdana" w:hAnsi="Verdana"/>
          <w:sz w:val="20"/>
          <w:szCs w:val="20"/>
        </w:rPr>
        <w:t xml:space="preserve">. Es decir, </w:t>
      </w:r>
      <w:r>
        <w:rPr>
          <w:rFonts w:ascii="Verdana" w:hAnsi="Verdana"/>
          <w:sz w:val="20"/>
          <w:szCs w:val="20"/>
        </w:rPr>
        <w:t xml:space="preserve">la Corte IDH </w:t>
      </w:r>
      <w:r w:rsidRPr="004E66B4">
        <w:rPr>
          <w:rFonts w:ascii="Verdana" w:hAnsi="Verdana"/>
          <w:sz w:val="20"/>
          <w:szCs w:val="20"/>
        </w:rPr>
        <w:t xml:space="preserve">identifica obligaciones concretas en relación </w:t>
      </w:r>
      <w:r>
        <w:rPr>
          <w:rFonts w:ascii="Verdana" w:hAnsi="Verdana"/>
          <w:sz w:val="20"/>
          <w:szCs w:val="20"/>
        </w:rPr>
        <w:t>con el</w:t>
      </w:r>
      <w:r w:rsidRPr="004E66B4">
        <w:rPr>
          <w:rFonts w:ascii="Verdana" w:hAnsi="Verdana"/>
          <w:sz w:val="20"/>
          <w:szCs w:val="20"/>
        </w:rPr>
        <w:t xml:space="preserve"> derecho al trabajo (estabilidad laboral). </w:t>
      </w:r>
    </w:p>
    <w:p w14:paraId="4D4A378E" w14:textId="77777777" w:rsidR="00F83E8F" w:rsidRPr="004E66B4" w:rsidRDefault="00F83E8F" w:rsidP="00F83E8F">
      <w:pPr>
        <w:widowControl w:val="0"/>
        <w:autoSpaceDE w:val="0"/>
        <w:autoSpaceDN w:val="0"/>
        <w:adjustRightInd w:val="0"/>
        <w:ind w:right="49"/>
        <w:jc w:val="both"/>
        <w:rPr>
          <w:rFonts w:ascii="Verdana" w:hAnsi="Verdana"/>
          <w:sz w:val="20"/>
          <w:szCs w:val="20"/>
        </w:rPr>
      </w:pPr>
    </w:p>
    <w:p w14:paraId="3342280A" w14:textId="77777777" w:rsidR="00F83E8F" w:rsidRPr="005B3CA3" w:rsidRDefault="00F83E8F" w:rsidP="00E70701">
      <w:pPr>
        <w:pStyle w:val="ListParagraph"/>
        <w:widowControl w:val="0"/>
        <w:numPr>
          <w:ilvl w:val="0"/>
          <w:numId w:val="28"/>
        </w:numPr>
        <w:autoSpaceDE w:val="0"/>
        <w:autoSpaceDN w:val="0"/>
        <w:adjustRightInd w:val="0"/>
        <w:ind w:left="0" w:right="49" w:firstLine="0"/>
        <w:jc w:val="both"/>
        <w:rPr>
          <w:rFonts w:ascii="Verdana" w:hAnsi="Verdana"/>
          <w:sz w:val="20"/>
          <w:szCs w:val="20"/>
        </w:rPr>
      </w:pPr>
      <w:r>
        <w:rPr>
          <w:rFonts w:ascii="Verdana" w:hAnsi="Verdana"/>
          <w:sz w:val="20"/>
          <w:szCs w:val="20"/>
        </w:rPr>
        <w:t>E</w:t>
      </w:r>
      <w:r w:rsidRPr="004E66B4">
        <w:rPr>
          <w:rFonts w:ascii="Verdana" w:hAnsi="Verdana"/>
          <w:sz w:val="20"/>
          <w:szCs w:val="20"/>
        </w:rPr>
        <w:t xml:space="preserve">n cuanto </w:t>
      </w:r>
      <w:r>
        <w:rPr>
          <w:rFonts w:ascii="Verdana" w:hAnsi="Verdana"/>
          <w:sz w:val="20"/>
          <w:szCs w:val="20"/>
        </w:rPr>
        <w:t xml:space="preserve">a </w:t>
      </w:r>
      <w:r w:rsidRPr="004E66B4">
        <w:rPr>
          <w:rFonts w:ascii="Verdana" w:hAnsi="Verdana"/>
          <w:sz w:val="20"/>
          <w:szCs w:val="20"/>
        </w:rPr>
        <w:t>la violación del derecho a la estabilidad laboral como parte del derecho a</w:t>
      </w:r>
      <w:r>
        <w:rPr>
          <w:rFonts w:ascii="Verdana" w:hAnsi="Verdana"/>
          <w:sz w:val="20"/>
          <w:szCs w:val="20"/>
        </w:rPr>
        <w:t>l trabajo, la Corte IDH concluye</w:t>
      </w:r>
      <w:r w:rsidRPr="004E66B4">
        <w:rPr>
          <w:rFonts w:ascii="Verdana" w:hAnsi="Verdana"/>
          <w:sz w:val="20"/>
          <w:szCs w:val="20"/>
        </w:rPr>
        <w:t xml:space="preserve"> que: </w:t>
      </w:r>
    </w:p>
    <w:p w14:paraId="0C06DF3A" w14:textId="77777777" w:rsidR="00F83E8F" w:rsidRPr="004E66B4" w:rsidRDefault="00F83E8F" w:rsidP="00F83E8F">
      <w:pPr>
        <w:pStyle w:val="ListParagraph"/>
        <w:widowControl w:val="0"/>
        <w:autoSpaceDE w:val="0"/>
        <w:autoSpaceDN w:val="0"/>
        <w:adjustRightInd w:val="0"/>
        <w:ind w:left="0" w:right="855"/>
        <w:jc w:val="both"/>
        <w:rPr>
          <w:rFonts w:ascii="Verdana" w:hAnsi="Verdana"/>
          <w:sz w:val="16"/>
          <w:szCs w:val="16"/>
        </w:rPr>
      </w:pPr>
      <w:r w:rsidRPr="004E66B4">
        <w:rPr>
          <w:rFonts w:ascii="Verdana" w:hAnsi="Verdana"/>
          <w:sz w:val="20"/>
          <w:szCs w:val="20"/>
        </w:rPr>
        <w:t xml:space="preserve"> </w:t>
      </w:r>
    </w:p>
    <w:p w14:paraId="7EAE7481" w14:textId="77777777" w:rsidR="00F83E8F" w:rsidRPr="004E66B4" w:rsidRDefault="00F83E8F" w:rsidP="00E70701">
      <w:pPr>
        <w:pStyle w:val="ListParagraph"/>
        <w:numPr>
          <w:ilvl w:val="0"/>
          <w:numId w:val="30"/>
        </w:numPr>
        <w:ind w:left="709" w:right="738" w:firstLine="0"/>
        <w:jc w:val="both"/>
        <w:rPr>
          <w:rFonts w:ascii="Verdana" w:hAnsi="Verdana"/>
          <w:sz w:val="16"/>
          <w:szCs w:val="16"/>
        </w:rPr>
      </w:pPr>
      <w:r w:rsidRPr="004E66B4">
        <w:rPr>
          <w:rFonts w:ascii="Verdana" w:hAnsi="Verdana"/>
          <w:sz w:val="16"/>
          <w:szCs w:val="16"/>
        </w:rPr>
        <w:t xml:space="preserve">En el caso concreto, el señor Lagos del Campo había trabajado como obrero aproximadamente 13 años en la referida empresa, y al momento de los hechos ocupaba el cargo de Presidente del Comité Electoral de la Comunidad Industrial de la empresa y delegado pleno ante el CONACI. Con motivo de las manifestaciones recogidas en la entrevista publicada en la revista La Razón, en el contexto de las elecciones internas, el señor Lagos del Campo fue despedido bajo la causal de haber realizado una falta grave de palabra contra el empleador. El señor Lagos del Campo impugnó dicha decisión ante los órganos competentes, la cual fue avalada en segunda instancia, al considerar el despido se habría dado bajo causa justificada. Dicha decisión fue recurrida ante diversas </w:t>
      </w:r>
      <w:r w:rsidRPr="004E66B4">
        <w:rPr>
          <w:rFonts w:ascii="Verdana" w:hAnsi="Verdana"/>
          <w:sz w:val="16"/>
          <w:szCs w:val="16"/>
        </w:rPr>
        <w:lastRenderedPageBreak/>
        <w:t>instancias internas sin haber encontrado tutela, particularmente, respecto de su derecho a la estabilidad laboral, al alegarse causas injustificadas o carentes de motivos para el despido y afectaciones al debido proceso. Es decir, frente al despido arbitrario por parte de la empresa (</w:t>
      </w:r>
      <w:r w:rsidRPr="004E66B4">
        <w:rPr>
          <w:rFonts w:ascii="Verdana" w:hAnsi="Verdana"/>
          <w:i/>
          <w:sz w:val="16"/>
          <w:szCs w:val="16"/>
        </w:rPr>
        <w:t>supra</w:t>
      </w:r>
      <w:r>
        <w:rPr>
          <w:rFonts w:ascii="Verdana" w:hAnsi="Verdana"/>
          <w:sz w:val="16"/>
          <w:szCs w:val="16"/>
        </w:rPr>
        <w:t>, párr. 132</w:t>
      </w:r>
      <w:r w:rsidRPr="004E66B4">
        <w:rPr>
          <w:rFonts w:ascii="Verdana" w:hAnsi="Verdana"/>
          <w:sz w:val="16"/>
          <w:szCs w:val="16"/>
        </w:rPr>
        <w:t xml:space="preserve">) el Estado no adoptó las medidas adecuadas para proteger la vulneración del derecho al trabajo imputable a terceros. Por ende, no se le reinstaló en su puesto de trabajo ni recibió ninguna indemnización ni los beneficios correspondientes. </w:t>
      </w:r>
    </w:p>
    <w:p w14:paraId="05B88129" w14:textId="77777777" w:rsidR="00F83E8F" w:rsidRPr="004E66B4" w:rsidRDefault="00F83E8F" w:rsidP="00F83E8F">
      <w:pPr>
        <w:pStyle w:val="ListParagraph"/>
        <w:ind w:left="709" w:right="738"/>
        <w:jc w:val="both"/>
        <w:rPr>
          <w:rFonts w:ascii="Verdana" w:hAnsi="Verdana"/>
          <w:sz w:val="16"/>
          <w:szCs w:val="16"/>
        </w:rPr>
      </w:pPr>
    </w:p>
    <w:p w14:paraId="123FC4F5" w14:textId="77777777" w:rsidR="00F83E8F" w:rsidRPr="004E66B4" w:rsidRDefault="00F83E8F" w:rsidP="00E70701">
      <w:pPr>
        <w:pStyle w:val="ListParagraph"/>
        <w:numPr>
          <w:ilvl w:val="0"/>
          <w:numId w:val="30"/>
        </w:numPr>
        <w:ind w:left="709" w:right="738" w:firstLine="0"/>
        <w:jc w:val="both"/>
        <w:rPr>
          <w:rFonts w:ascii="Verdana" w:hAnsi="Verdana"/>
          <w:sz w:val="16"/>
          <w:szCs w:val="16"/>
        </w:rPr>
      </w:pPr>
      <w:r w:rsidRPr="004E66B4">
        <w:rPr>
          <w:rFonts w:ascii="Verdana" w:hAnsi="Verdana"/>
          <w:sz w:val="16"/>
          <w:szCs w:val="16"/>
        </w:rPr>
        <w:t>Con motivo de ello, el señor Lagos del Campo perdió su empleo, la posibilidad de acceder a una pensión por jubilación, así como ejercer sus derechos como representante de los trabajadores. Tal incidente tuvo como consecuencia ciertas repercusiones en su vida profesional, personal y familiar (</w:t>
      </w:r>
      <w:r w:rsidRPr="004E66B4">
        <w:rPr>
          <w:rFonts w:ascii="Verdana" w:hAnsi="Verdana"/>
          <w:i/>
          <w:sz w:val="16"/>
          <w:szCs w:val="16"/>
        </w:rPr>
        <w:t>supra,</w:t>
      </w:r>
      <w:r w:rsidRPr="004E66B4">
        <w:rPr>
          <w:rFonts w:ascii="Verdana" w:hAnsi="Verdana"/>
          <w:sz w:val="16"/>
          <w:szCs w:val="16"/>
        </w:rPr>
        <w:t xml:space="preserve"> párr. 72). […]</w:t>
      </w:r>
    </w:p>
    <w:p w14:paraId="3373B449" w14:textId="77777777" w:rsidR="00F83E8F" w:rsidRPr="004E66B4" w:rsidRDefault="00F83E8F" w:rsidP="00F83E8F">
      <w:pPr>
        <w:ind w:right="738"/>
        <w:jc w:val="both"/>
        <w:rPr>
          <w:rFonts w:ascii="Verdana" w:hAnsi="Verdana"/>
          <w:b/>
          <w:sz w:val="16"/>
          <w:szCs w:val="16"/>
        </w:rPr>
      </w:pPr>
    </w:p>
    <w:p w14:paraId="78D820B8" w14:textId="77777777" w:rsidR="00F83E8F" w:rsidRPr="004E66B4" w:rsidRDefault="00F83E8F" w:rsidP="00E70701">
      <w:pPr>
        <w:pStyle w:val="ListParagraph"/>
        <w:numPr>
          <w:ilvl w:val="0"/>
          <w:numId w:val="30"/>
        </w:numPr>
        <w:ind w:left="709" w:right="738" w:firstLine="0"/>
        <w:jc w:val="both"/>
        <w:rPr>
          <w:rFonts w:ascii="Verdana" w:hAnsi="Verdana"/>
          <w:sz w:val="16"/>
          <w:szCs w:val="16"/>
        </w:rPr>
      </w:pPr>
      <w:r w:rsidRPr="004E66B4">
        <w:rPr>
          <w:rFonts w:ascii="Verdana" w:hAnsi="Verdana"/>
          <w:sz w:val="16"/>
          <w:szCs w:val="16"/>
        </w:rPr>
        <w:t xml:space="preserve">En vista de lo anterior, </w:t>
      </w:r>
      <w:r w:rsidRPr="004E66B4">
        <w:rPr>
          <w:rFonts w:ascii="Verdana" w:hAnsi="Verdana"/>
          <w:sz w:val="16"/>
          <w:szCs w:val="16"/>
          <w:u w:val="single"/>
        </w:rPr>
        <w:t>la Corte concluye que, con motivo del despido arbitrario del señor Lagos del Campo, se le privó de su empleo y demás beneficios derivados de la seguridad social,</w:t>
      </w:r>
      <w:r w:rsidRPr="004E66B4">
        <w:rPr>
          <w:rFonts w:ascii="Verdana" w:hAnsi="Verdana"/>
          <w:sz w:val="16"/>
          <w:szCs w:val="16"/>
        </w:rPr>
        <w:t xml:space="preserve"> ante lo cual </w:t>
      </w:r>
      <w:r w:rsidRPr="004E66B4">
        <w:rPr>
          <w:rFonts w:ascii="Verdana" w:hAnsi="Verdana"/>
          <w:b/>
          <w:sz w:val="16"/>
          <w:szCs w:val="16"/>
        </w:rPr>
        <w:t>el Estado peruano no tuteló el derecho a la estabilidad laboral, en interpretación del artículo 26 de la Convención Americana, en relación con los artículos 1.1, 13, 8 y 16</w:t>
      </w:r>
      <w:r w:rsidRPr="004E66B4">
        <w:rPr>
          <w:rFonts w:ascii="Verdana" w:hAnsi="Verdana"/>
          <w:sz w:val="16"/>
          <w:szCs w:val="16"/>
        </w:rPr>
        <w:t xml:space="preserve"> de la misma, en perjuicio del señor Lagos del Campo</w:t>
      </w:r>
      <w:r>
        <w:rPr>
          <w:rStyle w:val="FootnoteReference"/>
          <w:sz w:val="16"/>
          <w:szCs w:val="16"/>
        </w:rPr>
        <w:footnoteReference w:id="318"/>
      </w:r>
      <w:r w:rsidRPr="004E66B4">
        <w:rPr>
          <w:rFonts w:ascii="Verdana" w:hAnsi="Verdana"/>
          <w:sz w:val="16"/>
          <w:szCs w:val="16"/>
        </w:rPr>
        <w:t>.</w:t>
      </w:r>
    </w:p>
    <w:p w14:paraId="166C28A2" w14:textId="77777777" w:rsidR="00F83E8F" w:rsidRPr="004E66B4" w:rsidRDefault="00F83E8F" w:rsidP="00F83E8F">
      <w:pPr>
        <w:jc w:val="both"/>
        <w:rPr>
          <w:rFonts w:ascii="Verdana" w:hAnsi="Verdana"/>
          <w:sz w:val="20"/>
          <w:szCs w:val="20"/>
        </w:rPr>
      </w:pPr>
    </w:p>
    <w:p w14:paraId="4E5F9702" w14:textId="77777777" w:rsidR="00F83E8F" w:rsidRPr="004E66B4" w:rsidRDefault="00F83E8F" w:rsidP="00E70701">
      <w:pPr>
        <w:pStyle w:val="ListParagraph"/>
        <w:numPr>
          <w:ilvl w:val="0"/>
          <w:numId w:val="28"/>
        </w:numPr>
        <w:ind w:left="0" w:firstLine="0"/>
        <w:jc w:val="both"/>
        <w:rPr>
          <w:rFonts w:ascii="Verdana" w:hAnsi="Verdana"/>
          <w:b/>
          <w:bCs/>
          <w:sz w:val="20"/>
          <w:szCs w:val="20"/>
          <w:u w:val="single"/>
        </w:rPr>
      </w:pPr>
      <w:r>
        <w:rPr>
          <w:rFonts w:ascii="Verdana" w:hAnsi="Verdana"/>
          <w:bCs/>
          <w:sz w:val="20"/>
          <w:szCs w:val="20"/>
        </w:rPr>
        <w:t xml:space="preserve">Como se </w:t>
      </w:r>
      <w:r w:rsidRPr="004E66B4">
        <w:rPr>
          <w:rFonts w:ascii="Verdana" w:hAnsi="Verdana"/>
          <w:bCs/>
          <w:sz w:val="20"/>
          <w:szCs w:val="20"/>
        </w:rPr>
        <w:t>hace alusión en la Sentencia:</w:t>
      </w:r>
      <w:r>
        <w:rPr>
          <w:rFonts w:ascii="Verdana" w:hAnsi="Verdana"/>
          <w:bCs/>
          <w:sz w:val="20"/>
          <w:szCs w:val="20"/>
        </w:rPr>
        <w:t xml:space="preserve"> “[…] l</w:t>
      </w:r>
      <w:r w:rsidRPr="004E66B4">
        <w:rPr>
          <w:rFonts w:ascii="Verdana" w:hAnsi="Verdana"/>
          <w:bCs/>
          <w:sz w:val="20"/>
          <w:szCs w:val="20"/>
        </w:rPr>
        <w:t xml:space="preserve">a Corte ha establecido […] su competencia para conocer y resolver controversias relativas al artículo 26 de la Convención Americana, como parte integrante de los </w:t>
      </w:r>
      <w:r>
        <w:rPr>
          <w:rFonts w:ascii="Verdana" w:hAnsi="Verdana"/>
          <w:bCs/>
          <w:sz w:val="20"/>
          <w:szCs w:val="20"/>
        </w:rPr>
        <w:t>derechos enumerados en la misma. Al respecto,</w:t>
      </w:r>
      <w:r w:rsidRPr="004E66B4">
        <w:rPr>
          <w:rFonts w:ascii="Verdana" w:hAnsi="Verdana"/>
          <w:bCs/>
          <w:sz w:val="20"/>
          <w:szCs w:val="20"/>
        </w:rPr>
        <w:t xml:space="preserve"> el artículo 1.1 </w:t>
      </w:r>
      <w:r>
        <w:rPr>
          <w:rFonts w:ascii="Verdana" w:hAnsi="Verdana"/>
          <w:bCs/>
          <w:sz w:val="20"/>
          <w:szCs w:val="20"/>
        </w:rPr>
        <w:t xml:space="preserve">de la Convención Americana </w:t>
      </w:r>
      <w:r w:rsidRPr="004E66B4">
        <w:rPr>
          <w:rFonts w:ascii="Verdana" w:hAnsi="Verdana"/>
          <w:bCs/>
          <w:sz w:val="20"/>
          <w:szCs w:val="20"/>
        </w:rPr>
        <w:t>confiere obligaciones general</w:t>
      </w:r>
      <w:r>
        <w:rPr>
          <w:rFonts w:ascii="Verdana" w:hAnsi="Verdana"/>
          <w:bCs/>
          <w:sz w:val="20"/>
          <w:szCs w:val="20"/>
        </w:rPr>
        <w:t>es</w:t>
      </w:r>
      <w:r w:rsidRPr="004E66B4">
        <w:rPr>
          <w:rFonts w:ascii="Verdana" w:hAnsi="Verdana"/>
          <w:bCs/>
          <w:sz w:val="20"/>
          <w:szCs w:val="20"/>
        </w:rPr>
        <w:t xml:space="preserve"> de respecto y garantía a los Estados  [en materia de derechos económicos, sociales, culturales y ambientales]. Asimismo, la Corte ha dispuesto importantes desarrollos jurisprudenciales en la materia a la luz de diversos artículos convencionales […]”. Y agrega: </w:t>
      </w:r>
    </w:p>
    <w:p w14:paraId="4430FE7E" w14:textId="77777777" w:rsidR="00F83E8F" w:rsidRPr="004E66B4" w:rsidRDefault="00F83E8F" w:rsidP="00F83E8F">
      <w:pPr>
        <w:pStyle w:val="ListParagraph"/>
        <w:ind w:left="0"/>
        <w:jc w:val="both"/>
        <w:rPr>
          <w:rFonts w:ascii="Verdana" w:hAnsi="Verdana"/>
          <w:b/>
          <w:bCs/>
          <w:sz w:val="20"/>
          <w:szCs w:val="20"/>
          <w:u w:val="single"/>
        </w:rPr>
      </w:pPr>
      <w:r w:rsidRPr="004E66B4">
        <w:rPr>
          <w:rFonts w:ascii="Verdana" w:hAnsi="Verdana"/>
          <w:bCs/>
          <w:sz w:val="20"/>
          <w:szCs w:val="20"/>
        </w:rPr>
        <w:t xml:space="preserve"> </w:t>
      </w:r>
    </w:p>
    <w:p w14:paraId="26A00EA7" w14:textId="77777777" w:rsidR="00F83E8F" w:rsidRPr="004E66B4" w:rsidRDefault="00F83E8F" w:rsidP="00F83E8F">
      <w:pPr>
        <w:pStyle w:val="ListParagraph"/>
        <w:ind w:left="708" w:right="738"/>
        <w:jc w:val="both"/>
        <w:rPr>
          <w:rFonts w:ascii="Verdana" w:hAnsi="Verdana"/>
          <w:bCs/>
          <w:sz w:val="16"/>
          <w:szCs w:val="16"/>
          <w:u w:val="single"/>
        </w:rPr>
      </w:pPr>
      <w:r w:rsidRPr="004E66B4">
        <w:rPr>
          <w:rFonts w:ascii="Verdana" w:hAnsi="Verdana"/>
          <w:bCs/>
          <w:sz w:val="16"/>
          <w:szCs w:val="16"/>
        </w:rPr>
        <w:t xml:space="preserve">154. […]En atención a estos precedentes, </w:t>
      </w:r>
      <w:r w:rsidRPr="004E66B4">
        <w:rPr>
          <w:rFonts w:ascii="Verdana" w:hAnsi="Verdana"/>
          <w:b/>
          <w:bCs/>
          <w:sz w:val="16"/>
          <w:szCs w:val="16"/>
        </w:rPr>
        <w:t>con esta Sentencia se desarrolla y concreta una condena específica por la violación del artículo 26 de la Convención Americana sobre Derechos Humanos</w:t>
      </w:r>
      <w:r w:rsidRPr="004E66B4">
        <w:rPr>
          <w:rFonts w:ascii="Verdana" w:hAnsi="Verdana"/>
          <w:bCs/>
          <w:sz w:val="16"/>
          <w:szCs w:val="16"/>
        </w:rPr>
        <w:t xml:space="preserve">, </w:t>
      </w:r>
      <w:r w:rsidRPr="004E66B4">
        <w:rPr>
          <w:rFonts w:ascii="Verdana" w:hAnsi="Verdana"/>
          <w:bCs/>
          <w:i/>
          <w:sz w:val="16"/>
          <w:szCs w:val="16"/>
        </w:rPr>
        <w:t>dispuesto en el Capítulo III, titulado Derechos Económicos, Sociales y Culturales de este tratado</w:t>
      </w:r>
      <w:r>
        <w:rPr>
          <w:rStyle w:val="FootnoteReference"/>
          <w:bCs/>
          <w:i/>
          <w:sz w:val="16"/>
          <w:szCs w:val="16"/>
        </w:rPr>
        <w:footnoteReference w:id="319"/>
      </w:r>
      <w:r w:rsidRPr="004E66B4">
        <w:rPr>
          <w:rFonts w:ascii="Verdana" w:hAnsi="Verdana"/>
          <w:bCs/>
          <w:sz w:val="16"/>
          <w:szCs w:val="16"/>
        </w:rPr>
        <w:t>.</w:t>
      </w:r>
      <w:r w:rsidRPr="004E66B4">
        <w:rPr>
          <w:rFonts w:ascii="Verdana" w:hAnsi="Verdana"/>
          <w:bCs/>
          <w:sz w:val="16"/>
          <w:szCs w:val="16"/>
          <w:u w:val="single"/>
        </w:rPr>
        <w:t xml:space="preserve"> </w:t>
      </w:r>
    </w:p>
    <w:p w14:paraId="655EDF34" w14:textId="77777777" w:rsidR="00F83E8F" w:rsidRPr="004E66B4" w:rsidRDefault="00F83E8F" w:rsidP="00F83E8F">
      <w:pPr>
        <w:widowControl w:val="0"/>
        <w:autoSpaceDE w:val="0"/>
        <w:autoSpaceDN w:val="0"/>
        <w:adjustRightInd w:val="0"/>
        <w:ind w:right="49"/>
        <w:jc w:val="both"/>
        <w:rPr>
          <w:rFonts w:ascii="Verdana" w:hAnsi="Verdana"/>
          <w:sz w:val="20"/>
          <w:szCs w:val="20"/>
        </w:rPr>
      </w:pPr>
    </w:p>
    <w:p w14:paraId="03A5B31F" w14:textId="77777777" w:rsidR="00F83E8F" w:rsidRDefault="00F83E8F" w:rsidP="00E70701">
      <w:pPr>
        <w:pStyle w:val="ListParagraph"/>
        <w:widowControl w:val="0"/>
        <w:numPr>
          <w:ilvl w:val="0"/>
          <w:numId w:val="28"/>
        </w:numPr>
        <w:autoSpaceDE w:val="0"/>
        <w:autoSpaceDN w:val="0"/>
        <w:adjustRightInd w:val="0"/>
        <w:ind w:left="0" w:right="49" w:firstLine="0"/>
        <w:jc w:val="both"/>
        <w:rPr>
          <w:rFonts w:ascii="Verdana" w:hAnsi="Verdana"/>
          <w:sz w:val="20"/>
          <w:szCs w:val="20"/>
        </w:rPr>
      </w:pPr>
      <w:r>
        <w:rPr>
          <w:rFonts w:ascii="Verdana" w:hAnsi="Verdana"/>
          <w:sz w:val="20"/>
          <w:szCs w:val="20"/>
        </w:rPr>
        <w:t>Este primer análisis nos ha permitido observar que</w:t>
      </w:r>
      <w:r w:rsidRPr="004E66B4">
        <w:rPr>
          <w:rFonts w:ascii="Verdana" w:hAnsi="Verdana"/>
          <w:sz w:val="20"/>
          <w:szCs w:val="20"/>
        </w:rPr>
        <w:t xml:space="preserve"> la Corte IDH </w:t>
      </w:r>
      <w:r>
        <w:rPr>
          <w:rFonts w:ascii="Verdana" w:hAnsi="Verdana"/>
          <w:sz w:val="20"/>
          <w:szCs w:val="20"/>
        </w:rPr>
        <w:t>desarrolla</w:t>
      </w:r>
      <w:r w:rsidRPr="004E66B4">
        <w:rPr>
          <w:rFonts w:ascii="Verdana" w:hAnsi="Verdana"/>
          <w:sz w:val="20"/>
          <w:szCs w:val="20"/>
        </w:rPr>
        <w:t xml:space="preserve"> la violación del artículo 26 </w:t>
      </w:r>
      <w:r>
        <w:rPr>
          <w:rFonts w:ascii="Verdana" w:hAnsi="Verdana"/>
          <w:sz w:val="20"/>
          <w:szCs w:val="20"/>
        </w:rPr>
        <w:t xml:space="preserve">de la Convención Americana, </w:t>
      </w:r>
      <w:r w:rsidRPr="004E66B4">
        <w:rPr>
          <w:rFonts w:ascii="Verdana" w:hAnsi="Verdana"/>
          <w:sz w:val="20"/>
          <w:szCs w:val="20"/>
        </w:rPr>
        <w:t>concretamente</w:t>
      </w:r>
      <w:r>
        <w:rPr>
          <w:rFonts w:ascii="Verdana" w:hAnsi="Verdana"/>
          <w:sz w:val="20"/>
          <w:szCs w:val="20"/>
        </w:rPr>
        <w:t>,</w:t>
      </w:r>
      <w:r w:rsidRPr="004E66B4">
        <w:rPr>
          <w:rFonts w:ascii="Verdana" w:hAnsi="Verdana"/>
          <w:sz w:val="20"/>
          <w:szCs w:val="20"/>
        </w:rPr>
        <w:t xml:space="preserve"> en relación con la estabilidad laboral. En este sentido, y ello constituye la esencia del presente voto, </w:t>
      </w:r>
      <w:r w:rsidRPr="005C3E8D">
        <w:rPr>
          <w:rFonts w:ascii="Verdana" w:hAnsi="Verdana"/>
          <w:sz w:val="20"/>
          <w:szCs w:val="20"/>
        </w:rPr>
        <w:t xml:space="preserve">este mismo análisis pudo haberse </w:t>
      </w:r>
      <w:r>
        <w:rPr>
          <w:rFonts w:ascii="Verdana" w:hAnsi="Verdana"/>
          <w:sz w:val="20"/>
          <w:szCs w:val="20"/>
        </w:rPr>
        <w:t>seguido</w:t>
      </w:r>
      <w:r w:rsidRPr="005C3E8D">
        <w:rPr>
          <w:rFonts w:ascii="Verdana" w:hAnsi="Verdana"/>
          <w:sz w:val="20"/>
          <w:szCs w:val="20"/>
        </w:rPr>
        <w:t xml:space="preserve"> en la afectación del derecho de asociación laboral para la protección y promoción de los intereses de los trabajadores</w:t>
      </w:r>
      <w:r>
        <w:rPr>
          <w:rFonts w:ascii="Verdana" w:hAnsi="Verdana"/>
          <w:sz w:val="20"/>
          <w:szCs w:val="20"/>
        </w:rPr>
        <w:t>. De</w:t>
      </w:r>
      <w:r w:rsidRPr="005C3E8D">
        <w:rPr>
          <w:rFonts w:ascii="Verdana" w:hAnsi="Verdana"/>
          <w:sz w:val="20"/>
          <w:szCs w:val="20"/>
        </w:rPr>
        <w:t xml:space="preserve"> esta</w:t>
      </w:r>
      <w:r>
        <w:rPr>
          <w:rFonts w:ascii="Verdana" w:hAnsi="Verdana"/>
          <w:sz w:val="20"/>
          <w:szCs w:val="20"/>
        </w:rPr>
        <w:t xml:space="preserve"> forma se pudo haber establecido </w:t>
      </w:r>
      <w:r w:rsidRPr="004E66B4">
        <w:rPr>
          <w:rFonts w:ascii="Verdana" w:hAnsi="Verdana"/>
          <w:sz w:val="20"/>
          <w:szCs w:val="20"/>
        </w:rPr>
        <w:t xml:space="preserve">las diferencias con la jurisprudencia anterior en materia de asociación sindical. </w:t>
      </w:r>
    </w:p>
    <w:p w14:paraId="06D56EF4" w14:textId="77777777" w:rsidR="00F83E8F" w:rsidRPr="00ED5B40" w:rsidRDefault="00F83E8F" w:rsidP="00F83E8F">
      <w:pPr>
        <w:pStyle w:val="ListParagraph"/>
        <w:widowControl w:val="0"/>
        <w:autoSpaceDE w:val="0"/>
        <w:autoSpaceDN w:val="0"/>
        <w:adjustRightInd w:val="0"/>
        <w:ind w:left="0" w:right="49"/>
        <w:jc w:val="both"/>
        <w:rPr>
          <w:rFonts w:ascii="Verdana" w:hAnsi="Verdana"/>
          <w:sz w:val="20"/>
          <w:szCs w:val="20"/>
        </w:rPr>
      </w:pPr>
    </w:p>
    <w:p w14:paraId="450E2D14" w14:textId="77777777" w:rsidR="00F83E8F" w:rsidRDefault="00F83E8F" w:rsidP="00F83E8F">
      <w:pPr>
        <w:pStyle w:val="ListParagraph"/>
        <w:widowControl w:val="0"/>
        <w:autoSpaceDE w:val="0"/>
        <w:autoSpaceDN w:val="0"/>
        <w:adjustRightInd w:val="0"/>
        <w:ind w:left="0"/>
        <w:jc w:val="center"/>
        <w:rPr>
          <w:rFonts w:ascii="Verdana" w:hAnsi="Verdana"/>
          <w:sz w:val="20"/>
          <w:szCs w:val="20"/>
        </w:rPr>
      </w:pPr>
      <w:r w:rsidRPr="00A75D43">
        <w:rPr>
          <w:rFonts w:ascii="Verdana" w:hAnsi="Verdana"/>
          <w:sz w:val="20"/>
          <w:szCs w:val="20"/>
        </w:rPr>
        <w:t xml:space="preserve">II. </w:t>
      </w:r>
      <w:r>
        <w:rPr>
          <w:rFonts w:ascii="Verdana" w:hAnsi="Verdana"/>
          <w:sz w:val="20"/>
          <w:szCs w:val="20"/>
        </w:rPr>
        <w:t xml:space="preserve"> </w:t>
      </w:r>
      <w:r w:rsidRPr="00A75D43">
        <w:rPr>
          <w:rFonts w:ascii="Verdana" w:hAnsi="Verdana"/>
          <w:sz w:val="20"/>
          <w:szCs w:val="20"/>
        </w:rPr>
        <w:t xml:space="preserve">EL DERECHO DE ASOCIACIÓN EN LA JURISPRUDENCIA DE LA </w:t>
      </w:r>
    </w:p>
    <w:p w14:paraId="4BE43913" w14:textId="77777777" w:rsidR="00F83E8F" w:rsidRDefault="00F83E8F" w:rsidP="00F83E8F">
      <w:pPr>
        <w:pStyle w:val="ListParagraph"/>
        <w:widowControl w:val="0"/>
        <w:autoSpaceDE w:val="0"/>
        <w:autoSpaceDN w:val="0"/>
        <w:adjustRightInd w:val="0"/>
        <w:ind w:left="0"/>
        <w:jc w:val="center"/>
        <w:rPr>
          <w:rFonts w:ascii="Verdana" w:hAnsi="Verdana"/>
          <w:sz w:val="20"/>
          <w:szCs w:val="20"/>
        </w:rPr>
      </w:pPr>
      <w:r w:rsidRPr="00A75D43">
        <w:rPr>
          <w:rFonts w:ascii="Verdana" w:hAnsi="Verdana"/>
          <w:sz w:val="20"/>
          <w:szCs w:val="20"/>
        </w:rPr>
        <w:t>CORTE INTERAMERICANA DE DERECHOS HUMANOS</w:t>
      </w:r>
    </w:p>
    <w:p w14:paraId="0D6E5B75" w14:textId="77777777" w:rsidR="00F83E8F" w:rsidRPr="004E66B4" w:rsidRDefault="00F83E8F" w:rsidP="00F83E8F">
      <w:pPr>
        <w:pStyle w:val="ListParagraph"/>
        <w:widowControl w:val="0"/>
        <w:autoSpaceDE w:val="0"/>
        <w:autoSpaceDN w:val="0"/>
        <w:adjustRightInd w:val="0"/>
        <w:ind w:left="0"/>
        <w:rPr>
          <w:rFonts w:ascii="Verdana" w:hAnsi="Verdana"/>
          <w:sz w:val="20"/>
          <w:szCs w:val="20"/>
        </w:rPr>
      </w:pPr>
    </w:p>
    <w:p w14:paraId="5DB74AE7" w14:textId="77777777" w:rsidR="00F83E8F" w:rsidRPr="004E66B4" w:rsidRDefault="00F83E8F" w:rsidP="00E70701">
      <w:pPr>
        <w:pStyle w:val="ListParagraph"/>
        <w:numPr>
          <w:ilvl w:val="0"/>
          <w:numId w:val="28"/>
        </w:numPr>
        <w:ind w:left="0" w:firstLine="0"/>
        <w:jc w:val="both"/>
        <w:rPr>
          <w:rFonts w:ascii="Verdana" w:hAnsi="Verdana"/>
          <w:sz w:val="20"/>
          <w:szCs w:val="20"/>
        </w:rPr>
      </w:pPr>
      <w:r w:rsidRPr="004E66B4">
        <w:rPr>
          <w:rFonts w:ascii="Verdana" w:hAnsi="Verdana"/>
          <w:sz w:val="20"/>
          <w:szCs w:val="20"/>
        </w:rPr>
        <w:t xml:space="preserve">El derecho de </w:t>
      </w:r>
      <w:r>
        <w:rPr>
          <w:rFonts w:ascii="Verdana" w:hAnsi="Verdana"/>
          <w:sz w:val="20"/>
          <w:szCs w:val="20"/>
        </w:rPr>
        <w:t>“</w:t>
      </w:r>
      <w:r w:rsidRPr="004E66B4">
        <w:rPr>
          <w:rFonts w:ascii="Verdana" w:hAnsi="Verdana"/>
          <w:sz w:val="20"/>
          <w:szCs w:val="20"/>
        </w:rPr>
        <w:t>asociación</w:t>
      </w:r>
      <w:r>
        <w:rPr>
          <w:rFonts w:ascii="Verdana" w:hAnsi="Verdana"/>
          <w:sz w:val="20"/>
          <w:szCs w:val="20"/>
        </w:rPr>
        <w:t xml:space="preserve"> laboral”</w:t>
      </w:r>
      <w:r w:rsidRPr="004E66B4">
        <w:rPr>
          <w:rFonts w:ascii="Verdana" w:hAnsi="Verdana"/>
          <w:sz w:val="20"/>
          <w:szCs w:val="20"/>
        </w:rPr>
        <w:t xml:space="preserve"> en la jurisprudencia de la Corte I</w:t>
      </w:r>
      <w:r>
        <w:rPr>
          <w:rFonts w:ascii="Verdana" w:hAnsi="Verdana"/>
          <w:sz w:val="20"/>
          <w:szCs w:val="20"/>
        </w:rPr>
        <w:t>DH</w:t>
      </w:r>
      <w:r w:rsidRPr="004E66B4">
        <w:rPr>
          <w:rFonts w:ascii="Verdana" w:hAnsi="Verdana"/>
          <w:sz w:val="20"/>
          <w:szCs w:val="20"/>
        </w:rPr>
        <w:t xml:space="preserve">, </w:t>
      </w:r>
      <w:r>
        <w:rPr>
          <w:rFonts w:ascii="Verdana" w:hAnsi="Verdana"/>
          <w:sz w:val="20"/>
          <w:szCs w:val="20"/>
        </w:rPr>
        <w:t xml:space="preserve">fue abordado solo </w:t>
      </w:r>
      <w:r w:rsidRPr="004E66B4">
        <w:rPr>
          <w:rFonts w:ascii="Verdana" w:hAnsi="Verdana"/>
          <w:sz w:val="20"/>
          <w:szCs w:val="20"/>
        </w:rPr>
        <w:t xml:space="preserve">en relación </w:t>
      </w:r>
      <w:r>
        <w:rPr>
          <w:rFonts w:ascii="Verdana" w:hAnsi="Verdana"/>
          <w:sz w:val="20"/>
          <w:szCs w:val="20"/>
        </w:rPr>
        <w:t>con</w:t>
      </w:r>
      <w:r w:rsidRPr="004E66B4">
        <w:rPr>
          <w:rFonts w:ascii="Verdana" w:hAnsi="Verdana"/>
          <w:sz w:val="20"/>
          <w:szCs w:val="20"/>
        </w:rPr>
        <w:t xml:space="preserve"> la temática sindical, es decir, </w:t>
      </w:r>
      <w:r>
        <w:rPr>
          <w:rFonts w:ascii="Verdana" w:hAnsi="Verdana"/>
          <w:sz w:val="20"/>
          <w:szCs w:val="20"/>
        </w:rPr>
        <w:t>a</w:t>
      </w:r>
      <w:r w:rsidRPr="004E66B4">
        <w:rPr>
          <w:rFonts w:ascii="Verdana" w:hAnsi="Verdana"/>
          <w:sz w:val="20"/>
          <w:szCs w:val="20"/>
        </w:rPr>
        <w:t>l</w:t>
      </w:r>
      <w:r>
        <w:rPr>
          <w:rFonts w:ascii="Verdana" w:hAnsi="Verdana"/>
          <w:sz w:val="20"/>
          <w:szCs w:val="20"/>
        </w:rPr>
        <w:t xml:space="preserve"> derecho de asociación sindical.</w:t>
      </w:r>
      <w:r w:rsidRPr="004E66B4">
        <w:rPr>
          <w:rFonts w:ascii="Verdana" w:hAnsi="Verdana"/>
          <w:sz w:val="20"/>
          <w:szCs w:val="20"/>
        </w:rPr>
        <w:t xml:space="preserve"> </w:t>
      </w:r>
      <w:r>
        <w:rPr>
          <w:rFonts w:ascii="Verdana" w:hAnsi="Verdana"/>
          <w:sz w:val="20"/>
          <w:szCs w:val="20"/>
        </w:rPr>
        <w:t>A</w:t>
      </w:r>
      <w:r w:rsidRPr="004E66B4">
        <w:rPr>
          <w:rFonts w:ascii="Verdana" w:hAnsi="Verdana"/>
          <w:sz w:val="20"/>
          <w:szCs w:val="20"/>
        </w:rPr>
        <w:t>dicionalmente, también es muy importante puntualizar que pese a que el artículo 19.6 del Protocolo Adicional a la Convención Americana en materia de Derechos Económicos, Sociales y Culturales (en adelante “el Protocolo de San Salvador”) contempla el derecho de asociación sindical (artículo 8.1.a del Protocolo de San Salvador)</w:t>
      </w:r>
      <w:r>
        <w:rPr>
          <w:rFonts w:ascii="Verdana" w:hAnsi="Verdana"/>
          <w:sz w:val="20"/>
          <w:szCs w:val="20"/>
        </w:rPr>
        <w:t xml:space="preserve"> </w:t>
      </w:r>
      <w:r w:rsidRPr="004E66B4">
        <w:rPr>
          <w:rFonts w:ascii="Verdana" w:hAnsi="Verdana"/>
          <w:sz w:val="20"/>
          <w:szCs w:val="20"/>
        </w:rPr>
        <w:t xml:space="preserve">como uno de los dos derechos </w:t>
      </w:r>
      <w:r>
        <w:rPr>
          <w:rFonts w:ascii="Verdana" w:hAnsi="Verdana"/>
          <w:sz w:val="20"/>
          <w:szCs w:val="20"/>
        </w:rPr>
        <w:t xml:space="preserve">expresamente mencionados como </w:t>
      </w:r>
      <w:r w:rsidRPr="004E66B4">
        <w:rPr>
          <w:rFonts w:ascii="Verdana" w:hAnsi="Verdana"/>
          <w:sz w:val="20"/>
          <w:szCs w:val="20"/>
        </w:rPr>
        <w:t>exigibles ante los órganos del Sistema Interamericano, la jurisprudencia anterior de la Corte I</w:t>
      </w:r>
      <w:r>
        <w:rPr>
          <w:rFonts w:ascii="Verdana" w:hAnsi="Verdana"/>
          <w:sz w:val="20"/>
          <w:szCs w:val="20"/>
        </w:rPr>
        <w:t>DH</w:t>
      </w:r>
      <w:r w:rsidRPr="004E66B4">
        <w:rPr>
          <w:rFonts w:ascii="Verdana" w:hAnsi="Verdana"/>
          <w:sz w:val="20"/>
          <w:szCs w:val="20"/>
        </w:rPr>
        <w:t xml:space="preserve"> lo ha subsumido dentro del contenido del artículo 16 de la Convención Americana. </w:t>
      </w:r>
      <w:r>
        <w:rPr>
          <w:rFonts w:ascii="Verdana" w:hAnsi="Verdana"/>
          <w:sz w:val="20"/>
          <w:szCs w:val="20"/>
        </w:rPr>
        <w:t>En este sentido, resulta ilustrativo hacer mención de aquellos estándares que se han vertido en la materia de asociación sindical derivado de la expresión “laboral”, contemplada en el artículo 16 del Pacto de San José.</w:t>
      </w:r>
    </w:p>
    <w:p w14:paraId="5BC170FC" w14:textId="77777777" w:rsidR="00F83E8F" w:rsidRPr="004E66B4" w:rsidRDefault="00F83E8F" w:rsidP="00F83E8F">
      <w:pPr>
        <w:pStyle w:val="ListParagraph"/>
        <w:ind w:left="0"/>
        <w:jc w:val="both"/>
        <w:rPr>
          <w:rFonts w:ascii="Verdana" w:hAnsi="Verdana"/>
          <w:sz w:val="20"/>
          <w:szCs w:val="20"/>
        </w:rPr>
      </w:pPr>
    </w:p>
    <w:p w14:paraId="2718510F" w14:textId="77777777" w:rsidR="00F83E8F" w:rsidRPr="00786B04" w:rsidRDefault="00F83E8F" w:rsidP="00E70701">
      <w:pPr>
        <w:pStyle w:val="ListParagraph"/>
        <w:numPr>
          <w:ilvl w:val="0"/>
          <w:numId w:val="28"/>
        </w:numPr>
        <w:ind w:left="0" w:firstLine="0"/>
        <w:jc w:val="both"/>
        <w:rPr>
          <w:rFonts w:ascii="Verdana" w:hAnsi="Verdana"/>
          <w:sz w:val="20"/>
          <w:szCs w:val="20"/>
        </w:rPr>
      </w:pPr>
      <w:r w:rsidRPr="00786B04">
        <w:rPr>
          <w:rFonts w:ascii="Verdana" w:hAnsi="Verdana"/>
          <w:sz w:val="20"/>
          <w:szCs w:val="20"/>
        </w:rPr>
        <w:t>En cuanto a la función contenciosa, el tema sindical y de asociación ante la Corte IDH ha versado sobre despidos de personas integrantes d</w:t>
      </w:r>
      <w:r>
        <w:rPr>
          <w:rFonts w:ascii="Verdana" w:hAnsi="Verdana"/>
          <w:sz w:val="20"/>
          <w:szCs w:val="20"/>
        </w:rPr>
        <w:t>e sindicatos y ejecuciones de lí</w:t>
      </w:r>
      <w:r w:rsidRPr="00786B04">
        <w:rPr>
          <w:rFonts w:ascii="Verdana" w:hAnsi="Verdana"/>
          <w:sz w:val="20"/>
          <w:szCs w:val="20"/>
        </w:rPr>
        <w:t xml:space="preserve">deres sindicales. En los casos </w:t>
      </w:r>
      <w:r w:rsidRPr="00786B04">
        <w:rPr>
          <w:rFonts w:ascii="Verdana" w:hAnsi="Verdana"/>
          <w:i/>
          <w:sz w:val="20"/>
          <w:szCs w:val="20"/>
        </w:rPr>
        <w:t>Baena Ricardo Vs. Panamá</w:t>
      </w:r>
      <w:r w:rsidRPr="00786B04">
        <w:rPr>
          <w:rStyle w:val="FootnoteReference"/>
          <w:i/>
          <w:szCs w:val="20"/>
        </w:rPr>
        <w:footnoteReference w:id="320"/>
      </w:r>
      <w:r w:rsidRPr="00786B04">
        <w:rPr>
          <w:rFonts w:ascii="Verdana" w:hAnsi="Verdana"/>
          <w:sz w:val="20"/>
          <w:szCs w:val="20"/>
        </w:rPr>
        <w:t xml:space="preserve">, </w:t>
      </w:r>
      <w:proofErr w:type="spellStart"/>
      <w:r w:rsidRPr="00786B04">
        <w:rPr>
          <w:rFonts w:ascii="Verdana" w:hAnsi="Verdana"/>
          <w:i/>
          <w:sz w:val="20"/>
          <w:szCs w:val="20"/>
        </w:rPr>
        <w:t>Huilca</w:t>
      </w:r>
      <w:proofErr w:type="spellEnd"/>
      <w:r w:rsidRPr="00786B04">
        <w:rPr>
          <w:rFonts w:ascii="Verdana" w:hAnsi="Verdana"/>
          <w:i/>
          <w:sz w:val="20"/>
          <w:szCs w:val="20"/>
        </w:rPr>
        <w:t xml:space="preserve"> </w:t>
      </w:r>
      <w:proofErr w:type="spellStart"/>
      <w:r w:rsidRPr="00786B04">
        <w:rPr>
          <w:rFonts w:ascii="Verdana" w:hAnsi="Verdana"/>
          <w:i/>
          <w:sz w:val="20"/>
          <w:szCs w:val="20"/>
        </w:rPr>
        <w:t>Tecse</w:t>
      </w:r>
      <w:proofErr w:type="spellEnd"/>
      <w:r w:rsidRPr="00786B04">
        <w:rPr>
          <w:rFonts w:ascii="Verdana" w:hAnsi="Verdana"/>
          <w:i/>
          <w:sz w:val="20"/>
          <w:szCs w:val="20"/>
        </w:rPr>
        <w:t xml:space="preserve"> Vs. Perú</w:t>
      </w:r>
      <w:r w:rsidRPr="00786B04">
        <w:rPr>
          <w:rStyle w:val="FootnoteReference"/>
          <w:i/>
          <w:szCs w:val="20"/>
        </w:rPr>
        <w:footnoteReference w:id="321"/>
      </w:r>
      <w:r w:rsidRPr="00786B04">
        <w:rPr>
          <w:rFonts w:ascii="Verdana" w:hAnsi="Verdana"/>
          <w:i/>
          <w:sz w:val="20"/>
          <w:szCs w:val="20"/>
        </w:rPr>
        <w:t xml:space="preserve"> </w:t>
      </w:r>
      <w:r w:rsidRPr="00786B04">
        <w:rPr>
          <w:rFonts w:ascii="Verdana" w:hAnsi="Verdana"/>
          <w:sz w:val="20"/>
          <w:szCs w:val="20"/>
        </w:rPr>
        <w:t xml:space="preserve">y </w:t>
      </w:r>
      <w:r w:rsidRPr="00786B04">
        <w:rPr>
          <w:rFonts w:ascii="Verdana" w:hAnsi="Verdana"/>
          <w:i/>
          <w:sz w:val="20"/>
          <w:szCs w:val="20"/>
        </w:rPr>
        <w:t xml:space="preserve">Cantoral </w:t>
      </w:r>
      <w:proofErr w:type="spellStart"/>
      <w:r w:rsidRPr="00786B04">
        <w:rPr>
          <w:rFonts w:ascii="Verdana" w:hAnsi="Verdana"/>
          <w:i/>
          <w:sz w:val="20"/>
          <w:szCs w:val="20"/>
        </w:rPr>
        <w:t>Huamaní</w:t>
      </w:r>
      <w:proofErr w:type="spellEnd"/>
      <w:r w:rsidRPr="00786B04">
        <w:rPr>
          <w:rFonts w:ascii="Verdana" w:hAnsi="Verdana"/>
          <w:i/>
          <w:sz w:val="20"/>
          <w:szCs w:val="20"/>
        </w:rPr>
        <w:t xml:space="preserve"> y García Santa Cruz Vs. Perú</w:t>
      </w:r>
      <w:r w:rsidRPr="00786B04">
        <w:rPr>
          <w:rStyle w:val="FootnoteReference"/>
          <w:i/>
          <w:szCs w:val="20"/>
        </w:rPr>
        <w:footnoteReference w:id="322"/>
      </w:r>
      <w:r w:rsidRPr="00786B04">
        <w:rPr>
          <w:rFonts w:ascii="Verdana" w:hAnsi="Verdana"/>
          <w:i/>
          <w:sz w:val="20"/>
          <w:szCs w:val="20"/>
        </w:rPr>
        <w:t xml:space="preserve">, </w:t>
      </w:r>
      <w:r w:rsidRPr="00786B04">
        <w:rPr>
          <w:rFonts w:ascii="Verdana" w:hAnsi="Verdana"/>
          <w:sz w:val="20"/>
          <w:szCs w:val="20"/>
        </w:rPr>
        <w:t>el Tribunal Interamericano ha desarrollado el contenido del derecho de asociación “laboral”</w:t>
      </w:r>
      <w:r>
        <w:rPr>
          <w:rFonts w:ascii="Verdana" w:hAnsi="Verdana"/>
          <w:sz w:val="20"/>
          <w:szCs w:val="20"/>
        </w:rPr>
        <w:t xml:space="preserve"> </w:t>
      </w:r>
      <w:proofErr w:type="gramStart"/>
      <w:r>
        <w:rPr>
          <w:rFonts w:ascii="Verdana" w:hAnsi="Verdana"/>
          <w:sz w:val="20"/>
          <w:szCs w:val="20"/>
        </w:rPr>
        <w:t>consagrado en el artí</w:t>
      </w:r>
      <w:r w:rsidRPr="00786B04">
        <w:rPr>
          <w:rFonts w:ascii="Verdana" w:hAnsi="Verdana"/>
          <w:sz w:val="20"/>
          <w:szCs w:val="20"/>
        </w:rPr>
        <w:t xml:space="preserve">culo 16 de la Convención Americana, </w:t>
      </w:r>
      <w:r>
        <w:rPr>
          <w:rFonts w:ascii="Verdana" w:hAnsi="Verdana"/>
          <w:sz w:val="20"/>
          <w:szCs w:val="20"/>
        </w:rPr>
        <w:t>relativo</w:t>
      </w:r>
      <w:proofErr w:type="gramEnd"/>
      <w:r>
        <w:rPr>
          <w:rFonts w:ascii="Verdana" w:hAnsi="Verdana"/>
          <w:sz w:val="20"/>
          <w:szCs w:val="20"/>
        </w:rPr>
        <w:t xml:space="preserve"> a</w:t>
      </w:r>
      <w:r w:rsidRPr="00786B04">
        <w:rPr>
          <w:rFonts w:ascii="Verdana" w:hAnsi="Verdana"/>
          <w:sz w:val="20"/>
          <w:szCs w:val="20"/>
        </w:rPr>
        <w:t xml:space="preserve"> las violaciones </w:t>
      </w:r>
      <w:r>
        <w:rPr>
          <w:rFonts w:ascii="Verdana" w:hAnsi="Verdana"/>
          <w:sz w:val="20"/>
          <w:szCs w:val="20"/>
        </w:rPr>
        <w:t>a</w:t>
      </w:r>
      <w:r w:rsidRPr="00786B04">
        <w:rPr>
          <w:rFonts w:ascii="Verdana" w:hAnsi="Verdana"/>
          <w:sz w:val="20"/>
          <w:szCs w:val="20"/>
        </w:rPr>
        <w:t xml:space="preserve"> la asociación sindical. </w:t>
      </w:r>
    </w:p>
    <w:p w14:paraId="6AEA7A4C" w14:textId="77777777" w:rsidR="00F83E8F" w:rsidRPr="004E66B4" w:rsidRDefault="00F83E8F" w:rsidP="00F83E8F">
      <w:pPr>
        <w:pStyle w:val="ListParagraph"/>
        <w:ind w:left="0"/>
        <w:jc w:val="both"/>
        <w:rPr>
          <w:rFonts w:ascii="Verdana" w:hAnsi="Verdana"/>
          <w:sz w:val="20"/>
          <w:szCs w:val="20"/>
        </w:rPr>
      </w:pPr>
    </w:p>
    <w:p w14:paraId="4062AB3F" w14:textId="77777777" w:rsidR="00F83E8F" w:rsidRPr="004E66B4" w:rsidRDefault="00F83E8F" w:rsidP="00E70701">
      <w:pPr>
        <w:pStyle w:val="ListParagraph"/>
        <w:numPr>
          <w:ilvl w:val="0"/>
          <w:numId w:val="28"/>
        </w:numPr>
        <w:ind w:left="0" w:firstLine="0"/>
        <w:jc w:val="both"/>
        <w:rPr>
          <w:rFonts w:ascii="Verdana" w:hAnsi="Verdana"/>
          <w:sz w:val="20"/>
          <w:szCs w:val="20"/>
        </w:rPr>
      </w:pPr>
      <w:r w:rsidRPr="004E66B4">
        <w:rPr>
          <w:rFonts w:ascii="Verdana" w:hAnsi="Verdana"/>
          <w:sz w:val="20"/>
          <w:szCs w:val="20"/>
        </w:rPr>
        <w:t xml:space="preserve">En el caso </w:t>
      </w:r>
      <w:r w:rsidRPr="004E66B4">
        <w:rPr>
          <w:rFonts w:ascii="Verdana" w:hAnsi="Verdana"/>
          <w:i/>
          <w:sz w:val="20"/>
          <w:szCs w:val="20"/>
        </w:rPr>
        <w:t>Baena Ricardo</w:t>
      </w:r>
      <w:r>
        <w:rPr>
          <w:rFonts w:ascii="Verdana" w:hAnsi="Verdana"/>
          <w:i/>
          <w:sz w:val="20"/>
          <w:szCs w:val="20"/>
        </w:rPr>
        <w:t xml:space="preserve"> vs. Panamá</w:t>
      </w:r>
      <w:r w:rsidRPr="004E66B4">
        <w:rPr>
          <w:rFonts w:ascii="Verdana" w:hAnsi="Verdana"/>
          <w:sz w:val="20"/>
          <w:szCs w:val="20"/>
        </w:rPr>
        <w:t xml:space="preserve">, la Corte IDH consideró que para analizar si se había configurado una violación del derecho </w:t>
      </w:r>
      <w:r>
        <w:rPr>
          <w:rFonts w:ascii="Verdana" w:hAnsi="Verdana"/>
          <w:sz w:val="20"/>
          <w:szCs w:val="20"/>
        </w:rPr>
        <w:t xml:space="preserve">a </w:t>
      </w:r>
      <w:r w:rsidRPr="004E66B4">
        <w:rPr>
          <w:rFonts w:ascii="Verdana" w:hAnsi="Verdana"/>
          <w:sz w:val="20"/>
          <w:szCs w:val="20"/>
        </w:rPr>
        <w:t xml:space="preserve">la libertad de asociación, </w:t>
      </w:r>
      <w:r>
        <w:rPr>
          <w:rFonts w:ascii="Verdana" w:hAnsi="Verdana"/>
          <w:sz w:val="20"/>
          <w:szCs w:val="20"/>
        </w:rPr>
        <w:t>ello debía ser analizado</w:t>
      </w:r>
      <w:r w:rsidRPr="004E66B4">
        <w:rPr>
          <w:rFonts w:ascii="Verdana" w:hAnsi="Verdana"/>
          <w:sz w:val="20"/>
          <w:szCs w:val="20"/>
        </w:rPr>
        <w:t xml:space="preserve"> en relación con la libertad sindical. Así, consideró que la libertad de asociación, en materia sindical, consiste básicamente en la facultad de constituir organizaciones sindicales y poner en marcha su estructura interna, actividades y programa de acción, sin intervención de las autoridades públicas que limite</w:t>
      </w:r>
      <w:r>
        <w:rPr>
          <w:rFonts w:ascii="Verdana" w:hAnsi="Verdana"/>
          <w:sz w:val="20"/>
          <w:szCs w:val="20"/>
        </w:rPr>
        <w:t>n</w:t>
      </w:r>
      <w:r w:rsidRPr="004E66B4">
        <w:rPr>
          <w:rFonts w:ascii="Verdana" w:hAnsi="Verdana"/>
          <w:sz w:val="20"/>
          <w:szCs w:val="20"/>
        </w:rPr>
        <w:t xml:space="preserve"> o entorpezca el ejercicio del respectivo derecho. Por otra parte, esta libertad supone que cada persona pueda determinar</w:t>
      </w:r>
      <w:r>
        <w:rPr>
          <w:rFonts w:ascii="Verdana" w:hAnsi="Verdana"/>
          <w:sz w:val="20"/>
          <w:szCs w:val="20"/>
        </w:rPr>
        <w:t>,</w:t>
      </w:r>
      <w:r w:rsidRPr="004E66B4">
        <w:rPr>
          <w:rFonts w:ascii="Verdana" w:hAnsi="Verdana"/>
          <w:sz w:val="20"/>
          <w:szCs w:val="20"/>
        </w:rPr>
        <w:t xml:space="preserve"> si</w:t>
      </w:r>
      <w:r>
        <w:rPr>
          <w:rFonts w:ascii="Verdana" w:hAnsi="Verdana"/>
          <w:sz w:val="20"/>
          <w:szCs w:val="20"/>
        </w:rPr>
        <w:t>n</w:t>
      </w:r>
      <w:r w:rsidRPr="004E66B4">
        <w:rPr>
          <w:rFonts w:ascii="Verdana" w:hAnsi="Verdana"/>
          <w:sz w:val="20"/>
          <w:szCs w:val="20"/>
        </w:rPr>
        <w:t xml:space="preserve"> coacción alguna</w:t>
      </w:r>
      <w:r>
        <w:rPr>
          <w:rFonts w:ascii="Verdana" w:hAnsi="Verdana"/>
          <w:sz w:val="20"/>
          <w:szCs w:val="20"/>
        </w:rPr>
        <w:t>,</w:t>
      </w:r>
      <w:r w:rsidRPr="004E66B4">
        <w:rPr>
          <w:rFonts w:ascii="Verdana" w:hAnsi="Verdana"/>
          <w:sz w:val="20"/>
          <w:szCs w:val="20"/>
        </w:rPr>
        <w:t xml:space="preserve"> si desea o no formar parte de la asociación. Se trata, pues, del derecho fundamental de agruparse para la realización de un fin licito sin presiones o intromisiones que puedan alterar o desnaturalizar su finalidad</w:t>
      </w:r>
      <w:r w:rsidRPr="004E66B4">
        <w:rPr>
          <w:rStyle w:val="FootnoteReference"/>
          <w:szCs w:val="20"/>
        </w:rPr>
        <w:footnoteReference w:id="323"/>
      </w:r>
      <w:r w:rsidRPr="004E66B4">
        <w:rPr>
          <w:rFonts w:ascii="Verdana" w:hAnsi="Verdana"/>
          <w:sz w:val="20"/>
          <w:szCs w:val="20"/>
        </w:rPr>
        <w:t>.</w:t>
      </w:r>
    </w:p>
    <w:p w14:paraId="24507079" w14:textId="77777777" w:rsidR="00F83E8F" w:rsidRPr="004E66B4" w:rsidRDefault="00F83E8F" w:rsidP="00F83E8F">
      <w:pPr>
        <w:jc w:val="both"/>
        <w:rPr>
          <w:rFonts w:ascii="Verdana" w:hAnsi="Verdana"/>
          <w:sz w:val="20"/>
          <w:szCs w:val="20"/>
        </w:rPr>
      </w:pPr>
    </w:p>
    <w:p w14:paraId="3CF78A9A" w14:textId="77777777" w:rsidR="00F83E8F" w:rsidRPr="004E66B4" w:rsidRDefault="00F83E8F" w:rsidP="00E70701">
      <w:pPr>
        <w:pStyle w:val="ListParagraph"/>
        <w:numPr>
          <w:ilvl w:val="0"/>
          <w:numId w:val="28"/>
        </w:numPr>
        <w:ind w:left="0" w:firstLine="0"/>
        <w:jc w:val="both"/>
        <w:rPr>
          <w:rFonts w:ascii="Verdana" w:hAnsi="Verdana"/>
          <w:sz w:val="20"/>
          <w:szCs w:val="20"/>
        </w:rPr>
      </w:pPr>
      <w:r w:rsidRPr="004E66B4">
        <w:rPr>
          <w:rFonts w:ascii="Verdana" w:hAnsi="Verdana"/>
          <w:sz w:val="20"/>
          <w:szCs w:val="20"/>
        </w:rPr>
        <w:t>En este sent</w:t>
      </w:r>
      <w:r>
        <w:rPr>
          <w:rFonts w:ascii="Verdana" w:hAnsi="Verdana"/>
          <w:sz w:val="20"/>
          <w:szCs w:val="20"/>
        </w:rPr>
        <w:t>ido, el Tribunal Interamericano</w:t>
      </w:r>
      <w:r w:rsidRPr="004E66B4">
        <w:rPr>
          <w:rFonts w:ascii="Verdana" w:hAnsi="Verdana"/>
          <w:sz w:val="20"/>
          <w:szCs w:val="20"/>
        </w:rPr>
        <w:t xml:space="preserve"> consideró que la libertad de asociación, en materia sindical, reviste la mayor importancia para la defensa de los intereses legítimos de los trabajadores y se enmarca en el </w:t>
      </w:r>
      <w:r w:rsidRPr="004E66B4">
        <w:rPr>
          <w:rFonts w:ascii="Verdana" w:hAnsi="Verdana"/>
          <w:i/>
          <w:sz w:val="20"/>
          <w:szCs w:val="20"/>
        </w:rPr>
        <w:t xml:space="preserve">corpus </w:t>
      </w:r>
      <w:proofErr w:type="spellStart"/>
      <w:r w:rsidRPr="004E66B4">
        <w:rPr>
          <w:rFonts w:ascii="Verdana" w:hAnsi="Verdana"/>
          <w:i/>
          <w:sz w:val="20"/>
          <w:szCs w:val="20"/>
        </w:rPr>
        <w:t>juris</w:t>
      </w:r>
      <w:proofErr w:type="spellEnd"/>
      <w:r w:rsidRPr="004E66B4">
        <w:rPr>
          <w:rFonts w:ascii="Verdana" w:hAnsi="Verdana"/>
          <w:sz w:val="20"/>
          <w:szCs w:val="20"/>
        </w:rPr>
        <w:t xml:space="preserve"> de los derechos humanos</w:t>
      </w:r>
      <w:r w:rsidRPr="004E66B4">
        <w:rPr>
          <w:rStyle w:val="FootnoteReference"/>
          <w:szCs w:val="20"/>
        </w:rPr>
        <w:footnoteReference w:id="324"/>
      </w:r>
      <w:r w:rsidRPr="004E66B4">
        <w:rPr>
          <w:rFonts w:ascii="Verdana" w:hAnsi="Verdana"/>
          <w:sz w:val="20"/>
          <w:szCs w:val="20"/>
        </w:rPr>
        <w:t xml:space="preserve">. </w:t>
      </w:r>
      <w:r>
        <w:rPr>
          <w:rFonts w:ascii="Verdana" w:hAnsi="Verdana"/>
          <w:sz w:val="20"/>
          <w:szCs w:val="20"/>
        </w:rPr>
        <w:t>En materia laboral, l</w:t>
      </w:r>
      <w:r w:rsidRPr="004E66B4">
        <w:rPr>
          <w:rFonts w:ascii="Verdana" w:hAnsi="Verdana"/>
          <w:sz w:val="20"/>
          <w:szCs w:val="20"/>
        </w:rPr>
        <w:t>a libertad de asociación, en materia labor</w:t>
      </w:r>
      <w:r>
        <w:rPr>
          <w:rFonts w:ascii="Verdana" w:hAnsi="Verdana"/>
          <w:sz w:val="20"/>
          <w:szCs w:val="20"/>
        </w:rPr>
        <w:t>al, en los términos del artí</w:t>
      </w:r>
      <w:r w:rsidRPr="004E66B4">
        <w:rPr>
          <w:rFonts w:ascii="Verdana" w:hAnsi="Verdana"/>
          <w:sz w:val="20"/>
          <w:szCs w:val="20"/>
        </w:rPr>
        <w:t>culo 16 de la Convención Americana, comp</w:t>
      </w:r>
      <w:r>
        <w:rPr>
          <w:rFonts w:ascii="Verdana" w:hAnsi="Verdana"/>
          <w:sz w:val="20"/>
          <w:szCs w:val="20"/>
        </w:rPr>
        <w:t>rende un derecho y una libertad:</w:t>
      </w:r>
      <w:r w:rsidRPr="004E66B4">
        <w:rPr>
          <w:rFonts w:ascii="Verdana" w:hAnsi="Verdana"/>
          <w:sz w:val="20"/>
          <w:szCs w:val="20"/>
        </w:rPr>
        <w:t xml:space="preserve"> </w:t>
      </w:r>
      <w:r>
        <w:rPr>
          <w:rFonts w:ascii="Verdana" w:hAnsi="Verdana"/>
          <w:sz w:val="20"/>
          <w:szCs w:val="20"/>
        </w:rPr>
        <w:t>(i)</w:t>
      </w:r>
      <w:r w:rsidRPr="004E66B4">
        <w:rPr>
          <w:rFonts w:ascii="Verdana" w:hAnsi="Verdana"/>
          <w:sz w:val="20"/>
          <w:szCs w:val="20"/>
        </w:rPr>
        <w:t xml:space="preserve"> el derecho de formar asociaciones sin restricciones distintas a las permitidas en los incisos 2 y 3 del propio articulo 16</w:t>
      </w:r>
      <w:r w:rsidRPr="004E66B4">
        <w:rPr>
          <w:rStyle w:val="FootnoteReference"/>
          <w:szCs w:val="20"/>
        </w:rPr>
        <w:footnoteReference w:id="325"/>
      </w:r>
      <w:r>
        <w:rPr>
          <w:rFonts w:ascii="Verdana" w:hAnsi="Verdana"/>
          <w:sz w:val="20"/>
          <w:szCs w:val="20"/>
        </w:rPr>
        <w:t>;</w:t>
      </w:r>
      <w:r w:rsidRPr="004E66B4">
        <w:rPr>
          <w:rFonts w:ascii="Verdana" w:hAnsi="Verdana"/>
          <w:sz w:val="20"/>
          <w:szCs w:val="20"/>
        </w:rPr>
        <w:t xml:space="preserve"> y </w:t>
      </w:r>
      <w:r>
        <w:rPr>
          <w:rFonts w:ascii="Verdana" w:hAnsi="Verdana"/>
          <w:sz w:val="20"/>
          <w:szCs w:val="20"/>
        </w:rPr>
        <w:t xml:space="preserve">(ii) </w:t>
      </w:r>
      <w:r w:rsidRPr="004E66B4">
        <w:rPr>
          <w:rFonts w:ascii="Verdana" w:hAnsi="Verdana"/>
          <w:sz w:val="20"/>
          <w:szCs w:val="20"/>
        </w:rPr>
        <w:t>la libertad de toda persona de no ser compelida y obligada a asociarse</w:t>
      </w:r>
      <w:r w:rsidRPr="004E66B4">
        <w:rPr>
          <w:rStyle w:val="FootnoteReference"/>
          <w:szCs w:val="20"/>
        </w:rPr>
        <w:footnoteReference w:id="326"/>
      </w:r>
      <w:r w:rsidRPr="004E66B4">
        <w:rPr>
          <w:rFonts w:ascii="Verdana" w:hAnsi="Verdana"/>
          <w:sz w:val="20"/>
          <w:szCs w:val="20"/>
        </w:rPr>
        <w:t xml:space="preserve">. </w:t>
      </w:r>
    </w:p>
    <w:p w14:paraId="7F8D1C12" w14:textId="77777777" w:rsidR="00F83E8F" w:rsidRPr="004E66B4" w:rsidRDefault="00F83E8F" w:rsidP="00F83E8F">
      <w:pPr>
        <w:jc w:val="both"/>
        <w:rPr>
          <w:rFonts w:ascii="Verdana" w:hAnsi="Verdana"/>
          <w:sz w:val="20"/>
          <w:szCs w:val="20"/>
        </w:rPr>
      </w:pPr>
    </w:p>
    <w:p w14:paraId="637ACE7B" w14:textId="77777777" w:rsidR="00F83E8F" w:rsidRPr="004E66B4" w:rsidRDefault="00F83E8F" w:rsidP="00E70701">
      <w:pPr>
        <w:pStyle w:val="ListParagraph"/>
        <w:numPr>
          <w:ilvl w:val="0"/>
          <w:numId w:val="28"/>
        </w:numPr>
        <w:ind w:left="0" w:firstLine="0"/>
        <w:jc w:val="both"/>
        <w:rPr>
          <w:rFonts w:ascii="Verdana" w:hAnsi="Verdana"/>
          <w:sz w:val="20"/>
          <w:szCs w:val="20"/>
        </w:rPr>
      </w:pPr>
      <w:r w:rsidRPr="004E66B4">
        <w:rPr>
          <w:rFonts w:ascii="Verdana" w:hAnsi="Verdana"/>
          <w:sz w:val="20"/>
          <w:szCs w:val="20"/>
        </w:rPr>
        <w:t xml:space="preserve">En el caso </w:t>
      </w:r>
      <w:proofErr w:type="spellStart"/>
      <w:r w:rsidRPr="004E66B4">
        <w:rPr>
          <w:rFonts w:ascii="Verdana" w:hAnsi="Verdana"/>
          <w:i/>
          <w:sz w:val="20"/>
          <w:szCs w:val="20"/>
        </w:rPr>
        <w:t>Huilca</w:t>
      </w:r>
      <w:proofErr w:type="spellEnd"/>
      <w:r w:rsidRPr="004E66B4">
        <w:rPr>
          <w:rFonts w:ascii="Verdana" w:hAnsi="Verdana"/>
          <w:i/>
          <w:sz w:val="20"/>
          <w:szCs w:val="20"/>
        </w:rPr>
        <w:t xml:space="preserve"> </w:t>
      </w:r>
      <w:proofErr w:type="spellStart"/>
      <w:r w:rsidRPr="004E66B4">
        <w:rPr>
          <w:rFonts w:ascii="Verdana" w:hAnsi="Verdana"/>
          <w:i/>
          <w:sz w:val="20"/>
          <w:szCs w:val="20"/>
        </w:rPr>
        <w:t>Tecse</w:t>
      </w:r>
      <w:proofErr w:type="spellEnd"/>
      <w:r w:rsidRPr="004E66B4">
        <w:rPr>
          <w:rFonts w:ascii="Verdana" w:hAnsi="Verdana"/>
          <w:sz w:val="20"/>
          <w:szCs w:val="20"/>
        </w:rPr>
        <w:t>, tras el reconocimiento de res</w:t>
      </w:r>
      <w:r>
        <w:rPr>
          <w:rFonts w:ascii="Verdana" w:hAnsi="Verdana"/>
          <w:sz w:val="20"/>
          <w:szCs w:val="20"/>
        </w:rPr>
        <w:t>ponsabilidad internacional realizada</w:t>
      </w:r>
      <w:r w:rsidRPr="004E66B4">
        <w:rPr>
          <w:rFonts w:ascii="Verdana" w:hAnsi="Verdana"/>
          <w:sz w:val="20"/>
          <w:szCs w:val="20"/>
        </w:rPr>
        <w:t xml:space="preserve"> por el Estado peruano, la Corte IDH consideró que la ejecución extrajudicial del señor Pedro </w:t>
      </w:r>
      <w:proofErr w:type="spellStart"/>
      <w:r w:rsidRPr="004E66B4">
        <w:rPr>
          <w:rFonts w:ascii="Verdana" w:hAnsi="Verdana"/>
          <w:sz w:val="20"/>
          <w:szCs w:val="20"/>
        </w:rPr>
        <w:t>Huilca</w:t>
      </w:r>
      <w:proofErr w:type="spellEnd"/>
      <w:r w:rsidRPr="004E66B4">
        <w:rPr>
          <w:rFonts w:ascii="Verdana" w:hAnsi="Verdana"/>
          <w:sz w:val="20"/>
          <w:szCs w:val="20"/>
        </w:rPr>
        <w:t xml:space="preserve"> </w:t>
      </w:r>
      <w:proofErr w:type="spellStart"/>
      <w:r w:rsidRPr="004E66B4">
        <w:rPr>
          <w:rFonts w:ascii="Verdana" w:hAnsi="Verdana"/>
          <w:sz w:val="20"/>
          <w:szCs w:val="20"/>
        </w:rPr>
        <w:t>Tecse</w:t>
      </w:r>
      <w:proofErr w:type="spellEnd"/>
      <w:r w:rsidRPr="004E66B4">
        <w:rPr>
          <w:rFonts w:ascii="Verdana" w:hAnsi="Verdana"/>
          <w:sz w:val="20"/>
          <w:szCs w:val="20"/>
        </w:rPr>
        <w:t xml:space="preserve"> </w:t>
      </w:r>
      <w:r w:rsidRPr="004E66B4">
        <w:rPr>
          <w:rFonts w:ascii="Verdana" w:hAnsi="Verdana"/>
          <w:i/>
          <w:sz w:val="20"/>
          <w:szCs w:val="20"/>
          <w:u w:val="single"/>
        </w:rPr>
        <w:t>había configurado una violación del contenido del derecho a la libertad de asociación, en relación con la libertad sindical</w:t>
      </w:r>
      <w:r w:rsidRPr="00075518">
        <w:rPr>
          <w:rStyle w:val="FootnoteReference"/>
          <w:szCs w:val="20"/>
        </w:rPr>
        <w:footnoteReference w:id="327"/>
      </w:r>
      <w:r w:rsidRPr="00075518">
        <w:rPr>
          <w:rFonts w:ascii="Verdana" w:hAnsi="Verdana"/>
          <w:sz w:val="20"/>
          <w:szCs w:val="20"/>
        </w:rPr>
        <w:t>.</w:t>
      </w:r>
      <w:r w:rsidRPr="004E66B4">
        <w:rPr>
          <w:rFonts w:ascii="Verdana" w:hAnsi="Verdana"/>
          <w:i/>
          <w:sz w:val="20"/>
          <w:szCs w:val="20"/>
        </w:rPr>
        <w:t xml:space="preserve"> </w:t>
      </w:r>
      <w:r w:rsidRPr="004E66B4">
        <w:rPr>
          <w:rFonts w:ascii="Verdana" w:hAnsi="Verdana"/>
          <w:sz w:val="20"/>
          <w:szCs w:val="20"/>
        </w:rPr>
        <w:t xml:space="preserve">Además, el Tribunal Interamericano estableció que la ejecución de un líder sindical, no solo restringía la libertad de asociación de un individuo, sino también el derecho y la libertad de determinado grupo a asociarse libremente, sin miedo o </w:t>
      </w:r>
      <w:r w:rsidRPr="004E66B4">
        <w:rPr>
          <w:rFonts w:ascii="Verdana" w:hAnsi="Verdana"/>
          <w:sz w:val="20"/>
          <w:szCs w:val="20"/>
        </w:rPr>
        <w:lastRenderedPageBreak/>
        <w:t xml:space="preserve">temor, de donde resulta que el derecho protegido por el articulo 16 tiene un alcance y un carácter especial. </w:t>
      </w:r>
      <w:r w:rsidRPr="004E66B4">
        <w:rPr>
          <w:rFonts w:ascii="Verdana" w:hAnsi="Verdana"/>
          <w:i/>
          <w:sz w:val="20"/>
          <w:szCs w:val="20"/>
          <w:u w:val="single"/>
        </w:rPr>
        <w:t>Se ponen así de manifiesto las dos dimensiones de la libertad de asociación</w:t>
      </w:r>
      <w:r w:rsidRPr="004E66B4">
        <w:rPr>
          <w:rStyle w:val="FootnoteReference"/>
          <w:szCs w:val="20"/>
        </w:rPr>
        <w:footnoteReference w:id="328"/>
      </w:r>
      <w:r w:rsidRPr="00075518">
        <w:rPr>
          <w:rFonts w:ascii="Verdana" w:hAnsi="Verdana"/>
          <w:sz w:val="20"/>
          <w:szCs w:val="20"/>
        </w:rPr>
        <w:t>.</w:t>
      </w:r>
    </w:p>
    <w:p w14:paraId="79502CC1" w14:textId="77777777" w:rsidR="00F83E8F" w:rsidRPr="004E66B4" w:rsidRDefault="00F83E8F" w:rsidP="00F83E8F">
      <w:pPr>
        <w:jc w:val="both"/>
        <w:rPr>
          <w:rFonts w:ascii="Verdana" w:hAnsi="Verdana"/>
          <w:i/>
          <w:sz w:val="20"/>
          <w:szCs w:val="20"/>
          <w:u w:val="single"/>
        </w:rPr>
      </w:pPr>
    </w:p>
    <w:p w14:paraId="13D1F3C8" w14:textId="77777777" w:rsidR="00F83E8F" w:rsidRPr="004E66B4" w:rsidRDefault="00F83E8F" w:rsidP="00E70701">
      <w:pPr>
        <w:pStyle w:val="ListParagraph"/>
        <w:numPr>
          <w:ilvl w:val="0"/>
          <w:numId w:val="28"/>
        </w:numPr>
        <w:ind w:left="0" w:firstLine="0"/>
        <w:jc w:val="both"/>
        <w:rPr>
          <w:rFonts w:ascii="Verdana" w:hAnsi="Verdana"/>
          <w:i/>
          <w:sz w:val="20"/>
          <w:szCs w:val="20"/>
          <w:u w:val="single"/>
        </w:rPr>
      </w:pPr>
      <w:r w:rsidRPr="004E66B4">
        <w:rPr>
          <w:rFonts w:ascii="Verdana" w:hAnsi="Verdana"/>
          <w:sz w:val="20"/>
          <w:szCs w:val="20"/>
        </w:rPr>
        <w:t>Sobre las dos dimensiones</w:t>
      </w:r>
      <w:r>
        <w:rPr>
          <w:rFonts w:ascii="Verdana" w:hAnsi="Verdana"/>
          <w:sz w:val="20"/>
          <w:szCs w:val="20"/>
        </w:rPr>
        <w:t xml:space="preserve"> del derecho de asociación</w:t>
      </w:r>
      <w:r w:rsidRPr="004E66B4">
        <w:rPr>
          <w:rFonts w:ascii="Verdana" w:hAnsi="Verdana"/>
          <w:sz w:val="20"/>
          <w:szCs w:val="20"/>
        </w:rPr>
        <w:t xml:space="preserve">, la individual y </w:t>
      </w:r>
      <w:r>
        <w:rPr>
          <w:rFonts w:ascii="Verdana" w:hAnsi="Verdana"/>
          <w:sz w:val="20"/>
          <w:szCs w:val="20"/>
        </w:rPr>
        <w:t>la social,</w:t>
      </w:r>
      <w:r w:rsidRPr="004E66B4">
        <w:rPr>
          <w:rFonts w:ascii="Verdana" w:hAnsi="Verdana"/>
          <w:sz w:val="20"/>
          <w:szCs w:val="20"/>
        </w:rPr>
        <w:t xml:space="preserve"> la Corte IDH agregó que:</w:t>
      </w:r>
    </w:p>
    <w:p w14:paraId="7882094F" w14:textId="77777777" w:rsidR="00F83E8F" w:rsidRPr="004E66B4" w:rsidRDefault="00F83E8F" w:rsidP="00F83E8F">
      <w:pPr>
        <w:pStyle w:val="ListParagraph"/>
        <w:ind w:left="0"/>
        <w:jc w:val="both"/>
        <w:rPr>
          <w:rFonts w:ascii="Verdana" w:hAnsi="Verdana"/>
          <w:i/>
          <w:sz w:val="20"/>
          <w:szCs w:val="20"/>
          <w:u w:val="single"/>
        </w:rPr>
      </w:pPr>
    </w:p>
    <w:p w14:paraId="2FAC0ABF" w14:textId="77777777" w:rsidR="00F83E8F" w:rsidRDefault="00F83E8F" w:rsidP="00F83E8F">
      <w:pPr>
        <w:ind w:left="709" w:right="738"/>
        <w:jc w:val="both"/>
        <w:rPr>
          <w:rFonts w:ascii="Verdana" w:hAnsi="Verdana"/>
          <w:sz w:val="16"/>
          <w:szCs w:val="16"/>
        </w:rPr>
      </w:pPr>
      <w:r w:rsidRPr="004E66B4">
        <w:rPr>
          <w:rFonts w:ascii="Verdana" w:hAnsi="Verdana"/>
          <w:sz w:val="16"/>
          <w:szCs w:val="16"/>
        </w:rPr>
        <w:t xml:space="preserve">70. En su </w:t>
      </w:r>
      <w:r w:rsidRPr="004E66B4">
        <w:rPr>
          <w:rFonts w:ascii="Verdana" w:hAnsi="Verdana"/>
          <w:sz w:val="16"/>
          <w:szCs w:val="16"/>
          <w:u w:val="single"/>
        </w:rPr>
        <w:t>dimensión individual</w:t>
      </w:r>
      <w:r w:rsidRPr="004E66B4">
        <w:rPr>
          <w:rFonts w:ascii="Verdana" w:hAnsi="Verdana"/>
          <w:sz w:val="16"/>
          <w:szCs w:val="16"/>
        </w:rPr>
        <w:t>, la libertad de asociación, en materia laboral, no se agota con el reconocimiento teórico del derecho a formar sindicatos, sino que comprende además, inseparablemente, el derecho a utilizar cualquier medio apropiado para ejercer esa libertad. Cuando la Convención proclama que la libertad de asociación comprende el derecho de asociarse libremente con fines “de cualquier [...] índole”, está subrayando que la libertad para asociarse y la persecución de ciertos fines colectivos son indivisibles, de modo que una restricción de las posibilidades de asociarse representa directamente, y en la misma medida, un límite al derecho de la colectividad de alcanzar lo</w:t>
      </w:r>
      <w:r>
        <w:rPr>
          <w:rFonts w:ascii="Verdana" w:hAnsi="Verdana"/>
          <w:sz w:val="16"/>
          <w:szCs w:val="16"/>
        </w:rPr>
        <w:t>s fines que se proponga. De ahí</w:t>
      </w:r>
      <w:r w:rsidRPr="004E66B4">
        <w:rPr>
          <w:rFonts w:ascii="Verdana" w:hAnsi="Verdana"/>
          <w:sz w:val="16"/>
          <w:szCs w:val="16"/>
        </w:rPr>
        <w:t xml:space="preserve"> la importancia de la adecuación con la Convención del régimen legal aplicable a los sindicatos y de las acciones del Estado, o que ocurran con tolerancia de este, que pudieran hacer i</w:t>
      </w:r>
      <w:r>
        <w:rPr>
          <w:rFonts w:ascii="Verdana" w:hAnsi="Verdana"/>
          <w:sz w:val="16"/>
          <w:szCs w:val="16"/>
        </w:rPr>
        <w:t>noperante este derecho en la prá</w:t>
      </w:r>
      <w:r w:rsidRPr="004E66B4">
        <w:rPr>
          <w:rFonts w:ascii="Verdana" w:hAnsi="Verdana"/>
          <w:sz w:val="16"/>
          <w:szCs w:val="16"/>
        </w:rPr>
        <w:t xml:space="preserve">ctica. </w:t>
      </w:r>
    </w:p>
    <w:p w14:paraId="7624FC34" w14:textId="77777777" w:rsidR="00F83E8F" w:rsidRPr="004E66B4" w:rsidRDefault="00F83E8F" w:rsidP="00F83E8F">
      <w:pPr>
        <w:ind w:left="709" w:right="738"/>
        <w:jc w:val="both"/>
        <w:rPr>
          <w:rFonts w:ascii="Verdana" w:hAnsi="Verdana"/>
          <w:sz w:val="16"/>
          <w:szCs w:val="16"/>
        </w:rPr>
      </w:pPr>
    </w:p>
    <w:p w14:paraId="03EC4749" w14:textId="77777777" w:rsidR="00F83E8F" w:rsidRPr="004E66B4" w:rsidRDefault="00F83E8F" w:rsidP="00F83E8F">
      <w:pPr>
        <w:ind w:left="709" w:right="738"/>
        <w:jc w:val="both"/>
        <w:rPr>
          <w:rFonts w:ascii="Verdana" w:hAnsi="Verdana"/>
          <w:sz w:val="16"/>
          <w:szCs w:val="16"/>
        </w:rPr>
      </w:pPr>
      <w:r w:rsidRPr="004E66B4">
        <w:rPr>
          <w:rFonts w:ascii="Verdana" w:hAnsi="Verdana"/>
          <w:sz w:val="16"/>
          <w:szCs w:val="16"/>
        </w:rPr>
        <w:t xml:space="preserve">71. En su </w:t>
      </w:r>
      <w:r w:rsidRPr="004E66B4">
        <w:rPr>
          <w:rFonts w:ascii="Verdana" w:hAnsi="Verdana"/>
          <w:sz w:val="16"/>
          <w:szCs w:val="16"/>
          <w:u w:val="single"/>
        </w:rPr>
        <w:t>dimensión social</w:t>
      </w:r>
      <w:r w:rsidRPr="004E66B4">
        <w:rPr>
          <w:rFonts w:ascii="Verdana" w:hAnsi="Verdana"/>
          <w:sz w:val="16"/>
          <w:szCs w:val="16"/>
        </w:rPr>
        <w:t xml:space="preserve"> la libertad de asociación es un medio que permite a los integrantes de un grupo o colectividad laboral alcanzar determinados fines en conjunto y beneficiarse de los mismos. </w:t>
      </w:r>
    </w:p>
    <w:p w14:paraId="1A7780AE" w14:textId="77777777" w:rsidR="00F83E8F" w:rsidRPr="004E66B4" w:rsidRDefault="00F83E8F" w:rsidP="00F83E8F">
      <w:pPr>
        <w:pStyle w:val="ListParagraph"/>
        <w:ind w:left="709" w:right="918"/>
        <w:jc w:val="both"/>
        <w:rPr>
          <w:rFonts w:ascii="Verdana" w:hAnsi="Verdana"/>
          <w:sz w:val="16"/>
          <w:szCs w:val="16"/>
          <w:u w:val="single"/>
        </w:rPr>
      </w:pPr>
      <w:r w:rsidRPr="004E66B4">
        <w:rPr>
          <w:rFonts w:ascii="Verdana" w:hAnsi="Verdana"/>
          <w:sz w:val="16"/>
          <w:szCs w:val="16"/>
        </w:rPr>
        <w:t xml:space="preserve">72. </w:t>
      </w:r>
      <w:r w:rsidRPr="004E66B4">
        <w:rPr>
          <w:rFonts w:ascii="Verdana" w:hAnsi="Verdana"/>
          <w:sz w:val="16"/>
          <w:szCs w:val="16"/>
          <w:u w:val="single"/>
        </w:rPr>
        <w:t>Las dos dimensiones mencionadas de la libertad de asociación deben ser garantizadas simultáneamente,</w:t>
      </w:r>
      <w:r w:rsidRPr="004E66B4">
        <w:rPr>
          <w:rFonts w:ascii="Verdana" w:hAnsi="Verdana"/>
          <w:sz w:val="16"/>
          <w:szCs w:val="16"/>
        </w:rPr>
        <w:t xml:space="preserve"> sin perjuicio de las restricciones pe</w:t>
      </w:r>
      <w:r>
        <w:rPr>
          <w:rFonts w:ascii="Verdana" w:hAnsi="Verdana"/>
          <w:sz w:val="16"/>
          <w:szCs w:val="16"/>
        </w:rPr>
        <w:t>rmitidas en el inciso 2 del artí</w:t>
      </w:r>
      <w:r w:rsidRPr="004E66B4">
        <w:rPr>
          <w:rFonts w:ascii="Verdana" w:hAnsi="Verdana"/>
          <w:sz w:val="16"/>
          <w:szCs w:val="16"/>
        </w:rPr>
        <w:t>culo 16 de la Convención</w:t>
      </w:r>
      <w:r w:rsidRPr="004E66B4">
        <w:rPr>
          <w:rStyle w:val="FootnoteReference"/>
          <w:sz w:val="16"/>
          <w:szCs w:val="16"/>
        </w:rPr>
        <w:footnoteReference w:id="329"/>
      </w:r>
      <w:r w:rsidRPr="004E66B4">
        <w:rPr>
          <w:rFonts w:ascii="Verdana" w:hAnsi="Verdana"/>
          <w:sz w:val="16"/>
          <w:szCs w:val="16"/>
        </w:rPr>
        <w:t>.</w:t>
      </w:r>
    </w:p>
    <w:p w14:paraId="75905FC9" w14:textId="77777777" w:rsidR="00F83E8F" w:rsidRPr="004E66B4" w:rsidRDefault="00F83E8F" w:rsidP="00F83E8F">
      <w:pPr>
        <w:jc w:val="both"/>
        <w:rPr>
          <w:rFonts w:ascii="Verdana" w:hAnsi="Verdana"/>
          <w:sz w:val="20"/>
          <w:szCs w:val="20"/>
          <w:u w:val="single"/>
        </w:rPr>
      </w:pPr>
    </w:p>
    <w:p w14:paraId="3EB79449" w14:textId="77777777" w:rsidR="00F83E8F" w:rsidRPr="004E66B4" w:rsidRDefault="00F83E8F" w:rsidP="00E70701">
      <w:pPr>
        <w:pStyle w:val="ListParagraph"/>
        <w:numPr>
          <w:ilvl w:val="0"/>
          <w:numId w:val="28"/>
        </w:numPr>
        <w:ind w:left="0" w:firstLine="0"/>
        <w:jc w:val="both"/>
        <w:rPr>
          <w:rFonts w:ascii="Verdana" w:hAnsi="Verdana"/>
          <w:i/>
          <w:sz w:val="20"/>
          <w:szCs w:val="20"/>
        </w:rPr>
      </w:pPr>
      <w:r>
        <w:rPr>
          <w:rFonts w:ascii="Verdana" w:hAnsi="Verdana"/>
          <w:sz w:val="20"/>
          <w:szCs w:val="20"/>
        </w:rPr>
        <w:t>En ese mismo caso,</w:t>
      </w:r>
      <w:r w:rsidRPr="004E66B4">
        <w:rPr>
          <w:rFonts w:ascii="Verdana" w:hAnsi="Verdana"/>
          <w:sz w:val="20"/>
          <w:szCs w:val="20"/>
        </w:rPr>
        <w:t xml:space="preserve"> la Corte I</w:t>
      </w:r>
      <w:r>
        <w:rPr>
          <w:rFonts w:ascii="Verdana" w:hAnsi="Verdana"/>
          <w:sz w:val="20"/>
          <w:szCs w:val="20"/>
        </w:rPr>
        <w:t>DH</w:t>
      </w:r>
      <w:r w:rsidRPr="004E66B4">
        <w:rPr>
          <w:rFonts w:ascii="Verdana" w:hAnsi="Verdana"/>
          <w:sz w:val="20"/>
          <w:szCs w:val="20"/>
        </w:rPr>
        <w:t xml:space="preserve"> se refirió, por primera vez, al Protocolo de San Salvador y al Convenio No. 87 de la Organización Internacional de Trabajo, relativo a la Libertad Sindical y a la Protec</w:t>
      </w:r>
      <w:r>
        <w:rPr>
          <w:rFonts w:ascii="Verdana" w:hAnsi="Verdana"/>
          <w:sz w:val="20"/>
          <w:szCs w:val="20"/>
        </w:rPr>
        <w:t>ción del Derecho de Sindicación;</w:t>
      </w:r>
      <w:r w:rsidRPr="004E66B4">
        <w:rPr>
          <w:rFonts w:ascii="Verdana" w:hAnsi="Verdana"/>
          <w:sz w:val="20"/>
          <w:szCs w:val="20"/>
        </w:rPr>
        <w:t xml:space="preserve"> los cuales en sus artículos 8.1.a y 11, respectivamente, comprenden la obligación del Estado de permitir que los sindicatos, federaci</w:t>
      </w:r>
      <w:r>
        <w:rPr>
          <w:rFonts w:ascii="Verdana" w:hAnsi="Verdana"/>
          <w:sz w:val="20"/>
          <w:szCs w:val="20"/>
        </w:rPr>
        <w:t>ones y confederaciones funcionen</w:t>
      </w:r>
      <w:r w:rsidRPr="004E66B4">
        <w:rPr>
          <w:rFonts w:ascii="Verdana" w:hAnsi="Verdana"/>
          <w:sz w:val="20"/>
          <w:szCs w:val="20"/>
        </w:rPr>
        <w:t xml:space="preserve"> libremente</w:t>
      </w:r>
      <w:r w:rsidRPr="004E66B4">
        <w:rPr>
          <w:rStyle w:val="FootnoteReference"/>
          <w:szCs w:val="20"/>
        </w:rPr>
        <w:footnoteReference w:id="330"/>
      </w:r>
      <w:r w:rsidRPr="004E66B4">
        <w:rPr>
          <w:rFonts w:ascii="Verdana" w:hAnsi="Verdana"/>
          <w:sz w:val="20"/>
          <w:szCs w:val="20"/>
        </w:rPr>
        <w:t xml:space="preserve">. </w:t>
      </w:r>
    </w:p>
    <w:p w14:paraId="23C08E83" w14:textId="77777777" w:rsidR="00F83E8F" w:rsidRPr="004E66B4" w:rsidRDefault="00F83E8F" w:rsidP="00F83E8F">
      <w:pPr>
        <w:pStyle w:val="ListParagraph"/>
        <w:ind w:left="0"/>
        <w:jc w:val="both"/>
        <w:rPr>
          <w:rFonts w:ascii="Verdana" w:hAnsi="Verdana"/>
          <w:i/>
          <w:sz w:val="20"/>
          <w:szCs w:val="20"/>
        </w:rPr>
      </w:pPr>
    </w:p>
    <w:p w14:paraId="2D27F0D6" w14:textId="77777777" w:rsidR="00F83E8F" w:rsidRPr="004E66B4" w:rsidRDefault="00F83E8F" w:rsidP="00E70701">
      <w:pPr>
        <w:pStyle w:val="ListParagraph"/>
        <w:numPr>
          <w:ilvl w:val="0"/>
          <w:numId w:val="28"/>
        </w:numPr>
        <w:ind w:left="0" w:firstLine="0"/>
        <w:jc w:val="both"/>
        <w:rPr>
          <w:rFonts w:ascii="Verdana" w:hAnsi="Verdana"/>
          <w:i/>
          <w:sz w:val="20"/>
          <w:szCs w:val="20"/>
        </w:rPr>
      </w:pPr>
      <w:r w:rsidRPr="004E66B4">
        <w:rPr>
          <w:rFonts w:ascii="Verdana" w:hAnsi="Verdana"/>
          <w:sz w:val="20"/>
          <w:szCs w:val="20"/>
        </w:rPr>
        <w:t xml:space="preserve">En el caso </w:t>
      </w:r>
      <w:r w:rsidRPr="004E66B4">
        <w:rPr>
          <w:rFonts w:ascii="Verdana" w:hAnsi="Verdana"/>
          <w:i/>
          <w:sz w:val="20"/>
          <w:szCs w:val="20"/>
        </w:rPr>
        <w:t xml:space="preserve">Cantoral </w:t>
      </w:r>
      <w:proofErr w:type="spellStart"/>
      <w:r w:rsidRPr="004E66B4">
        <w:rPr>
          <w:rFonts w:ascii="Verdana" w:hAnsi="Verdana"/>
          <w:i/>
          <w:sz w:val="20"/>
          <w:szCs w:val="20"/>
        </w:rPr>
        <w:t>Huamaní</w:t>
      </w:r>
      <w:proofErr w:type="spellEnd"/>
      <w:r w:rsidRPr="004E66B4">
        <w:rPr>
          <w:rFonts w:ascii="Verdana" w:hAnsi="Verdana"/>
          <w:i/>
          <w:sz w:val="20"/>
          <w:szCs w:val="20"/>
        </w:rPr>
        <w:t xml:space="preserve"> y García Santa Cruz</w:t>
      </w:r>
      <w:r w:rsidRPr="004E66B4">
        <w:rPr>
          <w:rFonts w:ascii="Verdana" w:hAnsi="Verdana"/>
          <w:sz w:val="20"/>
          <w:szCs w:val="20"/>
        </w:rPr>
        <w:t xml:space="preserve">, </w:t>
      </w:r>
      <w:r>
        <w:rPr>
          <w:rFonts w:ascii="Verdana" w:hAnsi="Verdana"/>
          <w:sz w:val="20"/>
          <w:szCs w:val="20"/>
        </w:rPr>
        <w:t>el Tribunal Interamericano consideró violado el artí</w:t>
      </w:r>
      <w:r w:rsidRPr="004E66B4">
        <w:rPr>
          <w:rFonts w:ascii="Verdana" w:hAnsi="Verdana"/>
          <w:sz w:val="20"/>
          <w:szCs w:val="20"/>
        </w:rPr>
        <w:t>culo 16</w:t>
      </w:r>
      <w:r>
        <w:rPr>
          <w:rFonts w:ascii="Verdana" w:hAnsi="Verdana"/>
          <w:sz w:val="20"/>
          <w:szCs w:val="20"/>
        </w:rPr>
        <w:t xml:space="preserve"> del Pacto de San José. Ello</w:t>
      </w:r>
      <w:r w:rsidRPr="004E66B4">
        <w:rPr>
          <w:rFonts w:ascii="Verdana" w:hAnsi="Verdana"/>
          <w:sz w:val="20"/>
          <w:szCs w:val="20"/>
        </w:rPr>
        <w:t xml:space="preserve"> en virtud de que las ejecuciones de las victimas tuvieron un efecto amedrentador e intimidador en los trabajadores del movimient</w:t>
      </w:r>
      <w:r>
        <w:rPr>
          <w:rFonts w:ascii="Verdana" w:hAnsi="Verdana"/>
          <w:sz w:val="20"/>
          <w:szCs w:val="20"/>
        </w:rPr>
        <w:t>o sindical minero peruano. Esas ejecuciones no restringieron so</w:t>
      </w:r>
      <w:r w:rsidRPr="004E66B4">
        <w:rPr>
          <w:rFonts w:ascii="Verdana" w:hAnsi="Verdana"/>
          <w:sz w:val="20"/>
          <w:szCs w:val="20"/>
        </w:rPr>
        <w:t xml:space="preserve">lo la libertad de un grupo determinado para asociarse libremente sin miedo o temor, </w:t>
      </w:r>
      <w:r>
        <w:rPr>
          <w:rFonts w:ascii="Verdana" w:hAnsi="Verdana"/>
          <w:sz w:val="20"/>
          <w:szCs w:val="20"/>
        </w:rPr>
        <w:t>sino</w:t>
      </w:r>
      <w:r w:rsidRPr="004E66B4">
        <w:rPr>
          <w:rFonts w:ascii="Verdana" w:hAnsi="Verdana"/>
          <w:sz w:val="20"/>
          <w:szCs w:val="20"/>
        </w:rPr>
        <w:t xml:space="preserve"> se afectó la libertad de los trabajadores mineros para ejercer este derecho</w:t>
      </w:r>
      <w:r w:rsidRPr="004E66B4">
        <w:rPr>
          <w:rStyle w:val="FootnoteReference"/>
          <w:szCs w:val="20"/>
        </w:rPr>
        <w:footnoteReference w:id="331"/>
      </w:r>
      <w:r w:rsidRPr="004E66B4">
        <w:rPr>
          <w:rFonts w:ascii="Verdana" w:hAnsi="Verdana"/>
          <w:sz w:val="20"/>
          <w:szCs w:val="20"/>
        </w:rPr>
        <w:t>.</w:t>
      </w:r>
      <w:r w:rsidRPr="004E66B4">
        <w:rPr>
          <w:rFonts w:ascii="Verdana" w:hAnsi="Verdana"/>
          <w:b/>
          <w:sz w:val="20"/>
          <w:szCs w:val="20"/>
        </w:rPr>
        <w:t xml:space="preserve"> </w:t>
      </w:r>
      <w:r w:rsidRPr="004E66B4">
        <w:rPr>
          <w:rFonts w:ascii="Verdana" w:hAnsi="Verdana"/>
          <w:sz w:val="20"/>
          <w:szCs w:val="20"/>
        </w:rPr>
        <w:t xml:space="preserve">En este caso la Corte IDH hizo una distinción entre los dos tipos de obligaciones (negativas y positivas) que enmarca el articulo 16 al considerar que: </w:t>
      </w:r>
    </w:p>
    <w:p w14:paraId="704F12E3" w14:textId="77777777" w:rsidR="00F83E8F" w:rsidRPr="004E66B4" w:rsidRDefault="00F83E8F" w:rsidP="00F83E8F">
      <w:pPr>
        <w:jc w:val="both"/>
        <w:rPr>
          <w:rFonts w:ascii="Verdana" w:hAnsi="Verdana"/>
          <w:i/>
          <w:sz w:val="20"/>
          <w:szCs w:val="20"/>
        </w:rPr>
      </w:pPr>
    </w:p>
    <w:p w14:paraId="249483CE" w14:textId="77777777" w:rsidR="00F83E8F" w:rsidRPr="004E66B4" w:rsidRDefault="00F83E8F" w:rsidP="00F83E8F">
      <w:pPr>
        <w:pStyle w:val="NormalWeb"/>
        <w:spacing w:before="0" w:beforeAutospacing="0" w:after="0" w:afterAutospacing="0"/>
        <w:ind w:left="709" w:right="738"/>
        <w:jc w:val="both"/>
        <w:rPr>
          <w:rFonts w:ascii="Verdana" w:hAnsi="Verdana"/>
          <w:sz w:val="16"/>
          <w:szCs w:val="16"/>
          <w:lang w:val="es-ES_tradnl"/>
        </w:rPr>
      </w:pPr>
      <w:r>
        <w:rPr>
          <w:rFonts w:ascii="Verdana" w:hAnsi="Verdana"/>
          <w:sz w:val="16"/>
          <w:szCs w:val="16"/>
          <w:lang w:val="es-ES_tradnl"/>
        </w:rPr>
        <w:t>144.  El artí</w:t>
      </w:r>
      <w:r w:rsidRPr="004E66B4">
        <w:rPr>
          <w:rFonts w:ascii="Verdana" w:hAnsi="Verdana"/>
          <w:sz w:val="16"/>
          <w:szCs w:val="16"/>
          <w:lang w:val="es-ES_tradnl"/>
        </w:rPr>
        <w:t xml:space="preserve">culo 16.1 de la Convención establece que quienes están bajo la jurisdicción de los Estados Partes </w:t>
      </w:r>
      <w:r w:rsidRPr="004E66B4">
        <w:rPr>
          <w:rFonts w:ascii="Verdana" w:hAnsi="Verdana"/>
          <w:sz w:val="16"/>
          <w:szCs w:val="16"/>
          <w:u w:val="single"/>
          <w:lang w:val="es-ES_tradnl"/>
        </w:rPr>
        <w:t>tienen el derecho y la libertad de asociarse libremente con otras personas, sin intervención de las autoridades públicas que limiten o entorpezcan el ejercicio del referido derecho</w:t>
      </w:r>
      <w:r w:rsidRPr="004E66B4">
        <w:rPr>
          <w:rFonts w:ascii="Verdana" w:hAnsi="Verdana"/>
          <w:sz w:val="16"/>
          <w:szCs w:val="16"/>
          <w:lang w:val="es-ES_tradnl"/>
        </w:rPr>
        <w:t xml:space="preserve">. </w:t>
      </w:r>
      <w:r w:rsidRPr="004E66B4">
        <w:rPr>
          <w:rFonts w:ascii="Verdana" w:hAnsi="Verdana"/>
          <w:sz w:val="16"/>
          <w:szCs w:val="16"/>
          <w:u w:val="single"/>
          <w:lang w:val="es-ES_tradnl"/>
        </w:rPr>
        <w:t>Además, gozan del derecho y la libertad de reunirse con la finalidad de buscar la realización común de un fin lícito, sin presiones o intromisiones que puedan alterar o desnaturalizar dicha finalidad [Obligación negativa]. [T</w:t>
      </w:r>
      <w:proofErr w:type="gramStart"/>
      <w:r w:rsidRPr="004E66B4">
        <w:rPr>
          <w:rFonts w:ascii="Verdana" w:hAnsi="Verdana"/>
          <w:sz w:val="16"/>
          <w:szCs w:val="16"/>
          <w:u w:val="single"/>
          <w:lang w:val="es-ES_tradnl"/>
        </w:rPr>
        <w:t>]</w:t>
      </w:r>
      <w:proofErr w:type="spellStart"/>
      <w:r w:rsidRPr="004E66B4">
        <w:rPr>
          <w:rFonts w:ascii="Verdana" w:hAnsi="Verdana"/>
          <w:sz w:val="16"/>
          <w:szCs w:val="16"/>
          <w:u w:val="single"/>
          <w:lang w:val="es-ES_tradnl"/>
        </w:rPr>
        <w:t>ambie</w:t>
      </w:r>
      <w:proofErr w:type="gramEnd"/>
      <w:r w:rsidRPr="004E66B4">
        <w:rPr>
          <w:rFonts w:ascii="Verdana" w:hAnsi="Verdana"/>
          <w:sz w:val="16"/>
          <w:szCs w:val="16"/>
          <w:u w:val="single"/>
          <w:lang w:val="es-ES_tradnl"/>
        </w:rPr>
        <w:t>́n</w:t>
      </w:r>
      <w:proofErr w:type="spellEnd"/>
      <w:r w:rsidRPr="004E66B4">
        <w:rPr>
          <w:rFonts w:ascii="Verdana" w:hAnsi="Verdana"/>
          <w:sz w:val="16"/>
          <w:szCs w:val="16"/>
          <w:u w:val="single"/>
          <w:lang w:val="es-ES_tradnl"/>
        </w:rPr>
        <w:t xml:space="preserve"> se derivan obligaciones positivas de prevenir los atentados contra la misma, proteger a quienes la ejercen e investigar las violaciones de dicha libertad. Estas obligaciones positivas deben adoptarse, incluso en la esfera de relaciones entre particulares, si el caso así́ lo amerita</w:t>
      </w:r>
      <w:r w:rsidRPr="004E66B4">
        <w:rPr>
          <w:rFonts w:ascii="Verdana" w:hAnsi="Verdana"/>
          <w:sz w:val="16"/>
          <w:szCs w:val="16"/>
          <w:lang w:val="es-ES_tradnl"/>
        </w:rPr>
        <w:t>. Como lo ha determinado anteriormente, la Corte considera que el ámbito de protección del artículo 16.1 incluye el ejercicio de la libertad sindical</w:t>
      </w:r>
      <w:r w:rsidRPr="004E66B4">
        <w:rPr>
          <w:rStyle w:val="FootnoteReference"/>
          <w:rFonts w:eastAsiaTheme="majorEastAsia"/>
          <w:sz w:val="16"/>
          <w:szCs w:val="16"/>
          <w:lang w:val="es-ES_tradnl"/>
        </w:rPr>
        <w:footnoteReference w:id="332"/>
      </w:r>
      <w:r w:rsidRPr="004E66B4">
        <w:rPr>
          <w:rFonts w:ascii="Verdana" w:hAnsi="Verdana"/>
          <w:sz w:val="16"/>
          <w:szCs w:val="16"/>
          <w:lang w:val="es-ES_tradnl"/>
        </w:rPr>
        <w:t xml:space="preserve">. </w:t>
      </w:r>
    </w:p>
    <w:p w14:paraId="70913A8B" w14:textId="77777777" w:rsidR="00F83E8F" w:rsidRPr="004E66B4" w:rsidRDefault="00F83E8F" w:rsidP="00F83E8F">
      <w:pPr>
        <w:pStyle w:val="NormalWeb"/>
        <w:spacing w:before="0" w:beforeAutospacing="0" w:after="0" w:afterAutospacing="0"/>
        <w:ind w:right="567"/>
        <w:jc w:val="both"/>
        <w:rPr>
          <w:rFonts w:ascii="Verdana" w:hAnsi="Verdana"/>
          <w:sz w:val="16"/>
          <w:szCs w:val="16"/>
          <w:lang w:val="es-ES_tradnl"/>
        </w:rPr>
      </w:pPr>
    </w:p>
    <w:p w14:paraId="0E7FD5FE" w14:textId="77777777" w:rsidR="00F83E8F" w:rsidRPr="00354EF9" w:rsidRDefault="00F83E8F" w:rsidP="00E70701">
      <w:pPr>
        <w:pStyle w:val="ListParagraph"/>
        <w:widowControl w:val="0"/>
        <w:numPr>
          <w:ilvl w:val="0"/>
          <w:numId w:val="28"/>
        </w:numPr>
        <w:autoSpaceDE w:val="0"/>
        <w:autoSpaceDN w:val="0"/>
        <w:adjustRightInd w:val="0"/>
        <w:ind w:left="0" w:right="49" w:firstLine="0"/>
        <w:jc w:val="both"/>
        <w:rPr>
          <w:rFonts w:ascii="Verdana" w:hAnsi="Verdana"/>
          <w:sz w:val="20"/>
          <w:szCs w:val="20"/>
        </w:rPr>
      </w:pPr>
      <w:r>
        <w:rPr>
          <w:rFonts w:ascii="Verdana" w:hAnsi="Verdana"/>
          <w:sz w:val="20"/>
          <w:szCs w:val="20"/>
        </w:rPr>
        <w:t>Asimismo,</w:t>
      </w:r>
      <w:r w:rsidRPr="004E66B4">
        <w:rPr>
          <w:rFonts w:ascii="Verdana" w:hAnsi="Verdana"/>
          <w:sz w:val="20"/>
          <w:szCs w:val="20"/>
        </w:rPr>
        <w:t xml:space="preserve"> en la Opinión Consultiva No. 22</w:t>
      </w:r>
      <w:r>
        <w:rPr>
          <w:rFonts w:ascii="Verdana" w:hAnsi="Verdana"/>
          <w:sz w:val="20"/>
          <w:szCs w:val="20"/>
        </w:rPr>
        <w:t>,</w:t>
      </w:r>
      <w:r w:rsidRPr="004E66B4">
        <w:rPr>
          <w:rFonts w:ascii="Verdana" w:hAnsi="Verdana"/>
          <w:sz w:val="20"/>
          <w:szCs w:val="20"/>
        </w:rPr>
        <w:t xml:space="preserve"> </w:t>
      </w:r>
      <w:r>
        <w:rPr>
          <w:rFonts w:ascii="Verdana" w:hAnsi="Verdana"/>
          <w:sz w:val="20"/>
          <w:szCs w:val="20"/>
        </w:rPr>
        <w:t xml:space="preserve">sobre la </w:t>
      </w:r>
      <w:r w:rsidRPr="00357AA1">
        <w:rPr>
          <w:rFonts w:ascii="Verdana" w:hAnsi="Verdana"/>
          <w:i/>
          <w:sz w:val="20"/>
          <w:szCs w:val="20"/>
        </w:rPr>
        <w:t>titularidad de derechos de las personas jurídicas</w:t>
      </w:r>
      <w:r>
        <w:rPr>
          <w:rFonts w:ascii="Verdana" w:hAnsi="Verdana"/>
          <w:sz w:val="20"/>
          <w:szCs w:val="20"/>
        </w:rPr>
        <w:t xml:space="preserve">, </w:t>
      </w:r>
      <w:r w:rsidRPr="004E66B4">
        <w:rPr>
          <w:rFonts w:ascii="Verdana" w:hAnsi="Verdana"/>
          <w:sz w:val="20"/>
          <w:szCs w:val="20"/>
        </w:rPr>
        <w:t xml:space="preserve">el Tribunal Interamericano </w:t>
      </w:r>
      <w:r>
        <w:rPr>
          <w:rFonts w:ascii="Verdana" w:hAnsi="Verdana"/>
          <w:sz w:val="20"/>
          <w:szCs w:val="20"/>
        </w:rPr>
        <w:t>consideró que “</w:t>
      </w:r>
      <w:r w:rsidRPr="004E66B4">
        <w:rPr>
          <w:rFonts w:ascii="Verdana" w:hAnsi="Verdana"/>
          <w:sz w:val="20"/>
          <w:szCs w:val="20"/>
        </w:rPr>
        <w:t>cuando el artículo</w:t>
      </w:r>
      <w:r>
        <w:rPr>
          <w:rFonts w:ascii="Verdana" w:hAnsi="Verdana"/>
          <w:sz w:val="20"/>
          <w:szCs w:val="20"/>
        </w:rPr>
        <w:t xml:space="preserve"> 8.1.a indica </w:t>
      </w:r>
      <w:r>
        <w:rPr>
          <w:rFonts w:ascii="Verdana" w:hAnsi="Verdana"/>
          <w:sz w:val="20"/>
          <w:szCs w:val="20"/>
        </w:rPr>
        <w:lastRenderedPageBreak/>
        <w:t>que ‘</w:t>
      </w:r>
      <w:r w:rsidRPr="004E66B4">
        <w:rPr>
          <w:rFonts w:ascii="Verdana" w:hAnsi="Verdana"/>
          <w:sz w:val="20"/>
          <w:szCs w:val="20"/>
        </w:rPr>
        <w:t>como proyección del derecho de los trabajadores, el Estado permitirá́ a los sindicatos, las federaciones y las confederaciones actuar libremente</w:t>
      </w:r>
      <w:r>
        <w:rPr>
          <w:rFonts w:ascii="Verdana" w:hAnsi="Verdana"/>
          <w:sz w:val="20"/>
          <w:szCs w:val="20"/>
        </w:rPr>
        <w:t>,</w:t>
      </w:r>
      <w:r w:rsidRPr="004E66B4">
        <w:rPr>
          <w:rFonts w:ascii="Verdana" w:hAnsi="Verdana"/>
          <w:sz w:val="20"/>
          <w:szCs w:val="20"/>
        </w:rPr>
        <w:t xml:space="preserve"> así como </w:t>
      </w:r>
      <w:r w:rsidRPr="00BD5340">
        <w:rPr>
          <w:rFonts w:ascii="Verdana" w:hAnsi="Verdana"/>
          <w:sz w:val="20"/>
          <w:szCs w:val="20"/>
        </w:rPr>
        <w:t>a los sindicatos asociarse y formar federaciones y confederaciones nacionales, y organizaciones sindicales internacionales</w:t>
      </w:r>
      <w:r>
        <w:rPr>
          <w:rFonts w:ascii="Verdana" w:hAnsi="Verdana"/>
          <w:sz w:val="20"/>
          <w:szCs w:val="20"/>
        </w:rPr>
        <w:t>’</w:t>
      </w:r>
      <w:r w:rsidRPr="00BD5340">
        <w:rPr>
          <w:rFonts w:ascii="Verdana" w:hAnsi="Verdana"/>
          <w:sz w:val="20"/>
          <w:szCs w:val="20"/>
        </w:rPr>
        <w:t>, lo que la norma hace es darle un alcance al derecho de los trabajadores más amplio que el solo hecho de poder organizar sindicatos y afiliarse al de su elección</w:t>
      </w:r>
      <w:r w:rsidRPr="00C17861">
        <w:rPr>
          <w:rFonts w:ascii="Verdana" w:hAnsi="Verdana"/>
          <w:sz w:val="20"/>
          <w:szCs w:val="20"/>
        </w:rPr>
        <w:t xml:space="preserve">. </w:t>
      </w:r>
      <w:r w:rsidRPr="004E66B4">
        <w:rPr>
          <w:rFonts w:ascii="Verdana" w:hAnsi="Verdana"/>
          <w:sz w:val="20"/>
          <w:szCs w:val="20"/>
        </w:rPr>
        <w:t xml:space="preserve">Esto lo logra </w:t>
      </w:r>
      <w:r>
        <w:rPr>
          <w:rFonts w:ascii="Verdana" w:hAnsi="Verdana"/>
          <w:sz w:val="20"/>
          <w:szCs w:val="20"/>
        </w:rPr>
        <w:t xml:space="preserve">la Corte IDH </w:t>
      </w:r>
      <w:r w:rsidRPr="004E66B4">
        <w:rPr>
          <w:rFonts w:ascii="Verdana" w:hAnsi="Verdana"/>
          <w:sz w:val="20"/>
          <w:szCs w:val="20"/>
        </w:rPr>
        <w:t xml:space="preserve">especificando los medios mínimos a través de los cuales los Estados garantizaran el ejercicio de dicho derecho. En consecuencia, el derecho que la norma consagra a favor de los trabajadores constituye un marco a través del </w:t>
      </w:r>
      <w:r w:rsidRPr="00212BD6">
        <w:rPr>
          <w:rFonts w:ascii="Verdana" w:hAnsi="Verdana"/>
          <w:sz w:val="20"/>
          <w:szCs w:val="20"/>
        </w:rPr>
        <w:t xml:space="preserve">cual se generan derechos más </w:t>
      </w:r>
      <w:r w:rsidRPr="00354EF9">
        <w:rPr>
          <w:rFonts w:ascii="Verdana" w:hAnsi="Verdana"/>
          <w:sz w:val="20"/>
          <w:szCs w:val="20"/>
        </w:rPr>
        <w:t xml:space="preserve">específicos en cabeza de los sindicatos, las federaciones y confederaciones como sujetos de derechos </w:t>
      </w:r>
      <w:r w:rsidRPr="005B6191">
        <w:rPr>
          <w:rFonts w:ascii="Verdana" w:hAnsi="Verdana"/>
          <w:sz w:val="20"/>
          <w:szCs w:val="20"/>
        </w:rPr>
        <w:t xml:space="preserve">autónomos, cuya finalidad es permitirles ser interlocutores de sus asociados, facilitando a través de esta función una protección </w:t>
      </w:r>
      <w:proofErr w:type="spellStart"/>
      <w:r w:rsidRPr="005B6191">
        <w:rPr>
          <w:rFonts w:ascii="Verdana" w:hAnsi="Verdana"/>
          <w:sz w:val="20"/>
          <w:szCs w:val="20"/>
        </w:rPr>
        <w:t>más</w:t>
      </w:r>
      <w:proofErr w:type="spellEnd"/>
      <w:r w:rsidRPr="005B6191">
        <w:rPr>
          <w:rFonts w:ascii="Verdana" w:hAnsi="Verdana"/>
          <w:sz w:val="20"/>
          <w:szCs w:val="20"/>
        </w:rPr>
        <w:t xml:space="preserve"> extensa y el goce efectivo del derecho de los trabajadores”</w:t>
      </w:r>
      <w:r w:rsidRPr="00212BD6">
        <w:rPr>
          <w:rStyle w:val="FootnoteReference"/>
          <w:szCs w:val="20"/>
        </w:rPr>
        <w:footnoteReference w:id="333"/>
      </w:r>
      <w:r w:rsidRPr="00212BD6">
        <w:rPr>
          <w:rFonts w:ascii="Verdana" w:hAnsi="Verdana"/>
          <w:sz w:val="20"/>
          <w:szCs w:val="20"/>
        </w:rPr>
        <w:t xml:space="preserve">.  </w:t>
      </w:r>
    </w:p>
    <w:p w14:paraId="59412F8A" w14:textId="77777777" w:rsidR="00F83E8F" w:rsidRPr="005B6191" w:rsidRDefault="00F83E8F" w:rsidP="00F83E8F">
      <w:pPr>
        <w:pStyle w:val="ListParagraph"/>
        <w:widowControl w:val="0"/>
        <w:autoSpaceDE w:val="0"/>
        <w:autoSpaceDN w:val="0"/>
        <w:adjustRightInd w:val="0"/>
        <w:ind w:left="0" w:right="49"/>
        <w:jc w:val="both"/>
        <w:rPr>
          <w:rFonts w:ascii="Verdana" w:hAnsi="Verdana"/>
          <w:sz w:val="20"/>
          <w:szCs w:val="20"/>
        </w:rPr>
      </w:pPr>
    </w:p>
    <w:p w14:paraId="34C998CD" w14:textId="77777777" w:rsidR="00F83E8F" w:rsidRPr="00354EF9" w:rsidRDefault="00F83E8F" w:rsidP="00E70701">
      <w:pPr>
        <w:pStyle w:val="ListParagraph"/>
        <w:widowControl w:val="0"/>
        <w:numPr>
          <w:ilvl w:val="0"/>
          <w:numId w:val="28"/>
        </w:numPr>
        <w:autoSpaceDE w:val="0"/>
        <w:autoSpaceDN w:val="0"/>
        <w:adjustRightInd w:val="0"/>
        <w:ind w:left="0" w:right="49" w:firstLine="0"/>
        <w:jc w:val="both"/>
        <w:rPr>
          <w:rFonts w:ascii="Verdana" w:hAnsi="Verdana"/>
          <w:sz w:val="20"/>
          <w:szCs w:val="20"/>
        </w:rPr>
      </w:pPr>
      <w:r w:rsidRPr="008D2569">
        <w:rPr>
          <w:rFonts w:ascii="Verdana" w:hAnsi="Verdana"/>
          <w:sz w:val="20"/>
          <w:szCs w:val="20"/>
        </w:rPr>
        <w:t>En suma, el derecho de asociación sindical ha sido protegido por la vía de la conexidad, subsumiéndolo en el derecho de asociación contemplado en el artículo 16 de la Convención Americana (</w:t>
      </w:r>
      <w:proofErr w:type="spellStart"/>
      <w:r w:rsidRPr="008D2569">
        <w:rPr>
          <w:rFonts w:ascii="Verdana" w:hAnsi="Verdana"/>
          <w:sz w:val="20"/>
          <w:szCs w:val="20"/>
        </w:rPr>
        <w:t>justiciabilidad</w:t>
      </w:r>
      <w:proofErr w:type="spellEnd"/>
      <w:r w:rsidRPr="008D2569">
        <w:rPr>
          <w:rFonts w:ascii="Verdana" w:hAnsi="Verdana"/>
          <w:sz w:val="20"/>
          <w:szCs w:val="20"/>
        </w:rPr>
        <w:t xml:space="preserve"> indirecta por conexidad). No obstante, el Tribunal Interamericano, como veremos en el siguiente apartado</w:t>
      </w:r>
      <w:r w:rsidRPr="005B6191">
        <w:rPr>
          <w:rFonts w:ascii="Verdana" w:hAnsi="Verdana"/>
          <w:sz w:val="20"/>
          <w:szCs w:val="20"/>
        </w:rPr>
        <w:t xml:space="preserve">, extiende </w:t>
      </w:r>
      <w:r>
        <w:rPr>
          <w:rFonts w:ascii="Verdana" w:hAnsi="Verdana"/>
          <w:sz w:val="20"/>
          <w:szCs w:val="20"/>
        </w:rPr>
        <w:t xml:space="preserve">en el presente caso </w:t>
      </w:r>
      <w:r w:rsidRPr="005B6191">
        <w:rPr>
          <w:rFonts w:ascii="Verdana" w:hAnsi="Verdana"/>
          <w:sz w:val="20"/>
          <w:szCs w:val="20"/>
        </w:rPr>
        <w:t>la protección de asociaci</w:t>
      </w:r>
      <w:r>
        <w:rPr>
          <w:rFonts w:ascii="Verdana" w:hAnsi="Verdana"/>
          <w:sz w:val="20"/>
          <w:szCs w:val="20"/>
        </w:rPr>
        <w:t xml:space="preserve">ones a instituciones laborales </w:t>
      </w:r>
      <w:r w:rsidRPr="005B6191">
        <w:rPr>
          <w:rFonts w:ascii="Verdana" w:hAnsi="Verdana"/>
          <w:sz w:val="20"/>
          <w:szCs w:val="20"/>
        </w:rPr>
        <w:t>que no conforman sindicatos</w:t>
      </w:r>
      <w:r>
        <w:rPr>
          <w:rFonts w:ascii="Verdana" w:hAnsi="Verdana"/>
          <w:sz w:val="20"/>
          <w:szCs w:val="20"/>
        </w:rPr>
        <w:t>,</w:t>
      </w:r>
      <w:r w:rsidRPr="005B6191">
        <w:rPr>
          <w:rFonts w:ascii="Verdana" w:hAnsi="Verdana"/>
          <w:sz w:val="20"/>
          <w:szCs w:val="20"/>
        </w:rPr>
        <w:t xml:space="preserve"> y a diferencia de los casos anteriormente enunciados, </w:t>
      </w:r>
      <w:r>
        <w:rPr>
          <w:rFonts w:ascii="Verdana" w:hAnsi="Verdana"/>
          <w:sz w:val="20"/>
          <w:szCs w:val="20"/>
        </w:rPr>
        <w:t xml:space="preserve">la Corte IDH </w:t>
      </w:r>
      <w:r w:rsidRPr="005B6191">
        <w:rPr>
          <w:rFonts w:ascii="Verdana" w:hAnsi="Verdana"/>
          <w:sz w:val="20"/>
          <w:szCs w:val="20"/>
        </w:rPr>
        <w:t>aborda de manera directa el derecho</w:t>
      </w:r>
      <w:r w:rsidRPr="00212BD6">
        <w:rPr>
          <w:rFonts w:ascii="Verdana" w:hAnsi="Verdana"/>
          <w:sz w:val="20"/>
          <w:szCs w:val="20"/>
        </w:rPr>
        <w:t xml:space="preserve"> </w:t>
      </w:r>
      <w:r w:rsidRPr="00354EF9">
        <w:rPr>
          <w:rFonts w:ascii="Verdana" w:hAnsi="Verdana"/>
          <w:i/>
          <w:sz w:val="20"/>
          <w:szCs w:val="20"/>
        </w:rPr>
        <w:t>de asociación laboral</w:t>
      </w:r>
      <w:r w:rsidRPr="005B6191">
        <w:rPr>
          <w:rFonts w:ascii="Verdana" w:hAnsi="Verdana"/>
          <w:i/>
          <w:sz w:val="20"/>
          <w:szCs w:val="20"/>
        </w:rPr>
        <w:t xml:space="preserve"> desde la óptica del artículo 26 de la Convención Americana</w:t>
      </w:r>
      <w:r w:rsidRPr="00354EF9">
        <w:rPr>
          <w:rFonts w:ascii="Verdana" w:hAnsi="Verdana"/>
          <w:i/>
          <w:sz w:val="20"/>
          <w:szCs w:val="20"/>
        </w:rPr>
        <w:t xml:space="preserve">. </w:t>
      </w:r>
      <w:r w:rsidRPr="00354EF9">
        <w:rPr>
          <w:rFonts w:ascii="Verdana" w:hAnsi="Verdana"/>
          <w:sz w:val="20"/>
          <w:szCs w:val="20"/>
        </w:rPr>
        <w:t xml:space="preserve"> </w:t>
      </w:r>
    </w:p>
    <w:p w14:paraId="34F7B7E1" w14:textId="77777777" w:rsidR="00F83E8F" w:rsidRPr="0065672D" w:rsidRDefault="00F83E8F" w:rsidP="00F83E8F">
      <w:pPr>
        <w:widowControl w:val="0"/>
        <w:autoSpaceDE w:val="0"/>
        <w:autoSpaceDN w:val="0"/>
        <w:adjustRightInd w:val="0"/>
        <w:ind w:right="49"/>
        <w:jc w:val="both"/>
        <w:rPr>
          <w:rFonts w:ascii="Verdana" w:hAnsi="Verdana"/>
          <w:sz w:val="20"/>
          <w:szCs w:val="20"/>
        </w:rPr>
      </w:pPr>
    </w:p>
    <w:p w14:paraId="1E56108D" w14:textId="77777777" w:rsidR="00F83E8F" w:rsidRDefault="00F83E8F" w:rsidP="00F83E8F">
      <w:pPr>
        <w:pStyle w:val="ListParagraph"/>
        <w:widowControl w:val="0"/>
        <w:autoSpaceDE w:val="0"/>
        <w:autoSpaceDN w:val="0"/>
        <w:adjustRightInd w:val="0"/>
        <w:ind w:left="0" w:right="51"/>
        <w:jc w:val="center"/>
        <w:rPr>
          <w:rFonts w:ascii="Verdana" w:hAnsi="Verdana"/>
          <w:b/>
          <w:sz w:val="20"/>
          <w:szCs w:val="20"/>
        </w:rPr>
      </w:pPr>
      <w:r w:rsidRPr="00761869">
        <w:rPr>
          <w:rFonts w:ascii="Verdana" w:hAnsi="Verdana"/>
          <w:bCs/>
          <w:iCs/>
          <w:sz w:val="20"/>
          <w:szCs w:val="20"/>
        </w:rPr>
        <w:t>III.  EL DERECHO DE ASOCIACIÓN LABORAL PARA LA PROTECCIÓNY PROMOCIÓN DE LOS INTERESES DE LOS TRABAJADORES COMO PARTE DEL DERECHO AL TRABAJO</w:t>
      </w:r>
      <w:r>
        <w:rPr>
          <w:rFonts w:ascii="Verdana" w:hAnsi="Verdana"/>
          <w:b/>
          <w:sz w:val="20"/>
          <w:szCs w:val="20"/>
        </w:rPr>
        <w:t xml:space="preserve"> </w:t>
      </w:r>
    </w:p>
    <w:p w14:paraId="66C5B495" w14:textId="77777777" w:rsidR="00F83E8F" w:rsidRPr="00FD58B6" w:rsidRDefault="00F83E8F" w:rsidP="00F83E8F">
      <w:pPr>
        <w:pStyle w:val="ListParagraph"/>
        <w:widowControl w:val="0"/>
        <w:autoSpaceDE w:val="0"/>
        <w:autoSpaceDN w:val="0"/>
        <w:adjustRightInd w:val="0"/>
        <w:ind w:left="0" w:right="51"/>
        <w:rPr>
          <w:rFonts w:ascii="Verdana" w:hAnsi="Verdana"/>
          <w:sz w:val="20"/>
          <w:szCs w:val="20"/>
        </w:rPr>
      </w:pPr>
    </w:p>
    <w:p w14:paraId="49AD9D48" w14:textId="77777777" w:rsidR="00F83E8F" w:rsidRPr="004E66B4" w:rsidRDefault="00F83E8F" w:rsidP="00E70701">
      <w:pPr>
        <w:pStyle w:val="ListParagraph"/>
        <w:widowControl w:val="0"/>
        <w:numPr>
          <w:ilvl w:val="0"/>
          <w:numId w:val="28"/>
        </w:numPr>
        <w:autoSpaceDE w:val="0"/>
        <w:autoSpaceDN w:val="0"/>
        <w:adjustRightInd w:val="0"/>
        <w:ind w:left="0" w:right="49" w:firstLine="0"/>
        <w:jc w:val="both"/>
        <w:rPr>
          <w:rFonts w:ascii="Verdana" w:hAnsi="Verdana"/>
          <w:sz w:val="20"/>
          <w:szCs w:val="20"/>
        </w:rPr>
      </w:pPr>
      <w:r w:rsidRPr="004E66B4">
        <w:rPr>
          <w:rFonts w:ascii="Verdana" w:hAnsi="Verdana"/>
          <w:sz w:val="20"/>
          <w:szCs w:val="20"/>
        </w:rPr>
        <w:t xml:space="preserve">En la </w:t>
      </w:r>
      <w:r>
        <w:rPr>
          <w:rFonts w:ascii="Verdana" w:hAnsi="Verdana"/>
          <w:sz w:val="20"/>
          <w:szCs w:val="20"/>
        </w:rPr>
        <w:t>Sentencia, la Corte IDH concluye que existe</w:t>
      </w:r>
      <w:r w:rsidRPr="004E66B4">
        <w:rPr>
          <w:rFonts w:ascii="Verdana" w:hAnsi="Verdana"/>
          <w:sz w:val="20"/>
          <w:szCs w:val="20"/>
        </w:rPr>
        <w:t xml:space="preserve"> una violación a los artículos 16.1 y 26 </w:t>
      </w:r>
      <w:r>
        <w:rPr>
          <w:rFonts w:ascii="Verdana" w:hAnsi="Verdana"/>
          <w:sz w:val="20"/>
          <w:szCs w:val="20"/>
        </w:rPr>
        <w:t xml:space="preserve">de la Convención Americana, </w:t>
      </w:r>
      <w:r w:rsidRPr="004E66B4">
        <w:rPr>
          <w:rFonts w:ascii="Verdana" w:hAnsi="Verdana"/>
          <w:sz w:val="20"/>
          <w:szCs w:val="20"/>
        </w:rPr>
        <w:t>en relació</w:t>
      </w:r>
      <w:r>
        <w:rPr>
          <w:rFonts w:ascii="Verdana" w:hAnsi="Verdana"/>
          <w:sz w:val="20"/>
          <w:szCs w:val="20"/>
        </w:rPr>
        <w:t>n con los artículos 8, 11, y 13 del mismo instrumento,</w:t>
      </w:r>
      <w:r w:rsidRPr="004E66B4">
        <w:rPr>
          <w:rFonts w:ascii="Verdana" w:hAnsi="Verdana"/>
          <w:sz w:val="20"/>
          <w:szCs w:val="20"/>
        </w:rPr>
        <w:t xml:space="preserve"> en perjuicio del señor Lagos del Campos</w:t>
      </w:r>
      <w:r>
        <w:rPr>
          <w:rFonts w:ascii="Verdana" w:hAnsi="Verdana"/>
          <w:sz w:val="20"/>
          <w:szCs w:val="20"/>
        </w:rPr>
        <w:t>,</w:t>
      </w:r>
      <w:r w:rsidRPr="004E66B4">
        <w:rPr>
          <w:rFonts w:ascii="Verdana" w:hAnsi="Verdana"/>
          <w:sz w:val="20"/>
          <w:szCs w:val="20"/>
        </w:rPr>
        <w:t xml:space="preserve"> en los siguientes términos: </w:t>
      </w:r>
    </w:p>
    <w:p w14:paraId="2477B53D" w14:textId="77777777" w:rsidR="00F83E8F" w:rsidRPr="004E66B4" w:rsidRDefault="00F83E8F" w:rsidP="00F83E8F">
      <w:pPr>
        <w:pStyle w:val="ListParagraph"/>
        <w:widowControl w:val="0"/>
        <w:autoSpaceDE w:val="0"/>
        <w:autoSpaceDN w:val="0"/>
        <w:adjustRightInd w:val="0"/>
        <w:ind w:left="0" w:right="49"/>
        <w:jc w:val="both"/>
        <w:rPr>
          <w:rFonts w:ascii="Verdana" w:hAnsi="Verdana"/>
          <w:sz w:val="20"/>
          <w:szCs w:val="20"/>
        </w:rPr>
      </w:pPr>
    </w:p>
    <w:p w14:paraId="1F70B616" w14:textId="77777777" w:rsidR="00F83E8F" w:rsidRPr="004E66B4" w:rsidRDefault="00F83E8F" w:rsidP="00F83E8F">
      <w:pPr>
        <w:ind w:left="720" w:right="738"/>
        <w:contextualSpacing/>
        <w:jc w:val="both"/>
        <w:rPr>
          <w:rFonts w:ascii="Verdana" w:hAnsi="Verdana"/>
          <w:b/>
          <w:sz w:val="16"/>
          <w:szCs w:val="16"/>
        </w:rPr>
      </w:pPr>
      <w:r w:rsidRPr="004E66B4">
        <w:rPr>
          <w:rFonts w:ascii="Verdana" w:hAnsi="Verdana"/>
          <w:sz w:val="16"/>
          <w:szCs w:val="16"/>
        </w:rPr>
        <w:t>162. […] la Corte encuentra que el despido del señor Lagos del Campo trascendió a la violación de su derecho individual a la libertad de asociación, pues privó a los trabajadores de la Comunidad Industrial de la representación de uno de sus líderes, en especial en la elección que habría tenido lugar bajo su supervisión como Presidente del Comité Electoral […]</w:t>
      </w:r>
      <w:r w:rsidRPr="004E66B4">
        <w:rPr>
          <w:rFonts w:ascii="Verdana" w:hAnsi="Verdana"/>
          <w:i/>
          <w:sz w:val="16"/>
          <w:szCs w:val="16"/>
        </w:rPr>
        <w:t>.</w:t>
      </w:r>
      <w:r w:rsidRPr="004E66B4">
        <w:rPr>
          <w:rFonts w:ascii="Verdana" w:hAnsi="Verdana"/>
          <w:sz w:val="16"/>
          <w:szCs w:val="16"/>
        </w:rPr>
        <w:t xml:space="preserve"> De igual forma, la Corte advierte que el despido del señor Lagos del Campo, al haber sido realizado en represalia por sus labores de representación, pudo tener un efecto amedrentador e intimidante en los demás miembros de la Comunidad Industrial</w:t>
      </w:r>
      <w:r>
        <w:rPr>
          <w:rFonts w:ascii="Verdana" w:hAnsi="Verdana"/>
          <w:sz w:val="16"/>
          <w:szCs w:val="16"/>
        </w:rPr>
        <w:t xml:space="preserve"> </w:t>
      </w:r>
      <w:r w:rsidRPr="004E66B4">
        <w:rPr>
          <w:rFonts w:ascii="Verdana" w:hAnsi="Verdana"/>
          <w:sz w:val="16"/>
          <w:szCs w:val="16"/>
        </w:rPr>
        <w:t>[…]</w:t>
      </w:r>
      <w:r>
        <w:rPr>
          <w:rStyle w:val="FootnoteReference"/>
          <w:sz w:val="16"/>
          <w:szCs w:val="16"/>
        </w:rPr>
        <w:footnoteReference w:id="334"/>
      </w:r>
      <w:r w:rsidRPr="004E66B4">
        <w:rPr>
          <w:rFonts w:ascii="Verdana" w:hAnsi="Verdana"/>
          <w:sz w:val="16"/>
          <w:szCs w:val="16"/>
        </w:rPr>
        <w:t xml:space="preserve">. </w:t>
      </w:r>
    </w:p>
    <w:p w14:paraId="42062410" w14:textId="77777777" w:rsidR="00F83E8F" w:rsidRPr="004E66B4" w:rsidRDefault="00F83E8F" w:rsidP="00F83E8F">
      <w:pPr>
        <w:pStyle w:val="ListParagraph"/>
        <w:widowControl w:val="0"/>
        <w:autoSpaceDE w:val="0"/>
        <w:autoSpaceDN w:val="0"/>
        <w:adjustRightInd w:val="0"/>
        <w:ind w:left="0" w:right="49"/>
        <w:jc w:val="both"/>
        <w:rPr>
          <w:rFonts w:ascii="Verdana" w:hAnsi="Verdana"/>
          <w:sz w:val="20"/>
          <w:szCs w:val="20"/>
        </w:rPr>
      </w:pPr>
    </w:p>
    <w:p w14:paraId="00A24AE4" w14:textId="77777777" w:rsidR="00F83E8F" w:rsidRDefault="00F83E8F" w:rsidP="00E70701">
      <w:pPr>
        <w:pStyle w:val="ListParagraph"/>
        <w:widowControl w:val="0"/>
        <w:numPr>
          <w:ilvl w:val="0"/>
          <w:numId w:val="28"/>
        </w:numPr>
        <w:autoSpaceDE w:val="0"/>
        <w:autoSpaceDN w:val="0"/>
        <w:adjustRightInd w:val="0"/>
        <w:ind w:left="0" w:right="49" w:firstLine="0"/>
        <w:jc w:val="both"/>
        <w:rPr>
          <w:rFonts w:ascii="Verdana" w:hAnsi="Verdana"/>
          <w:sz w:val="20"/>
          <w:szCs w:val="20"/>
        </w:rPr>
      </w:pPr>
      <w:r w:rsidRPr="00C4526E">
        <w:rPr>
          <w:rFonts w:ascii="Verdana" w:hAnsi="Verdana"/>
          <w:sz w:val="20"/>
          <w:szCs w:val="20"/>
        </w:rPr>
        <w:t xml:space="preserve">Al respecto, si bien coincido con la Sentencia, creo importante hacer algunas precisiones en relación </w:t>
      </w:r>
      <w:r>
        <w:rPr>
          <w:rFonts w:ascii="Verdana" w:hAnsi="Verdana"/>
          <w:sz w:val="20"/>
          <w:szCs w:val="20"/>
        </w:rPr>
        <w:t>con</w:t>
      </w:r>
      <w:r w:rsidRPr="00C4526E">
        <w:rPr>
          <w:rFonts w:ascii="Verdana" w:hAnsi="Verdana"/>
          <w:sz w:val="20"/>
          <w:szCs w:val="20"/>
        </w:rPr>
        <w:t xml:space="preserve"> la afect</w:t>
      </w:r>
      <w:r>
        <w:rPr>
          <w:rFonts w:ascii="Verdana" w:hAnsi="Verdana"/>
          <w:sz w:val="20"/>
          <w:szCs w:val="20"/>
        </w:rPr>
        <w:t>ación del derecho de asociación</w:t>
      </w:r>
      <w:r w:rsidRPr="00C4526E">
        <w:rPr>
          <w:rFonts w:ascii="Verdana" w:hAnsi="Verdana"/>
          <w:sz w:val="20"/>
          <w:szCs w:val="20"/>
        </w:rPr>
        <w:t xml:space="preserve"> y su impacto en la materia laboral. </w:t>
      </w:r>
      <w:r w:rsidRPr="00360566">
        <w:rPr>
          <w:rFonts w:ascii="Verdana" w:hAnsi="Verdana"/>
          <w:sz w:val="20"/>
          <w:szCs w:val="20"/>
        </w:rPr>
        <w:t>Lo anterior, teniendo en consideración que en la Sentencia no se expresan las razones por las cuales se relaciona el artículo 26 del Pacto de San José, con el derecho de asociación en materia laboral para la protección y promoción de los intereses de la víctima, contenido expresamente en el artículo 45, inciso c) de la Carta de la OEA; y su relación con el artículo 16 de la Convención Americana</w:t>
      </w:r>
      <w:r w:rsidRPr="004E66B4">
        <w:rPr>
          <w:rStyle w:val="FootnoteReference"/>
          <w:szCs w:val="20"/>
        </w:rPr>
        <w:footnoteReference w:id="335"/>
      </w:r>
      <w:r w:rsidRPr="00360566">
        <w:rPr>
          <w:rFonts w:ascii="Verdana" w:hAnsi="Verdana"/>
          <w:sz w:val="20"/>
          <w:szCs w:val="20"/>
        </w:rPr>
        <w:t>.</w:t>
      </w:r>
      <w:r>
        <w:rPr>
          <w:rFonts w:ascii="Verdana" w:hAnsi="Verdana"/>
          <w:sz w:val="20"/>
          <w:szCs w:val="20"/>
        </w:rPr>
        <w:t xml:space="preserve"> </w:t>
      </w:r>
    </w:p>
    <w:p w14:paraId="6D1FAE78" w14:textId="77777777" w:rsidR="00F83E8F" w:rsidRPr="00C4526E" w:rsidRDefault="00F83E8F" w:rsidP="00F83E8F">
      <w:pPr>
        <w:pStyle w:val="ListParagraph"/>
        <w:widowControl w:val="0"/>
        <w:autoSpaceDE w:val="0"/>
        <w:autoSpaceDN w:val="0"/>
        <w:adjustRightInd w:val="0"/>
        <w:ind w:left="0" w:right="49"/>
        <w:jc w:val="both"/>
        <w:rPr>
          <w:rFonts w:ascii="Verdana" w:hAnsi="Verdana"/>
          <w:sz w:val="20"/>
          <w:szCs w:val="20"/>
        </w:rPr>
      </w:pPr>
    </w:p>
    <w:p w14:paraId="737520C9" w14:textId="77777777" w:rsidR="00F83E8F" w:rsidRPr="00A068F0" w:rsidRDefault="00F83E8F" w:rsidP="00E70701">
      <w:pPr>
        <w:pStyle w:val="ListParagraph"/>
        <w:widowControl w:val="0"/>
        <w:numPr>
          <w:ilvl w:val="0"/>
          <w:numId w:val="28"/>
        </w:numPr>
        <w:autoSpaceDE w:val="0"/>
        <w:autoSpaceDN w:val="0"/>
        <w:adjustRightInd w:val="0"/>
        <w:ind w:left="0" w:right="49" w:firstLine="0"/>
        <w:jc w:val="both"/>
        <w:rPr>
          <w:rFonts w:ascii="Verdana" w:hAnsi="Verdana"/>
          <w:sz w:val="20"/>
          <w:szCs w:val="20"/>
        </w:rPr>
      </w:pPr>
      <w:r w:rsidRPr="00A068F0">
        <w:rPr>
          <w:rFonts w:ascii="Verdana" w:hAnsi="Verdana"/>
          <w:sz w:val="20"/>
          <w:szCs w:val="20"/>
        </w:rPr>
        <w:lastRenderedPageBreak/>
        <w:t>En el presente caso, la Corte IDH reconoció que la temática de asociación laboral en materia sind</w:t>
      </w:r>
      <w:r>
        <w:rPr>
          <w:rFonts w:ascii="Verdana" w:hAnsi="Verdana"/>
          <w:sz w:val="20"/>
          <w:szCs w:val="20"/>
        </w:rPr>
        <w:t>ical es de especial importancia. Incluso, el</w:t>
      </w:r>
      <w:r w:rsidRPr="00A068F0">
        <w:rPr>
          <w:rFonts w:ascii="Verdana" w:hAnsi="Verdana"/>
          <w:sz w:val="20"/>
          <w:szCs w:val="20"/>
        </w:rPr>
        <w:t xml:space="preserve"> artículo 19.6 del Protocolo de San Salvador </w:t>
      </w:r>
      <w:r w:rsidRPr="00E03B31">
        <w:rPr>
          <w:rFonts w:ascii="Verdana" w:hAnsi="Verdana"/>
          <w:sz w:val="20"/>
          <w:szCs w:val="20"/>
        </w:rPr>
        <w:t xml:space="preserve">le confiere a la Corte IDH </w:t>
      </w:r>
      <w:r>
        <w:rPr>
          <w:rFonts w:ascii="Verdana" w:hAnsi="Verdana"/>
          <w:sz w:val="20"/>
          <w:szCs w:val="20"/>
        </w:rPr>
        <w:t xml:space="preserve">la </w:t>
      </w:r>
      <w:r w:rsidRPr="00E03B31">
        <w:rPr>
          <w:rFonts w:ascii="Verdana" w:hAnsi="Verdana"/>
          <w:sz w:val="20"/>
          <w:szCs w:val="20"/>
        </w:rPr>
        <w:t xml:space="preserve">competencia </w:t>
      </w:r>
      <w:r>
        <w:rPr>
          <w:rFonts w:ascii="Verdana" w:hAnsi="Verdana"/>
          <w:sz w:val="20"/>
          <w:szCs w:val="20"/>
        </w:rPr>
        <w:t xml:space="preserve">expresa </w:t>
      </w:r>
      <w:r w:rsidRPr="00A068F0">
        <w:rPr>
          <w:rFonts w:ascii="Verdana" w:hAnsi="Verdana"/>
          <w:sz w:val="20"/>
          <w:szCs w:val="20"/>
        </w:rPr>
        <w:t>para pronunciarse sobre violaciones a la obligación del Estado de permitir que los sindicatos, federaciones y confederaciones funcionen libremente</w:t>
      </w:r>
      <w:r>
        <w:rPr>
          <w:rFonts w:ascii="Verdana" w:hAnsi="Verdana"/>
          <w:sz w:val="20"/>
          <w:szCs w:val="20"/>
        </w:rPr>
        <w:t>, como se encuentra  contemplado en el artículo</w:t>
      </w:r>
      <w:r w:rsidRPr="00A068F0">
        <w:rPr>
          <w:rFonts w:ascii="Verdana" w:hAnsi="Verdana"/>
          <w:sz w:val="20"/>
          <w:szCs w:val="20"/>
        </w:rPr>
        <w:t xml:space="preserve"> 8.1</w:t>
      </w:r>
      <w:r>
        <w:rPr>
          <w:rFonts w:ascii="Verdana" w:hAnsi="Verdana"/>
          <w:sz w:val="20"/>
          <w:szCs w:val="20"/>
        </w:rPr>
        <w:t xml:space="preserve"> inciso </w:t>
      </w:r>
      <w:r w:rsidRPr="00A068F0">
        <w:rPr>
          <w:rFonts w:ascii="Verdana" w:hAnsi="Verdana"/>
          <w:sz w:val="20"/>
          <w:szCs w:val="20"/>
        </w:rPr>
        <w:t>a</w:t>
      </w:r>
      <w:r>
        <w:rPr>
          <w:rFonts w:ascii="Verdana" w:hAnsi="Verdana"/>
          <w:sz w:val="20"/>
          <w:szCs w:val="20"/>
        </w:rPr>
        <w:t>)</w:t>
      </w:r>
      <w:r w:rsidRPr="004E66B4">
        <w:rPr>
          <w:rStyle w:val="FootnoteReference"/>
          <w:szCs w:val="20"/>
        </w:rPr>
        <w:footnoteReference w:id="336"/>
      </w:r>
      <w:r w:rsidRPr="00A068F0">
        <w:rPr>
          <w:rFonts w:ascii="Verdana" w:hAnsi="Verdana"/>
          <w:sz w:val="20"/>
          <w:szCs w:val="20"/>
        </w:rPr>
        <w:t xml:space="preserve">. Además, la Corte IDH expresó una vertiente de los derechos sindicales al expresar que “la libertad de asociación en materia sindical reviste la mayor importancia </w:t>
      </w:r>
      <w:r w:rsidRPr="001B19E4">
        <w:rPr>
          <w:rFonts w:ascii="Verdana" w:hAnsi="Verdana"/>
          <w:sz w:val="20"/>
          <w:szCs w:val="20"/>
        </w:rPr>
        <w:t>para la defensa de los intereses legítimos de los</w:t>
      </w:r>
      <w:r w:rsidRPr="00A068F0">
        <w:rPr>
          <w:rFonts w:ascii="Verdana" w:hAnsi="Verdana"/>
          <w:sz w:val="20"/>
          <w:szCs w:val="20"/>
          <w:u w:val="single"/>
        </w:rPr>
        <w:t xml:space="preserve"> trabajadores</w:t>
      </w:r>
      <w:r w:rsidRPr="00A068F0">
        <w:rPr>
          <w:rFonts w:ascii="Verdana" w:hAnsi="Verdana"/>
          <w:sz w:val="20"/>
          <w:szCs w:val="20"/>
        </w:rPr>
        <w:t xml:space="preserve">, y se enmarca en el </w:t>
      </w:r>
      <w:r w:rsidRPr="00A068F0">
        <w:rPr>
          <w:rFonts w:ascii="Verdana" w:hAnsi="Verdana"/>
          <w:i/>
          <w:sz w:val="20"/>
          <w:szCs w:val="20"/>
        </w:rPr>
        <w:t xml:space="preserve">corpus </w:t>
      </w:r>
      <w:proofErr w:type="spellStart"/>
      <w:r w:rsidRPr="00A068F0">
        <w:rPr>
          <w:rFonts w:ascii="Verdana" w:hAnsi="Verdana"/>
          <w:i/>
          <w:sz w:val="20"/>
          <w:szCs w:val="20"/>
        </w:rPr>
        <w:t>juris</w:t>
      </w:r>
      <w:proofErr w:type="spellEnd"/>
      <w:r w:rsidRPr="00A068F0">
        <w:rPr>
          <w:rFonts w:ascii="Verdana" w:hAnsi="Verdana"/>
          <w:i/>
          <w:sz w:val="20"/>
          <w:szCs w:val="20"/>
        </w:rPr>
        <w:t xml:space="preserve"> </w:t>
      </w:r>
      <w:r w:rsidRPr="00A068F0">
        <w:rPr>
          <w:rFonts w:ascii="Verdana" w:hAnsi="Verdana"/>
          <w:sz w:val="20"/>
          <w:szCs w:val="20"/>
        </w:rPr>
        <w:t>de derechos humanos</w:t>
      </w:r>
      <w:r w:rsidRPr="004E66B4">
        <w:rPr>
          <w:rFonts w:ascii="Verdana" w:hAnsi="Verdana"/>
          <w:sz w:val="20"/>
          <w:szCs w:val="20"/>
          <w:vertAlign w:val="superscript"/>
        </w:rPr>
        <w:footnoteReference w:id="337"/>
      </w:r>
      <w:r w:rsidRPr="00A068F0">
        <w:rPr>
          <w:rFonts w:ascii="Verdana" w:hAnsi="Verdana"/>
          <w:sz w:val="20"/>
          <w:szCs w:val="20"/>
        </w:rPr>
        <w:t xml:space="preserve">. </w:t>
      </w:r>
      <w:r>
        <w:rPr>
          <w:rFonts w:ascii="Verdana" w:hAnsi="Verdana"/>
          <w:sz w:val="20"/>
          <w:szCs w:val="20"/>
        </w:rPr>
        <w:t xml:space="preserve">No obstante, lo cierto es que el artículo 8.1.a del Protocolo de San Salvador no contempló todos los supuestos en los cuales se podría declarar una violación cuando se afecte la asociación en materia sindical. </w:t>
      </w:r>
    </w:p>
    <w:p w14:paraId="6F77B9AD" w14:textId="77777777" w:rsidR="00F83E8F" w:rsidRPr="004E66B4" w:rsidRDefault="00F83E8F" w:rsidP="00F83E8F">
      <w:pPr>
        <w:widowControl w:val="0"/>
        <w:autoSpaceDE w:val="0"/>
        <w:autoSpaceDN w:val="0"/>
        <w:adjustRightInd w:val="0"/>
        <w:ind w:right="49"/>
        <w:jc w:val="both"/>
        <w:rPr>
          <w:rFonts w:ascii="Verdana" w:hAnsi="Verdana"/>
          <w:sz w:val="20"/>
          <w:szCs w:val="20"/>
        </w:rPr>
      </w:pPr>
    </w:p>
    <w:p w14:paraId="5F1B0906" w14:textId="77777777" w:rsidR="00F83E8F" w:rsidRDefault="00F83E8F" w:rsidP="00E70701">
      <w:pPr>
        <w:pStyle w:val="ListParagraph"/>
        <w:widowControl w:val="0"/>
        <w:numPr>
          <w:ilvl w:val="0"/>
          <w:numId w:val="28"/>
        </w:numPr>
        <w:autoSpaceDE w:val="0"/>
        <w:autoSpaceDN w:val="0"/>
        <w:adjustRightInd w:val="0"/>
        <w:ind w:left="0" w:right="49" w:firstLine="0"/>
        <w:jc w:val="both"/>
        <w:rPr>
          <w:rFonts w:ascii="Verdana" w:hAnsi="Verdana"/>
          <w:sz w:val="20"/>
          <w:szCs w:val="20"/>
        </w:rPr>
      </w:pPr>
      <w:r>
        <w:rPr>
          <w:rFonts w:ascii="Verdana" w:hAnsi="Verdana"/>
          <w:sz w:val="20"/>
          <w:szCs w:val="20"/>
        </w:rPr>
        <w:t>Por ejemplo,</w:t>
      </w:r>
      <w:r w:rsidRPr="004E66B4">
        <w:rPr>
          <w:rFonts w:ascii="Verdana" w:hAnsi="Verdana"/>
          <w:sz w:val="20"/>
          <w:szCs w:val="20"/>
        </w:rPr>
        <w:t xml:space="preserve"> en la Opinión Consultiva No. 22 sobre </w:t>
      </w:r>
      <w:r w:rsidRPr="004E66B4">
        <w:rPr>
          <w:rFonts w:ascii="Verdana" w:hAnsi="Verdana"/>
          <w:i/>
          <w:sz w:val="20"/>
          <w:szCs w:val="20"/>
        </w:rPr>
        <w:t>la titularidad de derechos de las personas jurídicas en el Sistema Interamericano</w:t>
      </w:r>
      <w:r w:rsidRPr="004E66B4">
        <w:rPr>
          <w:rFonts w:ascii="Verdana" w:hAnsi="Verdana"/>
          <w:sz w:val="20"/>
          <w:szCs w:val="20"/>
        </w:rPr>
        <w:t>, al establecer el régimen obligacional de los Estados en materia sindical</w:t>
      </w:r>
      <w:r>
        <w:rPr>
          <w:rFonts w:ascii="Verdana" w:hAnsi="Verdana"/>
          <w:sz w:val="20"/>
          <w:szCs w:val="20"/>
        </w:rPr>
        <w:t>,</w:t>
      </w:r>
      <w:r w:rsidRPr="004E66B4">
        <w:rPr>
          <w:rFonts w:ascii="Verdana" w:hAnsi="Verdana"/>
          <w:sz w:val="20"/>
          <w:szCs w:val="20"/>
        </w:rPr>
        <w:t xml:space="preserve"> el Tribunal Interamericano no delimitó ni estableció una serie de derechos </w:t>
      </w:r>
      <w:r>
        <w:rPr>
          <w:rFonts w:ascii="Verdana" w:hAnsi="Verdana"/>
          <w:sz w:val="20"/>
          <w:szCs w:val="20"/>
        </w:rPr>
        <w:t xml:space="preserve">de manera </w:t>
      </w:r>
      <w:r w:rsidRPr="004E66B4">
        <w:rPr>
          <w:rFonts w:ascii="Verdana" w:hAnsi="Verdana"/>
          <w:sz w:val="20"/>
          <w:szCs w:val="20"/>
        </w:rPr>
        <w:t>taxativa ni limitativa</w:t>
      </w:r>
      <w:r w:rsidRPr="004E66B4">
        <w:rPr>
          <w:rStyle w:val="FootnoteReference"/>
          <w:szCs w:val="20"/>
        </w:rPr>
        <w:footnoteReference w:id="338"/>
      </w:r>
      <w:r>
        <w:rPr>
          <w:rFonts w:ascii="Verdana" w:hAnsi="Verdana"/>
          <w:sz w:val="20"/>
          <w:szCs w:val="20"/>
        </w:rPr>
        <w:t>, los cuales</w:t>
      </w:r>
      <w:r w:rsidRPr="004E66B4">
        <w:rPr>
          <w:rFonts w:ascii="Verdana" w:hAnsi="Verdana"/>
          <w:sz w:val="20"/>
          <w:szCs w:val="20"/>
        </w:rPr>
        <w:t xml:space="preserve"> se contemplarían en el art</w:t>
      </w:r>
      <w:r>
        <w:rPr>
          <w:rFonts w:ascii="Verdana" w:hAnsi="Verdana"/>
          <w:sz w:val="20"/>
          <w:szCs w:val="20"/>
        </w:rPr>
        <w:t>ículo</w:t>
      </w:r>
      <w:r w:rsidRPr="004E66B4">
        <w:rPr>
          <w:rFonts w:ascii="Verdana" w:hAnsi="Verdana"/>
          <w:sz w:val="20"/>
          <w:szCs w:val="20"/>
        </w:rPr>
        <w:t xml:space="preserve"> 8.1.a</w:t>
      </w:r>
      <w:r>
        <w:rPr>
          <w:rFonts w:ascii="Verdana" w:hAnsi="Verdana"/>
          <w:sz w:val="20"/>
          <w:szCs w:val="20"/>
        </w:rPr>
        <w:t xml:space="preserve"> del Protocolo de San Salvador. Sino que, la Corte IDH</w:t>
      </w:r>
      <w:r w:rsidRPr="004E66B4">
        <w:rPr>
          <w:rFonts w:ascii="Verdana" w:hAnsi="Verdana"/>
          <w:sz w:val="20"/>
          <w:szCs w:val="20"/>
        </w:rPr>
        <w:t xml:space="preserve"> se limitó a establecer</w:t>
      </w:r>
      <w:r>
        <w:rPr>
          <w:rFonts w:ascii="Verdana" w:hAnsi="Verdana"/>
          <w:sz w:val="20"/>
          <w:szCs w:val="20"/>
        </w:rPr>
        <w:t xml:space="preserve"> y a interpretar</w:t>
      </w:r>
      <w:r w:rsidRPr="004E66B4">
        <w:rPr>
          <w:rFonts w:ascii="Verdana" w:hAnsi="Verdana"/>
          <w:sz w:val="20"/>
          <w:szCs w:val="20"/>
        </w:rPr>
        <w:t xml:space="preserve"> algunos “ejemplos” de obligaciones, </w:t>
      </w:r>
      <w:r>
        <w:rPr>
          <w:rFonts w:ascii="Verdana" w:hAnsi="Verdana"/>
          <w:sz w:val="20"/>
          <w:szCs w:val="20"/>
        </w:rPr>
        <w:t>y que de no respetarse o garantizarse tales obligaciones, se podría violar el artículo 8.1.</w:t>
      </w:r>
      <w:proofErr w:type="spellStart"/>
      <w:r>
        <w:rPr>
          <w:rFonts w:ascii="Verdana" w:hAnsi="Verdana"/>
          <w:sz w:val="20"/>
          <w:szCs w:val="20"/>
        </w:rPr>
        <w:t>a</w:t>
      </w:r>
      <w:proofErr w:type="spellEnd"/>
      <w:r>
        <w:rPr>
          <w:rFonts w:ascii="Verdana" w:hAnsi="Verdana"/>
          <w:sz w:val="20"/>
          <w:szCs w:val="20"/>
        </w:rPr>
        <w:t xml:space="preserve"> de Protocolo de San Salvador</w:t>
      </w:r>
      <w:r w:rsidRPr="004E66B4">
        <w:rPr>
          <w:rFonts w:ascii="Verdana" w:hAnsi="Verdana"/>
          <w:sz w:val="20"/>
          <w:szCs w:val="20"/>
        </w:rPr>
        <w:t xml:space="preserve">. De esta manera, la Corte IDH consideró que: </w:t>
      </w:r>
      <w:r>
        <w:rPr>
          <w:rFonts w:ascii="Verdana" w:hAnsi="Verdana"/>
          <w:sz w:val="20"/>
          <w:szCs w:val="20"/>
        </w:rPr>
        <w:t xml:space="preserve"> </w:t>
      </w:r>
    </w:p>
    <w:p w14:paraId="2B3609AA" w14:textId="77777777" w:rsidR="00F83E8F" w:rsidRPr="00FD58B6" w:rsidRDefault="00F83E8F" w:rsidP="00F83E8F">
      <w:pPr>
        <w:pStyle w:val="ListParagraph"/>
        <w:rPr>
          <w:rFonts w:ascii="Verdana" w:hAnsi="Verdana"/>
          <w:sz w:val="20"/>
          <w:szCs w:val="20"/>
        </w:rPr>
      </w:pPr>
    </w:p>
    <w:p w14:paraId="531D9A78" w14:textId="77777777" w:rsidR="00F83E8F" w:rsidRPr="004E66B4" w:rsidRDefault="00F83E8F" w:rsidP="00E70701">
      <w:pPr>
        <w:pStyle w:val="ListParagraph"/>
        <w:widowControl w:val="0"/>
        <w:numPr>
          <w:ilvl w:val="0"/>
          <w:numId w:val="28"/>
        </w:numPr>
        <w:autoSpaceDE w:val="0"/>
        <w:autoSpaceDN w:val="0"/>
        <w:adjustRightInd w:val="0"/>
        <w:ind w:left="0" w:right="49" w:firstLine="0"/>
        <w:jc w:val="both"/>
        <w:rPr>
          <w:rFonts w:ascii="Verdana" w:hAnsi="Verdana"/>
          <w:sz w:val="20"/>
          <w:szCs w:val="20"/>
        </w:rPr>
      </w:pPr>
    </w:p>
    <w:p w14:paraId="31BBD406" w14:textId="77777777" w:rsidR="00F83E8F" w:rsidRDefault="00F83E8F" w:rsidP="00F83E8F">
      <w:pPr>
        <w:tabs>
          <w:tab w:val="left" w:pos="8222"/>
        </w:tabs>
        <w:ind w:left="708" w:right="918"/>
        <w:jc w:val="both"/>
        <w:rPr>
          <w:rFonts w:ascii="Verdana" w:hAnsi="Verdana"/>
          <w:sz w:val="16"/>
          <w:szCs w:val="16"/>
        </w:rPr>
      </w:pPr>
      <w:r w:rsidRPr="004E66B4">
        <w:rPr>
          <w:rFonts w:ascii="Verdana" w:hAnsi="Verdana"/>
          <w:sz w:val="16"/>
          <w:szCs w:val="16"/>
        </w:rPr>
        <w:t xml:space="preserve">101. Adicionalmente, la Corte considera que la </w:t>
      </w:r>
      <w:proofErr w:type="spellStart"/>
      <w:r w:rsidRPr="004E66B4">
        <w:rPr>
          <w:rFonts w:ascii="Verdana" w:hAnsi="Verdana"/>
          <w:b/>
          <w:sz w:val="16"/>
          <w:szCs w:val="16"/>
        </w:rPr>
        <w:t>obligación</w:t>
      </w:r>
      <w:proofErr w:type="spellEnd"/>
      <w:r w:rsidRPr="004E66B4">
        <w:rPr>
          <w:rFonts w:ascii="Verdana" w:hAnsi="Verdana"/>
          <w:b/>
          <w:sz w:val="16"/>
          <w:szCs w:val="16"/>
        </w:rPr>
        <w:t xml:space="preserve"> general que tienen los Estados de garantizar</w:t>
      </w:r>
      <w:r w:rsidRPr="004E66B4">
        <w:rPr>
          <w:rFonts w:ascii="Verdana" w:hAnsi="Verdana"/>
          <w:sz w:val="16"/>
          <w:szCs w:val="16"/>
        </w:rPr>
        <w:t xml:space="preserve"> </w:t>
      </w:r>
      <w:r w:rsidRPr="004E66B4">
        <w:rPr>
          <w:rFonts w:ascii="Verdana" w:hAnsi="Verdana"/>
          <w:sz w:val="16"/>
          <w:szCs w:val="16"/>
          <w:u w:val="single"/>
        </w:rPr>
        <w:t xml:space="preserve">los derechos sindicales contenidos en el </w:t>
      </w:r>
      <w:proofErr w:type="spellStart"/>
      <w:r w:rsidRPr="004E66B4">
        <w:rPr>
          <w:rFonts w:ascii="Verdana" w:hAnsi="Verdana"/>
          <w:sz w:val="16"/>
          <w:szCs w:val="16"/>
          <w:u w:val="single"/>
        </w:rPr>
        <w:t>artículo</w:t>
      </w:r>
      <w:proofErr w:type="spellEnd"/>
      <w:r w:rsidRPr="004E66B4">
        <w:rPr>
          <w:rFonts w:ascii="Verdana" w:hAnsi="Verdana"/>
          <w:sz w:val="16"/>
          <w:szCs w:val="16"/>
          <w:u w:val="single"/>
        </w:rPr>
        <w:t xml:space="preserve"> 8.1.a del Protocolo se traduce en las obligaciones positivas de permitir e incentivar la </w:t>
      </w:r>
      <w:proofErr w:type="spellStart"/>
      <w:r w:rsidRPr="004E66B4">
        <w:rPr>
          <w:rFonts w:ascii="Verdana" w:hAnsi="Verdana"/>
          <w:sz w:val="16"/>
          <w:szCs w:val="16"/>
          <w:u w:val="single"/>
        </w:rPr>
        <w:t>generación</w:t>
      </w:r>
      <w:proofErr w:type="spellEnd"/>
      <w:r w:rsidRPr="004E66B4">
        <w:rPr>
          <w:rFonts w:ascii="Verdana" w:hAnsi="Verdana"/>
          <w:sz w:val="16"/>
          <w:szCs w:val="16"/>
          <w:u w:val="single"/>
        </w:rPr>
        <w:t xml:space="preserve"> de las condiciones aptas para que tales derechos se puedan llevar a cabo efectivamente</w:t>
      </w:r>
      <w:r w:rsidRPr="004E66B4">
        <w:rPr>
          <w:rFonts w:ascii="Verdana" w:hAnsi="Verdana"/>
          <w:sz w:val="16"/>
          <w:szCs w:val="16"/>
        </w:rPr>
        <w:t>. En este sentido,</w:t>
      </w:r>
      <w:r w:rsidRPr="004E66B4">
        <w:rPr>
          <w:rFonts w:ascii="Verdana" w:hAnsi="Verdana"/>
          <w:b/>
          <w:sz w:val="16"/>
          <w:szCs w:val="16"/>
        </w:rPr>
        <w:t xml:space="preserve"> la Corte acude al Convenio 87 de la OIT con el fin de mencionar ejemplos </w:t>
      </w:r>
      <w:r w:rsidRPr="004E66B4">
        <w:rPr>
          <w:rFonts w:ascii="Verdana" w:hAnsi="Verdana"/>
          <w:sz w:val="16"/>
          <w:szCs w:val="16"/>
        </w:rPr>
        <w:t xml:space="preserve">que ilustren las obligaciones positivas que surgen de la </w:t>
      </w:r>
      <w:proofErr w:type="spellStart"/>
      <w:r w:rsidRPr="004E66B4">
        <w:rPr>
          <w:rFonts w:ascii="Verdana" w:hAnsi="Verdana"/>
          <w:sz w:val="16"/>
          <w:szCs w:val="16"/>
        </w:rPr>
        <w:t>obligación</w:t>
      </w:r>
      <w:proofErr w:type="spellEnd"/>
      <w:r w:rsidRPr="004E66B4">
        <w:rPr>
          <w:rFonts w:ascii="Verdana" w:hAnsi="Verdana"/>
          <w:sz w:val="16"/>
          <w:szCs w:val="16"/>
        </w:rPr>
        <w:t xml:space="preserve"> general de garantizar los derechos reconocidos a los sindicatos, las federaciones y las confederaciones. En este sentido, la Corte nota que el </w:t>
      </w:r>
      <w:proofErr w:type="spellStart"/>
      <w:r w:rsidRPr="004E66B4">
        <w:rPr>
          <w:rFonts w:ascii="Verdana" w:hAnsi="Verdana"/>
          <w:sz w:val="16"/>
          <w:szCs w:val="16"/>
        </w:rPr>
        <w:t>artículo</w:t>
      </w:r>
      <w:proofErr w:type="spellEnd"/>
      <w:r w:rsidRPr="004E66B4">
        <w:rPr>
          <w:rFonts w:ascii="Verdana" w:hAnsi="Verdana"/>
          <w:sz w:val="16"/>
          <w:szCs w:val="16"/>
        </w:rPr>
        <w:t xml:space="preserve"> 3.1 del Convenio establece el derecho de las organizaciones de trabajadores a “r</w:t>
      </w:r>
      <w:r w:rsidRPr="004E66B4">
        <w:rPr>
          <w:rFonts w:ascii="Verdana" w:hAnsi="Verdana"/>
          <w:sz w:val="16"/>
          <w:szCs w:val="16"/>
          <w:u w:val="single"/>
        </w:rPr>
        <w:t xml:space="preserve">edactar sus estatutos y reglamentos administrativos, el de elegir a sus representantes, el de organizar su </w:t>
      </w:r>
      <w:proofErr w:type="spellStart"/>
      <w:r w:rsidRPr="004E66B4">
        <w:rPr>
          <w:rFonts w:ascii="Verdana" w:hAnsi="Verdana"/>
          <w:sz w:val="16"/>
          <w:szCs w:val="16"/>
          <w:u w:val="single"/>
        </w:rPr>
        <w:t>administración</w:t>
      </w:r>
      <w:proofErr w:type="spellEnd"/>
      <w:r w:rsidRPr="004E66B4">
        <w:rPr>
          <w:rFonts w:ascii="Verdana" w:hAnsi="Verdana"/>
          <w:sz w:val="16"/>
          <w:szCs w:val="16"/>
          <w:u w:val="single"/>
        </w:rPr>
        <w:t xml:space="preserve"> y sus actividades y el de formular su programa de </w:t>
      </w:r>
      <w:proofErr w:type="spellStart"/>
      <w:r w:rsidRPr="004E66B4">
        <w:rPr>
          <w:rFonts w:ascii="Verdana" w:hAnsi="Verdana"/>
          <w:sz w:val="16"/>
          <w:szCs w:val="16"/>
          <w:u w:val="single"/>
        </w:rPr>
        <w:t>acción</w:t>
      </w:r>
      <w:proofErr w:type="spellEnd"/>
      <w:r w:rsidRPr="004E66B4">
        <w:rPr>
          <w:rFonts w:ascii="Verdana" w:hAnsi="Verdana"/>
          <w:sz w:val="16"/>
          <w:szCs w:val="16"/>
        </w:rPr>
        <w:t xml:space="preserve">”. </w:t>
      </w:r>
    </w:p>
    <w:p w14:paraId="0DC1A946" w14:textId="77777777" w:rsidR="00F83E8F" w:rsidRPr="004E66B4" w:rsidRDefault="00F83E8F" w:rsidP="00F83E8F">
      <w:pPr>
        <w:tabs>
          <w:tab w:val="left" w:pos="8222"/>
        </w:tabs>
        <w:ind w:left="708" w:right="918"/>
        <w:jc w:val="both"/>
        <w:rPr>
          <w:rFonts w:ascii="Verdana" w:hAnsi="Verdana"/>
          <w:sz w:val="16"/>
          <w:szCs w:val="16"/>
        </w:rPr>
      </w:pPr>
    </w:p>
    <w:p w14:paraId="598793A8" w14:textId="77777777" w:rsidR="00F83E8F" w:rsidRDefault="00F83E8F" w:rsidP="00F83E8F">
      <w:pPr>
        <w:tabs>
          <w:tab w:val="left" w:pos="8222"/>
        </w:tabs>
        <w:ind w:left="708" w:right="918"/>
        <w:jc w:val="both"/>
        <w:rPr>
          <w:rFonts w:ascii="Verdana" w:hAnsi="Verdana"/>
          <w:sz w:val="20"/>
          <w:szCs w:val="20"/>
        </w:rPr>
      </w:pPr>
      <w:r w:rsidRPr="004E66B4">
        <w:rPr>
          <w:rFonts w:ascii="Verdana" w:hAnsi="Verdana"/>
          <w:sz w:val="16"/>
          <w:szCs w:val="16"/>
        </w:rPr>
        <w:t xml:space="preserve">102. En consonancia con lo anterior, </w:t>
      </w:r>
      <w:r w:rsidRPr="004E66B4">
        <w:rPr>
          <w:rFonts w:ascii="Verdana" w:hAnsi="Verdana"/>
          <w:b/>
          <w:sz w:val="16"/>
          <w:szCs w:val="16"/>
        </w:rPr>
        <w:t xml:space="preserve">la </w:t>
      </w:r>
      <w:proofErr w:type="spellStart"/>
      <w:r w:rsidRPr="004E66B4">
        <w:rPr>
          <w:rFonts w:ascii="Verdana" w:hAnsi="Verdana"/>
          <w:b/>
          <w:sz w:val="16"/>
          <w:szCs w:val="16"/>
        </w:rPr>
        <w:t>obligación</w:t>
      </w:r>
      <w:proofErr w:type="spellEnd"/>
      <w:r w:rsidRPr="004E66B4">
        <w:rPr>
          <w:rFonts w:ascii="Verdana" w:hAnsi="Verdana"/>
          <w:b/>
          <w:sz w:val="16"/>
          <w:szCs w:val="16"/>
        </w:rPr>
        <w:t xml:space="preserve"> general de los Estados de respetar</w:t>
      </w:r>
      <w:r w:rsidRPr="004E66B4">
        <w:rPr>
          <w:rFonts w:ascii="Verdana" w:hAnsi="Verdana"/>
          <w:sz w:val="16"/>
          <w:szCs w:val="16"/>
        </w:rPr>
        <w:t xml:space="preserve"> los </w:t>
      </w:r>
      <w:r w:rsidRPr="004E66B4">
        <w:rPr>
          <w:rFonts w:ascii="Verdana" w:hAnsi="Verdana"/>
          <w:sz w:val="16"/>
          <w:szCs w:val="16"/>
          <w:u w:val="single"/>
        </w:rPr>
        <w:t>derechos implica las obligaciones negativas de abstener de crear barreras tales como legales o políticas tendientes a impedir a los sindicatos, las federaciones y las confederaciones la posibilidad de gozar de un libre funcionamiento y adicionalmente a los sindicatos la posibilidad de asociarse</w:t>
      </w:r>
      <w:r w:rsidRPr="004E66B4">
        <w:rPr>
          <w:rFonts w:ascii="Verdana" w:hAnsi="Verdana"/>
          <w:sz w:val="16"/>
          <w:szCs w:val="16"/>
        </w:rPr>
        <w:t xml:space="preserve">. En este sentido, </w:t>
      </w:r>
      <w:r w:rsidRPr="004E66B4">
        <w:rPr>
          <w:rFonts w:ascii="Verdana" w:hAnsi="Verdana"/>
          <w:b/>
          <w:sz w:val="16"/>
          <w:szCs w:val="16"/>
          <w:u w:val="single"/>
        </w:rPr>
        <w:t xml:space="preserve">la Corte nota que el referido </w:t>
      </w:r>
      <w:proofErr w:type="spellStart"/>
      <w:r w:rsidRPr="004E66B4">
        <w:rPr>
          <w:rFonts w:ascii="Verdana" w:hAnsi="Verdana"/>
          <w:b/>
          <w:sz w:val="16"/>
          <w:szCs w:val="16"/>
          <w:u w:val="single"/>
        </w:rPr>
        <w:t>artículo</w:t>
      </w:r>
      <w:proofErr w:type="spellEnd"/>
      <w:r w:rsidRPr="004E66B4">
        <w:rPr>
          <w:rFonts w:ascii="Verdana" w:hAnsi="Verdana"/>
          <w:b/>
          <w:sz w:val="16"/>
          <w:szCs w:val="16"/>
          <w:u w:val="single"/>
        </w:rPr>
        <w:t xml:space="preserve"> 3.2 del Convenio N° 87</w:t>
      </w:r>
      <w:r w:rsidRPr="004E66B4">
        <w:rPr>
          <w:rFonts w:ascii="Verdana" w:hAnsi="Verdana"/>
          <w:sz w:val="16"/>
          <w:szCs w:val="16"/>
          <w:u w:val="single"/>
        </w:rPr>
        <w:t xml:space="preserve"> establece que “[l]as autoridades públicas deberán abstenerse de toda </w:t>
      </w:r>
      <w:proofErr w:type="spellStart"/>
      <w:r w:rsidRPr="004E66B4">
        <w:rPr>
          <w:rFonts w:ascii="Verdana" w:hAnsi="Verdana"/>
          <w:sz w:val="16"/>
          <w:szCs w:val="16"/>
          <w:u w:val="single"/>
        </w:rPr>
        <w:t>intervención</w:t>
      </w:r>
      <w:proofErr w:type="spellEnd"/>
      <w:r w:rsidRPr="004E66B4">
        <w:rPr>
          <w:rFonts w:ascii="Verdana" w:hAnsi="Verdana"/>
          <w:sz w:val="16"/>
          <w:szCs w:val="16"/>
          <w:u w:val="single"/>
        </w:rPr>
        <w:t xml:space="preserve"> que tienda a limitar [los derechos reconocidos en el numeral 1 del </w:t>
      </w:r>
      <w:proofErr w:type="spellStart"/>
      <w:r w:rsidRPr="004E66B4">
        <w:rPr>
          <w:rFonts w:ascii="Verdana" w:hAnsi="Verdana"/>
          <w:sz w:val="16"/>
          <w:szCs w:val="16"/>
          <w:u w:val="single"/>
        </w:rPr>
        <w:t>artículo</w:t>
      </w:r>
      <w:proofErr w:type="spellEnd"/>
      <w:r w:rsidRPr="004E66B4">
        <w:rPr>
          <w:rFonts w:ascii="Verdana" w:hAnsi="Verdana"/>
          <w:sz w:val="16"/>
          <w:szCs w:val="16"/>
          <w:u w:val="single"/>
        </w:rPr>
        <w:t>] o a entorpecer su ejercicio legal”</w:t>
      </w:r>
      <w:r w:rsidRPr="004E66B4">
        <w:rPr>
          <w:rStyle w:val="FootnoteReference"/>
          <w:sz w:val="16"/>
          <w:szCs w:val="16"/>
          <w:u w:val="single"/>
        </w:rPr>
        <w:footnoteReference w:id="339"/>
      </w:r>
      <w:r w:rsidRPr="004E66B4">
        <w:rPr>
          <w:rFonts w:ascii="Verdana" w:hAnsi="Verdana"/>
          <w:sz w:val="16"/>
          <w:szCs w:val="16"/>
          <w:u w:val="single"/>
        </w:rPr>
        <w:t>.</w:t>
      </w:r>
      <w:r w:rsidRPr="004E66B4">
        <w:rPr>
          <w:rFonts w:ascii="Verdana" w:hAnsi="Verdana"/>
          <w:sz w:val="16"/>
          <w:szCs w:val="16"/>
        </w:rPr>
        <w:t xml:space="preserve"> </w:t>
      </w:r>
      <w:r w:rsidRPr="004E66B4">
        <w:rPr>
          <w:rFonts w:ascii="Verdana" w:hAnsi="Verdana"/>
          <w:sz w:val="20"/>
          <w:szCs w:val="20"/>
        </w:rPr>
        <w:t xml:space="preserve"> </w:t>
      </w:r>
    </w:p>
    <w:p w14:paraId="41387AD5" w14:textId="77777777" w:rsidR="00F83E8F" w:rsidRPr="004E66B4" w:rsidRDefault="00F83E8F" w:rsidP="00F83E8F">
      <w:pPr>
        <w:tabs>
          <w:tab w:val="left" w:pos="8222"/>
        </w:tabs>
        <w:ind w:left="708" w:right="758"/>
        <w:jc w:val="both"/>
        <w:rPr>
          <w:rFonts w:ascii="Verdana" w:hAnsi="Verdana"/>
          <w:sz w:val="16"/>
          <w:szCs w:val="16"/>
        </w:rPr>
      </w:pPr>
    </w:p>
    <w:p w14:paraId="2ECD1F50" w14:textId="77777777" w:rsidR="00F83E8F" w:rsidRDefault="00F83E8F" w:rsidP="00E70701">
      <w:pPr>
        <w:pStyle w:val="ListParagraph"/>
        <w:widowControl w:val="0"/>
        <w:numPr>
          <w:ilvl w:val="0"/>
          <w:numId w:val="28"/>
        </w:numPr>
        <w:autoSpaceDE w:val="0"/>
        <w:autoSpaceDN w:val="0"/>
        <w:adjustRightInd w:val="0"/>
        <w:ind w:left="0" w:right="49" w:firstLine="0"/>
        <w:jc w:val="both"/>
        <w:rPr>
          <w:rFonts w:ascii="Verdana" w:hAnsi="Verdana"/>
          <w:sz w:val="20"/>
          <w:szCs w:val="20"/>
        </w:rPr>
      </w:pPr>
      <w:r w:rsidRPr="004E66B4">
        <w:rPr>
          <w:rFonts w:ascii="Verdana" w:hAnsi="Verdana"/>
          <w:sz w:val="20"/>
          <w:szCs w:val="20"/>
        </w:rPr>
        <w:t xml:space="preserve">Esta ejemplificación que se hace en relación </w:t>
      </w:r>
      <w:r>
        <w:rPr>
          <w:rFonts w:ascii="Verdana" w:hAnsi="Verdana"/>
          <w:sz w:val="20"/>
          <w:szCs w:val="20"/>
        </w:rPr>
        <w:t>con</w:t>
      </w:r>
      <w:r w:rsidRPr="004E66B4">
        <w:rPr>
          <w:rFonts w:ascii="Verdana" w:hAnsi="Verdana"/>
          <w:sz w:val="20"/>
          <w:szCs w:val="20"/>
        </w:rPr>
        <w:t xml:space="preserve"> la materia</w:t>
      </w:r>
      <w:r>
        <w:rPr>
          <w:rFonts w:ascii="Verdana" w:hAnsi="Verdana"/>
          <w:sz w:val="20"/>
          <w:szCs w:val="20"/>
        </w:rPr>
        <w:t xml:space="preserve"> sindical es de suma relevancia. </w:t>
      </w:r>
      <w:r w:rsidRPr="004E66B4">
        <w:rPr>
          <w:rFonts w:ascii="Verdana" w:hAnsi="Verdana"/>
          <w:sz w:val="20"/>
          <w:szCs w:val="20"/>
        </w:rPr>
        <w:t xml:space="preserve"> </w:t>
      </w:r>
      <w:r>
        <w:rPr>
          <w:rFonts w:ascii="Verdana" w:hAnsi="Verdana"/>
          <w:sz w:val="20"/>
          <w:szCs w:val="20"/>
        </w:rPr>
        <w:t xml:space="preserve">En efecto, </w:t>
      </w:r>
      <w:r w:rsidRPr="004E66B4">
        <w:rPr>
          <w:rFonts w:ascii="Verdana" w:hAnsi="Verdana"/>
          <w:sz w:val="20"/>
          <w:szCs w:val="20"/>
        </w:rPr>
        <w:t xml:space="preserve">implícitamente se acepta en la Sentencia del caso </w:t>
      </w:r>
      <w:r w:rsidRPr="004E66B4">
        <w:rPr>
          <w:rFonts w:ascii="Verdana" w:hAnsi="Verdana"/>
          <w:i/>
          <w:sz w:val="20"/>
          <w:szCs w:val="20"/>
        </w:rPr>
        <w:t>Lagos del Campo</w:t>
      </w:r>
      <w:r>
        <w:rPr>
          <w:rFonts w:ascii="Verdana" w:hAnsi="Verdana"/>
          <w:sz w:val="20"/>
          <w:szCs w:val="20"/>
        </w:rPr>
        <w:t xml:space="preserve"> —si bien</w:t>
      </w:r>
      <w:r w:rsidRPr="004E66B4">
        <w:rPr>
          <w:rFonts w:ascii="Verdana" w:hAnsi="Verdana"/>
          <w:sz w:val="20"/>
          <w:szCs w:val="20"/>
        </w:rPr>
        <w:t xml:space="preserve"> no relacionado con la </w:t>
      </w:r>
      <w:proofErr w:type="spellStart"/>
      <w:r w:rsidRPr="00B05C28">
        <w:rPr>
          <w:rFonts w:ascii="Verdana" w:hAnsi="Verdana"/>
          <w:sz w:val="20"/>
          <w:szCs w:val="20"/>
        </w:rPr>
        <w:t>litis</w:t>
      </w:r>
      <w:proofErr w:type="spellEnd"/>
      <w:r w:rsidRPr="004E66B4">
        <w:rPr>
          <w:rFonts w:ascii="Verdana" w:hAnsi="Verdana"/>
          <w:sz w:val="20"/>
          <w:szCs w:val="20"/>
        </w:rPr>
        <w:t xml:space="preserve"> del </w:t>
      </w:r>
      <w:r>
        <w:rPr>
          <w:rFonts w:ascii="Verdana" w:hAnsi="Verdana"/>
          <w:sz w:val="20"/>
          <w:szCs w:val="20"/>
        </w:rPr>
        <w:t>caso—</w:t>
      </w:r>
      <w:r w:rsidRPr="004E66B4">
        <w:rPr>
          <w:rFonts w:ascii="Verdana" w:hAnsi="Verdana"/>
          <w:sz w:val="20"/>
          <w:szCs w:val="20"/>
        </w:rPr>
        <w:t xml:space="preserve"> </w:t>
      </w:r>
      <w:r>
        <w:rPr>
          <w:rFonts w:ascii="Verdana" w:hAnsi="Verdana"/>
          <w:sz w:val="20"/>
          <w:szCs w:val="20"/>
        </w:rPr>
        <w:t>al remitirse a la Carta de la OEA en el artículo 45 inciso c), que aun cuando el Protocolo de San Salvador</w:t>
      </w:r>
      <w:r w:rsidRPr="004E66B4">
        <w:rPr>
          <w:rFonts w:ascii="Verdana" w:hAnsi="Verdana"/>
          <w:sz w:val="20"/>
          <w:szCs w:val="20"/>
        </w:rPr>
        <w:t xml:space="preserve"> es el principal instrumento en materia de DESCA en el S</w:t>
      </w:r>
      <w:r>
        <w:rPr>
          <w:rFonts w:ascii="Verdana" w:hAnsi="Verdana"/>
          <w:sz w:val="20"/>
          <w:szCs w:val="20"/>
        </w:rPr>
        <w:t>istema Interamericano,</w:t>
      </w:r>
      <w:r w:rsidRPr="004E66B4">
        <w:rPr>
          <w:rFonts w:ascii="Verdana" w:hAnsi="Verdana"/>
          <w:sz w:val="20"/>
          <w:szCs w:val="20"/>
        </w:rPr>
        <w:t xml:space="preserve"> </w:t>
      </w:r>
      <w:r>
        <w:rPr>
          <w:rFonts w:ascii="Verdana" w:hAnsi="Verdana"/>
          <w:sz w:val="20"/>
          <w:szCs w:val="20"/>
        </w:rPr>
        <w:t xml:space="preserve">lo cierto es que </w:t>
      </w:r>
      <w:r w:rsidRPr="004E66B4">
        <w:rPr>
          <w:rFonts w:ascii="Verdana" w:hAnsi="Verdana"/>
          <w:sz w:val="20"/>
          <w:szCs w:val="20"/>
        </w:rPr>
        <w:t xml:space="preserve">cuando fue redactado no contempló de manera exhaustiva todas las facetas y </w:t>
      </w:r>
      <w:r>
        <w:rPr>
          <w:rFonts w:ascii="Verdana" w:hAnsi="Verdana"/>
          <w:sz w:val="20"/>
          <w:szCs w:val="20"/>
        </w:rPr>
        <w:t>aristas de los derechos que en este tratado</w:t>
      </w:r>
      <w:r w:rsidRPr="004E66B4">
        <w:rPr>
          <w:rFonts w:ascii="Verdana" w:hAnsi="Verdana"/>
          <w:sz w:val="20"/>
          <w:szCs w:val="20"/>
        </w:rPr>
        <w:t xml:space="preserve"> se consagraron (</w:t>
      </w:r>
      <w:r>
        <w:rPr>
          <w:rFonts w:ascii="Verdana" w:hAnsi="Verdana"/>
          <w:sz w:val="20"/>
          <w:szCs w:val="20"/>
        </w:rPr>
        <w:t>como el derecho de los trabajadores de asociarse libremente para la defensa y promoción de sus intereses). Así,</w:t>
      </w:r>
      <w:r w:rsidRPr="004E66B4">
        <w:rPr>
          <w:rFonts w:ascii="Verdana" w:hAnsi="Verdana"/>
          <w:sz w:val="20"/>
          <w:szCs w:val="20"/>
        </w:rPr>
        <w:t xml:space="preserve">  es el propio Tribunal Interamericano el que mediante una interpretación evolutiva</w:t>
      </w:r>
      <w:r w:rsidRPr="004E66B4">
        <w:rPr>
          <w:rStyle w:val="FootnoteReference"/>
          <w:szCs w:val="20"/>
        </w:rPr>
        <w:footnoteReference w:id="340"/>
      </w:r>
      <w:r w:rsidRPr="004E66B4">
        <w:rPr>
          <w:rFonts w:ascii="Verdana" w:hAnsi="Verdana"/>
          <w:sz w:val="20"/>
          <w:szCs w:val="20"/>
        </w:rPr>
        <w:t xml:space="preserve">, se ha encargado de determinar el extremo de los derechos y su aplicación a los casos concretos, ya sean </w:t>
      </w:r>
      <w:r>
        <w:rPr>
          <w:rFonts w:ascii="Verdana" w:hAnsi="Verdana"/>
          <w:sz w:val="20"/>
          <w:szCs w:val="20"/>
        </w:rPr>
        <w:t xml:space="preserve">derechos </w:t>
      </w:r>
      <w:r w:rsidRPr="004E66B4">
        <w:rPr>
          <w:rFonts w:ascii="Verdana" w:hAnsi="Verdana"/>
          <w:sz w:val="20"/>
          <w:szCs w:val="20"/>
        </w:rPr>
        <w:t xml:space="preserve">económicos, sociales, culturales, ambientales o </w:t>
      </w:r>
      <w:r>
        <w:rPr>
          <w:rFonts w:ascii="Verdana" w:hAnsi="Verdana"/>
          <w:sz w:val="20"/>
          <w:szCs w:val="20"/>
        </w:rPr>
        <w:t xml:space="preserve">derechos </w:t>
      </w:r>
      <w:r w:rsidRPr="004E66B4">
        <w:rPr>
          <w:rFonts w:ascii="Verdana" w:hAnsi="Verdana"/>
          <w:sz w:val="20"/>
          <w:szCs w:val="20"/>
        </w:rPr>
        <w:t>civiles y políticos (determinando su contenido al caso en concreto)</w:t>
      </w:r>
      <w:r>
        <w:rPr>
          <w:rFonts w:ascii="Verdana" w:hAnsi="Verdana"/>
          <w:sz w:val="20"/>
          <w:szCs w:val="20"/>
        </w:rPr>
        <w:t>. Ello, cuando</w:t>
      </w:r>
      <w:r w:rsidRPr="004E66B4">
        <w:rPr>
          <w:rFonts w:ascii="Verdana" w:hAnsi="Verdana"/>
          <w:sz w:val="20"/>
          <w:szCs w:val="20"/>
        </w:rPr>
        <w:t xml:space="preserve"> resulte infringido </w:t>
      </w:r>
      <w:r>
        <w:rPr>
          <w:rFonts w:ascii="Verdana" w:hAnsi="Verdana"/>
          <w:sz w:val="20"/>
          <w:szCs w:val="20"/>
        </w:rPr>
        <w:t xml:space="preserve">algún derecho mencionado anteriormente, </w:t>
      </w:r>
      <w:r w:rsidRPr="004E66B4">
        <w:rPr>
          <w:rFonts w:ascii="Verdana" w:hAnsi="Verdana"/>
          <w:sz w:val="20"/>
          <w:szCs w:val="20"/>
        </w:rPr>
        <w:t xml:space="preserve">en relación </w:t>
      </w:r>
      <w:r>
        <w:rPr>
          <w:rFonts w:ascii="Verdana" w:hAnsi="Verdana"/>
          <w:sz w:val="20"/>
          <w:szCs w:val="20"/>
        </w:rPr>
        <w:t>con</w:t>
      </w:r>
      <w:r w:rsidRPr="004E66B4">
        <w:rPr>
          <w:rFonts w:ascii="Verdana" w:hAnsi="Verdana"/>
          <w:sz w:val="20"/>
          <w:szCs w:val="20"/>
        </w:rPr>
        <w:t xml:space="preserve"> las obligaciones generales contempladas en los artículos 1 y 2 de la Convención</w:t>
      </w:r>
      <w:r>
        <w:rPr>
          <w:rFonts w:ascii="Verdana" w:hAnsi="Verdana"/>
          <w:sz w:val="20"/>
          <w:szCs w:val="20"/>
        </w:rPr>
        <w:t xml:space="preserve"> Americana</w:t>
      </w:r>
      <w:r w:rsidRPr="004E66B4">
        <w:rPr>
          <w:rFonts w:ascii="Verdana" w:hAnsi="Verdana"/>
          <w:sz w:val="20"/>
          <w:szCs w:val="20"/>
        </w:rPr>
        <w:t>, como ha sido su práctica constante al recurrir a otros instrumentos internacionales para complementar lo dispuesto en</w:t>
      </w:r>
      <w:r>
        <w:rPr>
          <w:rFonts w:ascii="Verdana" w:hAnsi="Verdana"/>
          <w:sz w:val="20"/>
          <w:szCs w:val="20"/>
        </w:rPr>
        <w:t xml:space="preserve"> el Pacto de San José</w:t>
      </w:r>
      <w:r w:rsidRPr="004E66B4">
        <w:rPr>
          <w:rStyle w:val="FootnoteReference"/>
          <w:szCs w:val="20"/>
        </w:rPr>
        <w:footnoteReference w:id="341"/>
      </w:r>
      <w:r w:rsidRPr="004E66B4">
        <w:rPr>
          <w:rFonts w:ascii="Verdana" w:hAnsi="Verdana"/>
          <w:sz w:val="20"/>
          <w:szCs w:val="20"/>
        </w:rPr>
        <w:t xml:space="preserve"> o en el Protocolo de San Salvador </w:t>
      </w:r>
      <w:r w:rsidRPr="004E66B4">
        <w:rPr>
          <w:rStyle w:val="FootnoteReference"/>
          <w:szCs w:val="20"/>
        </w:rPr>
        <w:footnoteReference w:id="342"/>
      </w:r>
      <w:r w:rsidRPr="004E66B4">
        <w:rPr>
          <w:rFonts w:ascii="Verdana" w:hAnsi="Verdana"/>
          <w:sz w:val="20"/>
          <w:szCs w:val="20"/>
        </w:rPr>
        <w:t xml:space="preserve">. </w:t>
      </w:r>
    </w:p>
    <w:p w14:paraId="0E37030D" w14:textId="77777777" w:rsidR="00F83E8F" w:rsidRPr="004E66B4" w:rsidRDefault="00F83E8F" w:rsidP="00F83E8F">
      <w:pPr>
        <w:pStyle w:val="ListParagraph"/>
        <w:widowControl w:val="0"/>
        <w:autoSpaceDE w:val="0"/>
        <w:autoSpaceDN w:val="0"/>
        <w:adjustRightInd w:val="0"/>
        <w:ind w:left="0" w:right="49"/>
        <w:jc w:val="both"/>
        <w:rPr>
          <w:rFonts w:ascii="Verdana" w:hAnsi="Verdana"/>
          <w:sz w:val="20"/>
          <w:szCs w:val="20"/>
        </w:rPr>
      </w:pPr>
    </w:p>
    <w:p w14:paraId="6F7CCC08" w14:textId="77777777" w:rsidR="00F83E8F" w:rsidRPr="00A068F0" w:rsidRDefault="00F83E8F" w:rsidP="00E70701">
      <w:pPr>
        <w:pStyle w:val="ListParagraph"/>
        <w:widowControl w:val="0"/>
        <w:numPr>
          <w:ilvl w:val="0"/>
          <w:numId w:val="28"/>
        </w:numPr>
        <w:autoSpaceDE w:val="0"/>
        <w:autoSpaceDN w:val="0"/>
        <w:adjustRightInd w:val="0"/>
        <w:ind w:left="0" w:right="49" w:firstLine="0"/>
        <w:jc w:val="both"/>
        <w:rPr>
          <w:rFonts w:ascii="Verdana" w:hAnsi="Verdana"/>
          <w:sz w:val="20"/>
          <w:szCs w:val="20"/>
        </w:rPr>
      </w:pPr>
      <w:r>
        <w:rPr>
          <w:rFonts w:ascii="Verdana" w:hAnsi="Verdana"/>
          <w:sz w:val="20"/>
          <w:szCs w:val="20"/>
        </w:rPr>
        <w:t>Por otro lado, si bien el artí</w:t>
      </w:r>
      <w:r w:rsidRPr="004E66B4">
        <w:rPr>
          <w:rFonts w:ascii="Verdana" w:hAnsi="Verdana"/>
          <w:sz w:val="20"/>
          <w:szCs w:val="20"/>
        </w:rPr>
        <w:t xml:space="preserve">culo 16 de la Convención Americana contempla que “[t]odas las personas tienen derecho a </w:t>
      </w:r>
      <w:r w:rsidRPr="004E66B4">
        <w:rPr>
          <w:rFonts w:ascii="Verdana" w:hAnsi="Verdana"/>
          <w:i/>
          <w:sz w:val="20"/>
          <w:szCs w:val="20"/>
        </w:rPr>
        <w:t>asociarse libremente con fines […] laborales</w:t>
      </w:r>
      <w:r w:rsidRPr="004E66B4">
        <w:rPr>
          <w:rFonts w:ascii="Verdana" w:hAnsi="Verdana"/>
          <w:sz w:val="20"/>
          <w:szCs w:val="20"/>
        </w:rPr>
        <w:t>”</w:t>
      </w:r>
      <w:r>
        <w:rPr>
          <w:rFonts w:ascii="Verdana" w:hAnsi="Verdana"/>
          <w:sz w:val="20"/>
          <w:szCs w:val="20"/>
        </w:rPr>
        <w:t>;</w:t>
      </w:r>
      <w:r w:rsidRPr="004E66B4">
        <w:rPr>
          <w:rFonts w:ascii="Verdana" w:hAnsi="Verdana"/>
          <w:sz w:val="20"/>
          <w:szCs w:val="20"/>
        </w:rPr>
        <w:t xml:space="preserve"> lo cierto es que, en general, las asociaciones no se reducen sólo en la materia laboral, sino que tal como lo contempla el propio </w:t>
      </w:r>
      <w:r>
        <w:rPr>
          <w:rFonts w:ascii="Verdana" w:hAnsi="Verdana"/>
          <w:sz w:val="20"/>
          <w:szCs w:val="20"/>
        </w:rPr>
        <w:t>dispositivo convencional</w:t>
      </w:r>
      <w:r w:rsidRPr="004E66B4">
        <w:rPr>
          <w:rFonts w:ascii="Verdana" w:hAnsi="Verdana"/>
          <w:sz w:val="20"/>
          <w:szCs w:val="20"/>
        </w:rPr>
        <w:t xml:space="preserve"> exist</w:t>
      </w:r>
      <w:r>
        <w:rPr>
          <w:rFonts w:ascii="Verdana" w:hAnsi="Verdana"/>
          <w:sz w:val="20"/>
          <w:szCs w:val="20"/>
        </w:rPr>
        <w:t>en otros tipos de asociaciones —</w:t>
      </w:r>
      <w:r w:rsidRPr="004E66B4">
        <w:rPr>
          <w:rFonts w:ascii="Verdana" w:hAnsi="Verdana"/>
          <w:sz w:val="20"/>
          <w:szCs w:val="20"/>
        </w:rPr>
        <w:t>ideológicas, religiosas, políticas, económicas, sociales, culturales, deportivas o de cualquiera otra índole</w:t>
      </w:r>
      <w:r>
        <w:rPr>
          <w:rFonts w:ascii="Verdana" w:hAnsi="Verdana"/>
          <w:sz w:val="20"/>
          <w:szCs w:val="20"/>
        </w:rPr>
        <w:t>—</w:t>
      </w:r>
      <w:r w:rsidRPr="004E66B4">
        <w:rPr>
          <w:rFonts w:ascii="Verdana" w:hAnsi="Verdana"/>
          <w:sz w:val="20"/>
          <w:szCs w:val="20"/>
        </w:rPr>
        <w:t>. E</w:t>
      </w:r>
      <w:r>
        <w:rPr>
          <w:rFonts w:ascii="Verdana" w:hAnsi="Verdana"/>
          <w:sz w:val="20"/>
          <w:szCs w:val="20"/>
        </w:rPr>
        <w:t>stimo que e</w:t>
      </w:r>
      <w:r w:rsidRPr="004E66B4">
        <w:rPr>
          <w:rFonts w:ascii="Verdana" w:hAnsi="Verdana"/>
          <w:sz w:val="20"/>
          <w:szCs w:val="20"/>
        </w:rPr>
        <w:t>sta precisión es de vital importancia</w:t>
      </w:r>
      <w:r>
        <w:rPr>
          <w:rFonts w:ascii="Verdana" w:hAnsi="Verdana"/>
          <w:sz w:val="20"/>
          <w:szCs w:val="20"/>
        </w:rPr>
        <w:t>, ya que</w:t>
      </w:r>
      <w:r w:rsidRPr="004E66B4">
        <w:rPr>
          <w:rFonts w:ascii="Verdana" w:hAnsi="Verdana"/>
          <w:sz w:val="20"/>
          <w:szCs w:val="20"/>
        </w:rPr>
        <w:t xml:space="preserve"> si bien la Corte IDH a la fecha ha declarado la violación del derecho de asociación en materia “laboral” (enfocada a sindicatos), en ningún caso se ha pronunciado sobre el derecho de asociac</w:t>
      </w:r>
      <w:r>
        <w:rPr>
          <w:rFonts w:ascii="Verdana" w:hAnsi="Verdana"/>
          <w:sz w:val="20"/>
          <w:szCs w:val="20"/>
        </w:rPr>
        <w:t>ión sindical de manera directa co</w:t>
      </w:r>
      <w:r w:rsidRPr="004E66B4">
        <w:rPr>
          <w:rFonts w:ascii="Verdana" w:hAnsi="Verdana"/>
          <w:sz w:val="20"/>
          <w:szCs w:val="20"/>
        </w:rPr>
        <w:t xml:space="preserve">mo derecho autónomo según el Protocolo de San Salvador, y las diferentes facetas que engloba este derecho como lo ha delineado, en buena medida, la Opinión Consultiva No. 22. </w:t>
      </w:r>
    </w:p>
    <w:p w14:paraId="21AC4598" w14:textId="77777777" w:rsidR="00F83E8F" w:rsidRPr="004E66B4" w:rsidRDefault="00F83E8F" w:rsidP="00F83E8F">
      <w:pPr>
        <w:pStyle w:val="ListParagraph"/>
        <w:widowControl w:val="0"/>
        <w:autoSpaceDE w:val="0"/>
        <w:autoSpaceDN w:val="0"/>
        <w:adjustRightInd w:val="0"/>
        <w:ind w:left="0" w:right="49"/>
        <w:jc w:val="both"/>
        <w:rPr>
          <w:rFonts w:ascii="Verdana" w:hAnsi="Verdana"/>
          <w:sz w:val="20"/>
          <w:szCs w:val="20"/>
        </w:rPr>
      </w:pPr>
    </w:p>
    <w:p w14:paraId="68F6A744" w14:textId="77777777" w:rsidR="00F83E8F" w:rsidRDefault="00F83E8F" w:rsidP="00E70701">
      <w:pPr>
        <w:pStyle w:val="ListParagraph"/>
        <w:widowControl w:val="0"/>
        <w:numPr>
          <w:ilvl w:val="0"/>
          <w:numId w:val="28"/>
        </w:numPr>
        <w:autoSpaceDE w:val="0"/>
        <w:autoSpaceDN w:val="0"/>
        <w:adjustRightInd w:val="0"/>
        <w:ind w:left="0" w:right="49" w:firstLine="0"/>
        <w:jc w:val="both"/>
        <w:rPr>
          <w:rFonts w:ascii="Verdana" w:hAnsi="Verdana"/>
          <w:sz w:val="20"/>
          <w:szCs w:val="20"/>
        </w:rPr>
      </w:pPr>
      <w:r>
        <w:rPr>
          <w:rFonts w:ascii="Verdana" w:hAnsi="Verdana"/>
          <w:sz w:val="20"/>
          <w:szCs w:val="20"/>
        </w:rPr>
        <w:t>C</w:t>
      </w:r>
      <w:r w:rsidRPr="004E66B4">
        <w:rPr>
          <w:rFonts w:ascii="Verdana" w:hAnsi="Verdana"/>
          <w:sz w:val="20"/>
          <w:szCs w:val="20"/>
        </w:rPr>
        <w:t>uando el artículo 16 de la Convención Americana contempla la “</w:t>
      </w:r>
      <w:r>
        <w:rPr>
          <w:rFonts w:ascii="Verdana" w:hAnsi="Verdana"/>
          <w:sz w:val="20"/>
          <w:szCs w:val="20"/>
        </w:rPr>
        <w:t xml:space="preserve">asociación con fines laborales”, </w:t>
      </w:r>
      <w:r w:rsidRPr="004E66B4">
        <w:rPr>
          <w:rFonts w:ascii="Verdana" w:hAnsi="Verdana"/>
          <w:sz w:val="20"/>
          <w:szCs w:val="20"/>
        </w:rPr>
        <w:t>lo cierto es que “el derecho de asociación”</w:t>
      </w:r>
      <w:r>
        <w:rPr>
          <w:rFonts w:ascii="Verdana" w:hAnsi="Verdana"/>
          <w:sz w:val="20"/>
          <w:szCs w:val="20"/>
        </w:rPr>
        <w:t xml:space="preserve"> —</w:t>
      </w:r>
      <w:r w:rsidRPr="004E66B4">
        <w:rPr>
          <w:rFonts w:ascii="Verdana" w:hAnsi="Verdana"/>
          <w:i/>
          <w:sz w:val="20"/>
          <w:szCs w:val="20"/>
        </w:rPr>
        <w:t>lato sensu</w:t>
      </w:r>
      <w:r>
        <w:rPr>
          <w:rFonts w:ascii="Verdana" w:hAnsi="Verdana"/>
          <w:i/>
          <w:sz w:val="20"/>
          <w:szCs w:val="20"/>
        </w:rPr>
        <w:t>—</w:t>
      </w:r>
      <w:r w:rsidRPr="004E66B4">
        <w:rPr>
          <w:rFonts w:ascii="Verdana" w:hAnsi="Verdana"/>
          <w:sz w:val="20"/>
          <w:szCs w:val="20"/>
        </w:rPr>
        <w:t xml:space="preserve">, es en realidad el género, por lo que pueden tener diversas especies </w:t>
      </w:r>
      <w:r w:rsidRPr="00390F9C">
        <w:rPr>
          <w:rFonts w:ascii="Verdana" w:hAnsi="Verdana"/>
          <w:sz w:val="20"/>
          <w:szCs w:val="20"/>
        </w:rPr>
        <w:t>o asociaciones en</w:t>
      </w:r>
      <w:r w:rsidRPr="004E66B4">
        <w:rPr>
          <w:rFonts w:ascii="Verdana" w:hAnsi="Verdana"/>
          <w:i/>
          <w:sz w:val="20"/>
          <w:szCs w:val="20"/>
        </w:rPr>
        <w:t xml:space="preserve"> stricto sensu</w:t>
      </w:r>
      <w:r w:rsidRPr="004E66B4">
        <w:rPr>
          <w:rFonts w:ascii="Verdana" w:hAnsi="Verdana"/>
          <w:sz w:val="20"/>
          <w:szCs w:val="20"/>
        </w:rPr>
        <w:t xml:space="preserve"> (laborales</w:t>
      </w:r>
      <w:r w:rsidRPr="008D2569">
        <w:rPr>
          <w:rStyle w:val="FootnoteReference"/>
          <w:szCs w:val="20"/>
        </w:rPr>
        <w:footnoteReference w:id="343"/>
      </w:r>
      <w:r w:rsidRPr="008D2569">
        <w:rPr>
          <w:rFonts w:ascii="Verdana" w:hAnsi="Verdana"/>
          <w:sz w:val="20"/>
          <w:szCs w:val="20"/>
        </w:rPr>
        <w:t>,</w:t>
      </w:r>
      <w:r w:rsidRPr="004E66B4">
        <w:rPr>
          <w:rFonts w:ascii="Verdana" w:hAnsi="Verdana"/>
          <w:sz w:val="20"/>
          <w:szCs w:val="20"/>
        </w:rPr>
        <w:t xml:space="preserve"> sindicales, ideológicas, religiosas, políticas, económicas, sociales, culturales, deportivas o de cualquiera otra índole). Esta distinción brinda mayor especificidad en cuanto al derecho violado y los alcances en materia de derechos sociales</w:t>
      </w:r>
      <w:r>
        <w:rPr>
          <w:rFonts w:ascii="Verdana" w:hAnsi="Verdana"/>
          <w:sz w:val="20"/>
          <w:szCs w:val="20"/>
        </w:rPr>
        <w:t>. Por</w:t>
      </w:r>
      <w:r w:rsidRPr="004E66B4">
        <w:rPr>
          <w:rFonts w:ascii="Verdana" w:hAnsi="Verdana"/>
          <w:sz w:val="20"/>
          <w:szCs w:val="20"/>
        </w:rPr>
        <w:t xml:space="preserve"> ejemplo, mientras que las asociaciones laborales y sindicales pueden protegerse por el contenido de derechos sociales</w:t>
      </w:r>
      <w:r>
        <w:rPr>
          <w:rFonts w:ascii="Verdana" w:hAnsi="Verdana"/>
          <w:sz w:val="20"/>
          <w:szCs w:val="20"/>
        </w:rPr>
        <w:t>,</w:t>
      </w:r>
      <w:r w:rsidRPr="004E66B4">
        <w:rPr>
          <w:rFonts w:ascii="Verdana" w:hAnsi="Verdana"/>
          <w:sz w:val="20"/>
          <w:szCs w:val="20"/>
        </w:rPr>
        <w:t xml:space="preserve"> las asociaciones religiosas o ideológicas estarían en el campo del contenido de los derechos civiles y políticos. </w:t>
      </w:r>
    </w:p>
    <w:p w14:paraId="597BCDBE" w14:textId="77777777" w:rsidR="00F83E8F" w:rsidRDefault="00F83E8F" w:rsidP="00F83E8F">
      <w:pPr>
        <w:pStyle w:val="ListParagraph"/>
        <w:widowControl w:val="0"/>
        <w:autoSpaceDE w:val="0"/>
        <w:autoSpaceDN w:val="0"/>
        <w:adjustRightInd w:val="0"/>
        <w:ind w:left="0" w:right="49"/>
        <w:jc w:val="both"/>
        <w:rPr>
          <w:rFonts w:ascii="Verdana" w:hAnsi="Verdana"/>
          <w:sz w:val="20"/>
          <w:szCs w:val="20"/>
        </w:rPr>
      </w:pPr>
    </w:p>
    <w:p w14:paraId="7D90DD64" w14:textId="77777777" w:rsidR="00F83E8F" w:rsidRPr="00CB3D61" w:rsidRDefault="00F83E8F" w:rsidP="00E70701">
      <w:pPr>
        <w:pStyle w:val="NormalWeb"/>
        <w:numPr>
          <w:ilvl w:val="0"/>
          <w:numId w:val="28"/>
        </w:numPr>
        <w:spacing w:before="0" w:beforeAutospacing="0" w:after="0" w:afterAutospacing="0"/>
        <w:ind w:left="0" w:firstLine="0"/>
        <w:jc w:val="both"/>
        <w:rPr>
          <w:rFonts w:ascii="Verdana" w:hAnsi="Verdana"/>
          <w:sz w:val="20"/>
          <w:szCs w:val="20"/>
          <w:lang w:val="es-ES_tradnl"/>
        </w:rPr>
      </w:pPr>
      <w:r w:rsidRPr="00CB3D61">
        <w:rPr>
          <w:rFonts w:ascii="Verdana" w:hAnsi="Verdana"/>
          <w:sz w:val="20"/>
          <w:szCs w:val="20"/>
          <w:lang w:val="es-ES_tradnl"/>
        </w:rPr>
        <w:lastRenderedPageBreak/>
        <w:t xml:space="preserve">Al respecto, para ejemplificar lo anterior, resulta de importancia traer a colación el caso </w:t>
      </w:r>
      <w:r w:rsidRPr="00CB3D61">
        <w:rPr>
          <w:rFonts w:ascii="Verdana" w:hAnsi="Verdana"/>
          <w:i/>
          <w:sz w:val="20"/>
          <w:szCs w:val="20"/>
          <w:lang w:val="es-ES_tradnl"/>
        </w:rPr>
        <w:t>Kawas Fernández Vs. Honduras,</w:t>
      </w:r>
      <w:r w:rsidRPr="00CB3D61">
        <w:rPr>
          <w:rFonts w:ascii="Verdana" w:hAnsi="Verdana"/>
          <w:sz w:val="20"/>
          <w:szCs w:val="20"/>
          <w:lang w:val="es-ES_tradnl"/>
        </w:rPr>
        <w:t xml:space="preserve"> en donde la Corte IDH declaró violado el artículo 16 de la Convención Americana en un contexto no sindical. Al momento de los hechos “Blanca Jeannette Kawas Fernández era presidenta de la fundación PROLANSATE, y en esa calidad impulsó el establecimiento de políticas públicas sobre protección del medio ambiente en el departamento de Atlántida, Honduras, así como la sensibilización sobre la preservación de los recursos naturales mediante la enseñanza, y denunció daños ambientales en la zona”</w:t>
      </w:r>
      <w:r w:rsidRPr="00CB3D61">
        <w:rPr>
          <w:rStyle w:val="FootnoteReference"/>
          <w:rFonts w:eastAsiaTheme="majorEastAsia"/>
          <w:szCs w:val="20"/>
          <w:lang w:val="es-ES_tradnl"/>
        </w:rPr>
        <w:footnoteReference w:id="344"/>
      </w:r>
      <w:r w:rsidRPr="00CB3D61">
        <w:rPr>
          <w:rFonts w:ascii="Verdana" w:hAnsi="Verdana"/>
          <w:sz w:val="20"/>
          <w:szCs w:val="20"/>
          <w:lang w:val="es-ES_tradnl"/>
        </w:rPr>
        <w:t>. En este sentido, precisó que “[e]l reconocimiento del trabajo realizado por la defensa del medio ambiente y su relación con los derechos humanos cobra mayor vigencia en los países de la región, en los que se observa un número creciente de denuncias de amenazas, actos de violencia y asesinatos de ambientalistas con motivo de su labor”</w:t>
      </w:r>
      <w:r w:rsidRPr="00CB3D61">
        <w:rPr>
          <w:rStyle w:val="FootnoteReference"/>
          <w:rFonts w:eastAsiaTheme="majorEastAsia"/>
          <w:szCs w:val="20"/>
          <w:lang w:val="es-ES_tradnl"/>
        </w:rPr>
        <w:footnoteReference w:id="345"/>
      </w:r>
      <w:r w:rsidRPr="00CB3D61">
        <w:rPr>
          <w:rFonts w:ascii="Verdana" w:hAnsi="Verdana"/>
          <w:sz w:val="20"/>
          <w:szCs w:val="20"/>
          <w:lang w:val="es-ES_tradnl"/>
        </w:rPr>
        <w:t xml:space="preserve">. En dicho caso, la Corte IDH consideró que el “artículo 16 de la Convención Americana comprende también </w:t>
      </w:r>
      <w:r w:rsidRPr="00CB3D61">
        <w:rPr>
          <w:rFonts w:ascii="Verdana" w:hAnsi="Verdana"/>
          <w:sz w:val="20"/>
          <w:szCs w:val="20"/>
          <w:u w:val="single"/>
          <w:lang w:val="es-ES_tradnl"/>
        </w:rPr>
        <w:t>el derecho de toda persona a formar y participar libremente en organizaciones, asociaciones o grupos no gubernamentales orientados a la vigilancia, denuncia y promoción de los derechos humanos”</w:t>
      </w:r>
      <w:r w:rsidRPr="00CB3D61">
        <w:rPr>
          <w:rStyle w:val="FootnoteReference"/>
          <w:rFonts w:eastAsiaTheme="majorEastAsia"/>
          <w:szCs w:val="20"/>
          <w:lang w:val="es-ES_tradnl"/>
        </w:rPr>
        <w:footnoteReference w:id="346"/>
      </w:r>
      <w:r w:rsidRPr="00CB3D61">
        <w:rPr>
          <w:rFonts w:ascii="Verdana" w:hAnsi="Verdana"/>
          <w:sz w:val="20"/>
          <w:szCs w:val="20"/>
          <w:lang w:val="es-ES_tradnl"/>
        </w:rPr>
        <w:t xml:space="preserve">. </w:t>
      </w:r>
    </w:p>
    <w:p w14:paraId="398A50B2" w14:textId="77777777" w:rsidR="00F83E8F" w:rsidRPr="002F0B14" w:rsidRDefault="00F83E8F" w:rsidP="00F83E8F">
      <w:pPr>
        <w:pStyle w:val="NormalWeb"/>
        <w:spacing w:before="0" w:beforeAutospacing="0" w:after="0" w:afterAutospacing="0"/>
        <w:ind w:left="360"/>
        <w:jc w:val="both"/>
        <w:rPr>
          <w:rFonts w:ascii="Verdana" w:hAnsi="Verdana"/>
          <w:lang w:val="es-ES_tradnl"/>
        </w:rPr>
      </w:pPr>
    </w:p>
    <w:p w14:paraId="0A4690D0" w14:textId="77777777" w:rsidR="00F83E8F" w:rsidRPr="004E66B4" w:rsidRDefault="00F83E8F" w:rsidP="00E70701">
      <w:pPr>
        <w:pStyle w:val="ListParagraph"/>
        <w:widowControl w:val="0"/>
        <w:numPr>
          <w:ilvl w:val="0"/>
          <w:numId w:val="28"/>
        </w:numPr>
        <w:autoSpaceDE w:val="0"/>
        <w:autoSpaceDN w:val="0"/>
        <w:adjustRightInd w:val="0"/>
        <w:ind w:left="0" w:right="49" w:firstLine="0"/>
        <w:jc w:val="both"/>
        <w:rPr>
          <w:rFonts w:ascii="Verdana" w:hAnsi="Verdana"/>
          <w:sz w:val="20"/>
          <w:szCs w:val="20"/>
        </w:rPr>
      </w:pPr>
      <w:r w:rsidRPr="004E66B4">
        <w:rPr>
          <w:rFonts w:ascii="Verdana" w:hAnsi="Verdana"/>
          <w:sz w:val="20"/>
          <w:szCs w:val="20"/>
        </w:rPr>
        <w:t>En el pres</w:t>
      </w:r>
      <w:r>
        <w:rPr>
          <w:rFonts w:ascii="Verdana" w:hAnsi="Verdana"/>
          <w:sz w:val="20"/>
          <w:szCs w:val="20"/>
        </w:rPr>
        <w:t>ente caso, ha quedado demostrado</w:t>
      </w:r>
      <w:r w:rsidRPr="004E66B4">
        <w:rPr>
          <w:rFonts w:ascii="Verdana" w:hAnsi="Verdana"/>
          <w:sz w:val="20"/>
          <w:szCs w:val="20"/>
        </w:rPr>
        <w:t xml:space="preserve"> que el señor Lagos del Campo fue despedido con motivo de las denuncias realizadas en el marco de un proceso electoral del cual estaba llamado a supervisar como par</w:t>
      </w:r>
      <w:r>
        <w:rPr>
          <w:rFonts w:ascii="Verdana" w:hAnsi="Verdana"/>
          <w:sz w:val="20"/>
          <w:szCs w:val="20"/>
        </w:rPr>
        <w:t>te de su cargo. A</w:t>
      </w:r>
      <w:r w:rsidRPr="004E66B4">
        <w:rPr>
          <w:rFonts w:ascii="Verdana" w:hAnsi="Verdana"/>
          <w:sz w:val="20"/>
          <w:szCs w:val="20"/>
        </w:rPr>
        <w:t>demás</w:t>
      </w:r>
      <w:r>
        <w:rPr>
          <w:rFonts w:ascii="Verdana" w:hAnsi="Verdana"/>
          <w:sz w:val="20"/>
          <w:szCs w:val="20"/>
        </w:rPr>
        <w:t xml:space="preserve">, </w:t>
      </w:r>
      <w:r w:rsidRPr="004E66B4">
        <w:rPr>
          <w:rFonts w:ascii="Verdana" w:hAnsi="Verdana"/>
          <w:sz w:val="20"/>
          <w:szCs w:val="20"/>
        </w:rPr>
        <w:t xml:space="preserve">como consecuencia del despido, </w:t>
      </w:r>
      <w:r>
        <w:rPr>
          <w:rFonts w:ascii="Verdana" w:hAnsi="Verdana"/>
          <w:sz w:val="20"/>
          <w:szCs w:val="20"/>
        </w:rPr>
        <w:t>la víctima</w:t>
      </w:r>
      <w:r w:rsidRPr="004E66B4">
        <w:rPr>
          <w:rFonts w:ascii="Verdana" w:hAnsi="Verdana"/>
          <w:sz w:val="20"/>
          <w:szCs w:val="20"/>
        </w:rPr>
        <w:t xml:space="preserve"> no pudo continuar con sus labores de representación de los trabajadores en el Comité Electoral</w:t>
      </w:r>
      <w:r>
        <w:rPr>
          <w:rFonts w:ascii="Verdana" w:hAnsi="Verdana"/>
          <w:sz w:val="20"/>
          <w:szCs w:val="20"/>
        </w:rPr>
        <w:t>. T</w:t>
      </w:r>
      <w:r w:rsidRPr="004E66B4">
        <w:rPr>
          <w:rFonts w:ascii="Verdana" w:hAnsi="Verdana"/>
          <w:sz w:val="20"/>
          <w:szCs w:val="20"/>
        </w:rPr>
        <w:t>ampoco pudo continuar perteneciendo a la Comunidad Industrial, al ya no formar parte de la empresa como trabajador, siendo que el Segundo Tribunal del Trabajo de Lima calificó el despido de la víctima como “</w:t>
      </w:r>
      <w:r>
        <w:rPr>
          <w:rFonts w:ascii="Verdana" w:hAnsi="Verdana"/>
          <w:sz w:val="20"/>
          <w:szCs w:val="20"/>
        </w:rPr>
        <w:t xml:space="preserve">legal y justificado”, avalando </w:t>
      </w:r>
      <w:r w:rsidRPr="004E66B4">
        <w:rPr>
          <w:rFonts w:ascii="Verdana" w:hAnsi="Verdana"/>
          <w:sz w:val="20"/>
          <w:szCs w:val="20"/>
        </w:rPr>
        <w:t>una sanción que tuvo un impacto en la posibilidad del señor Lagos del Campo de poder continuar perteneciendo a dicha corporación, y de representar los intereses de los demás trabajadores</w:t>
      </w:r>
      <w:r w:rsidRPr="004E66B4">
        <w:rPr>
          <w:rStyle w:val="FootnoteReference"/>
          <w:szCs w:val="20"/>
        </w:rPr>
        <w:footnoteReference w:id="347"/>
      </w:r>
      <w:r w:rsidRPr="004E66B4">
        <w:rPr>
          <w:rFonts w:ascii="Verdana" w:hAnsi="Verdana"/>
          <w:sz w:val="20"/>
          <w:szCs w:val="20"/>
        </w:rPr>
        <w:t>. La Corte</w:t>
      </w:r>
      <w:r>
        <w:rPr>
          <w:rFonts w:ascii="Verdana" w:hAnsi="Verdana"/>
          <w:sz w:val="20"/>
          <w:szCs w:val="20"/>
        </w:rPr>
        <w:t xml:space="preserve"> IDH</w:t>
      </w:r>
      <w:r w:rsidRPr="004E66B4">
        <w:rPr>
          <w:rFonts w:ascii="Verdana" w:hAnsi="Verdana"/>
          <w:sz w:val="20"/>
          <w:szCs w:val="20"/>
        </w:rPr>
        <w:t xml:space="preserve"> concluyó que: </w:t>
      </w:r>
    </w:p>
    <w:p w14:paraId="502E2E5D" w14:textId="77777777" w:rsidR="00F83E8F" w:rsidRPr="004E66B4" w:rsidRDefault="00F83E8F" w:rsidP="00F83E8F">
      <w:pPr>
        <w:widowControl w:val="0"/>
        <w:autoSpaceDE w:val="0"/>
        <w:autoSpaceDN w:val="0"/>
        <w:adjustRightInd w:val="0"/>
        <w:ind w:right="18"/>
        <w:jc w:val="both"/>
        <w:rPr>
          <w:rFonts w:ascii="Verdana" w:hAnsi="Verdana"/>
          <w:sz w:val="20"/>
          <w:szCs w:val="20"/>
        </w:rPr>
      </w:pPr>
    </w:p>
    <w:p w14:paraId="16B58579" w14:textId="77777777" w:rsidR="00F83E8F" w:rsidRPr="004E66B4" w:rsidRDefault="00F83E8F" w:rsidP="00F83E8F">
      <w:pPr>
        <w:autoSpaceDE w:val="0"/>
        <w:autoSpaceDN w:val="0"/>
        <w:adjustRightInd w:val="0"/>
        <w:ind w:left="709" w:right="738"/>
        <w:jc w:val="both"/>
        <w:rPr>
          <w:rFonts w:ascii="Verdana" w:hAnsi="Verdana"/>
          <w:sz w:val="16"/>
          <w:szCs w:val="16"/>
        </w:rPr>
      </w:pPr>
      <w:r w:rsidRPr="004E66B4">
        <w:rPr>
          <w:rFonts w:ascii="Verdana" w:hAnsi="Verdana"/>
          <w:sz w:val="16"/>
          <w:szCs w:val="16"/>
        </w:rPr>
        <w:t>162. Adicionalmente, este Tribunal ha establecido que la libertad de asociación tiene</w:t>
      </w:r>
      <w:r>
        <w:rPr>
          <w:rFonts w:ascii="Verdana" w:hAnsi="Verdana"/>
          <w:sz w:val="16"/>
          <w:szCs w:val="16"/>
        </w:rPr>
        <w:t xml:space="preserve"> </w:t>
      </w:r>
      <w:r w:rsidRPr="004E66B4">
        <w:rPr>
          <w:rFonts w:ascii="Verdana" w:hAnsi="Verdana"/>
          <w:sz w:val="16"/>
          <w:szCs w:val="16"/>
        </w:rPr>
        <w:t>dos dimensiones, pues recae tanto en el derecho del individuo de asociarse libremente y utilizar los medios apropiados para ejercer esa libertad, como en los integrantes de un grupo para alcanzar determinados fines en conjunto y beneficiarse de los mismos. Asimismo, este Tribunal ha establecido que los derechos derivados de la representación de los intereses de un grupo tiene una naturaleza dual, pues recae tanto en el derecho del individuo que ejerce el mandato o designación como en el derecho de la colectividad de ser representada, por lo que la violación del derecho del primero (del representante) repercute en la vulneración del derecho del otro (el representado)</w:t>
      </w:r>
      <w:r>
        <w:rPr>
          <w:rFonts w:ascii="Verdana" w:hAnsi="Verdana"/>
          <w:sz w:val="16"/>
          <w:szCs w:val="16"/>
        </w:rPr>
        <w:t xml:space="preserve"> </w:t>
      </w:r>
      <w:r w:rsidRPr="004E66B4">
        <w:rPr>
          <w:rFonts w:ascii="Verdana" w:hAnsi="Verdana"/>
          <w:sz w:val="16"/>
          <w:szCs w:val="16"/>
        </w:rPr>
        <w:t>[…]</w:t>
      </w:r>
      <w:r w:rsidRPr="004E66B4">
        <w:rPr>
          <w:rStyle w:val="FootnoteReference"/>
          <w:sz w:val="16"/>
          <w:szCs w:val="16"/>
        </w:rPr>
        <w:footnoteReference w:id="348"/>
      </w:r>
      <w:r w:rsidRPr="004E66B4">
        <w:rPr>
          <w:rFonts w:ascii="Verdana" w:hAnsi="Verdana"/>
          <w:sz w:val="16"/>
          <w:szCs w:val="16"/>
        </w:rPr>
        <w:t xml:space="preserve">. </w:t>
      </w:r>
    </w:p>
    <w:p w14:paraId="4CCE24B5" w14:textId="77777777" w:rsidR="00F83E8F" w:rsidRPr="004E66B4" w:rsidRDefault="00F83E8F" w:rsidP="00F83E8F">
      <w:pPr>
        <w:pStyle w:val="ListParagraph"/>
        <w:widowControl w:val="0"/>
        <w:autoSpaceDE w:val="0"/>
        <w:autoSpaceDN w:val="0"/>
        <w:adjustRightInd w:val="0"/>
        <w:ind w:left="0" w:right="49"/>
        <w:jc w:val="both"/>
        <w:rPr>
          <w:rFonts w:ascii="Verdana" w:hAnsi="Verdana"/>
          <w:sz w:val="20"/>
          <w:szCs w:val="20"/>
        </w:rPr>
      </w:pPr>
    </w:p>
    <w:p w14:paraId="1B6324F9" w14:textId="77777777" w:rsidR="00F83E8F" w:rsidRPr="004E66B4" w:rsidRDefault="00F83E8F" w:rsidP="00E70701">
      <w:pPr>
        <w:pStyle w:val="ListParagraph"/>
        <w:widowControl w:val="0"/>
        <w:numPr>
          <w:ilvl w:val="0"/>
          <w:numId w:val="28"/>
        </w:numPr>
        <w:autoSpaceDE w:val="0"/>
        <w:autoSpaceDN w:val="0"/>
        <w:adjustRightInd w:val="0"/>
        <w:ind w:left="0" w:right="49" w:firstLine="0"/>
        <w:jc w:val="both"/>
        <w:rPr>
          <w:rFonts w:ascii="Verdana" w:hAnsi="Verdana"/>
          <w:sz w:val="20"/>
          <w:szCs w:val="20"/>
        </w:rPr>
      </w:pPr>
      <w:r>
        <w:rPr>
          <w:rFonts w:ascii="Verdana" w:hAnsi="Verdana"/>
          <w:sz w:val="20"/>
          <w:szCs w:val="20"/>
        </w:rPr>
        <w:t>N</w:t>
      </w:r>
      <w:r w:rsidRPr="004E66B4">
        <w:rPr>
          <w:rFonts w:ascii="Verdana" w:hAnsi="Verdana"/>
          <w:sz w:val="20"/>
          <w:szCs w:val="20"/>
        </w:rPr>
        <w:t>o c</w:t>
      </w:r>
      <w:r>
        <w:rPr>
          <w:rFonts w:ascii="Verdana" w:hAnsi="Verdana"/>
          <w:sz w:val="20"/>
          <w:szCs w:val="20"/>
        </w:rPr>
        <w:t>abe duda que las violaciones al</w:t>
      </w:r>
      <w:r w:rsidRPr="004E66B4">
        <w:rPr>
          <w:rFonts w:ascii="Verdana" w:hAnsi="Verdana"/>
          <w:sz w:val="20"/>
          <w:szCs w:val="20"/>
        </w:rPr>
        <w:t xml:space="preserve"> señor Campos del Lago no se enmarcan dentro del análisis de los derechos de los sindicatos, de los sindicalistas o de los representantes sindicales </w:t>
      </w:r>
      <w:r>
        <w:rPr>
          <w:rFonts w:ascii="Verdana" w:hAnsi="Verdana"/>
          <w:sz w:val="20"/>
          <w:szCs w:val="20"/>
        </w:rPr>
        <w:t>y sus derechos correlativos.</w:t>
      </w:r>
      <w:r w:rsidRPr="004E66B4">
        <w:rPr>
          <w:rFonts w:ascii="Verdana" w:hAnsi="Verdana"/>
          <w:sz w:val="20"/>
          <w:szCs w:val="20"/>
        </w:rPr>
        <w:t xml:space="preserve"> </w:t>
      </w:r>
      <w:r>
        <w:rPr>
          <w:rFonts w:ascii="Verdana" w:hAnsi="Verdana"/>
          <w:sz w:val="20"/>
          <w:szCs w:val="20"/>
        </w:rPr>
        <w:t>Por</w:t>
      </w:r>
      <w:r w:rsidRPr="004E66B4">
        <w:rPr>
          <w:rFonts w:ascii="Verdana" w:hAnsi="Verdana"/>
          <w:sz w:val="20"/>
          <w:szCs w:val="20"/>
        </w:rPr>
        <w:t xml:space="preserve"> el contrario</w:t>
      </w:r>
      <w:r>
        <w:rPr>
          <w:rFonts w:ascii="Verdana" w:hAnsi="Verdana"/>
          <w:sz w:val="20"/>
          <w:szCs w:val="20"/>
        </w:rPr>
        <w:t>,</w:t>
      </w:r>
      <w:r w:rsidRPr="004E66B4">
        <w:rPr>
          <w:rFonts w:ascii="Verdana" w:hAnsi="Verdana"/>
          <w:sz w:val="20"/>
          <w:szCs w:val="20"/>
        </w:rPr>
        <w:t xml:space="preserve"> el presente caso presenta una particularidad distinta a los casos que anteriormente habían sido objeto de análisis de este Tribunal </w:t>
      </w:r>
      <w:r>
        <w:rPr>
          <w:rFonts w:ascii="Verdana" w:hAnsi="Verdana"/>
          <w:sz w:val="20"/>
          <w:szCs w:val="20"/>
        </w:rPr>
        <w:t xml:space="preserve">Interamericano </w:t>
      </w:r>
      <w:r w:rsidRPr="004E66B4">
        <w:rPr>
          <w:rFonts w:ascii="Verdana" w:hAnsi="Verdana"/>
          <w:sz w:val="20"/>
          <w:szCs w:val="20"/>
        </w:rPr>
        <w:t xml:space="preserve">en relación </w:t>
      </w:r>
      <w:r>
        <w:rPr>
          <w:rFonts w:ascii="Verdana" w:hAnsi="Verdana"/>
          <w:sz w:val="20"/>
          <w:szCs w:val="20"/>
        </w:rPr>
        <w:t>con el</w:t>
      </w:r>
      <w:r w:rsidRPr="004E66B4">
        <w:rPr>
          <w:rFonts w:ascii="Verdana" w:hAnsi="Verdana"/>
          <w:sz w:val="20"/>
          <w:szCs w:val="20"/>
        </w:rPr>
        <w:t xml:space="preserve"> derecho de asociación, ya que el señor Lagos del Campo era representante de una aso</w:t>
      </w:r>
      <w:r>
        <w:rPr>
          <w:rFonts w:ascii="Verdana" w:hAnsi="Verdana"/>
          <w:sz w:val="20"/>
          <w:szCs w:val="20"/>
        </w:rPr>
        <w:t>ciación de trabajadores. Así, coincido</w:t>
      </w:r>
      <w:r w:rsidRPr="004E66B4">
        <w:rPr>
          <w:rFonts w:ascii="Verdana" w:hAnsi="Verdana"/>
          <w:sz w:val="20"/>
          <w:szCs w:val="20"/>
        </w:rPr>
        <w:t xml:space="preserve"> plenamente con la Sentencia, </w:t>
      </w:r>
      <w:r>
        <w:rPr>
          <w:rFonts w:ascii="Verdana" w:hAnsi="Verdana"/>
          <w:sz w:val="20"/>
          <w:szCs w:val="20"/>
        </w:rPr>
        <w:t xml:space="preserve">cuando señala </w:t>
      </w:r>
      <w:r w:rsidRPr="004E66B4">
        <w:rPr>
          <w:rFonts w:ascii="Verdana" w:hAnsi="Verdana"/>
          <w:sz w:val="20"/>
          <w:szCs w:val="20"/>
        </w:rPr>
        <w:t xml:space="preserve">que: </w:t>
      </w:r>
    </w:p>
    <w:p w14:paraId="458E298A" w14:textId="77777777" w:rsidR="00F83E8F" w:rsidRPr="004E66B4" w:rsidRDefault="00F83E8F" w:rsidP="00F83E8F">
      <w:pPr>
        <w:pStyle w:val="ListParagraph"/>
        <w:widowControl w:val="0"/>
        <w:autoSpaceDE w:val="0"/>
        <w:autoSpaceDN w:val="0"/>
        <w:adjustRightInd w:val="0"/>
        <w:ind w:left="0"/>
        <w:jc w:val="both"/>
        <w:rPr>
          <w:rFonts w:ascii="Verdana" w:hAnsi="Verdana"/>
          <w:sz w:val="20"/>
          <w:szCs w:val="20"/>
        </w:rPr>
      </w:pPr>
    </w:p>
    <w:p w14:paraId="79DC7F1A" w14:textId="77777777" w:rsidR="00F83E8F" w:rsidRPr="004E66B4" w:rsidRDefault="00F83E8F" w:rsidP="00F83E8F">
      <w:pPr>
        <w:widowControl w:val="0"/>
        <w:autoSpaceDE w:val="0"/>
        <w:autoSpaceDN w:val="0"/>
        <w:adjustRightInd w:val="0"/>
        <w:ind w:left="709" w:right="738"/>
        <w:jc w:val="both"/>
        <w:rPr>
          <w:rFonts w:ascii="Verdana" w:hAnsi="Verdana"/>
          <w:sz w:val="16"/>
          <w:szCs w:val="16"/>
        </w:rPr>
      </w:pPr>
      <w:r w:rsidRPr="004E66B4">
        <w:rPr>
          <w:rFonts w:ascii="Verdana" w:hAnsi="Verdana"/>
          <w:sz w:val="16"/>
          <w:szCs w:val="16"/>
        </w:rPr>
        <w:t xml:space="preserve">157. En relación con lo anterior, esta Corte encuentra que el ámbito de protección del derecho de </w:t>
      </w:r>
      <w:r w:rsidRPr="004E66B4">
        <w:rPr>
          <w:rFonts w:ascii="Verdana" w:hAnsi="Verdana"/>
          <w:sz w:val="16"/>
          <w:szCs w:val="16"/>
        </w:rPr>
        <w:lastRenderedPageBreak/>
        <w:t xml:space="preserve">libertad de asociación en materia laboral </w:t>
      </w:r>
      <w:r w:rsidRPr="004E66B4">
        <w:rPr>
          <w:rFonts w:ascii="Verdana" w:hAnsi="Verdana"/>
          <w:sz w:val="16"/>
          <w:szCs w:val="16"/>
          <w:u w:val="single"/>
        </w:rPr>
        <w:t>no sólo se encuentra subsumido a la protección de los sindicatos, sus miembros y sus representantes.</w:t>
      </w:r>
      <w:r w:rsidRPr="004E66B4">
        <w:rPr>
          <w:rFonts w:ascii="Verdana" w:hAnsi="Verdana"/>
          <w:sz w:val="16"/>
          <w:szCs w:val="16"/>
        </w:rPr>
        <w:t xml:space="preserve"> […]</w:t>
      </w:r>
    </w:p>
    <w:p w14:paraId="1B04FED6" w14:textId="77777777" w:rsidR="00F83E8F" w:rsidRPr="004E66B4" w:rsidRDefault="00F83E8F" w:rsidP="00F83E8F">
      <w:pPr>
        <w:widowControl w:val="0"/>
        <w:autoSpaceDE w:val="0"/>
        <w:autoSpaceDN w:val="0"/>
        <w:adjustRightInd w:val="0"/>
        <w:ind w:left="709" w:right="758"/>
        <w:jc w:val="both"/>
        <w:rPr>
          <w:rFonts w:ascii="Verdana" w:hAnsi="Verdana"/>
          <w:sz w:val="16"/>
          <w:szCs w:val="16"/>
        </w:rPr>
      </w:pPr>
    </w:p>
    <w:p w14:paraId="29B10AEB" w14:textId="77777777" w:rsidR="00F83E8F" w:rsidRPr="004E66B4" w:rsidRDefault="00F83E8F" w:rsidP="00F83E8F">
      <w:pPr>
        <w:widowControl w:val="0"/>
        <w:autoSpaceDE w:val="0"/>
        <w:autoSpaceDN w:val="0"/>
        <w:adjustRightInd w:val="0"/>
        <w:ind w:left="709" w:right="758"/>
        <w:jc w:val="both"/>
        <w:rPr>
          <w:rFonts w:ascii="Verdana" w:hAnsi="Verdana"/>
          <w:sz w:val="16"/>
          <w:szCs w:val="16"/>
        </w:rPr>
      </w:pPr>
      <w:r w:rsidRPr="004E66B4">
        <w:rPr>
          <w:rFonts w:ascii="Verdana" w:hAnsi="Verdana"/>
          <w:sz w:val="16"/>
          <w:szCs w:val="16"/>
        </w:rPr>
        <w:t xml:space="preserve">158. Sin embargo, </w:t>
      </w:r>
      <w:r w:rsidRPr="004E66B4">
        <w:rPr>
          <w:rFonts w:ascii="Verdana" w:hAnsi="Verdana"/>
          <w:sz w:val="16"/>
          <w:szCs w:val="16"/>
          <w:u w:val="single"/>
        </w:rPr>
        <w:t>la protección que reconoce el derecho a la libertad de asociación en el contexto laboral se extiende a organizaciones que, aun cuando tengan una naturaleza distinta a la de los sindicatos, persigan fines de representación de los intereses legítimos de los trabajadores.</w:t>
      </w:r>
      <w:r w:rsidRPr="004E66B4">
        <w:rPr>
          <w:rFonts w:ascii="Verdana" w:hAnsi="Verdana"/>
          <w:sz w:val="16"/>
          <w:szCs w:val="16"/>
        </w:rPr>
        <w:t xml:space="preserve"> Esta protección deriva del propio artículo 16 de la Convención Americana, el cual protege la libertad de asociación con fines de cualquier índole, así como de otros instrumentos internacionales, </w:t>
      </w:r>
      <w:r w:rsidRPr="004E66B4">
        <w:rPr>
          <w:rFonts w:ascii="Verdana" w:hAnsi="Verdana"/>
          <w:sz w:val="16"/>
          <w:szCs w:val="16"/>
          <w:u w:val="single"/>
        </w:rPr>
        <w:t xml:space="preserve">que reconocen una protección especial a la libertad de asociación con fines de protección de los intereses de los trabajadores, sin especificar que esta protección se restrinja al ámbito sindical </w:t>
      </w:r>
      <w:r w:rsidRPr="004E66B4">
        <w:rPr>
          <w:rFonts w:ascii="Verdana" w:hAnsi="Verdana"/>
          <w:sz w:val="16"/>
          <w:szCs w:val="16"/>
        </w:rPr>
        <w:t>[…]</w:t>
      </w:r>
      <w:r w:rsidRPr="004E66B4">
        <w:rPr>
          <w:rStyle w:val="FootnoteReference"/>
          <w:sz w:val="16"/>
          <w:szCs w:val="16"/>
        </w:rPr>
        <w:footnoteReference w:id="349"/>
      </w:r>
      <w:r w:rsidRPr="004E66B4">
        <w:rPr>
          <w:rFonts w:ascii="Verdana" w:hAnsi="Verdana"/>
          <w:sz w:val="16"/>
          <w:szCs w:val="16"/>
        </w:rPr>
        <w:t>.</w:t>
      </w:r>
    </w:p>
    <w:p w14:paraId="07FCB589" w14:textId="77777777" w:rsidR="00F83E8F" w:rsidRPr="004E66B4" w:rsidRDefault="00F83E8F" w:rsidP="00F83E8F">
      <w:pPr>
        <w:widowControl w:val="0"/>
        <w:autoSpaceDE w:val="0"/>
        <w:autoSpaceDN w:val="0"/>
        <w:adjustRightInd w:val="0"/>
        <w:ind w:right="758"/>
        <w:jc w:val="both"/>
        <w:rPr>
          <w:rFonts w:ascii="Verdana" w:hAnsi="Verdana"/>
          <w:sz w:val="16"/>
          <w:szCs w:val="16"/>
        </w:rPr>
      </w:pPr>
    </w:p>
    <w:p w14:paraId="04CD0C49" w14:textId="77777777" w:rsidR="00F83E8F" w:rsidRPr="004E66B4" w:rsidRDefault="00F83E8F" w:rsidP="00E70701">
      <w:pPr>
        <w:pStyle w:val="ListParagraph"/>
        <w:widowControl w:val="0"/>
        <w:numPr>
          <w:ilvl w:val="0"/>
          <w:numId w:val="28"/>
        </w:numPr>
        <w:autoSpaceDE w:val="0"/>
        <w:autoSpaceDN w:val="0"/>
        <w:adjustRightInd w:val="0"/>
        <w:ind w:left="0" w:right="49" w:firstLine="0"/>
        <w:jc w:val="both"/>
        <w:rPr>
          <w:rFonts w:ascii="Verdana" w:hAnsi="Verdana"/>
          <w:sz w:val="20"/>
          <w:szCs w:val="20"/>
        </w:rPr>
      </w:pPr>
      <w:r w:rsidRPr="004E66B4">
        <w:rPr>
          <w:rFonts w:ascii="Verdana" w:hAnsi="Verdana"/>
          <w:sz w:val="20"/>
          <w:szCs w:val="20"/>
        </w:rPr>
        <w:t>Adicionalmente</w:t>
      </w:r>
      <w:r>
        <w:rPr>
          <w:rFonts w:ascii="Verdana" w:hAnsi="Verdana"/>
          <w:sz w:val="20"/>
          <w:szCs w:val="20"/>
        </w:rPr>
        <w:t>,</w:t>
      </w:r>
      <w:r w:rsidRPr="004E66B4">
        <w:rPr>
          <w:rFonts w:ascii="Verdana" w:hAnsi="Verdana"/>
          <w:sz w:val="20"/>
          <w:szCs w:val="20"/>
        </w:rPr>
        <w:t xml:space="preserve"> la Corte </w:t>
      </w:r>
      <w:r>
        <w:rPr>
          <w:rFonts w:ascii="Verdana" w:hAnsi="Verdana"/>
          <w:sz w:val="20"/>
          <w:szCs w:val="20"/>
        </w:rPr>
        <w:t xml:space="preserve">IDH </w:t>
      </w:r>
      <w:r w:rsidRPr="004E66B4">
        <w:rPr>
          <w:rFonts w:ascii="Verdana" w:hAnsi="Verdana"/>
          <w:sz w:val="20"/>
          <w:szCs w:val="20"/>
        </w:rPr>
        <w:t xml:space="preserve">agregó que: </w:t>
      </w:r>
    </w:p>
    <w:p w14:paraId="495CF2E2" w14:textId="77777777" w:rsidR="00F83E8F" w:rsidRPr="004E66B4" w:rsidRDefault="00F83E8F" w:rsidP="00F83E8F">
      <w:pPr>
        <w:pStyle w:val="ListParagraph"/>
        <w:widowControl w:val="0"/>
        <w:autoSpaceDE w:val="0"/>
        <w:autoSpaceDN w:val="0"/>
        <w:adjustRightInd w:val="0"/>
        <w:ind w:left="0" w:right="49"/>
        <w:jc w:val="both"/>
        <w:rPr>
          <w:rFonts w:ascii="Verdana" w:hAnsi="Verdana"/>
          <w:sz w:val="20"/>
          <w:szCs w:val="20"/>
        </w:rPr>
      </w:pPr>
    </w:p>
    <w:p w14:paraId="0DDEA1F2" w14:textId="77777777" w:rsidR="00F83E8F" w:rsidRPr="004E66B4" w:rsidRDefault="00F83E8F" w:rsidP="00F83E8F">
      <w:pPr>
        <w:pStyle w:val="ListParagraph"/>
        <w:ind w:left="709" w:right="758"/>
        <w:jc w:val="both"/>
        <w:rPr>
          <w:rFonts w:ascii="Verdana" w:hAnsi="Verdana"/>
          <w:b/>
          <w:sz w:val="16"/>
          <w:szCs w:val="16"/>
        </w:rPr>
      </w:pPr>
      <w:r w:rsidRPr="004E66B4">
        <w:rPr>
          <w:rFonts w:ascii="Verdana" w:hAnsi="Verdana"/>
          <w:sz w:val="16"/>
          <w:szCs w:val="16"/>
        </w:rPr>
        <w:t xml:space="preserve">159. Estos principios coinciden con la protección reconocida por la Organización Internacional del Trabajo, la cual ha definido que la expresión </w:t>
      </w:r>
      <w:r w:rsidRPr="004E66B4">
        <w:rPr>
          <w:rFonts w:ascii="Verdana" w:hAnsi="Verdana"/>
          <w:sz w:val="16"/>
          <w:szCs w:val="16"/>
          <w:u w:val="single"/>
        </w:rPr>
        <w:t>“</w:t>
      </w:r>
      <w:r w:rsidRPr="004E66B4">
        <w:rPr>
          <w:rFonts w:ascii="Verdana" w:hAnsi="Verdana"/>
          <w:b/>
          <w:sz w:val="16"/>
          <w:szCs w:val="16"/>
          <w:u w:val="single"/>
        </w:rPr>
        <w:t>representantes de los trabajadores”</w:t>
      </w:r>
      <w:r w:rsidRPr="004E66B4">
        <w:rPr>
          <w:rFonts w:ascii="Verdana" w:hAnsi="Verdana"/>
          <w:b/>
          <w:sz w:val="16"/>
          <w:szCs w:val="16"/>
        </w:rPr>
        <w:t xml:space="preserve"> comprende aquellos reconocidos como tales en virtud de la legislación o práctica nacional, ya se trate de representantes sindicales, o de “representantes electos, es decir, representantes libremente elegidos por los trabajadores de la empresa, de conformidad con las disposiciones de la legislación nacional o de los contratos colectivos, y cuyas actividades no se extiendan a actividades que sean reconocidas en el país como prerrogativas exclusivas de los sindicatos”.</w:t>
      </w:r>
      <w:r w:rsidRPr="004E66B4">
        <w:rPr>
          <w:rFonts w:ascii="Verdana" w:hAnsi="Verdana"/>
          <w:sz w:val="16"/>
          <w:szCs w:val="16"/>
        </w:rPr>
        <w:t xml:space="preserve"> </w:t>
      </w:r>
    </w:p>
    <w:p w14:paraId="30F76C39" w14:textId="77777777" w:rsidR="00F83E8F" w:rsidRPr="004E66B4" w:rsidRDefault="00F83E8F" w:rsidP="00F83E8F">
      <w:pPr>
        <w:pStyle w:val="ListParagraph"/>
        <w:ind w:left="709" w:right="758"/>
        <w:jc w:val="both"/>
        <w:rPr>
          <w:rFonts w:ascii="Verdana" w:hAnsi="Verdana"/>
          <w:sz w:val="16"/>
          <w:szCs w:val="16"/>
        </w:rPr>
      </w:pPr>
    </w:p>
    <w:p w14:paraId="1EFFA019" w14:textId="77777777" w:rsidR="00F83E8F" w:rsidRPr="004E66B4" w:rsidRDefault="00F83E8F" w:rsidP="00F83E8F">
      <w:pPr>
        <w:pStyle w:val="ListParagraph"/>
        <w:ind w:left="709" w:right="758"/>
        <w:jc w:val="both"/>
        <w:rPr>
          <w:rFonts w:ascii="Verdana" w:hAnsi="Verdana"/>
          <w:b/>
          <w:sz w:val="16"/>
          <w:szCs w:val="16"/>
        </w:rPr>
      </w:pPr>
      <w:r w:rsidRPr="004E66B4">
        <w:rPr>
          <w:rFonts w:ascii="Verdana" w:hAnsi="Verdana"/>
          <w:sz w:val="16"/>
          <w:szCs w:val="16"/>
        </w:rPr>
        <w:t xml:space="preserve">160. En el mismo sentido, se ha interpretado [por el Tribunal Europeo] </w:t>
      </w:r>
      <w:r w:rsidRPr="004E66B4">
        <w:rPr>
          <w:rFonts w:ascii="Verdana" w:hAnsi="Verdana"/>
          <w:sz w:val="16"/>
          <w:szCs w:val="16"/>
          <w:u w:val="single"/>
        </w:rPr>
        <w:t>que los representantes de los trabajadores de una empresa deben gozar de una protección eficaz contra todo acto que pueda perjudicarlos, incluido el despido por razón de su condición de representantes de los trabajadores, o de sus actividades derivadas de dicha representación.</w:t>
      </w:r>
      <w:r w:rsidRPr="004E66B4">
        <w:rPr>
          <w:rFonts w:ascii="Verdana" w:eastAsia="Times New Roman" w:hAnsi="Verdana"/>
          <w:sz w:val="16"/>
          <w:szCs w:val="16"/>
        </w:rPr>
        <w:t xml:space="preserve"> Asimismo, </w:t>
      </w:r>
      <w:r w:rsidRPr="004E66B4">
        <w:rPr>
          <w:rFonts w:ascii="Verdana" w:hAnsi="Verdana"/>
          <w:sz w:val="16"/>
          <w:szCs w:val="16"/>
        </w:rPr>
        <w:t xml:space="preserve">las autoridades nacionales deben garantizar que la imposición de sanciones que puedan resultar desproporcionadas no </w:t>
      </w:r>
      <w:proofErr w:type="gramStart"/>
      <w:r w:rsidRPr="004E66B4">
        <w:rPr>
          <w:rFonts w:ascii="Verdana" w:hAnsi="Verdana"/>
          <w:sz w:val="16"/>
          <w:szCs w:val="16"/>
        </w:rPr>
        <w:t>generen</w:t>
      </w:r>
      <w:proofErr w:type="gramEnd"/>
      <w:r w:rsidRPr="004E66B4">
        <w:rPr>
          <w:rFonts w:ascii="Verdana" w:hAnsi="Verdana"/>
          <w:sz w:val="16"/>
          <w:szCs w:val="16"/>
        </w:rPr>
        <w:t xml:space="preserve"> un efecto disuasivo en el derecho de los representantes de expresar y defender los intereses de los trabajadores</w:t>
      </w:r>
      <w:r w:rsidRPr="004E66B4">
        <w:rPr>
          <w:rStyle w:val="FootnoteReference"/>
          <w:sz w:val="16"/>
          <w:szCs w:val="16"/>
        </w:rPr>
        <w:footnoteReference w:id="350"/>
      </w:r>
      <w:r w:rsidRPr="004E66B4">
        <w:rPr>
          <w:rFonts w:ascii="Verdana" w:hAnsi="Verdana"/>
          <w:sz w:val="16"/>
          <w:szCs w:val="16"/>
        </w:rPr>
        <w:t>.</w:t>
      </w:r>
      <w:r>
        <w:rPr>
          <w:rFonts w:ascii="Verdana" w:hAnsi="Verdana"/>
          <w:sz w:val="16"/>
          <w:szCs w:val="16"/>
        </w:rPr>
        <w:t xml:space="preserve"> </w:t>
      </w:r>
    </w:p>
    <w:p w14:paraId="4FADAD4E" w14:textId="77777777" w:rsidR="00F83E8F" w:rsidRPr="004E66B4" w:rsidRDefault="00F83E8F" w:rsidP="00F83E8F">
      <w:pPr>
        <w:widowControl w:val="0"/>
        <w:autoSpaceDE w:val="0"/>
        <w:autoSpaceDN w:val="0"/>
        <w:adjustRightInd w:val="0"/>
        <w:ind w:right="49"/>
        <w:jc w:val="both"/>
        <w:rPr>
          <w:rFonts w:ascii="Verdana" w:hAnsi="Verdana"/>
          <w:sz w:val="20"/>
          <w:szCs w:val="20"/>
        </w:rPr>
      </w:pPr>
    </w:p>
    <w:p w14:paraId="54DE7B73" w14:textId="77777777" w:rsidR="00F83E8F" w:rsidRPr="004E66B4" w:rsidRDefault="00F83E8F" w:rsidP="00E70701">
      <w:pPr>
        <w:pStyle w:val="ListParagraph"/>
        <w:widowControl w:val="0"/>
        <w:numPr>
          <w:ilvl w:val="0"/>
          <w:numId w:val="28"/>
        </w:numPr>
        <w:autoSpaceDE w:val="0"/>
        <w:autoSpaceDN w:val="0"/>
        <w:adjustRightInd w:val="0"/>
        <w:ind w:left="0" w:right="49" w:firstLine="0"/>
        <w:jc w:val="both"/>
        <w:rPr>
          <w:rFonts w:ascii="Verdana" w:hAnsi="Verdana"/>
          <w:sz w:val="20"/>
          <w:szCs w:val="20"/>
        </w:rPr>
      </w:pPr>
      <w:r>
        <w:rPr>
          <w:rFonts w:ascii="Verdana" w:hAnsi="Verdana"/>
          <w:sz w:val="20"/>
          <w:szCs w:val="20"/>
        </w:rPr>
        <w:t xml:space="preserve">Como se observa, </w:t>
      </w:r>
      <w:r w:rsidRPr="004E66B4">
        <w:rPr>
          <w:rFonts w:ascii="Verdana" w:hAnsi="Verdana"/>
          <w:sz w:val="20"/>
          <w:szCs w:val="20"/>
        </w:rPr>
        <w:t xml:space="preserve">lo que la Corte IDH </w:t>
      </w:r>
      <w:r>
        <w:rPr>
          <w:rFonts w:ascii="Verdana" w:hAnsi="Verdana"/>
          <w:sz w:val="20"/>
          <w:szCs w:val="20"/>
        </w:rPr>
        <w:t>refleja</w:t>
      </w:r>
      <w:r w:rsidRPr="004E66B4">
        <w:rPr>
          <w:rFonts w:ascii="Verdana" w:hAnsi="Verdana"/>
          <w:sz w:val="20"/>
          <w:szCs w:val="20"/>
        </w:rPr>
        <w:t xml:space="preserve"> con estos pronunciamientos es que tanto los sindicatos como sus representantes</w:t>
      </w:r>
      <w:r>
        <w:rPr>
          <w:rFonts w:ascii="Verdana" w:hAnsi="Verdana"/>
          <w:sz w:val="20"/>
          <w:szCs w:val="20"/>
        </w:rPr>
        <w:t>,</w:t>
      </w:r>
      <w:r w:rsidRPr="004E66B4">
        <w:rPr>
          <w:rFonts w:ascii="Verdana" w:hAnsi="Verdana"/>
          <w:sz w:val="20"/>
          <w:szCs w:val="20"/>
        </w:rPr>
        <w:t xml:space="preserve"> así como las asociaciones de trabajadores como sus representantes, </w:t>
      </w:r>
      <w:r w:rsidRPr="004E66B4">
        <w:rPr>
          <w:rFonts w:ascii="Verdana" w:hAnsi="Verdana"/>
          <w:i/>
          <w:sz w:val="20"/>
          <w:szCs w:val="20"/>
        </w:rPr>
        <w:t>gozan de una protección específica</w:t>
      </w:r>
      <w:r w:rsidRPr="004E66B4">
        <w:rPr>
          <w:rFonts w:ascii="Verdana" w:hAnsi="Verdana"/>
          <w:sz w:val="20"/>
          <w:szCs w:val="20"/>
        </w:rPr>
        <w:t xml:space="preserve"> para el correcto desempeño de sus funciones</w:t>
      </w:r>
      <w:r w:rsidRPr="004E66B4">
        <w:rPr>
          <w:rStyle w:val="FootnoteReference"/>
          <w:szCs w:val="20"/>
        </w:rPr>
        <w:footnoteReference w:id="351"/>
      </w:r>
      <w:r>
        <w:rPr>
          <w:rFonts w:ascii="Verdana" w:hAnsi="Verdana"/>
          <w:sz w:val="20"/>
          <w:szCs w:val="20"/>
        </w:rPr>
        <w:t>,</w:t>
      </w:r>
      <w:r w:rsidRPr="004E66B4">
        <w:rPr>
          <w:rFonts w:ascii="Verdana" w:hAnsi="Verdana"/>
          <w:sz w:val="20"/>
          <w:szCs w:val="20"/>
        </w:rPr>
        <w:t xml:space="preserve"> sin hacer distinción alguna entre uno u otro. Al respecto, la Corte IDH concluyó que: </w:t>
      </w:r>
    </w:p>
    <w:p w14:paraId="7632DD1D" w14:textId="77777777" w:rsidR="00F83E8F" w:rsidRPr="004E66B4" w:rsidRDefault="00F83E8F" w:rsidP="00F83E8F">
      <w:pPr>
        <w:pStyle w:val="ListParagraph"/>
        <w:widowControl w:val="0"/>
        <w:autoSpaceDE w:val="0"/>
        <w:autoSpaceDN w:val="0"/>
        <w:adjustRightInd w:val="0"/>
        <w:ind w:left="0" w:right="49"/>
        <w:jc w:val="both"/>
        <w:rPr>
          <w:rFonts w:ascii="Verdana" w:hAnsi="Verdana"/>
          <w:sz w:val="20"/>
          <w:szCs w:val="20"/>
        </w:rPr>
      </w:pPr>
    </w:p>
    <w:p w14:paraId="1859A8C9" w14:textId="77777777" w:rsidR="00F83E8F" w:rsidRPr="004E66B4" w:rsidRDefault="00F83E8F" w:rsidP="00F83E8F">
      <w:pPr>
        <w:pStyle w:val="ListParagraph"/>
        <w:widowControl w:val="0"/>
        <w:autoSpaceDE w:val="0"/>
        <w:autoSpaceDN w:val="0"/>
        <w:adjustRightInd w:val="0"/>
        <w:ind w:left="708" w:right="758"/>
        <w:jc w:val="both"/>
        <w:rPr>
          <w:rFonts w:ascii="Verdana" w:hAnsi="Verdana"/>
          <w:sz w:val="16"/>
          <w:szCs w:val="16"/>
        </w:rPr>
      </w:pPr>
      <w:r w:rsidRPr="004E66B4">
        <w:rPr>
          <w:rFonts w:ascii="Verdana" w:hAnsi="Verdana"/>
          <w:sz w:val="16"/>
          <w:szCs w:val="16"/>
        </w:rPr>
        <w:t xml:space="preserve">158. […] En este sentido, el propio artículo 26 de la Convención Americana que se deriva de las normas económicas, sociales y sobre educación, ciencia y cultura, contenidas en la Carta de la Organización de los Estados Americanos, reconoce el derecho de los empleadores y trabajadores de asociarse libremente para la defensa y promoción de sus intereses, y el Preámbulo la Carta Democrática Interamericana reconoce que el derecho de los trabajadores de asociarse para la defensa y promoción de sus intereses es fundamental para la plena realización de los ideales democráticos. </w:t>
      </w:r>
    </w:p>
    <w:p w14:paraId="42ACD540" w14:textId="77777777" w:rsidR="00F83E8F" w:rsidRPr="004E66B4" w:rsidRDefault="00F83E8F" w:rsidP="00F83E8F">
      <w:pPr>
        <w:ind w:right="758"/>
        <w:contextualSpacing/>
        <w:jc w:val="both"/>
        <w:rPr>
          <w:rFonts w:ascii="Verdana" w:hAnsi="Verdana"/>
          <w:sz w:val="20"/>
          <w:szCs w:val="20"/>
        </w:rPr>
      </w:pPr>
    </w:p>
    <w:p w14:paraId="7B7DD4DC" w14:textId="77777777" w:rsidR="00F83E8F" w:rsidRPr="004E66B4" w:rsidRDefault="00F83E8F" w:rsidP="00F83E8F">
      <w:pPr>
        <w:ind w:left="708" w:right="758"/>
        <w:contextualSpacing/>
        <w:jc w:val="both"/>
        <w:rPr>
          <w:rFonts w:ascii="Verdana" w:hAnsi="Verdana"/>
          <w:sz w:val="16"/>
          <w:szCs w:val="16"/>
        </w:rPr>
      </w:pPr>
      <w:r w:rsidRPr="004E66B4">
        <w:rPr>
          <w:rFonts w:ascii="Verdana" w:hAnsi="Verdana"/>
          <w:sz w:val="16"/>
          <w:szCs w:val="16"/>
        </w:rPr>
        <w:t>163. En vista de lo anterior, esta Corte concluye que el Estado es responsable por la violación del artículo 16.1 y 26 en relación con los artículos 1.1, 13 y 8 de la Convención Americana, en perjuicio de Alfredo Lagos del Campo</w:t>
      </w:r>
      <w:r>
        <w:rPr>
          <w:rStyle w:val="FootnoteReference"/>
          <w:sz w:val="16"/>
          <w:szCs w:val="16"/>
        </w:rPr>
        <w:footnoteReference w:id="352"/>
      </w:r>
      <w:r w:rsidRPr="004E66B4">
        <w:rPr>
          <w:rFonts w:ascii="Verdana" w:hAnsi="Verdana"/>
          <w:sz w:val="16"/>
          <w:szCs w:val="16"/>
        </w:rPr>
        <w:t>.</w:t>
      </w:r>
    </w:p>
    <w:p w14:paraId="255BE93F" w14:textId="77777777" w:rsidR="00F83E8F" w:rsidRPr="004E66B4" w:rsidRDefault="00F83E8F" w:rsidP="00F83E8F">
      <w:pPr>
        <w:pStyle w:val="ListParagraph"/>
        <w:widowControl w:val="0"/>
        <w:autoSpaceDE w:val="0"/>
        <w:autoSpaceDN w:val="0"/>
        <w:adjustRightInd w:val="0"/>
        <w:ind w:left="0" w:right="49"/>
        <w:jc w:val="both"/>
        <w:rPr>
          <w:rFonts w:ascii="Verdana" w:hAnsi="Verdana"/>
          <w:sz w:val="20"/>
          <w:szCs w:val="20"/>
        </w:rPr>
      </w:pPr>
    </w:p>
    <w:p w14:paraId="520FC9F6" w14:textId="77777777" w:rsidR="00F83E8F" w:rsidRDefault="00F83E8F" w:rsidP="00E70701">
      <w:pPr>
        <w:pStyle w:val="ListParagraph"/>
        <w:widowControl w:val="0"/>
        <w:numPr>
          <w:ilvl w:val="0"/>
          <w:numId w:val="28"/>
        </w:numPr>
        <w:autoSpaceDE w:val="0"/>
        <w:autoSpaceDN w:val="0"/>
        <w:adjustRightInd w:val="0"/>
        <w:ind w:left="0" w:right="49" w:firstLine="0"/>
        <w:jc w:val="both"/>
        <w:rPr>
          <w:rFonts w:ascii="Verdana" w:hAnsi="Verdana"/>
          <w:sz w:val="20"/>
          <w:szCs w:val="20"/>
        </w:rPr>
      </w:pPr>
      <w:r w:rsidRPr="004E66B4">
        <w:rPr>
          <w:rFonts w:ascii="Verdana" w:hAnsi="Verdana"/>
          <w:sz w:val="20"/>
          <w:szCs w:val="20"/>
        </w:rPr>
        <w:t>En este s</w:t>
      </w:r>
      <w:r>
        <w:rPr>
          <w:rFonts w:ascii="Verdana" w:hAnsi="Verdana"/>
          <w:sz w:val="20"/>
          <w:szCs w:val="20"/>
        </w:rPr>
        <w:t xml:space="preserve">entido, no se </w:t>
      </w:r>
      <w:r w:rsidRPr="004E66B4">
        <w:rPr>
          <w:rFonts w:ascii="Verdana" w:hAnsi="Verdana"/>
          <w:sz w:val="20"/>
          <w:szCs w:val="20"/>
        </w:rPr>
        <w:t>pretende establecer que el artículo 8.1.a</w:t>
      </w:r>
      <w:r>
        <w:rPr>
          <w:rFonts w:ascii="Verdana" w:hAnsi="Verdana"/>
          <w:sz w:val="20"/>
          <w:szCs w:val="20"/>
        </w:rPr>
        <w:t xml:space="preserve"> del Protocolo de San Salvador</w:t>
      </w:r>
      <w:r w:rsidRPr="004E66B4">
        <w:rPr>
          <w:rFonts w:ascii="Verdana" w:hAnsi="Verdana"/>
          <w:sz w:val="20"/>
          <w:szCs w:val="20"/>
        </w:rPr>
        <w:t xml:space="preserve"> le sea aplicable</w:t>
      </w:r>
      <w:r>
        <w:rPr>
          <w:rFonts w:ascii="Verdana" w:hAnsi="Verdana"/>
          <w:sz w:val="20"/>
          <w:szCs w:val="20"/>
        </w:rPr>
        <w:t>,</w:t>
      </w:r>
      <w:r w:rsidRPr="004E66B4">
        <w:rPr>
          <w:rFonts w:ascii="Verdana" w:hAnsi="Verdana"/>
          <w:sz w:val="20"/>
          <w:szCs w:val="20"/>
        </w:rPr>
        <w:t xml:space="preserve"> mediante el artículo 19.6 </w:t>
      </w:r>
      <w:r>
        <w:rPr>
          <w:rFonts w:ascii="Verdana" w:hAnsi="Verdana"/>
          <w:sz w:val="20"/>
          <w:szCs w:val="20"/>
        </w:rPr>
        <w:t xml:space="preserve">de la Convención Americana, </w:t>
      </w:r>
      <w:r w:rsidRPr="004E66B4">
        <w:rPr>
          <w:rFonts w:ascii="Verdana" w:hAnsi="Verdana"/>
          <w:sz w:val="20"/>
          <w:szCs w:val="20"/>
        </w:rPr>
        <w:t>a la situa</w:t>
      </w:r>
      <w:r>
        <w:rPr>
          <w:rFonts w:ascii="Verdana" w:hAnsi="Verdana"/>
          <w:sz w:val="20"/>
          <w:szCs w:val="20"/>
        </w:rPr>
        <w:t>ción del señor Lagos del Campos. Lo anterior se debe a que</w:t>
      </w:r>
      <w:r w:rsidRPr="004E66B4">
        <w:rPr>
          <w:rFonts w:ascii="Verdana" w:hAnsi="Verdana"/>
          <w:sz w:val="20"/>
          <w:szCs w:val="20"/>
        </w:rPr>
        <w:t xml:space="preserve"> no se trata de un representante sindical que actuaba en la defensa legítima de los intereses de los sindicalistas</w:t>
      </w:r>
      <w:r>
        <w:rPr>
          <w:rFonts w:ascii="Verdana" w:hAnsi="Verdana"/>
          <w:sz w:val="20"/>
          <w:szCs w:val="20"/>
        </w:rPr>
        <w:t>.</w:t>
      </w:r>
      <w:r w:rsidRPr="004E66B4">
        <w:rPr>
          <w:rFonts w:ascii="Verdana" w:hAnsi="Verdana"/>
          <w:sz w:val="20"/>
          <w:szCs w:val="20"/>
        </w:rPr>
        <w:t xml:space="preserve"> </w:t>
      </w:r>
      <w:r>
        <w:rPr>
          <w:rFonts w:ascii="Verdana" w:hAnsi="Verdana"/>
          <w:sz w:val="20"/>
          <w:szCs w:val="20"/>
        </w:rPr>
        <w:t>P</w:t>
      </w:r>
      <w:r w:rsidRPr="004E66B4">
        <w:rPr>
          <w:rFonts w:ascii="Verdana" w:hAnsi="Verdana"/>
          <w:sz w:val="20"/>
          <w:szCs w:val="20"/>
        </w:rPr>
        <w:t xml:space="preserve">or el contrario, la situación del señor Lagos del Campo se enmarcaba dentro de la protección que las asociaciones laborales y sus representantes tienen </w:t>
      </w:r>
      <w:r>
        <w:rPr>
          <w:rFonts w:ascii="Verdana" w:hAnsi="Verdana"/>
          <w:i/>
          <w:sz w:val="20"/>
          <w:szCs w:val="20"/>
        </w:rPr>
        <w:t>para asociarse, que au</w:t>
      </w:r>
      <w:r w:rsidRPr="004E66B4">
        <w:rPr>
          <w:rFonts w:ascii="Verdana" w:hAnsi="Verdana"/>
          <w:i/>
          <w:sz w:val="20"/>
          <w:szCs w:val="20"/>
        </w:rPr>
        <w:t xml:space="preserve">n cuando tengan una naturaleza </w:t>
      </w:r>
      <w:r w:rsidRPr="004E66B4">
        <w:rPr>
          <w:rFonts w:ascii="Verdana" w:hAnsi="Verdana"/>
          <w:i/>
          <w:sz w:val="20"/>
          <w:szCs w:val="20"/>
        </w:rPr>
        <w:lastRenderedPageBreak/>
        <w:t>distinta a la de los sindicatos, persigan intereses y derechos legítimos de los trabajadores</w:t>
      </w:r>
      <w:r w:rsidRPr="004E66B4">
        <w:rPr>
          <w:rStyle w:val="FootnoteReference"/>
          <w:i/>
          <w:szCs w:val="20"/>
        </w:rPr>
        <w:footnoteReference w:id="353"/>
      </w:r>
      <w:r>
        <w:rPr>
          <w:rFonts w:ascii="Verdana" w:hAnsi="Verdana"/>
          <w:sz w:val="20"/>
          <w:szCs w:val="20"/>
        </w:rPr>
        <w:t>;</w:t>
      </w:r>
      <w:r w:rsidRPr="004E66B4">
        <w:rPr>
          <w:rFonts w:ascii="Verdana" w:hAnsi="Verdana"/>
          <w:sz w:val="20"/>
          <w:szCs w:val="20"/>
        </w:rPr>
        <w:t xml:space="preserve"> protección que no se encuentra en el Protocolo de San Salvador en el artículo concerniente a la materia laboral (artículo 6 del Protocolo de San Salvador)</w:t>
      </w:r>
      <w:r w:rsidRPr="004E66B4">
        <w:rPr>
          <w:rStyle w:val="FootnoteReference"/>
          <w:szCs w:val="20"/>
        </w:rPr>
        <w:footnoteReference w:id="354"/>
      </w:r>
      <w:r w:rsidRPr="004E66B4">
        <w:rPr>
          <w:rFonts w:ascii="Verdana" w:hAnsi="Verdana"/>
          <w:sz w:val="20"/>
          <w:szCs w:val="20"/>
        </w:rPr>
        <w:t>, sino que éste se encuentra contemplado de manera expresa en el artículo 45 inciso c)</w:t>
      </w:r>
      <w:r>
        <w:rPr>
          <w:rFonts w:ascii="Verdana" w:hAnsi="Verdana"/>
          <w:sz w:val="20"/>
          <w:szCs w:val="20"/>
        </w:rPr>
        <w:t>,</w:t>
      </w:r>
      <w:r w:rsidRPr="004E66B4">
        <w:rPr>
          <w:rFonts w:ascii="Verdana" w:hAnsi="Verdana"/>
          <w:sz w:val="20"/>
          <w:szCs w:val="20"/>
        </w:rPr>
        <w:t xml:space="preserve"> de la Carta </w:t>
      </w:r>
      <w:r>
        <w:rPr>
          <w:rFonts w:ascii="Verdana" w:hAnsi="Verdana"/>
          <w:sz w:val="20"/>
          <w:szCs w:val="20"/>
        </w:rPr>
        <w:t xml:space="preserve">OEA. </w:t>
      </w:r>
    </w:p>
    <w:p w14:paraId="42C3C56C" w14:textId="77777777" w:rsidR="00F83E8F" w:rsidRDefault="00F83E8F" w:rsidP="00F83E8F">
      <w:pPr>
        <w:pStyle w:val="ListParagraph"/>
        <w:widowControl w:val="0"/>
        <w:autoSpaceDE w:val="0"/>
        <w:autoSpaceDN w:val="0"/>
        <w:adjustRightInd w:val="0"/>
        <w:ind w:left="0" w:right="49"/>
        <w:jc w:val="both"/>
        <w:rPr>
          <w:rFonts w:ascii="Verdana" w:hAnsi="Verdana"/>
          <w:sz w:val="20"/>
          <w:szCs w:val="20"/>
        </w:rPr>
      </w:pPr>
    </w:p>
    <w:p w14:paraId="6B799F04" w14:textId="77777777" w:rsidR="00F83E8F" w:rsidRDefault="00F83E8F" w:rsidP="00E70701">
      <w:pPr>
        <w:pStyle w:val="ListParagraph"/>
        <w:widowControl w:val="0"/>
        <w:numPr>
          <w:ilvl w:val="0"/>
          <w:numId w:val="28"/>
        </w:numPr>
        <w:autoSpaceDE w:val="0"/>
        <w:autoSpaceDN w:val="0"/>
        <w:adjustRightInd w:val="0"/>
        <w:ind w:left="0" w:right="49" w:firstLine="0"/>
        <w:jc w:val="both"/>
        <w:rPr>
          <w:rFonts w:ascii="Verdana" w:hAnsi="Verdana"/>
          <w:sz w:val="20"/>
          <w:szCs w:val="20"/>
        </w:rPr>
      </w:pPr>
      <w:r>
        <w:rPr>
          <w:rFonts w:ascii="Verdana" w:hAnsi="Verdana"/>
          <w:sz w:val="20"/>
          <w:szCs w:val="20"/>
        </w:rPr>
        <w:t xml:space="preserve">En un ejercicio comparativo entre el artículo 8.1.a del Protocolo de San Salvador y el artículo 45 inciso c) de la Carta de la OEA, podemos arribar a algunas precisiones que resultan fundamentales para comprender el alcance del derecho de asociación laboral para la defensa y promoción de los intereses de los trabajadores en el presente caso: </w:t>
      </w:r>
    </w:p>
    <w:p w14:paraId="33D6540A" w14:textId="77777777" w:rsidR="00F83E8F" w:rsidRPr="00AE10A0" w:rsidRDefault="00F83E8F" w:rsidP="00F83E8F">
      <w:pPr>
        <w:pStyle w:val="ListParagraph"/>
        <w:widowControl w:val="0"/>
        <w:autoSpaceDE w:val="0"/>
        <w:autoSpaceDN w:val="0"/>
        <w:adjustRightInd w:val="0"/>
        <w:ind w:left="0" w:right="49"/>
        <w:jc w:val="both"/>
        <w:rPr>
          <w:rFonts w:ascii="Verdana" w:hAnsi="Verdana"/>
          <w:sz w:val="20"/>
          <w:szCs w:val="20"/>
        </w:rPr>
      </w:pPr>
    </w:p>
    <w:p w14:paraId="4062D993" w14:textId="77777777" w:rsidR="00F83E8F" w:rsidRPr="004E66B4" w:rsidRDefault="00F83E8F" w:rsidP="00F83E8F">
      <w:pPr>
        <w:pStyle w:val="ListParagraph"/>
        <w:ind w:left="360" w:right="758"/>
        <w:jc w:val="center"/>
        <w:rPr>
          <w:rFonts w:ascii="Verdana" w:hAnsi="Verdana"/>
          <w:b/>
          <w:sz w:val="16"/>
          <w:szCs w:val="16"/>
        </w:rPr>
      </w:pPr>
      <w:r>
        <w:rPr>
          <w:rFonts w:ascii="Verdana" w:hAnsi="Verdana"/>
          <w:b/>
          <w:sz w:val="16"/>
          <w:szCs w:val="16"/>
        </w:rPr>
        <w:t xml:space="preserve">45. c) </w:t>
      </w:r>
      <w:r w:rsidRPr="004E66B4">
        <w:rPr>
          <w:rFonts w:ascii="Verdana" w:hAnsi="Verdana"/>
          <w:b/>
          <w:sz w:val="16"/>
          <w:szCs w:val="16"/>
        </w:rPr>
        <w:t xml:space="preserve"> Carta de la OEA</w:t>
      </w:r>
    </w:p>
    <w:p w14:paraId="2B41C35B" w14:textId="77777777" w:rsidR="00F83E8F" w:rsidRPr="004E66B4" w:rsidRDefault="00F83E8F" w:rsidP="00F83E8F">
      <w:pPr>
        <w:pStyle w:val="ListParagraph"/>
        <w:ind w:left="360" w:right="758"/>
        <w:jc w:val="both"/>
        <w:rPr>
          <w:rFonts w:ascii="Verdana" w:hAnsi="Verdana"/>
          <w:b/>
          <w:sz w:val="16"/>
          <w:szCs w:val="16"/>
        </w:rPr>
      </w:pPr>
    </w:p>
    <w:p w14:paraId="14F04391" w14:textId="77777777" w:rsidR="00F83E8F" w:rsidRPr="004E66B4" w:rsidRDefault="00F83E8F" w:rsidP="00F83E8F">
      <w:pPr>
        <w:pStyle w:val="ListParagraph"/>
        <w:tabs>
          <w:tab w:val="left" w:pos="8080"/>
        </w:tabs>
        <w:ind w:left="709" w:right="758"/>
        <w:jc w:val="both"/>
        <w:rPr>
          <w:rFonts w:ascii="Verdana" w:hAnsi="Verdana"/>
          <w:sz w:val="16"/>
          <w:szCs w:val="16"/>
        </w:rPr>
      </w:pPr>
      <w:r w:rsidRPr="004E66B4">
        <w:rPr>
          <w:rFonts w:ascii="Verdana" w:hAnsi="Verdana"/>
          <w:b/>
          <w:sz w:val="16"/>
          <w:szCs w:val="16"/>
        </w:rPr>
        <w:t>Los empleadores y los trabajadores,</w:t>
      </w:r>
      <w:r w:rsidRPr="004E66B4">
        <w:rPr>
          <w:rFonts w:ascii="Verdana" w:hAnsi="Verdana"/>
          <w:sz w:val="16"/>
          <w:szCs w:val="16"/>
        </w:rPr>
        <w:t xml:space="preserve"> tanto rurales como urbanos, </w:t>
      </w:r>
      <w:r w:rsidRPr="00B05C28">
        <w:rPr>
          <w:rFonts w:ascii="Verdana" w:hAnsi="Verdana"/>
          <w:b/>
          <w:sz w:val="16"/>
          <w:szCs w:val="16"/>
        </w:rPr>
        <w:t>tienen el derecho de asociarse libremente para la defensa y promoción de sus intereses</w:t>
      </w:r>
      <w:r w:rsidRPr="004E66B4">
        <w:rPr>
          <w:rFonts w:ascii="Verdana" w:hAnsi="Verdana"/>
          <w:b/>
          <w:sz w:val="16"/>
          <w:szCs w:val="16"/>
        </w:rPr>
        <w:t>,</w:t>
      </w:r>
      <w:r w:rsidRPr="004E66B4">
        <w:rPr>
          <w:rFonts w:ascii="Verdana" w:hAnsi="Verdana"/>
          <w:sz w:val="16"/>
          <w:szCs w:val="16"/>
        </w:rPr>
        <w:t xml:space="preserve"> incluyendo el derecho de negociación colectiva y el de huelga por parte de los trabajadores, el reconocimiento de la personería jurídica de las asociaciones y la protección de su libertad e independencia, todo de conformidad con la legislación respectiva.</w:t>
      </w:r>
    </w:p>
    <w:p w14:paraId="605CCC6B" w14:textId="77777777" w:rsidR="00F83E8F" w:rsidRPr="004E66B4" w:rsidRDefault="00F83E8F" w:rsidP="00F83E8F">
      <w:pPr>
        <w:widowControl w:val="0"/>
        <w:autoSpaceDE w:val="0"/>
        <w:autoSpaceDN w:val="0"/>
        <w:adjustRightInd w:val="0"/>
        <w:ind w:right="49"/>
        <w:jc w:val="both"/>
        <w:rPr>
          <w:rFonts w:ascii="Verdana" w:hAnsi="Verdana"/>
          <w:sz w:val="20"/>
          <w:szCs w:val="20"/>
        </w:rPr>
      </w:pPr>
    </w:p>
    <w:p w14:paraId="631B0E4B" w14:textId="77777777" w:rsidR="00F83E8F" w:rsidRPr="004E66B4" w:rsidRDefault="00F83E8F" w:rsidP="00F83E8F">
      <w:pPr>
        <w:ind w:right="758" w:firstLine="708"/>
        <w:jc w:val="center"/>
        <w:rPr>
          <w:rFonts w:ascii="Verdana" w:hAnsi="Verdana"/>
          <w:b/>
          <w:sz w:val="16"/>
          <w:szCs w:val="16"/>
        </w:rPr>
      </w:pPr>
      <w:r w:rsidRPr="004E66B4">
        <w:rPr>
          <w:rFonts w:ascii="Verdana" w:hAnsi="Verdana"/>
          <w:b/>
          <w:sz w:val="16"/>
          <w:szCs w:val="16"/>
        </w:rPr>
        <w:t>8.1</w:t>
      </w:r>
      <w:proofErr w:type="gramStart"/>
      <w:r w:rsidRPr="004E66B4">
        <w:rPr>
          <w:rFonts w:ascii="Verdana" w:hAnsi="Verdana"/>
          <w:b/>
          <w:sz w:val="16"/>
          <w:szCs w:val="16"/>
        </w:rPr>
        <w:t>.a</w:t>
      </w:r>
      <w:proofErr w:type="gramEnd"/>
      <w:r w:rsidRPr="004E66B4">
        <w:rPr>
          <w:rFonts w:ascii="Verdana" w:hAnsi="Verdana"/>
          <w:b/>
          <w:sz w:val="16"/>
          <w:szCs w:val="16"/>
        </w:rPr>
        <w:t xml:space="preserve"> Derechos Sindicales del Protocolo de San Salvador</w:t>
      </w:r>
    </w:p>
    <w:p w14:paraId="200042E4" w14:textId="77777777" w:rsidR="00F83E8F" w:rsidRPr="004E66B4" w:rsidRDefault="00F83E8F" w:rsidP="00F83E8F">
      <w:pPr>
        <w:ind w:right="758" w:firstLine="708"/>
        <w:jc w:val="center"/>
        <w:rPr>
          <w:rFonts w:ascii="Verdana" w:hAnsi="Verdana"/>
          <w:b/>
          <w:sz w:val="16"/>
          <w:szCs w:val="16"/>
        </w:rPr>
      </w:pPr>
    </w:p>
    <w:p w14:paraId="4512F108" w14:textId="77777777" w:rsidR="00F83E8F" w:rsidRPr="004E66B4" w:rsidRDefault="00F83E8F" w:rsidP="00F83E8F">
      <w:pPr>
        <w:widowControl w:val="0"/>
        <w:autoSpaceDE w:val="0"/>
        <w:autoSpaceDN w:val="0"/>
        <w:adjustRightInd w:val="0"/>
        <w:ind w:left="708" w:right="758"/>
        <w:jc w:val="both"/>
        <w:rPr>
          <w:rFonts w:ascii="Verdana" w:hAnsi="Verdana"/>
          <w:sz w:val="16"/>
          <w:szCs w:val="16"/>
        </w:rPr>
      </w:pPr>
      <w:r w:rsidRPr="004E66B4">
        <w:rPr>
          <w:rFonts w:ascii="Verdana" w:hAnsi="Verdana"/>
          <w:sz w:val="16"/>
          <w:szCs w:val="16"/>
        </w:rPr>
        <w:t>1. Los Estados partes garantizarán: a</w:t>
      </w:r>
      <w:r w:rsidRPr="004E66B4">
        <w:rPr>
          <w:rFonts w:ascii="Verdana" w:hAnsi="Verdana"/>
          <w:b/>
          <w:sz w:val="16"/>
          <w:szCs w:val="16"/>
        </w:rPr>
        <w:t>. el derecho de los trabajadores a organizar sindicatos y a afiliarse al de su elección, para la protección y promoción de sus intereses.</w:t>
      </w:r>
      <w:r w:rsidRPr="004E66B4">
        <w:rPr>
          <w:rFonts w:ascii="Verdana" w:hAnsi="Verdana"/>
          <w:sz w:val="16"/>
          <w:szCs w:val="16"/>
        </w:rPr>
        <w:t xml:space="preserve"> Como proyección de este derecho, los Estados partes permitirán a los sindicatos formar federaciones y confederaciones nacionales y asociarse a las ya existentes, así como formar organizaciones sindicales internacionales y asociarse a la de su elección. Los Estados partes también permitirán que los sindicatos, federaciones y confederaciones funcionen libremente;</w:t>
      </w:r>
    </w:p>
    <w:p w14:paraId="02B58F56" w14:textId="77777777" w:rsidR="00F83E8F" w:rsidRPr="004E66B4" w:rsidRDefault="00F83E8F" w:rsidP="00F83E8F">
      <w:pPr>
        <w:widowControl w:val="0"/>
        <w:autoSpaceDE w:val="0"/>
        <w:autoSpaceDN w:val="0"/>
        <w:adjustRightInd w:val="0"/>
        <w:ind w:right="49"/>
        <w:jc w:val="both"/>
        <w:rPr>
          <w:rFonts w:ascii="Verdana" w:hAnsi="Verdana"/>
          <w:sz w:val="20"/>
          <w:szCs w:val="20"/>
        </w:rPr>
      </w:pPr>
    </w:p>
    <w:p w14:paraId="0A48780A" w14:textId="77777777" w:rsidR="00F83E8F" w:rsidRPr="00BF1E46" w:rsidRDefault="00F83E8F" w:rsidP="00E70701">
      <w:pPr>
        <w:pStyle w:val="ListParagraph"/>
        <w:widowControl w:val="0"/>
        <w:numPr>
          <w:ilvl w:val="0"/>
          <w:numId w:val="28"/>
        </w:numPr>
        <w:autoSpaceDE w:val="0"/>
        <w:autoSpaceDN w:val="0"/>
        <w:adjustRightInd w:val="0"/>
        <w:ind w:left="0" w:right="49" w:firstLine="0"/>
        <w:jc w:val="both"/>
        <w:rPr>
          <w:rFonts w:ascii="Verdana" w:hAnsi="Verdana"/>
          <w:sz w:val="20"/>
          <w:szCs w:val="20"/>
        </w:rPr>
      </w:pPr>
      <w:r>
        <w:rPr>
          <w:rFonts w:ascii="Verdana" w:hAnsi="Verdana"/>
          <w:sz w:val="20"/>
          <w:szCs w:val="20"/>
        </w:rPr>
        <w:t>D</w:t>
      </w:r>
      <w:r w:rsidRPr="004E66B4">
        <w:rPr>
          <w:rFonts w:ascii="Verdana" w:hAnsi="Verdana"/>
          <w:sz w:val="20"/>
          <w:szCs w:val="20"/>
        </w:rPr>
        <w:t>e la lectura entre el artículo 8.1</w:t>
      </w:r>
      <w:r>
        <w:rPr>
          <w:rFonts w:ascii="Verdana" w:hAnsi="Verdana"/>
          <w:sz w:val="20"/>
          <w:szCs w:val="20"/>
        </w:rPr>
        <w:t>.</w:t>
      </w:r>
      <w:r w:rsidRPr="004E66B4">
        <w:rPr>
          <w:rFonts w:ascii="Verdana" w:hAnsi="Verdana"/>
          <w:sz w:val="20"/>
          <w:szCs w:val="20"/>
        </w:rPr>
        <w:t>a</w:t>
      </w:r>
      <w:r>
        <w:rPr>
          <w:rFonts w:ascii="Verdana" w:hAnsi="Verdana"/>
          <w:sz w:val="20"/>
          <w:szCs w:val="20"/>
        </w:rPr>
        <w:t xml:space="preserve"> del Protocolo de San Salvador</w:t>
      </w:r>
      <w:r w:rsidRPr="004E66B4">
        <w:rPr>
          <w:rFonts w:ascii="Verdana" w:hAnsi="Verdana"/>
          <w:sz w:val="20"/>
          <w:szCs w:val="20"/>
        </w:rPr>
        <w:t xml:space="preserve"> y el artículo 45 inciso c) de la Carta de la OEA</w:t>
      </w:r>
      <w:r>
        <w:rPr>
          <w:rFonts w:ascii="Verdana" w:hAnsi="Verdana"/>
          <w:sz w:val="20"/>
          <w:szCs w:val="20"/>
        </w:rPr>
        <w:t>, se aprecia que</w:t>
      </w:r>
      <w:r w:rsidRPr="004E66B4">
        <w:rPr>
          <w:rFonts w:ascii="Verdana" w:hAnsi="Verdana"/>
          <w:sz w:val="20"/>
          <w:szCs w:val="20"/>
        </w:rPr>
        <w:t xml:space="preserve"> </w:t>
      </w:r>
      <w:r w:rsidRPr="00BF1E46">
        <w:rPr>
          <w:rFonts w:ascii="Verdana" w:hAnsi="Verdana"/>
          <w:sz w:val="20"/>
          <w:szCs w:val="20"/>
        </w:rPr>
        <w:t xml:space="preserve">la diferencia estriba en quién es el titular </w:t>
      </w:r>
      <w:r w:rsidRPr="00BF1E46">
        <w:rPr>
          <w:rFonts w:ascii="Verdana" w:hAnsi="Verdana"/>
          <w:i/>
          <w:sz w:val="20"/>
          <w:szCs w:val="20"/>
        </w:rPr>
        <w:t xml:space="preserve">del derecho de asociación para </w:t>
      </w:r>
      <w:r>
        <w:rPr>
          <w:rFonts w:ascii="Verdana" w:hAnsi="Verdana"/>
          <w:i/>
          <w:sz w:val="20"/>
          <w:szCs w:val="20"/>
        </w:rPr>
        <w:t xml:space="preserve">la </w:t>
      </w:r>
      <w:r w:rsidRPr="00BF1E46">
        <w:rPr>
          <w:rFonts w:ascii="Verdana" w:hAnsi="Verdana"/>
          <w:i/>
          <w:sz w:val="20"/>
          <w:szCs w:val="20"/>
        </w:rPr>
        <w:t>protección/defensa y promoción  de sus intereses</w:t>
      </w:r>
      <w:r w:rsidRPr="00BF1E46">
        <w:rPr>
          <w:rFonts w:ascii="Verdana" w:hAnsi="Verdana"/>
          <w:sz w:val="20"/>
          <w:szCs w:val="20"/>
        </w:rPr>
        <w:t xml:space="preserve"> reconocido en ambos instrumentos</w:t>
      </w:r>
      <w:r>
        <w:rPr>
          <w:rFonts w:ascii="Verdana" w:hAnsi="Verdana"/>
          <w:sz w:val="20"/>
          <w:szCs w:val="20"/>
        </w:rPr>
        <w:t>. E</w:t>
      </w:r>
      <w:r w:rsidRPr="00BF1E46">
        <w:rPr>
          <w:rFonts w:ascii="Verdana" w:hAnsi="Verdana"/>
          <w:sz w:val="20"/>
          <w:szCs w:val="20"/>
        </w:rPr>
        <w:t xml:space="preserve">s decir, mientras que el primero se lo reconoce a </w:t>
      </w:r>
      <w:r>
        <w:rPr>
          <w:rFonts w:ascii="Verdana" w:hAnsi="Verdana"/>
          <w:sz w:val="20"/>
          <w:szCs w:val="20"/>
        </w:rPr>
        <w:t>los sindicatos (de manera especí</w:t>
      </w:r>
      <w:r w:rsidRPr="00BF1E46">
        <w:rPr>
          <w:rFonts w:ascii="Verdana" w:hAnsi="Verdana"/>
          <w:sz w:val="20"/>
          <w:szCs w:val="20"/>
        </w:rPr>
        <w:t>fica)</w:t>
      </w:r>
      <w:r>
        <w:rPr>
          <w:rFonts w:ascii="Verdana" w:hAnsi="Verdana"/>
          <w:sz w:val="20"/>
          <w:szCs w:val="20"/>
        </w:rPr>
        <w:t>,</w:t>
      </w:r>
      <w:r w:rsidRPr="00BF1E46">
        <w:rPr>
          <w:rFonts w:ascii="Verdana" w:hAnsi="Verdana"/>
          <w:sz w:val="20"/>
          <w:szCs w:val="20"/>
        </w:rPr>
        <w:t xml:space="preserve"> el segundo lo hace de manera más general a las asociaciones de trabajadores sin condicionar a que sean o estén conformados como sindicatos. </w:t>
      </w:r>
    </w:p>
    <w:p w14:paraId="1931C80B" w14:textId="77777777" w:rsidR="00F83E8F" w:rsidRPr="004E66B4" w:rsidRDefault="00F83E8F" w:rsidP="00F83E8F">
      <w:pPr>
        <w:widowControl w:val="0"/>
        <w:autoSpaceDE w:val="0"/>
        <w:autoSpaceDN w:val="0"/>
        <w:adjustRightInd w:val="0"/>
        <w:ind w:right="49"/>
        <w:jc w:val="both"/>
        <w:rPr>
          <w:rFonts w:ascii="Verdana" w:hAnsi="Verdana"/>
          <w:sz w:val="20"/>
          <w:szCs w:val="20"/>
        </w:rPr>
      </w:pPr>
    </w:p>
    <w:p w14:paraId="25D3FF24" w14:textId="77777777" w:rsidR="00F83E8F" w:rsidRPr="00D36B44" w:rsidRDefault="00F83E8F" w:rsidP="00E70701">
      <w:pPr>
        <w:pStyle w:val="ListParagraph"/>
        <w:widowControl w:val="0"/>
        <w:numPr>
          <w:ilvl w:val="0"/>
          <w:numId w:val="28"/>
        </w:numPr>
        <w:autoSpaceDE w:val="0"/>
        <w:autoSpaceDN w:val="0"/>
        <w:adjustRightInd w:val="0"/>
        <w:ind w:left="0" w:right="49" w:firstLine="0"/>
        <w:jc w:val="both"/>
        <w:rPr>
          <w:rFonts w:ascii="Verdana" w:hAnsi="Verdana"/>
          <w:sz w:val="20"/>
          <w:szCs w:val="20"/>
        </w:rPr>
      </w:pPr>
      <w:r>
        <w:rPr>
          <w:rFonts w:ascii="Verdana" w:hAnsi="Verdana"/>
          <w:sz w:val="20"/>
          <w:szCs w:val="20"/>
        </w:rPr>
        <w:t>Así también, la Corte IDH al declarar violado</w:t>
      </w:r>
      <w:r w:rsidRPr="004E66B4">
        <w:rPr>
          <w:rFonts w:ascii="Verdana" w:hAnsi="Verdana"/>
          <w:sz w:val="20"/>
          <w:szCs w:val="20"/>
        </w:rPr>
        <w:t xml:space="preserve"> el artículo 26</w:t>
      </w:r>
      <w:r>
        <w:rPr>
          <w:rFonts w:ascii="Verdana" w:hAnsi="Verdana"/>
          <w:sz w:val="20"/>
          <w:szCs w:val="20"/>
        </w:rPr>
        <w:t xml:space="preserve"> de la Convención Americana, concluye</w:t>
      </w:r>
      <w:r w:rsidRPr="004E66B4">
        <w:rPr>
          <w:rFonts w:ascii="Verdana" w:hAnsi="Verdana"/>
          <w:sz w:val="20"/>
          <w:szCs w:val="20"/>
        </w:rPr>
        <w:t xml:space="preserve"> que el derecho </w:t>
      </w:r>
      <w:r>
        <w:rPr>
          <w:rFonts w:ascii="Verdana" w:hAnsi="Verdana"/>
          <w:i/>
          <w:sz w:val="20"/>
          <w:szCs w:val="20"/>
        </w:rPr>
        <w:t>de defensa y promoción de</w:t>
      </w:r>
      <w:r w:rsidRPr="004E66B4">
        <w:rPr>
          <w:rFonts w:ascii="Verdana" w:hAnsi="Verdana"/>
          <w:i/>
          <w:sz w:val="20"/>
          <w:szCs w:val="20"/>
        </w:rPr>
        <w:t xml:space="preserve"> intereses de los trabajadores mediante la </w:t>
      </w:r>
      <w:r w:rsidRPr="00B448A4">
        <w:rPr>
          <w:rFonts w:ascii="Verdana" w:hAnsi="Verdana"/>
          <w:i/>
          <w:sz w:val="20"/>
          <w:szCs w:val="20"/>
          <w:u w:val="single"/>
        </w:rPr>
        <w:t>asociación</w:t>
      </w:r>
      <w:r>
        <w:rPr>
          <w:rFonts w:ascii="Verdana" w:hAnsi="Verdana"/>
          <w:i/>
          <w:sz w:val="20"/>
          <w:szCs w:val="20"/>
        </w:rPr>
        <w:t>,</w:t>
      </w:r>
      <w:r>
        <w:rPr>
          <w:rFonts w:ascii="Verdana" w:hAnsi="Verdana"/>
          <w:sz w:val="20"/>
          <w:szCs w:val="20"/>
        </w:rPr>
        <w:t xml:space="preserve"> puede ser válidamente exigible (derivado del mandato convencional), a través del artículo 26 del Pacto de San José; pues tal como</w:t>
      </w:r>
      <w:r w:rsidRPr="004E66B4">
        <w:rPr>
          <w:rFonts w:ascii="Verdana" w:hAnsi="Verdana"/>
          <w:sz w:val="20"/>
          <w:szCs w:val="20"/>
        </w:rPr>
        <w:t xml:space="preserve"> lo ha referido la Sentencia</w:t>
      </w:r>
      <w:r>
        <w:rPr>
          <w:rFonts w:ascii="Verdana" w:hAnsi="Verdana"/>
          <w:sz w:val="20"/>
          <w:szCs w:val="20"/>
        </w:rPr>
        <w:t>,</w:t>
      </w:r>
      <w:r w:rsidRPr="004E66B4">
        <w:rPr>
          <w:rFonts w:ascii="Verdana" w:hAnsi="Verdana"/>
          <w:sz w:val="20"/>
          <w:szCs w:val="20"/>
        </w:rPr>
        <w:t xml:space="preserve"> entre representantes de sindicatos y representantes de asociaciones laborales no hay diferencia alguna</w:t>
      </w:r>
      <w:r>
        <w:rPr>
          <w:rFonts w:ascii="Verdana" w:hAnsi="Verdana"/>
          <w:sz w:val="20"/>
          <w:szCs w:val="20"/>
        </w:rPr>
        <w:t xml:space="preserve">. </w:t>
      </w:r>
      <w:r w:rsidRPr="00D36B44">
        <w:rPr>
          <w:rFonts w:ascii="Verdana" w:hAnsi="Verdana"/>
          <w:sz w:val="20"/>
          <w:szCs w:val="20"/>
        </w:rPr>
        <w:t xml:space="preserve">Así, mientras que la asociación sindical para la defensa de los intereses puede ser invocada vía protocolo de San Salvador (8.1.a), de no haberse hecho justiciable vía </w:t>
      </w:r>
      <w:r>
        <w:rPr>
          <w:rFonts w:ascii="Verdana" w:hAnsi="Verdana"/>
          <w:sz w:val="20"/>
          <w:szCs w:val="20"/>
        </w:rPr>
        <w:t xml:space="preserve">artículo </w:t>
      </w:r>
      <w:r w:rsidRPr="00D36B44">
        <w:rPr>
          <w:rFonts w:ascii="Verdana" w:hAnsi="Verdana"/>
          <w:sz w:val="20"/>
          <w:szCs w:val="20"/>
        </w:rPr>
        <w:t>26</w:t>
      </w:r>
      <w:r>
        <w:rPr>
          <w:rFonts w:ascii="Verdana" w:hAnsi="Verdana"/>
          <w:sz w:val="20"/>
          <w:szCs w:val="20"/>
        </w:rPr>
        <w:t xml:space="preserve"> de la Convención Americana,</w:t>
      </w:r>
      <w:r w:rsidRPr="00D36B44">
        <w:rPr>
          <w:rFonts w:ascii="Verdana" w:hAnsi="Verdana"/>
          <w:sz w:val="20"/>
          <w:szCs w:val="20"/>
        </w:rPr>
        <w:t xml:space="preserve"> el derecho de “asociación laboral para la defensa de s</w:t>
      </w:r>
      <w:r>
        <w:rPr>
          <w:rFonts w:ascii="Verdana" w:hAnsi="Verdana"/>
          <w:sz w:val="20"/>
          <w:szCs w:val="20"/>
        </w:rPr>
        <w:t>us intereses” hubiera tenido</w:t>
      </w:r>
      <w:r w:rsidRPr="00D36B44">
        <w:rPr>
          <w:rFonts w:ascii="Verdana" w:hAnsi="Verdana"/>
          <w:sz w:val="20"/>
          <w:szCs w:val="20"/>
        </w:rPr>
        <w:t xml:space="preserve"> el riesgo de dejar sin protección internacional a personas que también merecen la protección por esta vertiente </w:t>
      </w:r>
      <w:r>
        <w:rPr>
          <w:rFonts w:ascii="Verdana" w:hAnsi="Verdana"/>
          <w:sz w:val="20"/>
          <w:szCs w:val="20"/>
        </w:rPr>
        <w:t>en contextos laborales</w:t>
      </w:r>
      <w:r w:rsidRPr="008D2569">
        <w:rPr>
          <w:rStyle w:val="FootnoteReference"/>
          <w:szCs w:val="20"/>
        </w:rPr>
        <w:footnoteReference w:id="355"/>
      </w:r>
      <w:r w:rsidRPr="008D2569">
        <w:rPr>
          <w:rFonts w:ascii="Verdana" w:hAnsi="Verdana"/>
          <w:sz w:val="20"/>
          <w:szCs w:val="20"/>
        </w:rPr>
        <w:t>.</w:t>
      </w:r>
      <w:r w:rsidRPr="00D36B44">
        <w:rPr>
          <w:rFonts w:ascii="Verdana" w:hAnsi="Verdana"/>
          <w:sz w:val="20"/>
          <w:szCs w:val="20"/>
        </w:rPr>
        <w:t xml:space="preserve"> </w:t>
      </w:r>
    </w:p>
    <w:p w14:paraId="50EFD8AA" w14:textId="77777777" w:rsidR="00F83E8F" w:rsidRPr="004E66B4" w:rsidRDefault="00F83E8F" w:rsidP="00F83E8F">
      <w:pPr>
        <w:widowControl w:val="0"/>
        <w:autoSpaceDE w:val="0"/>
        <w:autoSpaceDN w:val="0"/>
        <w:adjustRightInd w:val="0"/>
        <w:ind w:right="49"/>
        <w:jc w:val="both"/>
        <w:rPr>
          <w:rFonts w:ascii="Verdana" w:hAnsi="Verdana"/>
          <w:sz w:val="20"/>
          <w:szCs w:val="20"/>
        </w:rPr>
      </w:pPr>
    </w:p>
    <w:p w14:paraId="1C57C604" w14:textId="77777777" w:rsidR="00F83E8F" w:rsidRDefault="00F83E8F" w:rsidP="00E70701">
      <w:pPr>
        <w:pStyle w:val="ListParagraph"/>
        <w:widowControl w:val="0"/>
        <w:numPr>
          <w:ilvl w:val="0"/>
          <w:numId w:val="28"/>
        </w:numPr>
        <w:autoSpaceDE w:val="0"/>
        <w:autoSpaceDN w:val="0"/>
        <w:adjustRightInd w:val="0"/>
        <w:ind w:left="0" w:right="49" w:firstLine="0"/>
        <w:jc w:val="both"/>
        <w:rPr>
          <w:rFonts w:ascii="Verdana" w:hAnsi="Verdana"/>
          <w:sz w:val="20"/>
          <w:szCs w:val="20"/>
        </w:rPr>
      </w:pPr>
      <w:r w:rsidRPr="004E66B4">
        <w:rPr>
          <w:rFonts w:ascii="Verdana" w:hAnsi="Verdana"/>
          <w:sz w:val="20"/>
          <w:szCs w:val="20"/>
        </w:rPr>
        <w:t xml:space="preserve">Sobre este punto, </w:t>
      </w:r>
      <w:r>
        <w:rPr>
          <w:rFonts w:ascii="Verdana" w:hAnsi="Verdana"/>
          <w:sz w:val="20"/>
          <w:szCs w:val="20"/>
        </w:rPr>
        <w:t>considero que el hecho de que la Corte IDH</w:t>
      </w:r>
      <w:r w:rsidRPr="004E66B4">
        <w:rPr>
          <w:rFonts w:ascii="Verdana" w:hAnsi="Verdana"/>
          <w:sz w:val="20"/>
          <w:szCs w:val="20"/>
        </w:rPr>
        <w:t xml:space="preserve"> se pronuncie sobre la </w:t>
      </w:r>
      <w:proofErr w:type="spellStart"/>
      <w:r w:rsidRPr="004E66B4">
        <w:rPr>
          <w:rFonts w:ascii="Verdana" w:hAnsi="Verdana"/>
          <w:sz w:val="20"/>
          <w:szCs w:val="20"/>
        </w:rPr>
        <w:t>justiciabilidad</w:t>
      </w:r>
      <w:proofErr w:type="spellEnd"/>
      <w:r w:rsidRPr="004E66B4">
        <w:rPr>
          <w:rFonts w:ascii="Verdana" w:hAnsi="Verdana"/>
          <w:sz w:val="20"/>
          <w:szCs w:val="20"/>
        </w:rPr>
        <w:t xml:space="preserve"> de derechos no contemplados en el art. 19.6 del Protocolo de San Salvador</w:t>
      </w:r>
      <w:r>
        <w:rPr>
          <w:rFonts w:ascii="Verdana" w:hAnsi="Verdana"/>
          <w:sz w:val="20"/>
          <w:szCs w:val="20"/>
        </w:rPr>
        <w:t>,</w:t>
      </w:r>
      <w:r w:rsidRPr="004E66B4">
        <w:rPr>
          <w:rFonts w:ascii="Verdana" w:hAnsi="Verdana"/>
          <w:sz w:val="20"/>
          <w:szCs w:val="20"/>
        </w:rPr>
        <w:t xml:space="preserve"> mediante el artículo 26 de la Convención Americana</w:t>
      </w:r>
      <w:r>
        <w:rPr>
          <w:rFonts w:ascii="Verdana" w:hAnsi="Verdana"/>
          <w:sz w:val="20"/>
          <w:szCs w:val="20"/>
        </w:rPr>
        <w:t>,</w:t>
      </w:r>
      <w:r w:rsidRPr="004E66B4">
        <w:rPr>
          <w:rFonts w:ascii="Verdana" w:hAnsi="Verdana"/>
          <w:sz w:val="20"/>
          <w:szCs w:val="20"/>
        </w:rPr>
        <w:t xml:space="preserve"> cobra especial relevancia. En primer lugar, porque como fue expuesto, no todos los derechos sociales fueron contemplados en el Protocolo de San Salvador </w:t>
      </w:r>
      <w:r>
        <w:rPr>
          <w:rFonts w:ascii="Verdana" w:hAnsi="Verdana"/>
          <w:sz w:val="20"/>
          <w:szCs w:val="20"/>
        </w:rPr>
        <w:t xml:space="preserve">cuando fue redactado </w:t>
      </w:r>
      <w:r w:rsidRPr="004E66B4">
        <w:rPr>
          <w:rFonts w:ascii="Verdana" w:hAnsi="Verdana"/>
          <w:sz w:val="20"/>
          <w:szCs w:val="20"/>
        </w:rPr>
        <w:t>ni todas sus vert</w:t>
      </w:r>
      <w:r>
        <w:rPr>
          <w:rFonts w:ascii="Verdana" w:hAnsi="Verdana"/>
          <w:sz w:val="20"/>
          <w:szCs w:val="20"/>
        </w:rPr>
        <w:t>ientes. E</w:t>
      </w:r>
      <w:r w:rsidRPr="004E66B4">
        <w:rPr>
          <w:rFonts w:ascii="Verdana" w:hAnsi="Verdana"/>
          <w:sz w:val="20"/>
          <w:szCs w:val="20"/>
        </w:rPr>
        <w:t>n segundo lugar, porque se evitaría hacer distinciones de grados en cu</w:t>
      </w:r>
      <w:r>
        <w:rPr>
          <w:rFonts w:ascii="Verdana" w:hAnsi="Verdana"/>
          <w:sz w:val="20"/>
          <w:szCs w:val="20"/>
        </w:rPr>
        <w:t>anto a quiénes sí</w:t>
      </w:r>
      <w:r w:rsidRPr="004E66B4">
        <w:rPr>
          <w:rFonts w:ascii="Verdana" w:hAnsi="Verdana"/>
          <w:sz w:val="20"/>
          <w:szCs w:val="20"/>
        </w:rPr>
        <w:t xml:space="preserve"> se </w:t>
      </w:r>
      <w:r>
        <w:rPr>
          <w:rFonts w:ascii="Verdana" w:hAnsi="Verdana"/>
          <w:sz w:val="20"/>
          <w:szCs w:val="20"/>
        </w:rPr>
        <w:t xml:space="preserve">les </w:t>
      </w:r>
      <w:r w:rsidRPr="004E66B4">
        <w:rPr>
          <w:rFonts w:ascii="Verdana" w:hAnsi="Verdana"/>
          <w:sz w:val="20"/>
          <w:szCs w:val="20"/>
        </w:rPr>
        <w:t>puede, o no</w:t>
      </w:r>
      <w:r>
        <w:rPr>
          <w:rFonts w:ascii="Verdana" w:hAnsi="Verdana"/>
          <w:sz w:val="20"/>
          <w:szCs w:val="20"/>
        </w:rPr>
        <w:t xml:space="preserve">, </w:t>
      </w:r>
      <w:r w:rsidRPr="004E66B4">
        <w:rPr>
          <w:rFonts w:ascii="Verdana" w:hAnsi="Verdana"/>
          <w:sz w:val="20"/>
          <w:szCs w:val="20"/>
        </w:rPr>
        <w:t>proteger</w:t>
      </w:r>
      <w:r>
        <w:rPr>
          <w:rFonts w:ascii="Verdana" w:hAnsi="Verdana"/>
          <w:sz w:val="20"/>
          <w:szCs w:val="20"/>
        </w:rPr>
        <w:t xml:space="preserve"> el derecho</w:t>
      </w:r>
      <w:r w:rsidRPr="004E66B4">
        <w:rPr>
          <w:rFonts w:ascii="Verdana" w:hAnsi="Verdana"/>
          <w:sz w:val="20"/>
          <w:szCs w:val="20"/>
        </w:rPr>
        <w:t xml:space="preserve">, por la </w:t>
      </w:r>
      <w:r>
        <w:rPr>
          <w:rFonts w:ascii="Verdana" w:hAnsi="Verdana"/>
          <w:sz w:val="20"/>
          <w:szCs w:val="20"/>
        </w:rPr>
        <w:t xml:space="preserve">restricción que hace </w:t>
      </w:r>
      <w:r w:rsidRPr="004E66B4">
        <w:rPr>
          <w:rFonts w:ascii="Verdana" w:hAnsi="Verdana"/>
          <w:sz w:val="20"/>
          <w:szCs w:val="20"/>
        </w:rPr>
        <w:t xml:space="preserve"> del artículo 19.6 </w:t>
      </w:r>
      <w:r>
        <w:rPr>
          <w:rFonts w:ascii="Verdana" w:hAnsi="Verdana"/>
          <w:sz w:val="20"/>
          <w:szCs w:val="20"/>
        </w:rPr>
        <w:t xml:space="preserve">del Protocolo de San Salvador </w:t>
      </w:r>
      <w:r w:rsidRPr="004E66B4">
        <w:rPr>
          <w:rFonts w:ascii="Verdana" w:hAnsi="Verdana"/>
          <w:sz w:val="20"/>
          <w:szCs w:val="20"/>
        </w:rPr>
        <w:t>(en este caso sólo de las asociaciones sindicales y de sus representantes).</w:t>
      </w:r>
    </w:p>
    <w:p w14:paraId="6E5457EC" w14:textId="77777777" w:rsidR="00F83E8F" w:rsidRPr="005B6191" w:rsidRDefault="00F83E8F" w:rsidP="00F83E8F">
      <w:pPr>
        <w:widowControl w:val="0"/>
        <w:autoSpaceDE w:val="0"/>
        <w:autoSpaceDN w:val="0"/>
        <w:adjustRightInd w:val="0"/>
        <w:ind w:right="49"/>
        <w:jc w:val="both"/>
        <w:rPr>
          <w:rFonts w:ascii="Verdana" w:hAnsi="Verdana"/>
          <w:sz w:val="20"/>
          <w:szCs w:val="20"/>
        </w:rPr>
      </w:pPr>
    </w:p>
    <w:p w14:paraId="34BDFC16" w14:textId="77777777" w:rsidR="00F83E8F" w:rsidRPr="00ED5B40" w:rsidRDefault="00F83E8F" w:rsidP="00E70701">
      <w:pPr>
        <w:pStyle w:val="ListParagraph"/>
        <w:widowControl w:val="0"/>
        <w:numPr>
          <w:ilvl w:val="0"/>
          <w:numId w:val="28"/>
        </w:numPr>
        <w:autoSpaceDE w:val="0"/>
        <w:autoSpaceDN w:val="0"/>
        <w:adjustRightInd w:val="0"/>
        <w:ind w:left="0" w:right="49" w:firstLine="0"/>
        <w:jc w:val="both"/>
        <w:rPr>
          <w:rFonts w:ascii="Verdana" w:hAnsi="Verdana"/>
          <w:sz w:val="20"/>
          <w:szCs w:val="20"/>
        </w:rPr>
      </w:pPr>
      <w:r>
        <w:rPr>
          <w:rFonts w:ascii="Verdana" w:hAnsi="Verdana"/>
          <w:sz w:val="20"/>
          <w:szCs w:val="20"/>
        </w:rPr>
        <w:t xml:space="preserve">Sin detrimento de lo anterior, considero que el Tribunal Interamericano pudo haber utilizado, para dar mayor claridad a la violación del derecho de asociación laboral, el </w:t>
      </w:r>
      <w:r w:rsidRPr="00CE4E0E">
        <w:rPr>
          <w:rFonts w:ascii="Verdana" w:hAnsi="Verdana"/>
          <w:sz w:val="20"/>
          <w:szCs w:val="20"/>
        </w:rPr>
        <w:t xml:space="preserve">artículo 29 </w:t>
      </w:r>
      <w:r>
        <w:rPr>
          <w:rFonts w:ascii="Verdana" w:hAnsi="Verdana"/>
          <w:sz w:val="20"/>
          <w:szCs w:val="20"/>
        </w:rPr>
        <w:t xml:space="preserve">incisos </w:t>
      </w:r>
      <w:r w:rsidRPr="00CE4E0E">
        <w:rPr>
          <w:rFonts w:ascii="Verdana" w:hAnsi="Verdana"/>
          <w:sz w:val="20"/>
          <w:szCs w:val="20"/>
        </w:rPr>
        <w:t>b) y d) de la Convención Americana</w:t>
      </w:r>
      <w:r>
        <w:rPr>
          <w:rFonts w:ascii="Verdana" w:hAnsi="Verdana"/>
          <w:sz w:val="20"/>
          <w:szCs w:val="20"/>
        </w:rPr>
        <w:t>, como normas de interpretación en relación con el artículo 26 de la Convención Americana y el artículo 45 inciso c) de la Carta de la OEA; y no solo referirlo al artículo 16 del Pacto de San José. Lo anterior, debido a que se puede correr el riesgo de que el contenido del derecho de asociación laboral para la promoción y la defensa de los intereses de los trabajadores (</w:t>
      </w:r>
      <w:r w:rsidRPr="0047617E">
        <w:rPr>
          <w:rFonts w:ascii="Verdana" w:hAnsi="Verdana"/>
          <w:i/>
          <w:sz w:val="20"/>
          <w:szCs w:val="20"/>
        </w:rPr>
        <w:t>stricto sensu</w:t>
      </w:r>
      <w:r>
        <w:rPr>
          <w:rFonts w:ascii="Verdana" w:hAnsi="Verdana"/>
          <w:sz w:val="20"/>
          <w:szCs w:val="20"/>
        </w:rPr>
        <w:t>) se diluya en el contenido del derecho de asociación (</w:t>
      </w:r>
      <w:r w:rsidRPr="005B6191">
        <w:rPr>
          <w:rFonts w:ascii="Verdana" w:hAnsi="Verdana"/>
          <w:i/>
          <w:sz w:val="20"/>
          <w:szCs w:val="20"/>
        </w:rPr>
        <w:t>lato sensu</w:t>
      </w:r>
      <w:r w:rsidRPr="008D2569">
        <w:rPr>
          <w:rFonts w:ascii="Verdana" w:hAnsi="Verdana"/>
          <w:i/>
          <w:sz w:val="20"/>
          <w:szCs w:val="20"/>
        </w:rPr>
        <w:t>)</w:t>
      </w:r>
      <w:r w:rsidRPr="008D2569">
        <w:rPr>
          <w:rStyle w:val="FootnoteReference"/>
          <w:color w:val="FF0000"/>
          <w:szCs w:val="20"/>
        </w:rPr>
        <w:t xml:space="preserve"> </w:t>
      </w:r>
      <w:r w:rsidRPr="008D2569">
        <w:rPr>
          <w:rStyle w:val="FootnoteReference"/>
          <w:szCs w:val="20"/>
        </w:rPr>
        <w:footnoteReference w:id="356"/>
      </w:r>
      <w:r>
        <w:rPr>
          <w:rFonts w:ascii="Verdana" w:hAnsi="Verdana"/>
          <w:i/>
          <w:sz w:val="20"/>
          <w:szCs w:val="20"/>
        </w:rPr>
        <w:t xml:space="preserve">. </w:t>
      </w:r>
    </w:p>
    <w:p w14:paraId="777C9B80" w14:textId="77777777" w:rsidR="00F83E8F" w:rsidRPr="00AE10A0" w:rsidRDefault="00F83E8F" w:rsidP="00F83E8F">
      <w:pPr>
        <w:pStyle w:val="ListParagraph"/>
        <w:widowControl w:val="0"/>
        <w:autoSpaceDE w:val="0"/>
        <w:autoSpaceDN w:val="0"/>
        <w:adjustRightInd w:val="0"/>
        <w:ind w:left="0" w:right="49"/>
        <w:jc w:val="both"/>
        <w:rPr>
          <w:rFonts w:ascii="Verdana" w:hAnsi="Verdana"/>
          <w:sz w:val="20"/>
          <w:szCs w:val="20"/>
        </w:rPr>
      </w:pPr>
    </w:p>
    <w:p w14:paraId="02667098" w14:textId="77777777" w:rsidR="00F83E8F" w:rsidRDefault="00F83E8F" w:rsidP="00F83E8F">
      <w:pPr>
        <w:jc w:val="center"/>
        <w:rPr>
          <w:rFonts w:ascii="Verdana" w:hAnsi="Verdana"/>
          <w:sz w:val="20"/>
          <w:szCs w:val="20"/>
        </w:rPr>
      </w:pPr>
      <w:r w:rsidRPr="00E1438E">
        <w:rPr>
          <w:rFonts w:ascii="Verdana" w:hAnsi="Verdana"/>
          <w:sz w:val="20"/>
          <w:szCs w:val="20"/>
        </w:rPr>
        <w:t>IV.</w:t>
      </w:r>
      <w:r>
        <w:rPr>
          <w:rFonts w:ascii="Verdana" w:hAnsi="Verdana"/>
          <w:sz w:val="20"/>
          <w:szCs w:val="20"/>
        </w:rPr>
        <w:t xml:space="preserve"> </w:t>
      </w:r>
      <w:r w:rsidRPr="00E1438E">
        <w:rPr>
          <w:rFonts w:ascii="Verdana" w:hAnsi="Verdana"/>
          <w:sz w:val="20"/>
          <w:szCs w:val="20"/>
        </w:rPr>
        <w:t xml:space="preserve"> CONCLUSIONES </w:t>
      </w:r>
    </w:p>
    <w:p w14:paraId="2EFA2AB2" w14:textId="77777777" w:rsidR="00F83E8F" w:rsidRPr="00E1438E" w:rsidRDefault="00F83E8F" w:rsidP="00F83E8F">
      <w:pPr>
        <w:rPr>
          <w:rFonts w:ascii="Verdana" w:hAnsi="Verdana"/>
          <w:sz w:val="20"/>
          <w:szCs w:val="20"/>
        </w:rPr>
      </w:pPr>
    </w:p>
    <w:p w14:paraId="4E44C056" w14:textId="77777777" w:rsidR="00F83E8F" w:rsidRPr="001D0833" w:rsidRDefault="00F83E8F" w:rsidP="00E70701">
      <w:pPr>
        <w:pStyle w:val="ListParagraph"/>
        <w:numPr>
          <w:ilvl w:val="0"/>
          <w:numId w:val="28"/>
        </w:numPr>
        <w:ind w:left="0" w:firstLine="0"/>
        <w:jc w:val="both"/>
        <w:rPr>
          <w:rFonts w:ascii="Times" w:hAnsi="Times"/>
          <w:sz w:val="20"/>
          <w:szCs w:val="20"/>
        </w:rPr>
      </w:pPr>
      <w:r>
        <w:rPr>
          <w:rFonts w:ascii="Verdana" w:hAnsi="Verdana"/>
          <w:sz w:val="20"/>
          <w:szCs w:val="20"/>
        </w:rPr>
        <w:t>En muy</w:t>
      </w:r>
      <w:r w:rsidRPr="000E2881">
        <w:rPr>
          <w:rFonts w:ascii="Verdana" w:hAnsi="Verdana"/>
          <w:sz w:val="20"/>
          <w:szCs w:val="20"/>
        </w:rPr>
        <w:t xml:space="preserve"> pocos casos </w:t>
      </w:r>
      <w:r>
        <w:rPr>
          <w:rFonts w:ascii="Verdana" w:hAnsi="Verdana"/>
          <w:sz w:val="20"/>
          <w:szCs w:val="20"/>
        </w:rPr>
        <w:t xml:space="preserve">la Corte IDH </w:t>
      </w:r>
      <w:r w:rsidRPr="000E2881">
        <w:rPr>
          <w:rFonts w:ascii="Verdana" w:hAnsi="Verdana"/>
          <w:sz w:val="20"/>
          <w:szCs w:val="20"/>
        </w:rPr>
        <w:t>se había pronunciado sob</w:t>
      </w:r>
      <w:r>
        <w:rPr>
          <w:rFonts w:ascii="Verdana" w:hAnsi="Verdana"/>
          <w:sz w:val="20"/>
          <w:szCs w:val="20"/>
        </w:rPr>
        <w:t>re el contenido del artículo 26 de la Convención Americana. En</w:t>
      </w:r>
      <w:r w:rsidRPr="000E2881">
        <w:rPr>
          <w:rFonts w:ascii="Verdana" w:hAnsi="Verdana"/>
          <w:sz w:val="20"/>
          <w:szCs w:val="20"/>
        </w:rPr>
        <w:t xml:space="preserve"> </w:t>
      </w:r>
      <w:r>
        <w:rPr>
          <w:rFonts w:ascii="Verdana" w:hAnsi="Verdana"/>
          <w:sz w:val="20"/>
          <w:szCs w:val="20"/>
        </w:rPr>
        <w:t xml:space="preserve">solo </w:t>
      </w:r>
      <w:r w:rsidRPr="000E2881">
        <w:rPr>
          <w:rFonts w:ascii="Verdana" w:hAnsi="Verdana"/>
          <w:sz w:val="20"/>
          <w:szCs w:val="20"/>
        </w:rPr>
        <w:t xml:space="preserve">dos ocasiones </w:t>
      </w:r>
      <w:r>
        <w:rPr>
          <w:rFonts w:ascii="Verdana" w:hAnsi="Verdana"/>
          <w:sz w:val="20"/>
          <w:szCs w:val="20"/>
        </w:rPr>
        <w:t xml:space="preserve">había sido directamente alegado como vulnerado </w:t>
      </w:r>
      <w:r w:rsidRPr="000E2881">
        <w:rPr>
          <w:rFonts w:ascii="Verdana" w:hAnsi="Verdana"/>
          <w:sz w:val="20"/>
          <w:szCs w:val="20"/>
        </w:rPr>
        <w:t>por la Comisión Interamericana</w:t>
      </w:r>
      <w:r w:rsidRPr="004E66B4">
        <w:rPr>
          <w:rStyle w:val="FootnoteReference"/>
          <w:szCs w:val="20"/>
        </w:rPr>
        <w:footnoteReference w:id="357"/>
      </w:r>
      <w:r>
        <w:rPr>
          <w:rFonts w:ascii="Verdana" w:hAnsi="Verdana"/>
          <w:sz w:val="20"/>
          <w:szCs w:val="20"/>
        </w:rPr>
        <w:t xml:space="preserve"> y </w:t>
      </w:r>
      <w:r w:rsidRPr="000E2881">
        <w:rPr>
          <w:rFonts w:ascii="Verdana" w:hAnsi="Verdana"/>
          <w:sz w:val="20"/>
          <w:szCs w:val="20"/>
        </w:rPr>
        <w:t>en seis oportunidades por los representantes de las víctimas</w:t>
      </w:r>
      <w:r w:rsidRPr="004E66B4">
        <w:rPr>
          <w:rStyle w:val="FootnoteReference"/>
          <w:szCs w:val="20"/>
        </w:rPr>
        <w:footnoteReference w:id="358"/>
      </w:r>
      <w:r>
        <w:rPr>
          <w:rFonts w:ascii="Verdana" w:hAnsi="Verdana"/>
          <w:sz w:val="20"/>
          <w:szCs w:val="20"/>
        </w:rPr>
        <w:t>. Por ello, la gran relevancia de la presente Sentencia radica en que el Tribunal Interamericano, por primera ocasión en sus casi cuarenta años de existencia, declara la violación del artículo 26 del Pacto de San José.</w:t>
      </w:r>
    </w:p>
    <w:p w14:paraId="3E9393A3" w14:textId="77777777" w:rsidR="00F83E8F" w:rsidRPr="007D19F0" w:rsidRDefault="00F83E8F" w:rsidP="00F83E8F">
      <w:pPr>
        <w:pStyle w:val="ListParagraph"/>
        <w:ind w:left="0"/>
        <w:jc w:val="both"/>
        <w:rPr>
          <w:rFonts w:ascii="Times" w:hAnsi="Times"/>
          <w:sz w:val="20"/>
          <w:szCs w:val="20"/>
        </w:rPr>
      </w:pPr>
      <w:r w:rsidRPr="007D19F0">
        <w:rPr>
          <w:rFonts w:ascii="Times" w:hAnsi="Times"/>
          <w:sz w:val="20"/>
          <w:szCs w:val="20"/>
        </w:rPr>
        <w:t xml:space="preserve"> </w:t>
      </w:r>
    </w:p>
    <w:p w14:paraId="3E939960" w14:textId="77777777" w:rsidR="00F83E8F" w:rsidRPr="00AF4B30" w:rsidRDefault="00F83E8F" w:rsidP="00E70701">
      <w:pPr>
        <w:pStyle w:val="ListParagraph"/>
        <w:numPr>
          <w:ilvl w:val="0"/>
          <w:numId w:val="28"/>
        </w:numPr>
        <w:ind w:left="0" w:firstLine="0"/>
        <w:jc w:val="both"/>
        <w:rPr>
          <w:rFonts w:ascii="Verdana" w:hAnsi="Verdana"/>
          <w:sz w:val="20"/>
          <w:szCs w:val="20"/>
        </w:rPr>
      </w:pPr>
      <w:r w:rsidRPr="00AF4B30">
        <w:rPr>
          <w:rFonts w:ascii="Verdana" w:hAnsi="Verdana"/>
          <w:sz w:val="20"/>
          <w:szCs w:val="20"/>
        </w:rPr>
        <w:lastRenderedPageBreak/>
        <w:t xml:space="preserve">En este momento histórico </w:t>
      </w:r>
      <w:r>
        <w:rPr>
          <w:rFonts w:ascii="Verdana" w:hAnsi="Verdana"/>
          <w:sz w:val="20"/>
          <w:szCs w:val="20"/>
        </w:rPr>
        <w:t>de</w:t>
      </w:r>
      <w:r w:rsidRPr="00AF4B30">
        <w:rPr>
          <w:rFonts w:ascii="Verdana" w:hAnsi="Verdana"/>
          <w:sz w:val="20"/>
          <w:szCs w:val="20"/>
        </w:rPr>
        <w:t xml:space="preserve"> la jurisprudencia de la Corte IDH, resulta fundamental que las partes y la Comisión Interamericana hagan más visibles los DESCA que </w:t>
      </w:r>
      <w:r>
        <w:rPr>
          <w:rFonts w:ascii="Verdana" w:hAnsi="Verdana"/>
          <w:sz w:val="20"/>
          <w:szCs w:val="20"/>
        </w:rPr>
        <w:t>son susceptibles de</w:t>
      </w:r>
      <w:r w:rsidRPr="00AF4B30">
        <w:rPr>
          <w:rFonts w:ascii="Verdana" w:hAnsi="Verdana"/>
          <w:sz w:val="20"/>
          <w:szCs w:val="20"/>
        </w:rPr>
        <w:t xml:space="preserve"> proteger</w:t>
      </w:r>
      <w:r>
        <w:rPr>
          <w:rFonts w:ascii="Verdana" w:hAnsi="Verdana"/>
          <w:sz w:val="20"/>
          <w:szCs w:val="20"/>
        </w:rPr>
        <w:t>se</w:t>
      </w:r>
      <w:r w:rsidRPr="00AF4B30">
        <w:rPr>
          <w:rFonts w:ascii="Verdana" w:hAnsi="Verdana"/>
          <w:sz w:val="20"/>
          <w:szCs w:val="20"/>
        </w:rPr>
        <w:t xml:space="preserve"> ante el Sistema Interamericano</w:t>
      </w:r>
      <w:r>
        <w:rPr>
          <w:rFonts w:ascii="Verdana" w:hAnsi="Verdana"/>
          <w:sz w:val="20"/>
          <w:szCs w:val="20"/>
        </w:rPr>
        <w:t>, mediante</w:t>
      </w:r>
      <w:r w:rsidRPr="00AF4B30">
        <w:rPr>
          <w:rFonts w:ascii="Verdana" w:hAnsi="Verdana"/>
          <w:sz w:val="20"/>
          <w:szCs w:val="20"/>
        </w:rPr>
        <w:t xml:space="preserve"> alegatos específicos sobre la vulneración de los derechos sociales interamericanos contenidos en el artículo 26 del Pacto de San José. Hoy los derechos sociales han dejado de ser derechos de “buenas intenciones” plasmados en instrumentos internacionales, para pasar a ser exigibles ante las instancias competentes</w:t>
      </w:r>
      <w:r w:rsidRPr="007D19F0">
        <w:rPr>
          <w:rStyle w:val="FootnoteReference"/>
          <w:szCs w:val="20"/>
        </w:rPr>
        <w:footnoteReference w:id="359"/>
      </w:r>
      <w:r w:rsidRPr="00AF4B30">
        <w:rPr>
          <w:rFonts w:ascii="Verdana" w:hAnsi="Verdana"/>
          <w:sz w:val="20"/>
          <w:szCs w:val="20"/>
        </w:rPr>
        <w:t>. Lo anterior marca un nuevo rumbo para el Sistema Interamericano</w:t>
      </w:r>
      <w:r w:rsidRPr="00AF4B30">
        <w:rPr>
          <w:rStyle w:val="FootnoteReference"/>
          <w:szCs w:val="20"/>
        </w:rPr>
        <w:footnoteReference w:id="360"/>
      </w:r>
      <w:r w:rsidRPr="00AF4B30">
        <w:rPr>
          <w:rFonts w:ascii="Verdana" w:hAnsi="Verdana"/>
          <w:sz w:val="20"/>
          <w:szCs w:val="20"/>
        </w:rPr>
        <w:t xml:space="preserve">. </w:t>
      </w:r>
    </w:p>
    <w:p w14:paraId="3F6FC474" w14:textId="77777777" w:rsidR="00F83E8F" w:rsidRPr="00AF4B30" w:rsidRDefault="00F83E8F" w:rsidP="00F83E8F">
      <w:pPr>
        <w:pStyle w:val="ListParagraph"/>
        <w:ind w:left="0"/>
        <w:jc w:val="both"/>
        <w:rPr>
          <w:rFonts w:ascii="Verdana" w:hAnsi="Verdana"/>
          <w:sz w:val="20"/>
          <w:szCs w:val="20"/>
        </w:rPr>
      </w:pPr>
    </w:p>
    <w:p w14:paraId="3DD0620B" w14:textId="77777777" w:rsidR="00F83E8F" w:rsidRPr="00B05C28" w:rsidRDefault="00F83E8F" w:rsidP="00E70701">
      <w:pPr>
        <w:pStyle w:val="ListParagraph"/>
        <w:numPr>
          <w:ilvl w:val="0"/>
          <w:numId w:val="28"/>
        </w:numPr>
        <w:ind w:left="0" w:firstLine="0"/>
        <w:jc w:val="both"/>
        <w:rPr>
          <w:rFonts w:ascii="Calibri" w:hAnsi="Calibri" w:cs="Calibri"/>
          <w:sz w:val="32"/>
          <w:szCs w:val="32"/>
          <w:lang w:val="es-ES"/>
        </w:rPr>
      </w:pPr>
      <w:r>
        <w:rPr>
          <w:rFonts w:ascii="Verdana" w:hAnsi="Verdana"/>
          <w:sz w:val="20"/>
          <w:szCs w:val="20"/>
        </w:rPr>
        <w:t>De ahí que l</w:t>
      </w:r>
      <w:r w:rsidRPr="005F3074">
        <w:rPr>
          <w:rFonts w:ascii="Verdana" w:hAnsi="Verdana"/>
          <w:sz w:val="20"/>
          <w:szCs w:val="20"/>
        </w:rPr>
        <w:t xml:space="preserve">a intención del presente voto razonado es, por un lado, resaltar el importante avance jurisprudencial que se ha dado en el seno del Sistema Interamericano </w:t>
      </w:r>
      <w:r>
        <w:rPr>
          <w:rFonts w:ascii="Verdana" w:hAnsi="Verdana"/>
          <w:sz w:val="20"/>
          <w:szCs w:val="20"/>
        </w:rPr>
        <w:t xml:space="preserve">con esta Sentencia, al otorgar </w:t>
      </w:r>
      <w:proofErr w:type="spellStart"/>
      <w:r>
        <w:rPr>
          <w:rFonts w:ascii="Verdana" w:hAnsi="Verdana"/>
          <w:sz w:val="20"/>
          <w:szCs w:val="20"/>
        </w:rPr>
        <w:t>justiciabilidad</w:t>
      </w:r>
      <w:proofErr w:type="spellEnd"/>
      <w:r>
        <w:rPr>
          <w:rFonts w:ascii="Verdana" w:hAnsi="Verdana"/>
          <w:sz w:val="20"/>
          <w:szCs w:val="20"/>
        </w:rPr>
        <w:t xml:space="preserve"> directa a los DESCA; y, por otro, dejar en claro los alcances, </w:t>
      </w:r>
      <w:r w:rsidRPr="00911447">
        <w:rPr>
          <w:rFonts w:ascii="Verdana" w:hAnsi="Verdana"/>
          <w:sz w:val="20"/>
          <w:szCs w:val="20"/>
        </w:rPr>
        <w:t>diferencias</w:t>
      </w:r>
      <w:r>
        <w:rPr>
          <w:rFonts w:ascii="Verdana" w:hAnsi="Verdana"/>
          <w:sz w:val="20"/>
          <w:szCs w:val="20"/>
        </w:rPr>
        <w:t xml:space="preserve"> y la sinergia</w:t>
      </w:r>
      <w:r w:rsidRPr="00911447">
        <w:rPr>
          <w:rFonts w:ascii="Verdana" w:hAnsi="Verdana"/>
          <w:sz w:val="20"/>
          <w:szCs w:val="20"/>
        </w:rPr>
        <w:t xml:space="preserve"> entre el artículo 16 de la Convención Americana que protege el derecho de asociación (</w:t>
      </w:r>
      <w:r w:rsidRPr="00911447">
        <w:rPr>
          <w:rFonts w:ascii="Verdana" w:hAnsi="Verdana"/>
          <w:i/>
          <w:sz w:val="20"/>
          <w:szCs w:val="20"/>
        </w:rPr>
        <w:t>lato sensu</w:t>
      </w:r>
      <w:r w:rsidRPr="00911447">
        <w:rPr>
          <w:rFonts w:ascii="Verdana" w:hAnsi="Verdana"/>
          <w:sz w:val="20"/>
          <w:szCs w:val="20"/>
        </w:rPr>
        <w:t xml:space="preserve">) y el artículo 26 </w:t>
      </w:r>
      <w:r>
        <w:rPr>
          <w:rFonts w:ascii="Verdana" w:hAnsi="Verdana"/>
          <w:sz w:val="20"/>
          <w:szCs w:val="20"/>
        </w:rPr>
        <w:t xml:space="preserve">del mismo tratado, </w:t>
      </w:r>
      <w:r w:rsidRPr="00911447">
        <w:rPr>
          <w:rFonts w:ascii="Verdana" w:hAnsi="Verdana"/>
          <w:sz w:val="20"/>
          <w:szCs w:val="20"/>
        </w:rPr>
        <w:t>como disposición que protege el derecho de asociación en materia laboral</w:t>
      </w:r>
      <w:r>
        <w:rPr>
          <w:rFonts w:ascii="Verdana" w:hAnsi="Verdana"/>
          <w:sz w:val="20"/>
          <w:szCs w:val="20"/>
        </w:rPr>
        <w:t xml:space="preserve"> </w:t>
      </w:r>
      <w:r w:rsidRPr="00911447">
        <w:rPr>
          <w:rFonts w:ascii="Verdana" w:hAnsi="Verdana"/>
          <w:sz w:val="20"/>
          <w:szCs w:val="20"/>
        </w:rPr>
        <w:t>(</w:t>
      </w:r>
      <w:r w:rsidRPr="00911447">
        <w:rPr>
          <w:rFonts w:ascii="Verdana" w:hAnsi="Verdana"/>
          <w:i/>
          <w:sz w:val="20"/>
          <w:szCs w:val="20"/>
        </w:rPr>
        <w:t>stricto sensu</w:t>
      </w:r>
      <w:r>
        <w:rPr>
          <w:rFonts w:ascii="Verdana" w:hAnsi="Verdana"/>
          <w:sz w:val="20"/>
          <w:szCs w:val="20"/>
        </w:rPr>
        <w:t>), desde la norma que se encuentra consagrada</w:t>
      </w:r>
      <w:r w:rsidRPr="00911447">
        <w:rPr>
          <w:rFonts w:ascii="Verdana" w:hAnsi="Verdana"/>
          <w:sz w:val="20"/>
          <w:szCs w:val="20"/>
        </w:rPr>
        <w:t xml:space="preserve"> en el artículo 45 inciso c)</w:t>
      </w:r>
      <w:r>
        <w:rPr>
          <w:rFonts w:ascii="Verdana" w:hAnsi="Verdana"/>
          <w:sz w:val="20"/>
          <w:szCs w:val="20"/>
        </w:rPr>
        <w:t>,</w:t>
      </w:r>
      <w:r w:rsidRPr="00911447">
        <w:rPr>
          <w:rFonts w:ascii="Verdana" w:hAnsi="Verdana"/>
          <w:sz w:val="20"/>
          <w:szCs w:val="20"/>
        </w:rPr>
        <w:t xml:space="preserve"> de la Carta de la OEA</w:t>
      </w:r>
      <w:r>
        <w:rPr>
          <w:rFonts w:ascii="Verdana" w:hAnsi="Verdana"/>
          <w:sz w:val="20"/>
          <w:szCs w:val="20"/>
        </w:rPr>
        <w:t>.</w:t>
      </w:r>
      <w:r w:rsidRPr="00911447">
        <w:rPr>
          <w:rFonts w:ascii="Verdana" w:hAnsi="Verdana"/>
          <w:sz w:val="20"/>
          <w:szCs w:val="20"/>
        </w:rPr>
        <w:t xml:space="preserve"> </w:t>
      </w:r>
    </w:p>
    <w:p w14:paraId="7E4E19E8" w14:textId="77777777" w:rsidR="00F83E8F" w:rsidRPr="00B05C28" w:rsidRDefault="00F83E8F" w:rsidP="00F83E8F">
      <w:pPr>
        <w:pStyle w:val="ListParagraph"/>
        <w:ind w:left="0"/>
        <w:jc w:val="both"/>
        <w:rPr>
          <w:rFonts w:ascii="Vereda" w:hAnsi="Vereda" w:cs="Calibri"/>
          <w:sz w:val="20"/>
          <w:szCs w:val="20"/>
          <w:lang w:val="es-ES"/>
        </w:rPr>
      </w:pPr>
    </w:p>
    <w:p w14:paraId="1544D84A" w14:textId="77777777" w:rsidR="00F83E8F" w:rsidRPr="00DC30B4" w:rsidRDefault="00F83E8F" w:rsidP="00E70701">
      <w:pPr>
        <w:pStyle w:val="ListParagraph"/>
        <w:numPr>
          <w:ilvl w:val="0"/>
          <w:numId w:val="28"/>
        </w:numPr>
        <w:ind w:left="0" w:firstLine="0"/>
        <w:jc w:val="both"/>
        <w:rPr>
          <w:rFonts w:ascii="Calibri" w:hAnsi="Calibri" w:cs="Calibri"/>
          <w:sz w:val="32"/>
          <w:szCs w:val="32"/>
          <w:lang w:val="es-ES"/>
        </w:rPr>
      </w:pPr>
      <w:r w:rsidRPr="001A0F20">
        <w:rPr>
          <w:rFonts w:ascii="Verdana" w:hAnsi="Verdana"/>
          <w:sz w:val="20"/>
          <w:szCs w:val="20"/>
        </w:rPr>
        <w:t xml:space="preserve">Así, los avances realizados en el caso </w:t>
      </w:r>
      <w:r w:rsidRPr="001A0F20">
        <w:rPr>
          <w:rFonts w:ascii="Verdana" w:hAnsi="Verdana"/>
          <w:i/>
          <w:sz w:val="20"/>
          <w:szCs w:val="20"/>
        </w:rPr>
        <w:t xml:space="preserve">Lagos del Campo </w:t>
      </w:r>
      <w:r w:rsidRPr="001A0F20">
        <w:rPr>
          <w:rFonts w:ascii="Verdana" w:hAnsi="Verdana"/>
          <w:sz w:val="20"/>
          <w:szCs w:val="20"/>
        </w:rPr>
        <w:t>en materia del derecho al trabajo (estabilidad y asociación laboral), y en materia de la protección y garantía de los DESCA por la vía directa y mediante un análisis integral y conglobado de los derechos (económicos, sociales, culturales, ambientales, civiles y políticos), permiten dar un paso histórico hacia una nueva época de la jurisprudencia interamericana. En este sentido, la región interamericana se dirige hacia la misma dirección de lo que recientemente diversos países de Naciones Unidas acordaron mediante los Objetivos del Desarrollo Sostenible para el año 2030</w:t>
      </w:r>
      <w:r w:rsidRPr="001A0F20">
        <w:rPr>
          <w:rStyle w:val="FootnoteReference"/>
          <w:szCs w:val="20"/>
        </w:rPr>
        <w:footnoteReference w:id="361"/>
      </w:r>
      <w:r w:rsidRPr="001A0F20">
        <w:rPr>
          <w:rFonts w:ascii="Verdana" w:hAnsi="Verdana"/>
          <w:sz w:val="20"/>
          <w:szCs w:val="20"/>
        </w:rPr>
        <w:t xml:space="preserve"> (véase </w:t>
      </w:r>
      <w:r w:rsidRPr="001A0F20">
        <w:rPr>
          <w:rFonts w:ascii="Verdana" w:hAnsi="Verdana"/>
          <w:i/>
          <w:sz w:val="20"/>
          <w:szCs w:val="20"/>
        </w:rPr>
        <w:t>supra</w:t>
      </w:r>
      <w:r w:rsidRPr="001A0F20">
        <w:rPr>
          <w:rFonts w:ascii="Verdana" w:hAnsi="Verdana"/>
          <w:sz w:val="20"/>
          <w:szCs w:val="20"/>
        </w:rPr>
        <w:t xml:space="preserve">, párrafo 4, </w:t>
      </w:r>
      <w:r w:rsidRPr="001A0F20">
        <w:rPr>
          <w:rFonts w:ascii="Verdana" w:hAnsi="Verdana"/>
          <w:i/>
          <w:sz w:val="20"/>
          <w:szCs w:val="20"/>
        </w:rPr>
        <w:t xml:space="preserve">in </w:t>
      </w:r>
      <w:r w:rsidRPr="001A0F20">
        <w:rPr>
          <w:rFonts w:ascii="Verdana" w:hAnsi="Verdana"/>
          <w:i/>
          <w:sz w:val="20"/>
          <w:szCs w:val="20"/>
        </w:rPr>
        <w:lastRenderedPageBreak/>
        <w:t>fine</w:t>
      </w:r>
      <w:r w:rsidRPr="001A0F20">
        <w:rPr>
          <w:rFonts w:ascii="Verdana" w:hAnsi="Verdana"/>
          <w:sz w:val="20"/>
          <w:szCs w:val="20"/>
        </w:rPr>
        <w:t>, del presente voto)</w:t>
      </w:r>
      <w:r w:rsidRPr="001A0F20">
        <w:rPr>
          <w:rStyle w:val="FootnoteReference"/>
          <w:szCs w:val="20"/>
        </w:rPr>
        <w:footnoteReference w:id="362"/>
      </w:r>
      <w:r w:rsidRPr="001A0F20">
        <w:rPr>
          <w:rFonts w:ascii="Verdana" w:hAnsi="Verdana"/>
          <w:sz w:val="20"/>
          <w:szCs w:val="20"/>
        </w:rPr>
        <w:t xml:space="preserve">. No debe pasar inadvertido, como bien señala la Comisión Económica para América Latina y el Caribe (CEPAL), que actualmente la desigualdad social en nuestra región constituye un obstáculo para el desarrollo sostenible. </w:t>
      </w:r>
      <w:r w:rsidRPr="00DC30B4">
        <w:rPr>
          <w:rFonts w:ascii="Verdana" w:hAnsi="Verdana"/>
          <w:sz w:val="20"/>
          <w:szCs w:val="20"/>
        </w:rPr>
        <w:t>Y en ese sentido</w:t>
      </w:r>
      <w:r w:rsidRPr="00151A7C">
        <w:rPr>
          <w:rFonts w:ascii="Verdana" w:hAnsi="Verdana"/>
          <w:sz w:val="20"/>
          <w:szCs w:val="20"/>
        </w:rPr>
        <w:t xml:space="preserve"> </w:t>
      </w:r>
      <w:r>
        <w:rPr>
          <w:rFonts w:ascii="Verdana" w:hAnsi="Verdana"/>
          <w:sz w:val="20"/>
          <w:szCs w:val="20"/>
        </w:rPr>
        <w:t>—</w:t>
      </w:r>
      <w:r w:rsidRPr="00805C3A">
        <w:rPr>
          <w:rFonts w:ascii="Verdana" w:hAnsi="Verdana"/>
          <w:sz w:val="20"/>
          <w:szCs w:val="20"/>
        </w:rPr>
        <w:t>sostiene la CEPAL</w:t>
      </w:r>
      <w:r>
        <w:rPr>
          <w:rFonts w:ascii="Verdana" w:hAnsi="Verdana"/>
          <w:sz w:val="20"/>
          <w:szCs w:val="20"/>
        </w:rPr>
        <w:t>—</w:t>
      </w:r>
      <w:r w:rsidRPr="00805C3A">
        <w:rPr>
          <w:rFonts w:ascii="Verdana" w:hAnsi="Verdana"/>
          <w:sz w:val="20"/>
          <w:szCs w:val="20"/>
        </w:rPr>
        <w:t xml:space="preserve"> que </w:t>
      </w:r>
      <w:r w:rsidRPr="00DC30B4">
        <w:rPr>
          <w:rFonts w:ascii="Verdana" w:hAnsi="Verdana"/>
          <w:sz w:val="20"/>
          <w:szCs w:val="20"/>
        </w:rPr>
        <w:t>“</w:t>
      </w:r>
      <w:r w:rsidRPr="00BA6F15">
        <w:rPr>
          <w:rFonts w:ascii="Verdana" w:eastAsia="Times New Roman" w:hAnsi="Verdana"/>
          <w:sz w:val="20"/>
          <w:szCs w:val="20"/>
          <w:lang w:val="es-MX"/>
        </w:rPr>
        <w:t>la igualdad de derechos es el eje primordial de la igualdad”, entendida como la “plena titularidad" para el ejercicio de los derechos económicos, sociales, culturales y medioambientales</w:t>
      </w:r>
      <w:r w:rsidRPr="00DC30B4">
        <w:rPr>
          <w:rStyle w:val="FootnoteReference"/>
          <w:szCs w:val="20"/>
        </w:rPr>
        <w:footnoteReference w:id="363"/>
      </w:r>
      <w:r w:rsidRPr="00BA6F15">
        <w:rPr>
          <w:rFonts w:ascii="Verdana" w:eastAsia="Times New Roman" w:hAnsi="Verdana"/>
          <w:sz w:val="20"/>
          <w:szCs w:val="20"/>
          <w:lang w:val="es-MX"/>
        </w:rPr>
        <w:t>.</w:t>
      </w:r>
    </w:p>
    <w:p w14:paraId="0D2A3DDE" w14:textId="77777777" w:rsidR="00F83E8F" w:rsidRDefault="00F83E8F" w:rsidP="00F83E8F">
      <w:pPr>
        <w:pStyle w:val="ListParagraph"/>
        <w:ind w:left="0"/>
        <w:jc w:val="both"/>
        <w:rPr>
          <w:rFonts w:ascii="Times" w:hAnsi="Times"/>
          <w:sz w:val="20"/>
          <w:szCs w:val="20"/>
        </w:rPr>
      </w:pPr>
    </w:p>
    <w:p w14:paraId="28941CDB" w14:textId="77777777" w:rsidR="00F83E8F" w:rsidRPr="00D36B44" w:rsidRDefault="00F83E8F" w:rsidP="00F83E8F">
      <w:pPr>
        <w:pStyle w:val="ListParagraph"/>
        <w:ind w:left="0"/>
        <w:jc w:val="both"/>
        <w:rPr>
          <w:rFonts w:ascii="Times" w:hAnsi="Times"/>
          <w:sz w:val="20"/>
          <w:szCs w:val="20"/>
        </w:rPr>
      </w:pPr>
    </w:p>
    <w:p w14:paraId="5523C1AB" w14:textId="77777777" w:rsidR="00F83E8F" w:rsidRPr="00D36B44" w:rsidRDefault="00F83E8F" w:rsidP="00E70701">
      <w:pPr>
        <w:pStyle w:val="ListParagraph"/>
        <w:numPr>
          <w:ilvl w:val="0"/>
          <w:numId w:val="28"/>
        </w:numPr>
        <w:ind w:left="0" w:firstLine="0"/>
        <w:jc w:val="both"/>
        <w:rPr>
          <w:rFonts w:ascii="Times" w:hAnsi="Times"/>
          <w:sz w:val="20"/>
          <w:szCs w:val="20"/>
        </w:rPr>
      </w:pPr>
      <w:r w:rsidRPr="00D36B44">
        <w:rPr>
          <w:rFonts w:ascii="Verdana" w:hAnsi="Verdana"/>
          <w:sz w:val="20"/>
          <w:szCs w:val="20"/>
        </w:rPr>
        <w:t xml:space="preserve">Este caso muestra cómo la afectación a un derecho catalogado como social no conlleva necesariamente a la necesidad de evaluaciones sobre la progresividad o no regresividad, o sobre aspectos sobre la disponibilidad de recursos, o sobre la legislación o marcos regulatorios generales o políticas públicas. Pensar que los derechos sociales se reducen a este tipo de análisis es perpetuar los falsos mitos </w:t>
      </w:r>
      <w:r>
        <w:rPr>
          <w:rFonts w:ascii="Verdana" w:hAnsi="Verdana"/>
          <w:sz w:val="20"/>
          <w:szCs w:val="20"/>
        </w:rPr>
        <w:t>relativos a que los DESCA so</w:t>
      </w:r>
      <w:r w:rsidRPr="00D36B44">
        <w:rPr>
          <w:rFonts w:ascii="Verdana" w:hAnsi="Verdana"/>
          <w:sz w:val="20"/>
          <w:szCs w:val="20"/>
        </w:rPr>
        <w:t>lo dependen del paso d</w:t>
      </w:r>
      <w:r>
        <w:rPr>
          <w:rFonts w:ascii="Verdana" w:hAnsi="Verdana"/>
          <w:sz w:val="20"/>
          <w:szCs w:val="20"/>
        </w:rPr>
        <w:t>el tiempo para ser garantizados. Esta creencia no tiene en cuenta</w:t>
      </w:r>
      <w:r w:rsidRPr="00D36B44">
        <w:rPr>
          <w:rFonts w:ascii="Verdana" w:hAnsi="Verdana"/>
          <w:sz w:val="20"/>
          <w:szCs w:val="20"/>
        </w:rPr>
        <w:t xml:space="preserve"> que existen las obligaciones </w:t>
      </w:r>
      <w:r>
        <w:rPr>
          <w:rFonts w:ascii="Verdana" w:hAnsi="Verdana"/>
          <w:sz w:val="20"/>
          <w:szCs w:val="20"/>
        </w:rPr>
        <w:t xml:space="preserve">estatales </w:t>
      </w:r>
      <w:r w:rsidRPr="00D36B44">
        <w:rPr>
          <w:rFonts w:ascii="Verdana" w:hAnsi="Verdana"/>
          <w:sz w:val="20"/>
          <w:szCs w:val="20"/>
        </w:rPr>
        <w:t>de respeto y garantía, que son aplicabl</w:t>
      </w:r>
      <w:r>
        <w:rPr>
          <w:rFonts w:ascii="Verdana" w:hAnsi="Verdana"/>
          <w:sz w:val="20"/>
          <w:szCs w:val="20"/>
        </w:rPr>
        <w:t>es a todos los derechos humanos sin distinción.</w:t>
      </w:r>
      <w:r w:rsidRPr="00D36B44">
        <w:rPr>
          <w:rFonts w:ascii="Verdana" w:hAnsi="Verdana"/>
          <w:sz w:val="20"/>
          <w:szCs w:val="20"/>
        </w:rPr>
        <w:t xml:space="preserve"> </w:t>
      </w:r>
      <w:r>
        <w:rPr>
          <w:rFonts w:ascii="Verdana" w:hAnsi="Verdana"/>
          <w:sz w:val="20"/>
          <w:szCs w:val="20"/>
        </w:rPr>
        <w:t>No se pretende judicializar las políticas públicas sociales, sino de lograr la protección efectiva de los derechos humanos en un caso particular.</w:t>
      </w:r>
    </w:p>
    <w:p w14:paraId="57C99B3B" w14:textId="77777777" w:rsidR="00F83E8F" w:rsidRDefault="00F83E8F" w:rsidP="00F83E8F">
      <w:pPr>
        <w:pStyle w:val="ListParagraph"/>
        <w:ind w:left="0"/>
        <w:jc w:val="both"/>
        <w:rPr>
          <w:rFonts w:ascii="Times" w:hAnsi="Times"/>
          <w:sz w:val="20"/>
          <w:szCs w:val="20"/>
        </w:rPr>
      </w:pPr>
    </w:p>
    <w:p w14:paraId="6C5505AA" w14:textId="77777777" w:rsidR="00F83E8F" w:rsidRPr="00D36B44" w:rsidRDefault="00F83E8F" w:rsidP="00F83E8F">
      <w:pPr>
        <w:pStyle w:val="ListParagraph"/>
        <w:ind w:left="0"/>
        <w:jc w:val="both"/>
        <w:rPr>
          <w:rFonts w:ascii="Times" w:hAnsi="Times"/>
          <w:sz w:val="20"/>
          <w:szCs w:val="20"/>
        </w:rPr>
      </w:pPr>
    </w:p>
    <w:p w14:paraId="14C745CB" w14:textId="77777777" w:rsidR="00F83E8F" w:rsidRPr="009B48FD" w:rsidRDefault="00F83E8F" w:rsidP="00E70701">
      <w:pPr>
        <w:pStyle w:val="ListParagraph"/>
        <w:numPr>
          <w:ilvl w:val="0"/>
          <w:numId w:val="28"/>
        </w:numPr>
        <w:ind w:left="0" w:firstLine="0"/>
        <w:jc w:val="both"/>
        <w:rPr>
          <w:rFonts w:ascii="Times" w:hAnsi="Times"/>
          <w:sz w:val="20"/>
          <w:szCs w:val="20"/>
        </w:rPr>
      </w:pPr>
      <w:r>
        <w:rPr>
          <w:rFonts w:ascii="Verdana" w:hAnsi="Verdana"/>
          <w:sz w:val="20"/>
          <w:szCs w:val="20"/>
        </w:rPr>
        <w:t xml:space="preserve">A partir de ahora, el </w:t>
      </w:r>
      <w:r w:rsidRPr="004E66B4">
        <w:rPr>
          <w:rFonts w:ascii="Verdana" w:hAnsi="Verdana"/>
          <w:sz w:val="20"/>
          <w:szCs w:val="20"/>
        </w:rPr>
        <w:t>Tribunal Interamericano puede abordar las diversas problemáticas que se le presenten</w:t>
      </w:r>
      <w:r>
        <w:rPr>
          <w:rFonts w:ascii="Verdana" w:hAnsi="Verdana"/>
          <w:sz w:val="20"/>
          <w:szCs w:val="20"/>
        </w:rPr>
        <w:t>,</w:t>
      </w:r>
      <w:r w:rsidRPr="004E66B4">
        <w:rPr>
          <w:rFonts w:ascii="Verdana" w:hAnsi="Verdana"/>
          <w:sz w:val="20"/>
          <w:szCs w:val="20"/>
        </w:rPr>
        <w:t xml:space="preserve"> ya no </w:t>
      </w:r>
      <w:r>
        <w:rPr>
          <w:rFonts w:ascii="Verdana" w:hAnsi="Verdana"/>
          <w:sz w:val="20"/>
          <w:szCs w:val="20"/>
        </w:rPr>
        <w:t xml:space="preserve">a </w:t>
      </w:r>
      <w:r w:rsidRPr="004E66B4">
        <w:rPr>
          <w:rFonts w:ascii="Verdana" w:hAnsi="Verdana"/>
          <w:sz w:val="20"/>
          <w:szCs w:val="20"/>
        </w:rPr>
        <w:t xml:space="preserve">través de la conexidad </w:t>
      </w:r>
      <w:r>
        <w:rPr>
          <w:rFonts w:ascii="Verdana" w:hAnsi="Verdana"/>
          <w:sz w:val="20"/>
          <w:szCs w:val="20"/>
        </w:rPr>
        <w:t xml:space="preserve">o vía </w:t>
      </w:r>
      <w:r w:rsidRPr="004E66B4">
        <w:rPr>
          <w:rFonts w:ascii="Verdana" w:hAnsi="Verdana"/>
          <w:sz w:val="20"/>
          <w:szCs w:val="20"/>
        </w:rPr>
        <w:t>indirecta</w:t>
      </w:r>
      <w:r>
        <w:rPr>
          <w:rFonts w:ascii="Verdana" w:hAnsi="Verdana"/>
          <w:sz w:val="20"/>
          <w:szCs w:val="20"/>
        </w:rPr>
        <w:t xml:space="preserve">, </w:t>
      </w:r>
      <w:r w:rsidRPr="004E66B4">
        <w:rPr>
          <w:rFonts w:ascii="Verdana" w:hAnsi="Verdana"/>
          <w:sz w:val="20"/>
          <w:szCs w:val="20"/>
        </w:rPr>
        <w:t xml:space="preserve"> subsumiendo el contenido de los </w:t>
      </w:r>
      <w:r>
        <w:rPr>
          <w:rFonts w:ascii="Verdana" w:hAnsi="Verdana"/>
          <w:sz w:val="20"/>
          <w:szCs w:val="20"/>
        </w:rPr>
        <w:t>DESCA</w:t>
      </w:r>
      <w:r w:rsidRPr="004E66B4">
        <w:rPr>
          <w:rFonts w:ascii="Verdana" w:hAnsi="Verdana"/>
          <w:sz w:val="20"/>
          <w:szCs w:val="20"/>
        </w:rPr>
        <w:t xml:space="preserve"> en los derechos civiles y políticos</w:t>
      </w:r>
      <w:r>
        <w:rPr>
          <w:rFonts w:ascii="Verdana" w:hAnsi="Verdana"/>
          <w:sz w:val="20"/>
          <w:szCs w:val="20"/>
        </w:rPr>
        <w:t xml:space="preserve">; sino teniendo </w:t>
      </w:r>
      <w:r w:rsidRPr="004E66B4">
        <w:rPr>
          <w:rFonts w:ascii="Verdana" w:hAnsi="Verdana"/>
          <w:sz w:val="20"/>
          <w:szCs w:val="20"/>
        </w:rPr>
        <w:t xml:space="preserve">una visión </w:t>
      </w:r>
      <w:r>
        <w:rPr>
          <w:rFonts w:ascii="Verdana" w:hAnsi="Verdana"/>
          <w:sz w:val="20"/>
          <w:szCs w:val="20"/>
        </w:rPr>
        <w:t xml:space="preserve">social más </w:t>
      </w:r>
      <w:r w:rsidRPr="004E66B4">
        <w:rPr>
          <w:rFonts w:ascii="Verdana" w:hAnsi="Verdana"/>
          <w:sz w:val="20"/>
          <w:szCs w:val="20"/>
        </w:rPr>
        <w:t xml:space="preserve">amplia de las violaciones que se presenten en los futuros casos. Advierto que la cuestión reviste </w:t>
      </w:r>
      <w:r>
        <w:rPr>
          <w:rFonts w:ascii="Verdana" w:hAnsi="Verdana"/>
          <w:sz w:val="20"/>
          <w:szCs w:val="20"/>
        </w:rPr>
        <w:t xml:space="preserve">especial </w:t>
      </w:r>
      <w:r w:rsidRPr="004E66B4">
        <w:rPr>
          <w:rFonts w:ascii="Verdana" w:hAnsi="Verdana"/>
          <w:sz w:val="20"/>
          <w:szCs w:val="20"/>
        </w:rPr>
        <w:t>importancia</w:t>
      </w:r>
      <w:r>
        <w:rPr>
          <w:rFonts w:ascii="Verdana" w:hAnsi="Verdana"/>
          <w:sz w:val="20"/>
          <w:szCs w:val="20"/>
        </w:rPr>
        <w:t xml:space="preserve"> en la región latinoamericana</w:t>
      </w:r>
      <w:r w:rsidRPr="004E66B4">
        <w:rPr>
          <w:rFonts w:ascii="Verdana" w:hAnsi="Verdana"/>
          <w:sz w:val="20"/>
          <w:szCs w:val="20"/>
        </w:rPr>
        <w:t>,</w:t>
      </w:r>
      <w:r>
        <w:rPr>
          <w:rFonts w:ascii="Verdana" w:hAnsi="Verdana"/>
          <w:sz w:val="20"/>
          <w:szCs w:val="20"/>
        </w:rPr>
        <w:t xml:space="preserve"> que mantiene altos índices de inequidad, desigualdad, pobreza y exclusión social. Estoy convencido que esta nueva visión de los derechos sociales interamericanos, permitirá</w:t>
      </w:r>
      <w:r w:rsidRPr="004E66B4">
        <w:rPr>
          <w:rFonts w:ascii="Verdana" w:hAnsi="Verdana"/>
          <w:sz w:val="20"/>
          <w:szCs w:val="20"/>
        </w:rPr>
        <w:t xml:space="preserve"> el análisis más detallado y comprensivo de los derechos y obligaciones comprometidos</w:t>
      </w:r>
      <w:r>
        <w:rPr>
          <w:rFonts w:ascii="Verdana" w:hAnsi="Verdana"/>
          <w:sz w:val="20"/>
          <w:szCs w:val="20"/>
        </w:rPr>
        <w:t xml:space="preserve"> en un caso,</w:t>
      </w:r>
      <w:r w:rsidRPr="004E66B4">
        <w:rPr>
          <w:rFonts w:ascii="Verdana" w:hAnsi="Verdana"/>
          <w:sz w:val="20"/>
          <w:szCs w:val="20"/>
        </w:rPr>
        <w:t xml:space="preserve"> </w:t>
      </w:r>
      <w:r>
        <w:rPr>
          <w:rFonts w:ascii="Verdana" w:hAnsi="Verdana"/>
          <w:sz w:val="20"/>
          <w:szCs w:val="20"/>
        </w:rPr>
        <w:t>permitiendo</w:t>
      </w:r>
      <w:r w:rsidRPr="004E66B4">
        <w:rPr>
          <w:rFonts w:ascii="Verdana" w:hAnsi="Verdana"/>
          <w:sz w:val="20"/>
          <w:szCs w:val="20"/>
        </w:rPr>
        <w:t xml:space="preserve"> el desarrollo de criterios jurídicos </w:t>
      </w:r>
      <w:r>
        <w:rPr>
          <w:rFonts w:ascii="Verdana" w:hAnsi="Verdana"/>
          <w:sz w:val="20"/>
          <w:szCs w:val="20"/>
        </w:rPr>
        <w:t xml:space="preserve">y estándares, que aborden </w:t>
      </w:r>
      <w:r w:rsidRPr="004E66B4">
        <w:rPr>
          <w:rFonts w:ascii="Verdana" w:hAnsi="Verdana"/>
          <w:sz w:val="20"/>
          <w:szCs w:val="20"/>
        </w:rPr>
        <w:t>de modo más propio y punt</w:t>
      </w:r>
      <w:r>
        <w:rPr>
          <w:rFonts w:ascii="Verdana" w:hAnsi="Verdana"/>
          <w:sz w:val="20"/>
          <w:szCs w:val="20"/>
        </w:rPr>
        <w:t>u</w:t>
      </w:r>
      <w:r w:rsidRPr="004E66B4">
        <w:rPr>
          <w:rFonts w:ascii="Verdana" w:hAnsi="Verdana"/>
          <w:sz w:val="20"/>
          <w:szCs w:val="20"/>
        </w:rPr>
        <w:t>al asuntos de hondo impacto en la vigencia de los derechos humanos</w:t>
      </w:r>
      <w:r>
        <w:rPr>
          <w:rFonts w:ascii="Verdana" w:hAnsi="Verdana"/>
          <w:sz w:val="20"/>
          <w:szCs w:val="20"/>
        </w:rPr>
        <w:t xml:space="preserve"> en la región.</w:t>
      </w:r>
    </w:p>
    <w:p w14:paraId="3BCD39F7" w14:textId="77777777" w:rsidR="00F83E8F" w:rsidRPr="00FC4FC8" w:rsidRDefault="00F83E8F" w:rsidP="00F83E8F">
      <w:pPr>
        <w:pStyle w:val="ListParagraph"/>
        <w:ind w:left="0"/>
        <w:jc w:val="both"/>
        <w:rPr>
          <w:rFonts w:ascii="Verdana" w:hAnsi="Verdana"/>
          <w:sz w:val="20"/>
          <w:szCs w:val="20"/>
        </w:rPr>
      </w:pPr>
    </w:p>
    <w:p w14:paraId="3431A1E4" w14:textId="77777777" w:rsidR="00F83E8F" w:rsidRDefault="00F83E8F" w:rsidP="00F83E8F">
      <w:pPr>
        <w:pStyle w:val="ListParagraph"/>
        <w:ind w:left="0"/>
        <w:jc w:val="both"/>
        <w:rPr>
          <w:rFonts w:ascii="Verdana" w:hAnsi="Verdana"/>
          <w:sz w:val="20"/>
          <w:szCs w:val="20"/>
        </w:rPr>
      </w:pPr>
    </w:p>
    <w:p w14:paraId="5F80F1D9" w14:textId="77777777" w:rsidR="00F83E8F" w:rsidRDefault="00F83E8F" w:rsidP="00F83E8F">
      <w:pPr>
        <w:pStyle w:val="ListParagraph"/>
        <w:ind w:left="0"/>
        <w:jc w:val="both"/>
        <w:rPr>
          <w:rFonts w:ascii="Verdana" w:hAnsi="Verdana"/>
          <w:sz w:val="20"/>
          <w:szCs w:val="20"/>
        </w:rPr>
      </w:pPr>
    </w:p>
    <w:p w14:paraId="70CAE958" w14:textId="77777777" w:rsidR="00F83E8F" w:rsidRDefault="00F83E8F" w:rsidP="00F83E8F">
      <w:pPr>
        <w:pStyle w:val="ListParagraph"/>
        <w:ind w:left="0"/>
        <w:jc w:val="both"/>
        <w:rPr>
          <w:rFonts w:ascii="Verdana" w:hAnsi="Verdana"/>
          <w:sz w:val="20"/>
          <w:szCs w:val="20"/>
        </w:rPr>
      </w:pPr>
    </w:p>
    <w:p w14:paraId="3366DB2B" w14:textId="77777777" w:rsidR="00F83E8F" w:rsidRDefault="00F83E8F" w:rsidP="00F83E8F">
      <w:pPr>
        <w:pStyle w:val="ListParagraph"/>
        <w:ind w:left="0"/>
        <w:jc w:val="both"/>
        <w:rPr>
          <w:rFonts w:ascii="Verdana" w:hAnsi="Verdana"/>
          <w:sz w:val="20"/>
          <w:szCs w:val="20"/>
        </w:rPr>
      </w:pPr>
    </w:p>
    <w:p w14:paraId="671D3F92" w14:textId="77777777" w:rsidR="00F83E8F" w:rsidRDefault="00F83E8F" w:rsidP="00F83E8F">
      <w:pPr>
        <w:pStyle w:val="ListParagraph"/>
        <w:ind w:left="0"/>
        <w:jc w:val="both"/>
        <w:rPr>
          <w:rFonts w:ascii="Verdana" w:hAnsi="Verdana"/>
          <w:sz w:val="20"/>
          <w:szCs w:val="20"/>
        </w:rPr>
      </w:pPr>
    </w:p>
    <w:p w14:paraId="681CA96A" w14:textId="77777777" w:rsidR="00F83E8F" w:rsidRPr="00FC4FC8" w:rsidRDefault="00F83E8F" w:rsidP="00F83E8F">
      <w:pPr>
        <w:pStyle w:val="ListParagraph"/>
        <w:ind w:left="0"/>
        <w:jc w:val="both"/>
        <w:rPr>
          <w:rFonts w:ascii="Verdana" w:hAnsi="Verdana"/>
          <w:sz w:val="20"/>
          <w:szCs w:val="20"/>
        </w:rPr>
      </w:pPr>
    </w:p>
    <w:p w14:paraId="6F1C8928" w14:textId="77777777" w:rsidR="00F83E8F" w:rsidRPr="00FC4FC8" w:rsidRDefault="00F83E8F" w:rsidP="00F83E8F">
      <w:pPr>
        <w:pStyle w:val="ListParagraph"/>
        <w:ind w:left="0"/>
        <w:jc w:val="both"/>
        <w:rPr>
          <w:rFonts w:ascii="Verdana" w:hAnsi="Verdana"/>
          <w:sz w:val="20"/>
          <w:szCs w:val="20"/>
        </w:rPr>
      </w:pPr>
    </w:p>
    <w:p w14:paraId="34C6C1DD" w14:textId="77777777" w:rsidR="00F83E8F" w:rsidRPr="00FC4FC8" w:rsidRDefault="00F83E8F" w:rsidP="00F83E8F">
      <w:pPr>
        <w:pStyle w:val="ListParagraph"/>
        <w:ind w:left="0"/>
        <w:jc w:val="both"/>
        <w:rPr>
          <w:rFonts w:ascii="Verdana" w:hAnsi="Verdana"/>
          <w:sz w:val="20"/>
          <w:szCs w:val="20"/>
        </w:rPr>
      </w:pPr>
    </w:p>
    <w:p w14:paraId="4807F834" w14:textId="77777777" w:rsidR="00F83E8F" w:rsidRPr="00FC4FC8" w:rsidRDefault="00F83E8F" w:rsidP="00F83E8F">
      <w:pPr>
        <w:pStyle w:val="ListParagraph"/>
        <w:widowControl w:val="0"/>
        <w:autoSpaceDE w:val="0"/>
        <w:autoSpaceDN w:val="0"/>
        <w:adjustRightInd w:val="0"/>
        <w:ind w:left="0"/>
        <w:contextualSpacing w:val="0"/>
        <w:jc w:val="right"/>
        <w:rPr>
          <w:rFonts w:ascii="Verdana" w:hAnsi="Verdana"/>
          <w:sz w:val="20"/>
          <w:szCs w:val="20"/>
        </w:rPr>
      </w:pPr>
      <w:r w:rsidRPr="00FC4FC8">
        <w:rPr>
          <w:rFonts w:ascii="Verdana" w:hAnsi="Verdana"/>
          <w:sz w:val="20"/>
          <w:szCs w:val="20"/>
        </w:rPr>
        <w:t>Eduardo Ferrer Mac-Gregor Poisot</w:t>
      </w:r>
    </w:p>
    <w:p w14:paraId="74C9B037" w14:textId="77777777" w:rsidR="00F83E8F" w:rsidRPr="00FC4FC8" w:rsidRDefault="00F83E8F" w:rsidP="00F83E8F">
      <w:pPr>
        <w:pStyle w:val="ListParagraph"/>
        <w:widowControl w:val="0"/>
        <w:tabs>
          <w:tab w:val="left" w:pos="0"/>
        </w:tabs>
        <w:autoSpaceDE w:val="0"/>
        <w:autoSpaceDN w:val="0"/>
        <w:adjustRightInd w:val="0"/>
        <w:ind w:left="0" w:right="1638"/>
        <w:contextualSpacing w:val="0"/>
        <w:jc w:val="right"/>
        <w:rPr>
          <w:rFonts w:ascii="Verdana" w:hAnsi="Verdana"/>
          <w:sz w:val="20"/>
          <w:szCs w:val="20"/>
        </w:rPr>
      </w:pPr>
      <w:r w:rsidRPr="00FC4FC8">
        <w:rPr>
          <w:rFonts w:ascii="Verdana" w:hAnsi="Verdana"/>
          <w:sz w:val="20"/>
          <w:szCs w:val="20"/>
        </w:rPr>
        <w:t>Juez</w:t>
      </w:r>
    </w:p>
    <w:p w14:paraId="787A1933" w14:textId="77777777" w:rsidR="00F83E8F" w:rsidRPr="00FC4FC8" w:rsidRDefault="00F83E8F" w:rsidP="00F83E8F">
      <w:pPr>
        <w:pStyle w:val="ListParagraph"/>
        <w:widowControl w:val="0"/>
        <w:tabs>
          <w:tab w:val="left" w:pos="0"/>
        </w:tabs>
        <w:autoSpaceDE w:val="0"/>
        <w:autoSpaceDN w:val="0"/>
        <w:adjustRightInd w:val="0"/>
        <w:ind w:left="0"/>
        <w:contextualSpacing w:val="0"/>
        <w:rPr>
          <w:rFonts w:ascii="Verdana" w:hAnsi="Verdana"/>
          <w:sz w:val="20"/>
          <w:szCs w:val="20"/>
        </w:rPr>
      </w:pPr>
    </w:p>
    <w:p w14:paraId="7F25B707" w14:textId="77777777" w:rsidR="00F83E8F" w:rsidRDefault="00F83E8F" w:rsidP="00F83E8F">
      <w:pPr>
        <w:pStyle w:val="ListParagraph"/>
        <w:widowControl w:val="0"/>
        <w:tabs>
          <w:tab w:val="left" w:pos="0"/>
        </w:tabs>
        <w:autoSpaceDE w:val="0"/>
        <w:autoSpaceDN w:val="0"/>
        <w:adjustRightInd w:val="0"/>
        <w:ind w:left="0"/>
        <w:contextualSpacing w:val="0"/>
        <w:rPr>
          <w:rFonts w:ascii="Verdana" w:hAnsi="Verdana"/>
          <w:sz w:val="20"/>
          <w:szCs w:val="20"/>
        </w:rPr>
      </w:pPr>
    </w:p>
    <w:p w14:paraId="64EB9156" w14:textId="77777777" w:rsidR="00F83E8F" w:rsidRDefault="00F83E8F" w:rsidP="00F83E8F">
      <w:pPr>
        <w:pStyle w:val="ListParagraph"/>
        <w:widowControl w:val="0"/>
        <w:tabs>
          <w:tab w:val="left" w:pos="0"/>
        </w:tabs>
        <w:autoSpaceDE w:val="0"/>
        <w:autoSpaceDN w:val="0"/>
        <w:adjustRightInd w:val="0"/>
        <w:ind w:left="0"/>
        <w:contextualSpacing w:val="0"/>
        <w:rPr>
          <w:rFonts w:ascii="Verdana" w:hAnsi="Verdana"/>
          <w:sz w:val="20"/>
          <w:szCs w:val="20"/>
        </w:rPr>
      </w:pPr>
    </w:p>
    <w:p w14:paraId="3C336B95" w14:textId="77777777" w:rsidR="00F83E8F" w:rsidRDefault="00F83E8F" w:rsidP="00F83E8F">
      <w:pPr>
        <w:pStyle w:val="ListParagraph"/>
        <w:widowControl w:val="0"/>
        <w:tabs>
          <w:tab w:val="left" w:pos="0"/>
        </w:tabs>
        <w:autoSpaceDE w:val="0"/>
        <w:autoSpaceDN w:val="0"/>
        <w:adjustRightInd w:val="0"/>
        <w:ind w:left="0"/>
        <w:contextualSpacing w:val="0"/>
        <w:rPr>
          <w:rFonts w:ascii="Verdana" w:hAnsi="Verdana"/>
          <w:sz w:val="20"/>
          <w:szCs w:val="20"/>
        </w:rPr>
      </w:pPr>
    </w:p>
    <w:p w14:paraId="1BB2F6B7" w14:textId="77777777" w:rsidR="00F83E8F" w:rsidRDefault="00F83E8F" w:rsidP="00F83E8F">
      <w:pPr>
        <w:pStyle w:val="ListParagraph"/>
        <w:widowControl w:val="0"/>
        <w:tabs>
          <w:tab w:val="left" w:pos="0"/>
        </w:tabs>
        <w:autoSpaceDE w:val="0"/>
        <w:autoSpaceDN w:val="0"/>
        <w:adjustRightInd w:val="0"/>
        <w:ind w:left="0"/>
        <w:contextualSpacing w:val="0"/>
        <w:rPr>
          <w:rFonts w:ascii="Verdana" w:hAnsi="Verdana"/>
          <w:sz w:val="20"/>
          <w:szCs w:val="20"/>
        </w:rPr>
      </w:pPr>
    </w:p>
    <w:p w14:paraId="3BAF9E2D" w14:textId="77777777" w:rsidR="00F83E8F" w:rsidRDefault="00F83E8F" w:rsidP="00F83E8F">
      <w:pPr>
        <w:pStyle w:val="ListParagraph"/>
        <w:widowControl w:val="0"/>
        <w:tabs>
          <w:tab w:val="left" w:pos="0"/>
        </w:tabs>
        <w:autoSpaceDE w:val="0"/>
        <w:autoSpaceDN w:val="0"/>
        <w:adjustRightInd w:val="0"/>
        <w:ind w:left="0"/>
        <w:contextualSpacing w:val="0"/>
        <w:rPr>
          <w:rFonts w:ascii="Verdana" w:hAnsi="Verdana"/>
          <w:sz w:val="20"/>
          <w:szCs w:val="20"/>
        </w:rPr>
      </w:pPr>
    </w:p>
    <w:p w14:paraId="5B53FA10" w14:textId="77777777" w:rsidR="00F83E8F" w:rsidRPr="00FC4FC8" w:rsidRDefault="00F83E8F" w:rsidP="00F83E8F">
      <w:pPr>
        <w:pStyle w:val="ListParagraph"/>
        <w:widowControl w:val="0"/>
        <w:tabs>
          <w:tab w:val="left" w:pos="0"/>
        </w:tabs>
        <w:autoSpaceDE w:val="0"/>
        <w:autoSpaceDN w:val="0"/>
        <w:adjustRightInd w:val="0"/>
        <w:ind w:left="0"/>
        <w:contextualSpacing w:val="0"/>
        <w:rPr>
          <w:rFonts w:ascii="Verdana" w:hAnsi="Verdana"/>
          <w:sz w:val="20"/>
          <w:szCs w:val="20"/>
        </w:rPr>
      </w:pPr>
    </w:p>
    <w:p w14:paraId="3FAD3039" w14:textId="77777777" w:rsidR="00F83E8F" w:rsidRPr="00FC4FC8" w:rsidRDefault="00F83E8F" w:rsidP="00F83E8F">
      <w:pPr>
        <w:pStyle w:val="ListParagraph"/>
        <w:widowControl w:val="0"/>
        <w:tabs>
          <w:tab w:val="left" w:pos="0"/>
        </w:tabs>
        <w:autoSpaceDE w:val="0"/>
        <w:autoSpaceDN w:val="0"/>
        <w:adjustRightInd w:val="0"/>
        <w:ind w:left="0"/>
        <w:contextualSpacing w:val="0"/>
        <w:rPr>
          <w:rFonts w:ascii="Verdana" w:hAnsi="Verdana"/>
          <w:sz w:val="20"/>
          <w:szCs w:val="20"/>
        </w:rPr>
      </w:pPr>
    </w:p>
    <w:p w14:paraId="721FD092" w14:textId="77777777" w:rsidR="00F83E8F" w:rsidRPr="00FC4FC8" w:rsidRDefault="00F83E8F" w:rsidP="00F83E8F">
      <w:pPr>
        <w:pStyle w:val="ListParagraph"/>
        <w:widowControl w:val="0"/>
        <w:tabs>
          <w:tab w:val="left" w:pos="0"/>
        </w:tabs>
        <w:autoSpaceDE w:val="0"/>
        <w:autoSpaceDN w:val="0"/>
        <w:adjustRightInd w:val="0"/>
        <w:ind w:left="0"/>
        <w:contextualSpacing w:val="0"/>
        <w:rPr>
          <w:rFonts w:ascii="Verdana" w:hAnsi="Verdana"/>
          <w:sz w:val="20"/>
          <w:szCs w:val="20"/>
        </w:rPr>
      </w:pPr>
    </w:p>
    <w:p w14:paraId="49917763" w14:textId="77777777" w:rsidR="00F83E8F" w:rsidRPr="00FC4FC8" w:rsidRDefault="00F83E8F" w:rsidP="00F83E8F">
      <w:pPr>
        <w:pStyle w:val="ListParagraph"/>
        <w:widowControl w:val="0"/>
        <w:tabs>
          <w:tab w:val="left" w:pos="0"/>
        </w:tabs>
        <w:autoSpaceDE w:val="0"/>
        <w:autoSpaceDN w:val="0"/>
        <w:adjustRightInd w:val="0"/>
        <w:ind w:left="0"/>
        <w:contextualSpacing w:val="0"/>
        <w:rPr>
          <w:rFonts w:ascii="Verdana" w:hAnsi="Verdana"/>
          <w:sz w:val="20"/>
          <w:szCs w:val="20"/>
        </w:rPr>
      </w:pPr>
    </w:p>
    <w:p w14:paraId="6C9DDEAA" w14:textId="77777777" w:rsidR="00F83E8F" w:rsidRPr="00FC4FC8" w:rsidRDefault="00F83E8F" w:rsidP="00F83E8F">
      <w:pPr>
        <w:pStyle w:val="ListParagraph"/>
        <w:widowControl w:val="0"/>
        <w:tabs>
          <w:tab w:val="left" w:pos="0"/>
        </w:tabs>
        <w:autoSpaceDE w:val="0"/>
        <w:autoSpaceDN w:val="0"/>
        <w:adjustRightInd w:val="0"/>
        <w:ind w:left="0"/>
        <w:contextualSpacing w:val="0"/>
        <w:rPr>
          <w:rFonts w:ascii="Verdana" w:hAnsi="Verdana"/>
          <w:sz w:val="20"/>
          <w:szCs w:val="20"/>
        </w:rPr>
      </w:pPr>
      <w:r w:rsidRPr="00FC4FC8">
        <w:rPr>
          <w:rFonts w:ascii="Verdana" w:hAnsi="Verdana"/>
          <w:sz w:val="20"/>
          <w:szCs w:val="20"/>
        </w:rPr>
        <w:t>Pablo Saavedra Alessandri</w:t>
      </w:r>
    </w:p>
    <w:p w14:paraId="7F740774" w14:textId="77777777" w:rsidR="00F83E8F" w:rsidRPr="00FC4FC8" w:rsidRDefault="00F83E8F" w:rsidP="00F83E8F">
      <w:pPr>
        <w:jc w:val="both"/>
        <w:rPr>
          <w:rFonts w:ascii="Verdana" w:hAnsi="Verdana"/>
          <w:sz w:val="20"/>
          <w:szCs w:val="20"/>
        </w:rPr>
      </w:pPr>
      <w:r w:rsidRPr="00FC4FC8">
        <w:rPr>
          <w:rFonts w:ascii="Verdana" w:hAnsi="Verdana"/>
          <w:sz w:val="20"/>
          <w:szCs w:val="20"/>
        </w:rPr>
        <w:t xml:space="preserve">           Secretario</w:t>
      </w:r>
    </w:p>
    <w:p w14:paraId="455BA2B1" w14:textId="688DE78C" w:rsidR="00F83E8F" w:rsidRPr="001932BE" w:rsidRDefault="00F83E8F">
      <w:pPr>
        <w:ind w:firstLine="720"/>
        <w:rPr>
          <w:rFonts w:cs="Arial"/>
          <w:szCs w:val="20"/>
        </w:rPr>
      </w:pPr>
    </w:p>
    <w:p w14:paraId="3B1652B2" w14:textId="77777777" w:rsidR="00F83E8F" w:rsidRDefault="00F83E8F" w:rsidP="0060277E">
      <w:pPr>
        <w:tabs>
          <w:tab w:val="left" w:pos="8640"/>
        </w:tabs>
        <w:ind w:left="720"/>
        <w:rPr>
          <w:rFonts w:ascii="Verdana" w:hAnsi="Verdana"/>
          <w:sz w:val="20"/>
        </w:rPr>
        <w:sectPr w:rsidR="00F83E8F" w:rsidSect="00F83E8F">
          <w:footnotePr>
            <w:numRestart w:val="eachSect"/>
          </w:footnotePr>
          <w:pgSz w:w="12240" w:h="15840" w:code="1"/>
          <w:pgMar w:top="1247" w:right="1247" w:bottom="1247" w:left="1247" w:header="709" w:footer="709" w:gutter="0"/>
          <w:pgNumType w:start="1"/>
          <w:cols w:space="708"/>
          <w:titlePg/>
          <w:docGrid w:linePitch="360"/>
        </w:sectPr>
      </w:pPr>
    </w:p>
    <w:p w14:paraId="385060DB" w14:textId="77777777" w:rsidR="00E70701" w:rsidRDefault="00E70701" w:rsidP="00C44F79">
      <w:pPr>
        <w:jc w:val="center"/>
        <w:rPr>
          <w:rFonts w:ascii="Verdana" w:hAnsi="Verdana"/>
          <w:b/>
          <w:sz w:val="20"/>
          <w:szCs w:val="20"/>
          <w:lang w:val="es-ES"/>
        </w:rPr>
      </w:pPr>
    </w:p>
    <w:p w14:paraId="7EA07597" w14:textId="77777777" w:rsidR="00E70701" w:rsidRDefault="00E70701" w:rsidP="00C44F79">
      <w:pPr>
        <w:jc w:val="center"/>
        <w:rPr>
          <w:rFonts w:ascii="Verdana" w:hAnsi="Verdana"/>
          <w:b/>
          <w:sz w:val="20"/>
          <w:szCs w:val="20"/>
          <w:lang w:val="es-ES"/>
        </w:rPr>
      </w:pPr>
    </w:p>
    <w:p w14:paraId="6CCC1F5C" w14:textId="77777777" w:rsidR="00E70701" w:rsidRDefault="00E70701" w:rsidP="00C44F79">
      <w:pPr>
        <w:jc w:val="center"/>
        <w:rPr>
          <w:rFonts w:ascii="Verdana" w:hAnsi="Verdana"/>
          <w:b/>
          <w:sz w:val="20"/>
          <w:szCs w:val="20"/>
          <w:lang w:val="es-ES"/>
        </w:rPr>
      </w:pPr>
    </w:p>
    <w:p w14:paraId="2B7A6B0F" w14:textId="77777777" w:rsidR="003C2143" w:rsidRDefault="003C2143" w:rsidP="003C2143">
      <w:pPr>
        <w:jc w:val="center"/>
        <w:rPr>
          <w:rFonts w:ascii="Verdana" w:hAnsi="Verdana"/>
          <w:b/>
          <w:sz w:val="20"/>
          <w:szCs w:val="20"/>
          <w:lang w:val="es-ES"/>
        </w:rPr>
      </w:pPr>
    </w:p>
    <w:p w14:paraId="1269E1AA" w14:textId="77777777" w:rsidR="003C2143" w:rsidRDefault="003C2143" w:rsidP="003C2143">
      <w:pPr>
        <w:jc w:val="center"/>
        <w:rPr>
          <w:rFonts w:ascii="Verdana" w:hAnsi="Verdana"/>
          <w:b/>
          <w:sz w:val="20"/>
          <w:szCs w:val="20"/>
          <w:lang w:val="es-ES"/>
        </w:rPr>
      </w:pPr>
    </w:p>
    <w:p w14:paraId="0302E79D" w14:textId="77777777" w:rsidR="003C2143" w:rsidRDefault="003C2143" w:rsidP="003C2143">
      <w:pPr>
        <w:jc w:val="center"/>
        <w:rPr>
          <w:rFonts w:ascii="Verdana" w:hAnsi="Verdana"/>
          <w:b/>
          <w:sz w:val="20"/>
          <w:szCs w:val="20"/>
          <w:lang w:val="es-ES"/>
        </w:rPr>
      </w:pPr>
    </w:p>
    <w:p w14:paraId="217C35FF" w14:textId="77777777" w:rsidR="003C2143" w:rsidRPr="00CF7FE6" w:rsidRDefault="003C2143" w:rsidP="003C2143">
      <w:pPr>
        <w:jc w:val="center"/>
        <w:rPr>
          <w:rFonts w:ascii="Verdana" w:hAnsi="Verdana"/>
          <w:b/>
          <w:sz w:val="20"/>
          <w:szCs w:val="20"/>
          <w:lang w:val="es-ES"/>
        </w:rPr>
      </w:pPr>
      <w:r w:rsidRPr="00CF7FE6">
        <w:rPr>
          <w:rFonts w:ascii="Verdana" w:hAnsi="Verdana"/>
          <w:b/>
          <w:sz w:val="20"/>
          <w:szCs w:val="20"/>
          <w:lang w:val="es-ES"/>
        </w:rPr>
        <w:t xml:space="preserve">VOTO PARCIALMENTE DISIDENTE DEL JUEZ </w:t>
      </w:r>
    </w:p>
    <w:p w14:paraId="353047D0" w14:textId="77777777" w:rsidR="003C2143" w:rsidRPr="00CF7FE6" w:rsidRDefault="003C2143" w:rsidP="003C2143">
      <w:pPr>
        <w:jc w:val="center"/>
        <w:rPr>
          <w:rFonts w:ascii="Verdana" w:hAnsi="Verdana"/>
          <w:b/>
          <w:sz w:val="20"/>
          <w:szCs w:val="20"/>
          <w:lang w:val="es-ES"/>
        </w:rPr>
      </w:pPr>
      <w:r w:rsidRPr="00CF7FE6">
        <w:rPr>
          <w:rFonts w:ascii="Verdana" w:hAnsi="Verdana"/>
          <w:b/>
          <w:sz w:val="20"/>
          <w:szCs w:val="20"/>
          <w:lang w:val="es-ES"/>
        </w:rPr>
        <w:t>EDUARDO VIO GROSSI,</w:t>
      </w:r>
    </w:p>
    <w:p w14:paraId="183FCEAE" w14:textId="77777777" w:rsidR="003C2143" w:rsidRPr="00CF7FE6" w:rsidRDefault="003C2143" w:rsidP="003C2143">
      <w:pPr>
        <w:jc w:val="center"/>
        <w:rPr>
          <w:rFonts w:ascii="Verdana" w:hAnsi="Verdana"/>
          <w:b/>
          <w:sz w:val="20"/>
          <w:szCs w:val="20"/>
          <w:lang w:val="es-ES"/>
        </w:rPr>
      </w:pPr>
      <w:r w:rsidRPr="00CF7FE6">
        <w:rPr>
          <w:rFonts w:ascii="Verdana" w:hAnsi="Verdana"/>
          <w:b/>
          <w:sz w:val="20"/>
          <w:szCs w:val="20"/>
          <w:lang w:val="es-ES"/>
        </w:rPr>
        <w:t>CORTE INTERAMERICANA DE DERECHOS HUMANOS,</w:t>
      </w:r>
    </w:p>
    <w:p w14:paraId="62E8B410" w14:textId="77777777" w:rsidR="003C2143" w:rsidRPr="00CF7FE6" w:rsidRDefault="003C2143" w:rsidP="003C2143">
      <w:pPr>
        <w:jc w:val="center"/>
        <w:rPr>
          <w:rFonts w:ascii="Verdana" w:hAnsi="Verdana"/>
          <w:b/>
          <w:sz w:val="20"/>
          <w:szCs w:val="20"/>
          <w:lang w:val="es-ES"/>
        </w:rPr>
      </w:pPr>
      <w:r w:rsidRPr="00CF7FE6">
        <w:rPr>
          <w:rFonts w:ascii="Verdana" w:hAnsi="Verdana"/>
          <w:b/>
          <w:sz w:val="20"/>
          <w:szCs w:val="20"/>
          <w:lang w:val="es-ES"/>
        </w:rPr>
        <w:t>CASO LAGOS DEL CAMPO VS. PERÚ,</w:t>
      </w:r>
    </w:p>
    <w:p w14:paraId="1450B543" w14:textId="77777777" w:rsidR="003C2143" w:rsidRPr="00CF7FE6" w:rsidRDefault="003C2143" w:rsidP="003C2143">
      <w:pPr>
        <w:jc w:val="center"/>
        <w:rPr>
          <w:rFonts w:ascii="Verdana" w:hAnsi="Verdana"/>
          <w:b/>
          <w:sz w:val="20"/>
          <w:szCs w:val="20"/>
          <w:lang w:val="es-ES"/>
        </w:rPr>
      </w:pPr>
      <w:r w:rsidRPr="00CF7FE6">
        <w:rPr>
          <w:rFonts w:ascii="Verdana" w:hAnsi="Verdana"/>
          <w:b/>
          <w:sz w:val="20"/>
          <w:szCs w:val="20"/>
          <w:lang w:val="es-ES"/>
        </w:rPr>
        <w:t>SENTENCIA DE 31 DE AGOSTO DE 2017,</w:t>
      </w:r>
    </w:p>
    <w:p w14:paraId="774690F2" w14:textId="77777777" w:rsidR="003C2143" w:rsidRPr="00CF7FE6" w:rsidRDefault="003C2143" w:rsidP="003C2143">
      <w:pPr>
        <w:jc w:val="center"/>
        <w:rPr>
          <w:rFonts w:ascii="Verdana" w:hAnsi="Verdana"/>
          <w:b/>
          <w:sz w:val="20"/>
          <w:szCs w:val="20"/>
          <w:lang w:val="es-ES"/>
        </w:rPr>
      </w:pPr>
      <w:r w:rsidRPr="00CF7FE6">
        <w:rPr>
          <w:rFonts w:ascii="Verdana" w:hAnsi="Verdana"/>
          <w:b/>
          <w:sz w:val="20"/>
          <w:szCs w:val="20"/>
          <w:lang w:val="es-ES"/>
        </w:rPr>
        <w:t>(Excepciones Preliminares, Fondo, Reparaciones y Costas)</w:t>
      </w:r>
    </w:p>
    <w:p w14:paraId="69338A4C" w14:textId="77777777" w:rsidR="003C2143" w:rsidRDefault="003C2143" w:rsidP="003C2143">
      <w:pPr>
        <w:jc w:val="both"/>
        <w:rPr>
          <w:rFonts w:ascii="Verdana" w:hAnsi="Verdana"/>
          <w:b/>
          <w:sz w:val="20"/>
          <w:szCs w:val="20"/>
          <w:lang w:val="es-ES"/>
        </w:rPr>
      </w:pPr>
    </w:p>
    <w:p w14:paraId="794D8582" w14:textId="77777777" w:rsidR="003C2143" w:rsidRPr="00CF7FE6" w:rsidRDefault="003C2143" w:rsidP="003C2143">
      <w:pPr>
        <w:jc w:val="both"/>
        <w:rPr>
          <w:rFonts w:ascii="Verdana" w:hAnsi="Verdana"/>
          <w:b/>
          <w:sz w:val="20"/>
          <w:szCs w:val="20"/>
          <w:lang w:val="es-ES"/>
        </w:rPr>
      </w:pPr>
    </w:p>
    <w:p w14:paraId="2E07CEC1" w14:textId="77777777" w:rsidR="003C2143" w:rsidRPr="00CF7FE6" w:rsidRDefault="003C2143" w:rsidP="003C2143">
      <w:pPr>
        <w:jc w:val="both"/>
        <w:rPr>
          <w:rFonts w:ascii="Verdana" w:hAnsi="Verdana"/>
          <w:b/>
          <w:sz w:val="20"/>
          <w:szCs w:val="20"/>
          <w:lang w:val="es-ES"/>
        </w:rPr>
      </w:pPr>
      <w:r w:rsidRPr="00CF7FE6">
        <w:rPr>
          <w:rFonts w:ascii="Verdana" w:hAnsi="Verdana"/>
          <w:b/>
          <w:sz w:val="20"/>
          <w:szCs w:val="20"/>
          <w:lang w:val="es-ES"/>
        </w:rPr>
        <w:t>INTRODUCCIÓN.</w:t>
      </w:r>
    </w:p>
    <w:p w14:paraId="7C93859F" w14:textId="77777777" w:rsidR="003C2143" w:rsidRDefault="003C2143" w:rsidP="003C2143">
      <w:pPr>
        <w:jc w:val="both"/>
        <w:rPr>
          <w:rFonts w:ascii="Verdana" w:hAnsi="Verdana"/>
          <w:sz w:val="20"/>
          <w:szCs w:val="20"/>
          <w:lang w:val="es-ES"/>
        </w:rPr>
      </w:pPr>
    </w:p>
    <w:p w14:paraId="427A17DA" w14:textId="77777777" w:rsidR="003C2143" w:rsidRPr="00CF7FE6" w:rsidRDefault="003C2143" w:rsidP="003C2143">
      <w:pPr>
        <w:jc w:val="both"/>
        <w:rPr>
          <w:rFonts w:ascii="Verdana" w:hAnsi="Verdana"/>
          <w:sz w:val="20"/>
          <w:szCs w:val="20"/>
          <w:lang w:val="es-ES"/>
        </w:rPr>
      </w:pPr>
      <w:r w:rsidRPr="00CF7FE6">
        <w:rPr>
          <w:rFonts w:ascii="Verdana" w:hAnsi="Verdana"/>
          <w:sz w:val="20"/>
          <w:szCs w:val="20"/>
          <w:lang w:val="es-ES"/>
        </w:rPr>
        <w:t>Se emite el presente voto parcialmente disidente</w:t>
      </w:r>
      <w:r w:rsidRPr="00CF7FE6">
        <w:rPr>
          <w:rStyle w:val="FootnoteReference"/>
          <w:szCs w:val="20"/>
          <w:lang w:val="es-ES"/>
        </w:rPr>
        <w:footnoteReference w:id="364"/>
      </w:r>
      <w:r w:rsidRPr="00CF7FE6">
        <w:rPr>
          <w:rFonts w:ascii="Verdana" w:hAnsi="Verdana"/>
          <w:sz w:val="20"/>
          <w:szCs w:val="20"/>
          <w:lang w:val="es-ES"/>
        </w:rPr>
        <w:t xml:space="preserve"> respecto de la Sentencia del epígrafe</w:t>
      </w:r>
      <w:r w:rsidRPr="00CF7FE6">
        <w:rPr>
          <w:rStyle w:val="FootnoteReference"/>
          <w:szCs w:val="20"/>
          <w:lang w:val="es-ES"/>
        </w:rPr>
        <w:footnoteReference w:id="365"/>
      </w:r>
      <w:r w:rsidRPr="00CF7FE6">
        <w:rPr>
          <w:rFonts w:ascii="Verdana" w:hAnsi="Verdana"/>
          <w:sz w:val="20"/>
          <w:szCs w:val="20"/>
          <w:lang w:val="es-ES"/>
        </w:rPr>
        <w:t>, por discrepar</w:t>
      </w:r>
      <w:r>
        <w:rPr>
          <w:rFonts w:ascii="Verdana" w:hAnsi="Verdana"/>
          <w:sz w:val="20"/>
          <w:szCs w:val="20"/>
          <w:lang w:val="es-ES"/>
        </w:rPr>
        <w:t xml:space="preserve"> respecto de la referencia</w:t>
      </w:r>
      <w:r w:rsidRPr="00CF7FE6">
        <w:rPr>
          <w:rFonts w:ascii="Verdana" w:hAnsi="Verdana"/>
          <w:sz w:val="20"/>
          <w:szCs w:val="20"/>
          <w:lang w:val="es-ES"/>
        </w:rPr>
        <w:t xml:space="preserve"> que hace al artículo 26</w:t>
      </w:r>
      <w:r w:rsidRPr="00CF7FE6">
        <w:rPr>
          <w:rStyle w:val="FootnoteReference"/>
          <w:szCs w:val="20"/>
          <w:lang w:val="es-ES"/>
        </w:rPr>
        <w:footnoteReference w:id="366"/>
      </w:r>
      <w:r w:rsidRPr="00CF7FE6">
        <w:rPr>
          <w:rFonts w:ascii="Verdana" w:hAnsi="Verdana"/>
          <w:sz w:val="20"/>
          <w:szCs w:val="20"/>
          <w:lang w:val="es-ES"/>
        </w:rPr>
        <w:t xml:space="preserve"> de la Convención Americana sobre Derechos Humanos</w:t>
      </w:r>
      <w:r w:rsidRPr="00CF7FE6">
        <w:rPr>
          <w:rStyle w:val="FootnoteReference"/>
          <w:szCs w:val="20"/>
          <w:lang w:val="es-ES"/>
        </w:rPr>
        <w:footnoteReference w:id="367"/>
      </w:r>
      <w:r w:rsidRPr="00CF7FE6">
        <w:rPr>
          <w:rFonts w:ascii="Verdana" w:hAnsi="Verdana"/>
          <w:sz w:val="20"/>
          <w:szCs w:val="20"/>
          <w:lang w:val="es-ES"/>
        </w:rPr>
        <w:t xml:space="preserve"> como fundamento de sus Resolutivos</w:t>
      </w:r>
      <w:r>
        <w:rPr>
          <w:rFonts w:ascii="Verdana" w:hAnsi="Verdana"/>
          <w:sz w:val="20"/>
          <w:szCs w:val="20"/>
          <w:lang w:val="es-ES"/>
        </w:rPr>
        <w:t xml:space="preserve"> N°</w:t>
      </w:r>
      <w:r w:rsidRPr="00CF7FE6">
        <w:rPr>
          <w:rFonts w:ascii="Verdana" w:hAnsi="Verdana"/>
          <w:sz w:val="20"/>
          <w:szCs w:val="20"/>
          <w:lang w:val="es-ES"/>
        </w:rPr>
        <w:t xml:space="preserve"> 5</w:t>
      </w:r>
      <w:r w:rsidRPr="00CF7FE6">
        <w:rPr>
          <w:rStyle w:val="FootnoteReference"/>
          <w:szCs w:val="20"/>
          <w:lang w:val="es-ES"/>
        </w:rPr>
        <w:footnoteReference w:id="368"/>
      </w:r>
      <w:r w:rsidRPr="00CF7FE6">
        <w:rPr>
          <w:rFonts w:ascii="Verdana" w:hAnsi="Verdana"/>
          <w:sz w:val="20"/>
          <w:szCs w:val="20"/>
          <w:lang w:val="es-ES"/>
        </w:rPr>
        <w:t xml:space="preserve"> y 6</w:t>
      </w:r>
      <w:r w:rsidRPr="00CF7FE6">
        <w:rPr>
          <w:rStyle w:val="FootnoteReference"/>
          <w:szCs w:val="20"/>
          <w:lang w:val="es-ES"/>
        </w:rPr>
        <w:footnoteReference w:id="369"/>
      </w:r>
      <w:r w:rsidRPr="00CF7FE6">
        <w:rPr>
          <w:rFonts w:ascii="Verdana" w:hAnsi="Verdana"/>
          <w:sz w:val="20"/>
          <w:szCs w:val="20"/>
          <w:lang w:val="es-ES"/>
        </w:rPr>
        <w:t xml:space="preserve">, por los que se declara que </w:t>
      </w:r>
      <w:r w:rsidRPr="00161813">
        <w:rPr>
          <w:rFonts w:ascii="Verdana" w:hAnsi="Verdana"/>
          <w:i/>
          <w:sz w:val="20"/>
          <w:szCs w:val="20"/>
          <w:lang w:val="es-ES"/>
        </w:rPr>
        <w:t>“[e]l</w:t>
      </w:r>
      <w:r w:rsidRPr="00CF7FE6">
        <w:rPr>
          <w:rFonts w:ascii="Verdana" w:hAnsi="Verdana"/>
          <w:i/>
          <w:sz w:val="20"/>
          <w:szCs w:val="20"/>
          <w:lang w:val="es-ES"/>
        </w:rPr>
        <w:t xml:space="preserve"> Estado es responsable por la violación al derecho a la estabilidad en el empleo</w:t>
      </w:r>
      <w:r w:rsidRPr="00CF7FE6">
        <w:rPr>
          <w:rFonts w:ascii="Verdana" w:hAnsi="Verdana"/>
          <w:sz w:val="20"/>
          <w:szCs w:val="20"/>
          <w:lang w:val="es-ES"/>
        </w:rPr>
        <w:t>” y “</w:t>
      </w:r>
      <w:r w:rsidRPr="00CF7FE6">
        <w:rPr>
          <w:rFonts w:ascii="Verdana" w:hAnsi="Verdana"/>
          <w:i/>
          <w:sz w:val="20"/>
          <w:szCs w:val="20"/>
          <w:lang w:val="es-ES"/>
        </w:rPr>
        <w:t>al derecho a la libertad de asociación”.</w:t>
      </w:r>
      <w:r w:rsidRPr="00CF7FE6">
        <w:rPr>
          <w:rFonts w:ascii="Verdana" w:hAnsi="Verdana"/>
          <w:sz w:val="20"/>
          <w:szCs w:val="20"/>
          <w:lang w:val="es-ES"/>
        </w:rPr>
        <w:t xml:space="preserve"> </w:t>
      </w:r>
    </w:p>
    <w:p w14:paraId="60F1E008" w14:textId="77777777" w:rsidR="003C2143" w:rsidRDefault="003C2143" w:rsidP="003C2143">
      <w:pPr>
        <w:jc w:val="both"/>
        <w:rPr>
          <w:rFonts w:ascii="Verdana" w:hAnsi="Verdana"/>
          <w:sz w:val="20"/>
          <w:szCs w:val="20"/>
          <w:lang w:val="es-ES"/>
        </w:rPr>
      </w:pPr>
    </w:p>
    <w:p w14:paraId="3A2C8AF1" w14:textId="77777777" w:rsidR="003C2143" w:rsidRDefault="003C2143" w:rsidP="003C2143">
      <w:pPr>
        <w:jc w:val="both"/>
        <w:rPr>
          <w:rFonts w:ascii="Verdana" w:hAnsi="Verdana"/>
          <w:sz w:val="20"/>
          <w:szCs w:val="20"/>
          <w:lang w:val="es-ES"/>
        </w:rPr>
      </w:pPr>
    </w:p>
    <w:p w14:paraId="59DB18F0" w14:textId="77777777" w:rsidR="003C2143" w:rsidRDefault="003C2143" w:rsidP="003C2143">
      <w:pPr>
        <w:jc w:val="both"/>
        <w:rPr>
          <w:rFonts w:ascii="Verdana" w:hAnsi="Verdana"/>
          <w:sz w:val="20"/>
          <w:szCs w:val="20"/>
          <w:lang w:val="es-ES"/>
        </w:rPr>
      </w:pPr>
    </w:p>
    <w:p w14:paraId="4558A3C7" w14:textId="77777777" w:rsidR="003C2143" w:rsidRDefault="003C2143" w:rsidP="003C2143">
      <w:pPr>
        <w:jc w:val="both"/>
        <w:rPr>
          <w:rFonts w:ascii="Verdana" w:hAnsi="Verdana"/>
          <w:sz w:val="20"/>
          <w:szCs w:val="20"/>
          <w:lang w:val="es-ES"/>
        </w:rPr>
      </w:pPr>
    </w:p>
    <w:p w14:paraId="3A263920" w14:textId="77777777" w:rsidR="003C2143" w:rsidRDefault="003C2143" w:rsidP="003C2143">
      <w:pPr>
        <w:jc w:val="both"/>
        <w:rPr>
          <w:rFonts w:ascii="Verdana" w:hAnsi="Verdana"/>
          <w:sz w:val="20"/>
          <w:szCs w:val="20"/>
          <w:lang w:val="es-ES"/>
        </w:rPr>
      </w:pPr>
    </w:p>
    <w:p w14:paraId="676A5524" w14:textId="77777777" w:rsidR="003C2143" w:rsidRPr="00273011" w:rsidRDefault="003C2143" w:rsidP="003C2143">
      <w:pPr>
        <w:pStyle w:val="ListParagraph"/>
        <w:numPr>
          <w:ilvl w:val="0"/>
          <w:numId w:val="33"/>
        </w:numPr>
        <w:jc w:val="both"/>
        <w:rPr>
          <w:rFonts w:ascii="Verdana" w:hAnsi="Verdana"/>
          <w:b/>
          <w:sz w:val="20"/>
          <w:szCs w:val="20"/>
          <w:lang w:val="es-ES"/>
        </w:rPr>
      </w:pPr>
      <w:r w:rsidRPr="00273011">
        <w:rPr>
          <w:rFonts w:ascii="Verdana" w:hAnsi="Verdana"/>
          <w:b/>
          <w:sz w:val="20"/>
          <w:szCs w:val="20"/>
          <w:lang w:val="es-ES"/>
        </w:rPr>
        <w:t>Observaciones preliminares.</w:t>
      </w:r>
    </w:p>
    <w:p w14:paraId="75514215" w14:textId="77777777" w:rsidR="003C2143" w:rsidRPr="00CF7FE6" w:rsidRDefault="003C2143" w:rsidP="003C2143">
      <w:pPr>
        <w:jc w:val="both"/>
        <w:rPr>
          <w:rFonts w:ascii="Verdana" w:hAnsi="Verdana"/>
          <w:b/>
          <w:sz w:val="20"/>
          <w:szCs w:val="20"/>
          <w:lang w:val="es-ES"/>
        </w:rPr>
      </w:pPr>
    </w:p>
    <w:p w14:paraId="49611112" w14:textId="77777777" w:rsidR="003C2143" w:rsidRDefault="003C2143" w:rsidP="003C2143">
      <w:pPr>
        <w:jc w:val="both"/>
        <w:rPr>
          <w:rFonts w:ascii="Verdana" w:hAnsi="Verdana"/>
          <w:sz w:val="20"/>
          <w:szCs w:val="20"/>
          <w:lang w:val="es-ES"/>
        </w:rPr>
      </w:pPr>
      <w:r w:rsidRPr="00CF7FE6">
        <w:rPr>
          <w:rFonts w:ascii="Verdana" w:hAnsi="Verdana"/>
          <w:sz w:val="20"/>
          <w:szCs w:val="20"/>
          <w:lang w:val="es-ES"/>
        </w:rPr>
        <w:t>Ciertamente, este parecer se formula con pleno y absoluto respeto de lo resuelto en autos por la Corte Interamericana de Derechos Humanos</w:t>
      </w:r>
      <w:r w:rsidRPr="00CF7FE6">
        <w:rPr>
          <w:rStyle w:val="FootnoteReference"/>
          <w:szCs w:val="20"/>
          <w:lang w:val="es-ES"/>
        </w:rPr>
        <w:footnoteReference w:id="370"/>
      </w:r>
      <w:r w:rsidRPr="00CF7FE6">
        <w:rPr>
          <w:rFonts w:ascii="Verdana" w:hAnsi="Verdana"/>
          <w:sz w:val="20"/>
          <w:szCs w:val="20"/>
          <w:lang w:val="es-ES"/>
        </w:rPr>
        <w:t xml:space="preserve"> y que, por ende, debe ser acatado. El presente escrito no puede, por tanto, ser interpretado, en modo alguno,</w:t>
      </w:r>
      <w:r>
        <w:rPr>
          <w:rFonts w:ascii="Verdana" w:hAnsi="Verdana"/>
          <w:sz w:val="20"/>
          <w:szCs w:val="20"/>
          <w:lang w:val="es-ES"/>
        </w:rPr>
        <w:t xml:space="preserve"> como restando</w:t>
      </w:r>
      <w:r w:rsidRPr="00CF7FE6">
        <w:rPr>
          <w:rFonts w:ascii="Verdana" w:hAnsi="Verdana"/>
          <w:sz w:val="20"/>
          <w:szCs w:val="20"/>
          <w:lang w:val="es-ES"/>
        </w:rPr>
        <w:t xml:space="preserve"> legitimidad a la decisión adoptada en la presente causa.</w:t>
      </w:r>
      <w:r>
        <w:rPr>
          <w:rFonts w:ascii="Verdana" w:hAnsi="Verdana"/>
          <w:sz w:val="20"/>
          <w:szCs w:val="20"/>
          <w:lang w:val="es-ES"/>
        </w:rPr>
        <w:t xml:space="preserve"> Y es que aquél no solo constituye el ejercicio de un derecho, sino también el cumplimiento de un deber, cual es, contribuir a la mejor comprensión de la función asignada a la Corte. </w:t>
      </w:r>
    </w:p>
    <w:p w14:paraId="2BD8B988" w14:textId="77777777" w:rsidR="003C2143" w:rsidRDefault="003C2143" w:rsidP="003C2143">
      <w:pPr>
        <w:jc w:val="both"/>
        <w:rPr>
          <w:rFonts w:ascii="Verdana" w:hAnsi="Verdana"/>
          <w:sz w:val="20"/>
          <w:szCs w:val="20"/>
          <w:lang w:val="es-ES"/>
        </w:rPr>
      </w:pPr>
    </w:p>
    <w:p w14:paraId="34524FA7" w14:textId="77777777" w:rsidR="003C2143" w:rsidRPr="00CF7FE6" w:rsidRDefault="003C2143" w:rsidP="003C2143">
      <w:pPr>
        <w:jc w:val="both"/>
        <w:rPr>
          <w:rFonts w:ascii="Verdana" w:hAnsi="Verdana"/>
          <w:sz w:val="20"/>
          <w:szCs w:val="20"/>
          <w:lang w:val="es-ES"/>
        </w:rPr>
      </w:pPr>
      <w:r>
        <w:rPr>
          <w:rFonts w:ascii="Verdana" w:hAnsi="Verdana"/>
          <w:sz w:val="20"/>
          <w:szCs w:val="20"/>
          <w:lang w:val="es-ES"/>
        </w:rPr>
        <w:t xml:space="preserve">En tal perspectiva, se debe </w:t>
      </w:r>
      <w:r w:rsidRPr="007D1A04">
        <w:rPr>
          <w:rFonts w:ascii="Verdana" w:hAnsi="Verdana"/>
          <w:sz w:val="20"/>
          <w:szCs w:val="20"/>
          <w:lang w:val="es-ES"/>
        </w:rPr>
        <w:t>resaltar que el presente voto, como los demás emitidos por los jueces en éste y otros procesos, son demo</w:t>
      </w:r>
      <w:r>
        <w:rPr>
          <w:rFonts w:ascii="Verdana" w:hAnsi="Verdana"/>
          <w:sz w:val="20"/>
          <w:szCs w:val="20"/>
          <w:lang w:val="es-ES"/>
        </w:rPr>
        <w:t xml:space="preserve">stración evidente del diálogo y </w:t>
      </w:r>
      <w:r w:rsidRPr="007D1A04">
        <w:rPr>
          <w:rFonts w:ascii="Verdana" w:hAnsi="Verdana"/>
          <w:sz w:val="20"/>
          <w:szCs w:val="20"/>
          <w:lang w:val="es-ES"/>
        </w:rPr>
        <w:t>de la diversidad de par</w:t>
      </w:r>
      <w:r>
        <w:rPr>
          <w:rFonts w:ascii="Verdana" w:hAnsi="Verdana"/>
          <w:sz w:val="20"/>
          <w:szCs w:val="20"/>
          <w:lang w:val="es-ES"/>
        </w:rPr>
        <w:t xml:space="preserve">eceres que existe en la Corte, así como de la deferente consideración </w:t>
      </w:r>
      <w:r w:rsidRPr="007D1A04">
        <w:rPr>
          <w:rFonts w:ascii="Verdana" w:hAnsi="Verdana"/>
          <w:sz w:val="20"/>
          <w:szCs w:val="20"/>
          <w:lang w:val="es-ES"/>
        </w:rPr>
        <w:t>que se brindan sus integrantes, todo lo cua</w:t>
      </w:r>
      <w:r>
        <w:rPr>
          <w:rFonts w:ascii="Verdana" w:hAnsi="Verdana"/>
          <w:sz w:val="20"/>
          <w:szCs w:val="20"/>
          <w:lang w:val="es-ES"/>
        </w:rPr>
        <w:t>l, sin duda, enriquece</w:t>
      </w:r>
      <w:r w:rsidRPr="007D1A04">
        <w:rPr>
          <w:rFonts w:ascii="Verdana" w:hAnsi="Verdana"/>
          <w:sz w:val="20"/>
          <w:szCs w:val="20"/>
          <w:lang w:val="es-ES"/>
        </w:rPr>
        <w:t xml:space="preserve"> la delicada y trascendental labor que les ha sido encomendada a aquella.</w:t>
      </w:r>
    </w:p>
    <w:p w14:paraId="54C68AD0" w14:textId="77777777" w:rsidR="003C2143" w:rsidRPr="00CF7FE6" w:rsidRDefault="003C2143" w:rsidP="003C2143">
      <w:pPr>
        <w:jc w:val="both"/>
        <w:rPr>
          <w:rFonts w:ascii="Verdana" w:hAnsi="Verdana"/>
          <w:sz w:val="20"/>
          <w:szCs w:val="20"/>
          <w:lang w:val="es-ES"/>
        </w:rPr>
      </w:pPr>
    </w:p>
    <w:p w14:paraId="5FC842E6" w14:textId="77777777" w:rsidR="003C2143" w:rsidRPr="00CF7FE6" w:rsidRDefault="003C2143" w:rsidP="003C2143">
      <w:pPr>
        <w:jc w:val="both"/>
        <w:rPr>
          <w:rFonts w:ascii="Verdana" w:hAnsi="Verdana"/>
          <w:sz w:val="20"/>
          <w:szCs w:val="20"/>
          <w:lang w:val="es-ES"/>
        </w:rPr>
      </w:pPr>
      <w:r w:rsidRPr="00CF7FE6">
        <w:rPr>
          <w:rFonts w:ascii="Verdana" w:hAnsi="Verdana"/>
          <w:sz w:val="20"/>
          <w:szCs w:val="20"/>
          <w:lang w:val="es-ES"/>
        </w:rPr>
        <w:t xml:space="preserve">Por otra parte, es de advertir que </w:t>
      </w:r>
      <w:r>
        <w:rPr>
          <w:rFonts w:ascii="Verdana" w:hAnsi="Verdana"/>
          <w:sz w:val="20"/>
          <w:szCs w:val="20"/>
          <w:lang w:val="es-ES"/>
        </w:rPr>
        <w:t>este escrito</w:t>
      </w:r>
      <w:r w:rsidRPr="00CF7FE6">
        <w:rPr>
          <w:rFonts w:ascii="Verdana" w:hAnsi="Verdana"/>
          <w:sz w:val="20"/>
          <w:szCs w:val="20"/>
          <w:lang w:val="es-ES"/>
        </w:rPr>
        <w:t xml:space="preserve"> se sustenta en la convicción de que lo que le corresponde a la Corte es aplicar e interpretar la Convención</w:t>
      </w:r>
      <w:r w:rsidRPr="00CF7FE6">
        <w:rPr>
          <w:rStyle w:val="FootnoteReference"/>
          <w:szCs w:val="20"/>
          <w:lang w:val="es-ES"/>
        </w:rPr>
        <w:footnoteReference w:id="371"/>
      </w:r>
      <w:r>
        <w:rPr>
          <w:rFonts w:ascii="Verdana" w:hAnsi="Verdana"/>
          <w:sz w:val="20"/>
          <w:szCs w:val="20"/>
          <w:lang w:val="es-ES"/>
        </w:rPr>
        <w:t xml:space="preserve">, vale decir, señalar el sentido y alcance de sus disposiciones que, por ser en alguna medida </w:t>
      </w:r>
      <w:proofErr w:type="gramStart"/>
      <w:r>
        <w:rPr>
          <w:rFonts w:ascii="Verdana" w:hAnsi="Verdana"/>
          <w:sz w:val="20"/>
          <w:szCs w:val="20"/>
          <w:lang w:val="es-ES"/>
        </w:rPr>
        <w:t>percibidas como oscuras o dudosas</w:t>
      </w:r>
      <w:proofErr w:type="gramEnd"/>
      <w:r>
        <w:rPr>
          <w:rFonts w:ascii="Verdana" w:hAnsi="Verdana"/>
          <w:sz w:val="20"/>
          <w:szCs w:val="20"/>
          <w:lang w:val="es-ES"/>
        </w:rPr>
        <w:t xml:space="preserve">, presenten varias posibilidades de aplicación. En este orden de ideas, no le compete a la Corte </w:t>
      </w:r>
      <w:r w:rsidRPr="00CF7FE6">
        <w:rPr>
          <w:rFonts w:ascii="Verdana" w:hAnsi="Verdana"/>
          <w:sz w:val="20"/>
          <w:szCs w:val="20"/>
          <w:lang w:val="es-ES"/>
        </w:rPr>
        <w:t>modificar</w:t>
      </w:r>
      <w:r>
        <w:rPr>
          <w:rFonts w:ascii="Verdana" w:hAnsi="Verdana"/>
          <w:sz w:val="20"/>
          <w:szCs w:val="20"/>
          <w:lang w:val="es-ES"/>
        </w:rPr>
        <w:t xml:space="preserve"> </w:t>
      </w:r>
      <w:r w:rsidRPr="00CF7FE6">
        <w:rPr>
          <w:rFonts w:ascii="Verdana" w:hAnsi="Verdana"/>
          <w:sz w:val="20"/>
          <w:szCs w:val="20"/>
          <w:lang w:val="es-ES"/>
        </w:rPr>
        <w:t>la</w:t>
      </w:r>
      <w:r>
        <w:rPr>
          <w:rFonts w:ascii="Verdana" w:hAnsi="Verdana"/>
          <w:sz w:val="20"/>
          <w:szCs w:val="20"/>
          <w:lang w:val="es-ES"/>
        </w:rPr>
        <w:t xml:space="preserve"> Convención sino únicamente </w:t>
      </w:r>
      <w:r w:rsidRPr="00CF7FE6">
        <w:rPr>
          <w:rFonts w:ascii="Verdana" w:hAnsi="Verdana"/>
          <w:sz w:val="20"/>
          <w:szCs w:val="20"/>
          <w:lang w:val="es-ES"/>
        </w:rPr>
        <w:t>señalar lo que ella efectivamente di</w:t>
      </w:r>
      <w:r>
        <w:rPr>
          <w:rFonts w:ascii="Verdana" w:hAnsi="Verdana"/>
          <w:sz w:val="20"/>
          <w:szCs w:val="20"/>
          <w:lang w:val="es-ES"/>
        </w:rPr>
        <w:t xml:space="preserve">spone y no lo que </w:t>
      </w:r>
      <w:r w:rsidRPr="00CF7FE6">
        <w:rPr>
          <w:rFonts w:ascii="Verdana" w:hAnsi="Verdana"/>
          <w:sz w:val="20"/>
          <w:szCs w:val="20"/>
          <w:lang w:val="es-ES"/>
        </w:rPr>
        <w:t>desea</w:t>
      </w:r>
      <w:r>
        <w:rPr>
          <w:rFonts w:ascii="Verdana" w:hAnsi="Verdana"/>
          <w:sz w:val="20"/>
          <w:szCs w:val="20"/>
          <w:lang w:val="es-ES"/>
        </w:rPr>
        <w:t>ría</w:t>
      </w:r>
      <w:r w:rsidRPr="00CF7FE6">
        <w:rPr>
          <w:rFonts w:ascii="Verdana" w:hAnsi="Verdana"/>
          <w:sz w:val="20"/>
          <w:szCs w:val="20"/>
          <w:lang w:val="es-ES"/>
        </w:rPr>
        <w:t xml:space="preserve"> que e</w:t>
      </w:r>
      <w:r>
        <w:rPr>
          <w:rFonts w:ascii="Verdana" w:hAnsi="Verdana"/>
          <w:sz w:val="20"/>
          <w:szCs w:val="20"/>
          <w:lang w:val="es-ES"/>
        </w:rPr>
        <w:t xml:space="preserve">stablezca. Su </w:t>
      </w:r>
      <w:r w:rsidRPr="00CF7FE6">
        <w:rPr>
          <w:rFonts w:ascii="Verdana" w:hAnsi="Verdana"/>
          <w:sz w:val="20"/>
          <w:szCs w:val="20"/>
          <w:lang w:val="es-ES"/>
        </w:rPr>
        <w:t xml:space="preserve">función </w:t>
      </w:r>
      <w:r>
        <w:rPr>
          <w:rFonts w:ascii="Verdana" w:hAnsi="Verdana"/>
          <w:sz w:val="20"/>
          <w:szCs w:val="20"/>
          <w:lang w:val="es-ES"/>
        </w:rPr>
        <w:t xml:space="preserve">es, por lo tanto, desentrañar la voluntad </w:t>
      </w:r>
      <w:r w:rsidRPr="00CF7FE6">
        <w:rPr>
          <w:rFonts w:ascii="Verdana" w:hAnsi="Verdana"/>
          <w:sz w:val="20"/>
          <w:szCs w:val="20"/>
          <w:lang w:val="es-ES"/>
        </w:rPr>
        <w:t>que los</w:t>
      </w:r>
      <w:r>
        <w:rPr>
          <w:rFonts w:ascii="Verdana" w:hAnsi="Verdana"/>
          <w:sz w:val="20"/>
          <w:szCs w:val="20"/>
          <w:lang w:val="es-ES"/>
        </w:rPr>
        <w:t xml:space="preserve"> </w:t>
      </w:r>
      <w:r w:rsidRPr="00CF7FE6">
        <w:rPr>
          <w:rFonts w:ascii="Verdana" w:hAnsi="Verdana"/>
          <w:sz w:val="20"/>
          <w:szCs w:val="20"/>
          <w:lang w:val="es-ES"/>
        </w:rPr>
        <w:t xml:space="preserve">Estados Partes de la Convención estamparon en ella al momento de suscribirla y, eventualmente, cómo debería ser entendida frente a nuevas situaciones. Y es en vista de determinar ese consentimiento que </w:t>
      </w:r>
      <w:r>
        <w:rPr>
          <w:rFonts w:ascii="Verdana" w:hAnsi="Verdana"/>
          <w:sz w:val="20"/>
          <w:szCs w:val="20"/>
          <w:lang w:val="es-ES"/>
        </w:rPr>
        <w:t xml:space="preserve">debe valerse de </w:t>
      </w:r>
      <w:r w:rsidRPr="00CF7FE6">
        <w:rPr>
          <w:rFonts w:ascii="Verdana" w:hAnsi="Verdana"/>
          <w:sz w:val="20"/>
          <w:szCs w:val="20"/>
          <w:lang w:val="es-ES"/>
        </w:rPr>
        <w:t xml:space="preserve">las reglas de interpretación de los tratados contenidas en la Convención de Viena sobre el Derecho de los Tratados y, en particular, </w:t>
      </w:r>
      <w:r>
        <w:rPr>
          <w:rFonts w:ascii="Verdana" w:hAnsi="Verdana"/>
          <w:sz w:val="20"/>
          <w:szCs w:val="20"/>
          <w:lang w:val="es-ES"/>
        </w:rPr>
        <w:t xml:space="preserve">de la prevista </w:t>
      </w:r>
      <w:r w:rsidRPr="00CF7FE6">
        <w:rPr>
          <w:rFonts w:ascii="Verdana" w:hAnsi="Verdana"/>
          <w:sz w:val="20"/>
          <w:szCs w:val="20"/>
          <w:lang w:val="es-ES"/>
        </w:rPr>
        <w:t>en su</w:t>
      </w:r>
      <w:r>
        <w:rPr>
          <w:rFonts w:ascii="Verdana" w:hAnsi="Verdana"/>
          <w:sz w:val="20"/>
          <w:szCs w:val="20"/>
          <w:lang w:val="es-ES"/>
        </w:rPr>
        <w:t xml:space="preserve"> artículo </w:t>
      </w:r>
      <w:r w:rsidRPr="00CF7FE6">
        <w:rPr>
          <w:rFonts w:ascii="Verdana" w:hAnsi="Verdana"/>
          <w:sz w:val="20"/>
          <w:szCs w:val="20"/>
          <w:lang w:val="es-ES"/>
        </w:rPr>
        <w:t>31</w:t>
      </w:r>
      <w:r w:rsidRPr="00CF7FE6">
        <w:rPr>
          <w:rStyle w:val="FootnoteReference"/>
          <w:szCs w:val="20"/>
          <w:lang w:val="es-ES"/>
        </w:rPr>
        <w:footnoteReference w:id="372"/>
      </w:r>
      <w:r>
        <w:rPr>
          <w:rFonts w:ascii="Verdana" w:hAnsi="Verdana"/>
          <w:sz w:val="20"/>
          <w:szCs w:val="20"/>
          <w:lang w:val="es-ES"/>
        </w:rPr>
        <w:t>, entendiendo que los cuatro elementos enunciados en él, deben aplicarse simultánea y armoniosamente</w:t>
      </w:r>
      <w:r w:rsidRPr="00CF7FE6">
        <w:rPr>
          <w:rFonts w:ascii="Verdana" w:hAnsi="Verdana"/>
          <w:sz w:val="20"/>
          <w:szCs w:val="20"/>
          <w:lang w:val="es-ES"/>
        </w:rPr>
        <w:t xml:space="preserve">. </w:t>
      </w:r>
    </w:p>
    <w:p w14:paraId="20BB5CA1" w14:textId="77777777" w:rsidR="003C2143" w:rsidRPr="00CF7FE6" w:rsidRDefault="003C2143" w:rsidP="003C2143">
      <w:pPr>
        <w:jc w:val="both"/>
        <w:rPr>
          <w:rFonts w:ascii="Verdana" w:hAnsi="Verdana"/>
          <w:sz w:val="20"/>
          <w:szCs w:val="20"/>
          <w:lang w:val="es-ES"/>
        </w:rPr>
      </w:pPr>
    </w:p>
    <w:p w14:paraId="4EDD559E" w14:textId="77777777" w:rsidR="003C2143" w:rsidRPr="00CF7FE6" w:rsidRDefault="003C2143" w:rsidP="003C2143">
      <w:pPr>
        <w:jc w:val="both"/>
        <w:rPr>
          <w:rFonts w:ascii="Verdana" w:hAnsi="Verdana"/>
          <w:sz w:val="20"/>
          <w:szCs w:val="20"/>
          <w:lang w:val="es-ES"/>
        </w:rPr>
      </w:pPr>
      <w:r w:rsidRPr="00CF7FE6">
        <w:rPr>
          <w:rFonts w:ascii="Verdana" w:hAnsi="Verdana"/>
          <w:sz w:val="20"/>
          <w:szCs w:val="20"/>
          <w:lang w:val="es-ES"/>
        </w:rPr>
        <w:t>Cabe agregar, en este mismo sentido, que la misión de la Corte es</w:t>
      </w:r>
      <w:r>
        <w:rPr>
          <w:rFonts w:ascii="Verdana" w:hAnsi="Verdana"/>
          <w:sz w:val="20"/>
          <w:szCs w:val="20"/>
          <w:lang w:val="es-ES"/>
        </w:rPr>
        <w:t xml:space="preserve"> </w:t>
      </w:r>
      <w:r w:rsidRPr="00CF7FE6">
        <w:rPr>
          <w:rFonts w:ascii="Verdana" w:hAnsi="Verdana"/>
          <w:sz w:val="20"/>
          <w:szCs w:val="20"/>
          <w:lang w:val="es-ES"/>
        </w:rPr>
        <w:t>impartir Justicia a través o por medio del Derecho</w:t>
      </w:r>
      <w:r>
        <w:rPr>
          <w:rStyle w:val="FootnoteReference"/>
          <w:szCs w:val="20"/>
          <w:lang w:val="es-ES"/>
        </w:rPr>
        <w:footnoteReference w:id="373"/>
      </w:r>
      <w:r w:rsidRPr="00CF7FE6">
        <w:rPr>
          <w:rFonts w:ascii="Verdana" w:hAnsi="Verdana"/>
          <w:sz w:val="20"/>
          <w:szCs w:val="20"/>
          <w:lang w:val="es-ES"/>
        </w:rPr>
        <w:t>. A ella no le corresponde promover los derechos humanos, función, por lo demás, asignada por la Convención a la Comisión Interamericana de Derechos Humanos</w:t>
      </w:r>
      <w:r w:rsidRPr="00CF7FE6">
        <w:rPr>
          <w:rStyle w:val="FootnoteReference"/>
          <w:szCs w:val="20"/>
          <w:lang w:val="es-ES"/>
        </w:rPr>
        <w:footnoteReference w:id="374"/>
      </w:r>
      <w:r w:rsidRPr="00CF7FE6">
        <w:rPr>
          <w:rFonts w:ascii="Verdana" w:hAnsi="Verdana"/>
          <w:sz w:val="20"/>
          <w:szCs w:val="20"/>
          <w:lang w:val="es-ES"/>
        </w:rPr>
        <w:t xml:space="preserve">. </w:t>
      </w:r>
      <w:r w:rsidRPr="00CF7FE6">
        <w:rPr>
          <w:rFonts w:ascii="Verdana" w:hAnsi="Verdana"/>
          <w:sz w:val="20"/>
          <w:szCs w:val="20"/>
          <w:lang w:val="es-ES"/>
        </w:rPr>
        <w:lastRenderedPageBreak/>
        <w:t xml:space="preserve">Consecuentemente, como órgano judicial, la Corte no cuenta con la facultad de juzgar al margen o con prescindencia de lo disponga el Derecho, expresado, a su respecto, en la Convención. </w:t>
      </w:r>
    </w:p>
    <w:p w14:paraId="1C2A7308" w14:textId="77777777" w:rsidR="003C2143" w:rsidRPr="00CF7FE6" w:rsidRDefault="003C2143" w:rsidP="003C2143">
      <w:pPr>
        <w:jc w:val="both"/>
        <w:rPr>
          <w:rFonts w:ascii="Verdana" w:hAnsi="Verdana"/>
          <w:sz w:val="20"/>
          <w:szCs w:val="20"/>
          <w:lang w:val="es-ES"/>
        </w:rPr>
      </w:pPr>
    </w:p>
    <w:p w14:paraId="238BAB36" w14:textId="77777777" w:rsidR="003C2143" w:rsidRPr="00CF7FE6" w:rsidRDefault="003C2143" w:rsidP="003C2143">
      <w:pPr>
        <w:jc w:val="both"/>
        <w:rPr>
          <w:rFonts w:ascii="Verdana" w:hAnsi="Verdana"/>
          <w:sz w:val="20"/>
          <w:szCs w:val="20"/>
          <w:lang w:val="es-ES"/>
        </w:rPr>
      </w:pPr>
      <w:r>
        <w:rPr>
          <w:rFonts w:ascii="Verdana" w:hAnsi="Verdana"/>
          <w:sz w:val="20"/>
          <w:szCs w:val="20"/>
          <w:lang w:val="es-ES"/>
        </w:rPr>
        <w:t>Esta divergencia</w:t>
      </w:r>
      <w:r w:rsidRPr="00CF7FE6">
        <w:rPr>
          <w:rFonts w:ascii="Verdana" w:hAnsi="Verdana"/>
          <w:sz w:val="20"/>
          <w:szCs w:val="20"/>
          <w:lang w:val="es-ES"/>
        </w:rPr>
        <w:t xml:space="preserve"> se formula, entonces, abrigando la ilusión</w:t>
      </w:r>
      <w:r>
        <w:rPr>
          <w:rFonts w:ascii="Verdana" w:hAnsi="Verdana"/>
          <w:sz w:val="20"/>
          <w:szCs w:val="20"/>
          <w:lang w:val="es-ES"/>
        </w:rPr>
        <w:t xml:space="preserve"> de que en el futuro se acoja, </w:t>
      </w:r>
      <w:r w:rsidRPr="00CF7FE6">
        <w:rPr>
          <w:rFonts w:ascii="Verdana" w:hAnsi="Verdana"/>
          <w:sz w:val="20"/>
          <w:szCs w:val="20"/>
          <w:lang w:val="es-ES"/>
        </w:rPr>
        <w:t>sea por la propia jurisprudencia sea por una nueva norma de Derecho Internacional. En cuanto a la primera, dado que</w:t>
      </w:r>
      <w:r>
        <w:rPr>
          <w:rFonts w:ascii="Verdana" w:hAnsi="Verdana"/>
          <w:sz w:val="20"/>
          <w:szCs w:val="20"/>
          <w:lang w:val="es-ES"/>
        </w:rPr>
        <w:t>,</w:t>
      </w:r>
      <w:r w:rsidRPr="00CF7FE6">
        <w:rPr>
          <w:rFonts w:ascii="Verdana" w:hAnsi="Verdana"/>
          <w:sz w:val="20"/>
          <w:szCs w:val="20"/>
          <w:lang w:val="es-ES"/>
        </w:rPr>
        <w:t xml:space="preserve"> siendo el fallo de la Corte obligatorio únicamente para el Estado Parte del caso en el que se pronuncia</w:t>
      </w:r>
      <w:r w:rsidRPr="00CF7FE6">
        <w:rPr>
          <w:rStyle w:val="FootnoteReference"/>
          <w:szCs w:val="20"/>
          <w:lang w:val="es-ES"/>
        </w:rPr>
        <w:footnoteReference w:id="375"/>
      </w:r>
      <w:r w:rsidRPr="00CF7FE6">
        <w:rPr>
          <w:rFonts w:ascii="Verdana" w:hAnsi="Verdana"/>
          <w:sz w:val="20"/>
          <w:szCs w:val="20"/>
          <w:lang w:val="es-ES"/>
        </w:rPr>
        <w:t>, ella, en tanto fuente auxiliar del Derecho Internacional y que, por ende, le corresponde “</w:t>
      </w:r>
      <w:r w:rsidRPr="00CF7FE6">
        <w:rPr>
          <w:rFonts w:ascii="Verdana" w:hAnsi="Verdana"/>
          <w:i/>
          <w:sz w:val="20"/>
          <w:szCs w:val="20"/>
          <w:lang w:val="es-ES"/>
        </w:rPr>
        <w:t>la determinación de las reglas de derecho</w:t>
      </w:r>
      <w:r w:rsidRPr="00CF7FE6">
        <w:rPr>
          <w:rFonts w:ascii="Verdana" w:hAnsi="Verdana"/>
          <w:sz w:val="20"/>
          <w:szCs w:val="20"/>
          <w:lang w:val="es-ES"/>
        </w:rPr>
        <w:t>” establecidas por una fuente autónoma del Derecho Internacional, es decir, tratado, costumbre, principio general de derecho o acto jurídico unilateral,</w:t>
      </w:r>
      <w:r w:rsidRPr="00CF7FE6">
        <w:rPr>
          <w:rStyle w:val="FootnoteReference"/>
          <w:szCs w:val="20"/>
          <w:lang w:val="es-ES"/>
        </w:rPr>
        <w:footnoteReference w:id="376"/>
      </w:r>
      <w:r w:rsidRPr="00CF7FE6">
        <w:rPr>
          <w:rFonts w:ascii="Verdana" w:hAnsi="Verdana"/>
          <w:sz w:val="20"/>
          <w:szCs w:val="20"/>
          <w:lang w:val="es-ES"/>
        </w:rPr>
        <w:t xml:space="preserve"> puede en el futuro variar al sentenciarse otro caso. Y respecto a la segunda, en razón de que a quienes les compete la función normativa internacional es a los Estados</w:t>
      </w:r>
      <w:r>
        <w:rPr>
          <w:rFonts w:ascii="Verdana" w:hAnsi="Verdana"/>
          <w:sz w:val="20"/>
          <w:szCs w:val="20"/>
          <w:lang w:val="es-ES"/>
        </w:rPr>
        <w:t xml:space="preserve"> y </w:t>
      </w:r>
      <w:r w:rsidRPr="00CF7FE6">
        <w:rPr>
          <w:rFonts w:ascii="Verdana" w:hAnsi="Verdana"/>
          <w:sz w:val="20"/>
          <w:szCs w:val="20"/>
          <w:lang w:val="es-ES"/>
        </w:rPr>
        <w:t>en el caso de la Convención</w:t>
      </w:r>
      <w:r>
        <w:rPr>
          <w:rFonts w:ascii="Verdana" w:hAnsi="Verdana"/>
          <w:sz w:val="20"/>
          <w:szCs w:val="20"/>
          <w:lang w:val="es-ES"/>
        </w:rPr>
        <w:t>,</w:t>
      </w:r>
      <w:r w:rsidRPr="00CF7FE6">
        <w:rPr>
          <w:rFonts w:ascii="Verdana" w:hAnsi="Verdana"/>
          <w:sz w:val="20"/>
          <w:szCs w:val="20"/>
          <w:lang w:val="es-ES"/>
        </w:rPr>
        <w:t xml:space="preserve"> a sus Estados Partes a través de enmiendas a esta última</w:t>
      </w:r>
      <w:r w:rsidRPr="00CF7FE6">
        <w:rPr>
          <w:rStyle w:val="FootnoteReference"/>
          <w:szCs w:val="20"/>
          <w:lang w:val="es-ES"/>
        </w:rPr>
        <w:footnoteReference w:id="377"/>
      </w:r>
      <w:r w:rsidRPr="00CF7FE6">
        <w:rPr>
          <w:rFonts w:ascii="Verdana" w:hAnsi="Verdana"/>
          <w:sz w:val="20"/>
          <w:szCs w:val="20"/>
          <w:lang w:val="es-ES"/>
        </w:rPr>
        <w:t>.</w:t>
      </w:r>
    </w:p>
    <w:p w14:paraId="4033FE06" w14:textId="77777777" w:rsidR="003C2143" w:rsidRPr="00CF7FE6" w:rsidRDefault="003C2143" w:rsidP="003C2143">
      <w:pPr>
        <w:jc w:val="both"/>
        <w:rPr>
          <w:rFonts w:ascii="Verdana" w:hAnsi="Verdana"/>
          <w:sz w:val="20"/>
          <w:szCs w:val="20"/>
          <w:lang w:val="es-ES"/>
        </w:rPr>
      </w:pPr>
    </w:p>
    <w:p w14:paraId="25A509FE" w14:textId="77777777" w:rsidR="003C2143" w:rsidRPr="00CF7FE6" w:rsidRDefault="003C2143" w:rsidP="003C2143">
      <w:pPr>
        <w:jc w:val="both"/>
        <w:rPr>
          <w:rFonts w:ascii="Verdana" w:hAnsi="Verdana"/>
          <w:sz w:val="20"/>
          <w:szCs w:val="20"/>
          <w:lang w:val="es-ES"/>
        </w:rPr>
      </w:pPr>
      <w:r w:rsidRPr="00CF7FE6">
        <w:rPr>
          <w:rFonts w:ascii="Verdana" w:hAnsi="Verdana"/>
          <w:sz w:val="20"/>
          <w:szCs w:val="20"/>
          <w:lang w:val="es-ES"/>
        </w:rPr>
        <w:lastRenderedPageBreak/>
        <w:t xml:space="preserve">Procede, asimismo, dejar expresa constancia </w:t>
      </w:r>
      <w:r>
        <w:rPr>
          <w:rFonts w:ascii="Verdana" w:hAnsi="Verdana"/>
          <w:sz w:val="20"/>
          <w:szCs w:val="20"/>
          <w:lang w:val="es-ES"/>
        </w:rPr>
        <w:t xml:space="preserve">de </w:t>
      </w:r>
      <w:r w:rsidRPr="00CF7FE6">
        <w:rPr>
          <w:rFonts w:ascii="Verdana" w:hAnsi="Verdana"/>
          <w:sz w:val="20"/>
          <w:szCs w:val="20"/>
          <w:lang w:val="es-ES"/>
        </w:rPr>
        <w:t xml:space="preserve">que, con lo que se sustenta en la presente opinión, no se persigue, bajo ninguna circunstancia, un debilitamiento o restricción de la vigencia de los derechos humanos, sino, precisamente, todo lo contrario. Efectivamente, lo que </w:t>
      </w:r>
      <w:r>
        <w:rPr>
          <w:rFonts w:ascii="Verdana" w:hAnsi="Verdana"/>
          <w:sz w:val="20"/>
          <w:szCs w:val="20"/>
          <w:lang w:val="es-ES"/>
        </w:rPr>
        <w:t xml:space="preserve">aquí </w:t>
      </w:r>
      <w:r w:rsidRPr="00CF7FE6">
        <w:rPr>
          <w:rFonts w:ascii="Verdana" w:hAnsi="Verdana"/>
          <w:sz w:val="20"/>
          <w:szCs w:val="20"/>
          <w:lang w:val="es-ES"/>
        </w:rPr>
        <w:t>se se</w:t>
      </w:r>
      <w:r>
        <w:rPr>
          <w:rFonts w:ascii="Verdana" w:hAnsi="Verdana"/>
          <w:sz w:val="20"/>
          <w:szCs w:val="20"/>
          <w:lang w:val="es-ES"/>
        </w:rPr>
        <w:t>ñala responde a la íntima certeza</w:t>
      </w:r>
      <w:r w:rsidRPr="00CF7FE6">
        <w:rPr>
          <w:rFonts w:ascii="Verdana" w:hAnsi="Verdana"/>
          <w:sz w:val="20"/>
          <w:szCs w:val="20"/>
          <w:lang w:val="es-ES"/>
        </w:rPr>
        <w:t xml:space="preserve"> de que se logra el efectivo respeto de los derechos humanos si lo que se les exige a los Estados Partes de la Convención es lo que realmente ellos libre y soberanamente se comprometieron a cumplir. La seguridad jurídica tiene, a este respecto, un rol fundamental y, por ende, no puede ser entendida como una limitación o restricción al desarrollo de los derechos humanos, sino que</w:t>
      </w:r>
      <w:r>
        <w:rPr>
          <w:rFonts w:ascii="Verdana" w:hAnsi="Verdana"/>
          <w:sz w:val="20"/>
          <w:szCs w:val="20"/>
          <w:lang w:val="es-ES"/>
        </w:rPr>
        <w:t xml:space="preserve"> más bien </w:t>
      </w:r>
      <w:r w:rsidRPr="00CF7FE6">
        <w:rPr>
          <w:rFonts w:ascii="Verdana" w:hAnsi="Verdana"/>
          <w:sz w:val="20"/>
          <w:szCs w:val="20"/>
          <w:lang w:val="es-ES"/>
        </w:rPr>
        <w:t>como el instrumento que mejor puede  garantizar su efectivo respeto o su pronto restablecimiento, si han sido trasgredidos.</w:t>
      </w:r>
    </w:p>
    <w:p w14:paraId="477D18A2" w14:textId="77777777" w:rsidR="003C2143" w:rsidRPr="00CF7FE6" w:rsidRDefault="003C2143" w:rsidP="003C2143">
      <w:pPr>
        <w:jc w:val="both"/>
        <w:rPr>
          <w:rFonts w:ascii="Verdana" w:hAnsi="Verdana"/>
          <w:sz w:val="20"/>
          <w:szCs w:val="20"/>
          <w:lang w:val="es-ES"/>
        </w:rPr>
      </w:pPr>
      <w:r w:rsidRPr="00CF7FE6">
        <w:rPr>
          <w:rFonts w:ascii="Verdana" w:hAnsi="Verdana"/>
          <w:sz w:val="20"/>
          <w:szCs w:val="20"/>
          <w:lang w:val="es-ES"/>
        </w:rPr>
        <w:t xml:space="preserve"> </w:t>
      </w:r>
    </w:p>
    <w:p w14:paraId="2526E402" w14:textId="77777777" w:rsidR="003C2143" w:rsidRPr="00CF7FE6" w:rsidRDefault="003C2143" w:rsidP="003C2143">
      <w:pPr>
        <w:jc w:val="both"/>
        <w:rPr>
          <w:rFonts w:ascii="Verdana" w:hAnsi="Verdana"/>
          <w:sz w:val="20"/>
          <w:szCs w:val="20"/>
          <w:lang w:val="es-ES"/>
        </w:rPr>
      </w:pPr>
      <w:r>
        <w:rPr>
          <w:rFonts w:ascii="Verdana" w:hAnsi="Verdana"/>
          <w:sz w:val="20"/>
          <w:szCs w:val="20"/>
          <w:lang w:val="es-ES"/>
        </w:rPr>
        <w:t>L</w:t>
      </w:r>
      <w:r w:rsidRPr="00CF7FE6">
        <w:rPr>
          <w:rFonts w:ascii="Verdana" w:hAnsi="Verdana"/>
          <w:sz w:val="20"/>
          <w:szCs w:val="20"/>
          <w:lang w:val="es-ES"/>
        </w:rPr>
        <w:t>o que está subyacente a lo que se expone</w:t>
      </w:r>
      <w:r>
        <w:rPr>
          <w:rFonts w:ascii="Verdana" w:hAnsi="Verdana"/>
          <w:sz w:val="20"/>
          <w:szCs w:val="20"/>
          <w:lang w:val="es-ES"/>
        </w:rPr>
        <w:t xml:space="preserve"> en estas líneas</w:t>
      </w:r>
      <w:r w:rsidRPr="00CF7FE6">
        <w:rPr>
          <w:rFonts w:ascii="Verdana" w:hAnsi="Verdana"/>
          <w:sz w:val="20"/>
          <w:szCs w:val="20"/>
          <w:lang w:val="es-ES"/>
        </w:rPr>
        <w:t xml:space="preserve"> es</w:t>
      </w:r>
      <w:r>
        <w:rPr>
          <w:rFonts w:ascii="Verdana" w:hAnsi="Verdana"/>
          <w:sz w:val="20"/>
          <w:szCs w:val="20"/>
          <w:lang w:val="es-ES"/>
        </w:rPr>
        <w:t>, pues,</w:t>
      </w:r>
      <w:r w:rsidRPr="00CF7FE6">
        <w:rPr>
          <w:rFonts w:ascii="Verdana" w:hAnsi="Verdana"/>
          <w:sz w:val="20"/>
          <w:szCs w:val="20"/>
          <w:lang w:val="es-ES"/>
        </w:rPr>
        <w:t xml:space="preserve"> que el Derecho es el medio para alcanzar la Justicia y ésta la paz y, por ende, dado que el Derecho Internacional de los Derechos Humanos forma parte del Derecho Internacional General, la interpretación y aplicación de aquél deben ser realiza</w:t>
      </w:r>
      <w:r>
        <w:rPr>
          <w:rFonts w:ascii="Verdana" w:hAnsi="Verdana"/>
          <w:sz w:val="20"/>
          <w:szCs w:val="20"/>
          <w:lang w:val="es-ES"/>
        </w:rPr>
        <w:t>das en armonía con lo prescrito en éste</w:t>
      </w:r>
      <w:r w:rsidRPr="00CF7FE6">
        <w:rPr>
          <w:rStyle w:val="FootnoteReference"/>
          <w:szCs w:val="20"/>
          <w:lang w:val="es-ES"/>
        </w:rPr>
        <w:footnoteReference w:id="378"/>
      </w:r>
      <w:r w:rsidRPr="00CF7FE6">
        <w:rPr>
          <w:rFonts w:ascii="Verdana" w:hAnsi="Verdana"/>
          <w:sz w:val="20"/>
          <w:szCs w:val="20"/>
          <w:lang w:val="es-ES"/>
        </w:rPr>
        <w:t xml:space="preserve">. </w:t>
      </w:r>
    </w:p>
    <w:p w14:paraId="6005DC71" w14:textId="77777777" w:rsidR="003C2143" w:rsidRPr="00CF7FE6" w:rsidRDefault="003C2143" w:rsidP="003C2143">
      <w:pPr>
        <w:jc w:val="both"/>
        <w:rPr>
          <w:rFonts w:ascii="Verdana" w:hAnsi="Verdana"/>
          <w:sz w:val="20"/>
          <w:szCs w:val="20"/>
          <w:lang w:val="es-ES"/>
        </w:rPr>
      </w:pPr>
    </w:p>
    <w:p w14:paraId="5BE6D256" w14:textId="77777777" w:rsidR="003C2143" w:rsidRPr="00CF7FE6" w:rsidRDefault="003C2143" w:rsidP="003C2143">
      <w:pPr>
        <w:jc w:val="both"/>
        <w:rPr>
          <w:rFonts w:ascii="Verdana" w:hAnsi="Verdana"/>
          <w:sz w:val="20"/>
          <w:szCs w:val="20"/>
          <w:lang w:val="es-ES"/>
        </w:rPr>
      </w:pPr>
      <w:r w:rsidRPr="00CF7FE6">
        <w:rPr>
          <w:rFonts w:ascii="Verdana" w:hAnsi="Verdana"/>
          <w:sz w:val="20"/>
          <w:szCs w:val="20"/>
          <w:lang w:val="es-ES"/>
        </w:rPr>
        <w:t xml:space="preserve">Por otra parte, es procedente indicar </w:t>
      </w:r>
      <w:r>
        <w:rPr>
          <w:rFonts w:ascii="Verdana" w:hAnsi="Verdana"/>
          <w:sz w:val="20"/>
          <w:szCs w:val="20"/>
          <w:lang w:val="es-ES"/>
        </w:rPr>
        <w:t>que este texto</w:t>
      </w:r>
      <w:r w:rsidRPr="00CF7FE6">
        <w:rPr>
          <w:rFonts w:ascii="Verdana" w:hAnsi="Verdana"/>
          <w:sz w:val="20"/>
          <w:szCs w:val="20"/>
          <w:lang w:val="es-ES"/>
        </w:rPr>
        <w:t xml:space="preserve"> responde igualmente a la circunstancia de que la Corte, en tanto órgano judicial, goza de la más amplia autonomía</w:t>
      </w:r>
      <w:r>
        <w:rPr>
          <w:rFonts w:ascii="Verdana" w:hAnsi="Verdana"/>
          <w:sz w:val="20"/>
          <w:szCs w:val="20"/>
          <w:lang w:val="es-ES"/>
        </w:rPr>
        <w:t xml:space="preserve"> en su quehacer</w:t>
      </w:r>
      <w:r w:rsidRPr="00CF7FE6">
        <w:rPr>
          <w:rFonts w:ascii="Verdana" w:hAnsi="Verdana"/>
          <w:sz w:val="20"/>
          <w:szCs w:val="20"/>
          <w:lang w:val="es-ES"/>
        </w:rPr>
        <w:t xml:space="preserve">, no existiendo entidad superior que pueda controlar su proceder, característica que le impone el imperativo de ser ella misma muy rigurosa en el ejercicio de su competencia, a los efectos de no desnaturalizarla y, consecuentemente, debilitar el sistema de protección interamericano de derechos humanos. En tal orden de ideas, lo que se argumenta seguidamente persigue el más amplio reconocimiento de la Corte por parte de todos los que comparecen ante ella y así fortalecerla en su condición de órgano judicial y, consecuentemente, como la entidad de alcance continental más acabada que se ha logrado en resguardo de los derechos humanos, por lo que, por tanto, </w:t>
      </w:r>
      <w:r>
        <w:rPr>
          <w:rFonts w:ascii="Verdana" w:hAnsi="Verdana"/>
          <w:sz w:val="20"/>
          <w:szCs w:val="20"/>
          <w:lang w:val="es-ES"/>
        </w:rPr>
        <w:t xml:space="preserve">es menester persistir en su consolidación y perfeccionamiento, sin someterla </w:t>
      </w:r>
      <w:r w:rsidRPr="00CF7FE6">
        <w:rPr>
          <w:rFonts w:ascii="Verdana" w:hAnsi="Verdana"/>
          <w:sz w:val="20"/>
          <w:szCs w:val="20"/>
          <w:lang w:val="es-ES"/>
        </w:rPr>
        <w:t>a riesgos</w:t>
      </w:r>
      <w:r>
        <w:rPr>
          <w:rFonts w:ascii="Verdana" w:hAnsi="Verdana"/>
          <w:sz w:val="20"/>
          <w:szCs w:val="20"/>
          <w:lang w:val="es-ES"/>
        </w:rPr>
        <w:t xml:space="preserve"> que puedan afectar negativamente dicho esfuerzo</w:t>
      </w:r>
      <w:r w:rsidRPr="00CF7FE6">
        <w:rPr>
          <w:rFonts w:ascii="Verdana" w:hAnsi="Verdana"/>
          <w:sz w:val="20"/>
          <w:szCs w:val="20"/>
          <w:lang w:val="es-ES"/>
        </w:rPr>
        <w:t xml:space="preserve">. </w:t>
      </w:r>
    </w:p>
    <w:p w14:paraId="41200DAD" w14:textId="77777777" w:rsidR="003C2143" w:rsidRPr="00CF7FE6" w:rsidRDefault="003C2143" w:rsidP="003C2143">
      <w:pPr>
        <w:jc w:val="both"/>
        <w:rPr>
          <w:rFonts w:ascii="Verdana" w:hAnsi="Verdana"/>
          <w:sz w:val="20"/>
          <w:szCs w:val="20"/>
          <w:lang w:val="es-ES"/>
        </w:rPr>
      </w:pPr>
    </w:p>
    <w:p w14:paraId="05B976ED" w14:textId="77777777" w:rsidR="003C2143" w:rsidRPr="00273011" w:rsidRDefault="003C2143" w:rsidP="003C2143">
      <w:pPr>
        <w:pStyle w:val="ListParagraph"/>
        <w:numPr>
          <w:ilvl w:val="0"/>
          <w:numId w:val="33"/>
        </w:numPr>
        <w:jc w:val="both"/>
        <w:rPr>
          <w:rFonts w:ascii="Verdana" w:hAnsi="Verdana"/>
          <w:b/>
          <w:sz w:val="20"/>
          <w:szCs w:val="20"/>
          <w:lang w:val="es-ES"/>
        </w:rPr>
      </w:pPr>
      <w:r w:rsidRPr="00273011">
        <w:rPr>
          <w:rFonts w:ascii="Verdana" w:hAnsi="Verdana"/>
          <w:b/>
          <w:sz w:val="20"/>
          <w:szCs w:val="20"/>
          <w:lang w:val="es-ES"/>
        </w:rPr>
        <w:t>La disidencia.</w:t>
      </w:r>
    </w:p>
    <w:p w14:paraId="371403BE" w14:textId="77777777" w:rsidR="003C2143" w:rsidRPr="00CF7FE6" w:rsidRDefault="003C2143" w:rsidP="003C2143">
      <w:pPr>
        <w:jc w:val="both"/>
        <w:rPr>
          <w:rFonts w:ascii="Verdana" w:hAnsi="Verdana"/>
          <w:b/>
          <w:sz w:val="20"/>
          <w:szCs w:val="20"/>
          <w:lang w:val="es-ES"/>
        </w:rPr>
      </w:pPr>
    </w:p>
    <w:p w14:paraId="15E058DB" w14:textId="77777777" w:rsidR="003C2143" w:rsidRPr="00CF7FE6" w:rsidRDefault="003C2143" w:rsidP="003C2143">
      <w:pPr>
        <w:jc w:val="both"/>
        <w:rPr>
          <w:rFonts w:ascii="Verdana" w:hAnsi="Verdana"/>
          <w:sz w:val="20"/>
          <w:szCs w:val="20"/>
          <w:lang w:val="es-ES"/>
        </w:rPr>
      </w:pPr>
      <w:r>
        <w:rPr>
          <w:rFonts w:ascii="Verdana" w:hAnsi="Verdana"/>
          <w:sz w:val="20"/>
          <w:szCs w:val="20"/>
          <w:lang w:val="es-ES"/>
        </w:rPr>
        <w:t>La desavenencia</w:t>
      </w:r>
      <w:r w:rsidRPr="00CF7FE6">
        <w:rPr>
          <w:rFonts w:ascii="Verdana" w:hAnsi="Verdana"/>
          <w:sz w:val="20"/>
          <w:szCs w:val="20"/>
          <w:lang w:val="es-ES"/>
        </w:rPr>
        <w:t xml:space="preserve"> parcial que se plantea </w:t>
      </w:r>
      <w:r>
        <w:rPr>
          <w:rFonts w:ascii="Verdana" w:hAnsi="Verdana"/>
          <w:sz w:val="20"/>
          <w:szCs w:val="20"/>
          <w:lang w:val="es-ES"/>
        </w:rPr>
        <w:t xml:space="preserve">en este escrito </w:t>
      </w:r>
      <w:r w:rsidRPr="00CF7FE6">
        <w:rPr>
          <w:rFonts w:ascii="Verdana" w:hAnsi="Verdana"/>
          <w:sz w:val="20"/>
          <w:szCs w:val="20"/>
          <w:lang w:val="es-ES"/>
        </w:rPr>
        <w:t>se refiere, como se ha señalado, a la violación de dos derechos, al derecho a la estabilidad en el empleo y al derecho de asociación.</w:t>
      </w:r>
    </w:p>
    <w:p w14:paraId="5ABD9250" w14:textId="77777777" w:rsidR="003C2143" w:rsidRPr="00CF7FE6" w:rsidRDefault="003C2143" w:rsidP="003C2143">
      <w:pPr>
        <w:jc w:val="both"/>
        <w:rPr>
          <w:rFonts w:ascii="Verdana" w:hAnsi="Verdana"/>
          <w:sz w:val="20"/>
          <w:szCs w:val="20"/>
          <w:lang w:val="es-ES"/>
        </w:rPr>
      </w:pPr>
    </w:p>
    <w:p w14:paraId="35A2EF37" w14:textId="77777777" w:rsidR="003C2143" w:rsidRPr="00CF7FE6" w:rsidRDefault="003C2143" w:rsidP="003C2143">
      <w:pPr>
        <w:pStyle w:val="ListParagraph"/>
        <w:numPr>
          <w:ilvl w:val="0"/>
          <w:numId w:val="34"/>
        </w:numPr>
        <w:jc w:val="both"/>
        <w:rPr>
          <w:rFonts w:ascii="Verdana" w:hAnsi="Verdana"/>
          <w:sz w:val="20"/>
          <w:szCs w:val="20"/>
          <w:lang w:val="es-ES"/>
        </w:rPr>
      </w:pPr>
      <w:r w:rsidRPr="00CF7FE6">
        <w:rPr>
          <w:rFonts w:ascii="Verdana" w:hAnsi="Verdana"/>
          <w:b/>
          <w:sz w:val="20"/>
          <w:szCs w:val="20"/>
          <w:lang w:val="es-ES"/>
        </w:rPr>
        <w:t>Derecho a la estabilidad en el empleo</w:t>
      </w:r>
      <w:r w:rsidRPr="00CF7FE6">
        <w:rPr>
          <w:rFonts w:ascii="Verdana" w:hAnsi="Verdana"/>
          <w:sz w:val="20"/>
          <w:szCs w:val="20"/>
          <w:lang w:val="es-ES"/>
        </w:rPr>
        <w:t xml:space="preserve">. </w:t>
      </w:r>
    </w:p>
    <w:p w14:paraId="46BFD6E3" w14:textId="77777777" w:rsidR="003C2143" w:rsidRPr="00CF7FE6" w:rsidRDefault="003C2143" w:rsidP="003C2143">
      <w:pPr>
        <w:pStyle w:val="ListParagraph"/>
        <w:ind w:left="0"/>
        <w:jc w:val="both"/>
        <w:rPr>
          <w:rFonts w:ascii="Verdana" w:hAnsi="Verdana"/>
          <w:sz w:val="20"/>
          <w:szCs w:val="20"/>
          <w:lang w:val="es-ES"/>
        </w:rPr>
      </w:pPr>
    </w:p>
    <w:p w14:paraId="48A3AE5D" w14:textId="77777777" w:rsidR="003C2143" w:rsidRPr="00CF7FE6" w:rsidRDefault="003C2143" w:rsidP="003C2143">
      <w:pPr>
        <w:jc w:val="both"/>
        <w:rPr>
          <w:rFonts w:ascii="Verdana" w:hAnsi="Verdana"/>
          <w:i/>
          <w:sz w:val="20"/>
          <w:szCs w:val="20"/>
          <w:lang w:val="es-ES"/>
        </w:rPr>
      </w:pPr>
      <w:r w:rsidRPr="00CF7FE6">
        <w:rPr>
          <w:rFonts w:ascii="Verdana" w:hAnsi="Verdana"/>
          <w:sz w:val="20"/>
          <w:szCs w:val="20"/>
          <w:lang w:val="es-ES"/>
        </w:rPr>
        <w:t xml:space="preserve">En lo concerniente al derecho a la estabilidad en el empleo, es indispensable señalar </w:t>
      </w:r>
      <w:r>
        <w:rPr>
          <w:rFonts w:ascii="Verdana" w:hAnsi="Verdana"/>
          <w:sz w:val="20"/>
          <w:szCs w:val="20"/>
          <w:lang w:val="es-ES"/>
        </w:rPr>
        <w:t xml:space="preserve">que la disidencia en cuestión </w:t>
      </w:r>
      <w:r w:rsidRPr="00CF7FE6">
        <w:rPr>
          <w:rFonts w:ascii="Verdana" w:hAnsi="Verdana"/>
          <w:sz w:val="20"/>
          <w:szCs w:val="20"/>
          <w:lang w:val="es-ES"/>
        </w:rPr>
        <w:t xml:space="preserve">no se refiere a la existencia de dicho derecho, ni tampoco a la de los demás derechos económicos, sociales y culturales. Ello no se pone en duda, pues es evidente que se encuentran consagrados en el Derecho Internacional aplicable a los Estados americanos y, en lo concerniente particularmente al derecho al trabajo, en el </w:t>
      </w:r>
      <w:r w:rsidRPr="00CF7FE6">
        <w:rPr>
          <w:rFonts w:ascii="Verdana" w:hAnsi="Verdana"/>
          <w:i/>
          <w:sz w:val="20"/>
          <w:szCs w:val="20"/>
          <w:lang w:val="es-ES"/>
        </w:rPr>
        <w:t xml:space="preserve">Protocolo Adicional a la Convención Americana sobre Derechos Humanos en Materia de Derechos Económicos, Sociales y Culturales, Protocolo de San Salvador”. </w:t>
      </w:r>
    </w:p>
    <w:p w14:paraId="4A64EED7" w14:textId="77777777" w:rsidR="003C2143" w:rsidRPr="00CF7FE6" w:rsidRDefault="003C2143" w:rsidP="003C2143">
      <w:pPr>
        <w:jc w:val="both"/>
        <w:rPr>
          <w:rFonts w:ascii="Verdana" w:hAnsi="Verdana"/>
          <w:sz w:val="20"/>
          <w:szCs w:val="20"/>
          <w:lang w:val="es-ES"/>
        </w:rPr>
      </w:pPr>
    </w:p>
    <w:p w14:paraId="1D2B8BC5" w14:textId="77777777" w:rsidR="003C2143" w:rsidRPr="00CF7FE6" w:rsidRDefault="003C2143" w:rsidP="003C2143">
      <w:pPr>
        <w:jc w:val="both"/>
        <w:rPr>
          <w:rFonts w:ascii="Verdana" w:hAnsi="Verdana"/>
          <w:sz w:val="20"/>
          <w:szCs w:val="20"/>
          <w:lang w:val="es-ES"/>
        </w:rPr>
      </w:pPr>
      <w:r w:rsidRPr="00CF7FE6">
        <w:rPr>
          <w:rFonts w:ascii="Verdana" w:hAnsi="Verdana"/>
          <w:sz w:val="20"/>
          <w:szCs w:val="20"/>
          <w:lang w:val="es-ES"/>
        </w:rPr>
        <w:t>D</w:t>
      </w:r>
      <w:r>
        <w:rPr>
          <w:rFonts w:ascii="Verdana" w:hAnsi="Verdana"/>
          <w:sz w:val="20"/>
          <w:szCs w:val="20"/>
          <w:lang w:val="es-ES"/>
        </w:rPr>
        <w:t xml:space="preserve">e lo </w:t>
      </w:r>
      <w:r w:rsidRPr="00CF7FE6">
        <w:rPr>
          <w:rFonts w:ascii="Verdana" w:hAnsi="Verdana"/>
          <w:sz w:val="20"/>
          <w:szCs w:val="20"/>
          <w:lang w:val="es-ES"/>
        </w:rPr>
        <w:t>da</w:t>
      </w:r>
      <w:r>
        <w:rPr>
          <w:rFonts w:ascii="Verdana" w:hAnsi="Verdana"/>
          <w:sz w:val="20"/>
          <w:szCs w:val="20"/>
          <w:lang w:val="es-ES"/>
        </w:rPr>
        <w:t xml:space="preserve"> cuenta este documento</w:t>
      </w:r>
      <w:r w:rsidRPr="00CF7FE6">
        <w:rPr>
          <w:rFonts w:ascii="Verdana" w:hAnsi="Verdana"/>
          <w:sz w:val="20"/>
          <w:szCs w:val="20"/>
          <w:lang w:val="es-ES"/>
        </w:rPr>
        <w:t xml:space="preserve"> dice relación más bien con que en autos no se trataba de determinar la existencia del derecho a la estabilidad en el empleo, como lo hace la Sentencia</w:t>
      </w:r>
      <w:r w:rsidRPr="00CF7FE6">
        <w:rPr>
          <w:rStyle w:val="FootnoteReference"/>
          <w:szCs w:val="20"/>
          <w:lang w:val="es-ES"/>
        </w:rPr>
        <w:footnoteReference w:id="379"/>
      </w:r>
      <w:r w:rsidRPr="00CF7FE6">
        <w:rPr>
          <w:rFonts w:ascii="Verdana" w:hAnsi="Verdana"/>
          <w:sz w:val="20"/>
          <w:szCs w:val="20"/>
          <w:lang w:val="es-ES"/>
        </w:rPr>
        <w:t xml:space="preserve">, sino si su eventual violación por el Estado podía ser sometida al conocimiento y resolución de la </w:t>
      </w:r>
      <w:r w:rsidRPr="00CF7FE6">
        <w:rPr>
          <w:rFonts w:ascii="Verdana" w:hAnsi="Verdana"/>
          <w:sz w:val="20"/>
          <w:szCs w:val="20"/>
          <w:lang w:val="es-ES"/>
        </w:rPr>
        <w:lastRenderedPageBreak/>
        <w:t>Corte.  La cuestión controvertida era, entonces, respecto a si lo relativo al derecho a la estabilidad en el empleo es susceptible de ser enjuiciado por la Corte, es decir, si ésta tiene, al amparo de lo contemplado en el artículo 26 de la Convención, competencia para</w:t>
      </w:r>
      <w:r>
        <w:rPr>
          <w:rFonts w:ascii="Verdana" w:hAnsi="Verdana"/>
          <w:sz w:val="20"/>
          <w:szCs w:val="20"/>
          <w:lang w:val="es-ES"/>
        </w:rPr>
        <w:t xml:space="preserve"> </w:t>
      </w:r>
      <w:r w:rsidRPr="00CF7FE6">
        <w:rPr>
          <w:rFonts w:ascii="Verdana" w:hAnsi="Verdana"/>
          <w:sz w:val="20"/>
          <w:szCs w:val="20"/>
          <w:lang w:val="es-ES"/>
        </w:rPr>
        <w:t xml:space="preserve">pronunciarse acerca de la eventual violación de dicho derecho. </w:t>
      </w:r>
    </w:p>
    <w:p w14:paraId="2A9DB9FE" w14:textId="77777777" w:rsidR="003C2143" w:rsidRPr="00CF7FE6" w:rsidRDefault="003C2143" w:rsidP="003C2143">
      <w:pPr>
        <w:jc w:val="both"/>
        <w:rPr>
          <w:rFonts w:ascii="Verdana" w:hAnsi="Verdana"/>
          <w:sz w:val="20"/>
          <w:szCs w:val="20"/>
          <w:lang w:val="es-ES"/>
        </w:rPr>
      </w:pPr>
    </w:p>
    <w:p w14:paraId="7FF50C4D" w14:textId="77777777" w:rsidR="003C2143" w:rsidRPr="00CF7FE6" w:rsidRDefault="003C2143" w:rsidP="003C2143">
      <w:pPr>
        <w:jc w:val="both"/>
        <w:rPr>
          <w:rFonts w:ascii="Verdana" w:hAnsi="Verdana"/>
          <w:sz w:val="20"/>
          <w:szCs w:val="20"/>
          <w:lang w:val="es-ES"/>
        </w:rPr>
      </w:pPr>
      <w:r w:rsidRPr="00CF7FE6">
        <w:rPr>
          <w:rFonts w:ascii="Verdana" w:hAnsi="Verdana"/>
          <w:sz w:val="20"/>
          <w:szCs w:val="20"/>
          <w:lang w:val="es-ES"/>
        </w:rPr>
        <w:t xml:space="preserve">Lo que se sostiene en el presente escrito se fundamenta en que la Corte carece de dicha competencia, es decir, se afirma, </w:t>
      </w:r>
      <w:proofErr w:type="spellStart"/>
      <w:r w:rsidRPr="00CF7FE6">
        <w:rPr>
          <w:rFonts w:ascii="Verdana" w:hAnsi="Verdana"/>
          <w:sz w:val="20"/>
          <w:szCs w:val="20"/>
          <w:lang w:val="es-ES"/>
        </w:rPr>
        <w:t>a</w:t>
      </w:r>
      <w:proofErr w:type="spellEnd"/>
      <w:r w:rsidRPr="00CF7FE6">
        <w:rPr>
          <w:rFonts w:ascii="Verdana" w:hAnsi="Verdana"/>
          <w:sz w:val="20"/>
          <w:szCs w:val="20"/>
          <w:lang w:val="es-ES"/>
        </w:rPr>
        <w:t xml:space="preserve"> contrario de lo indicado en la Sentencia, que el derecho a la estabilidad en el empleo no es susceptible de ser judicializado internacionalmente ante aquella. Y ello por las razones que se esgrimen más adelante, agrupadas en torno a lo que dispone la Convención, lo que establece, en especial, su artículo 26 y, finalmente, otras consideraciones de la Sentencia.</w:t>
      </w:r>
    </w:p>
    <w:p w14:paraId="76E5EDAA" w14:textId="77777777" w:rsidR="003C2143" w:rsidRPr="00CF7FE6" w:rsidRDefault="003C2143" w:rsidP="003C2143">
      <w:pPr>
        <w:jc w:val="both"/>
        <w:rPr>
          <w:rFonts w:ascii="Verdana" w:hAnsi="Verdana"/>
          <w:sz w:val="20"/>
          <w:szCs w:val="20"/>
          <w:lang w:val="es-ES"/>
        </w:rPr>
      </w:pPr>
    </w:p>
    <w:p w14:paraId="6DDB9129" w14:textId="77777777" w:rsidR="003C2143" w:rsidRPr="00CF7FE6" w:rsidRDefault="003C2143" w:rsidP="003C2143">
      <w:pPr>
        <w:pStyle w:val="ListParagraph"/>
        <w:numPr>
          <w:ilvl w:val="0"/>
          <w:numId w:val="34"/>
        </w:numPr>
        <w:jc w:val="both"/>
        <w:rPr>
          <w:rFonts w:ascii="Verdana" w:hAnsi="Verdana"/>
          <w:b/>
          <w:sz w:val="20"/>
          <w:szCs w:val="20"/>
          <w:lang w:val="es-ES"/>
        </w:rPr>
      </w:pPr>
      <w:r w:rsidRPr="00CF7FE6">
        <w:rPr>
          <w:rFonts w:ascii="Verdana" w:hAnsi="Verdana"/>
          <w:b/>
          <w:sz w:val="20"/>
          <w:szCs w:val="20"/>
          <w:lang w:val="es-ES"/>
        </w:rPr>
        <w:t>Derecho a la libertad de asociación.</w:t>
      </w:r>
    </w:p>
    <w:p w14:paraId="1B5CBC38" w14:textId="77777777" w:rsidR="003C2143" w:rsidRPr="00CF7FE6" w:rsidRDefault="003C2143" w:rsidP="003C2143">
      <w:pPr>
        <w:pStyle w:val="ListParagraph"/>
        <w:ind w:left="0"/>
        <w:jc w:val="both"/>
        <w:rPr>
          <w:rFonts w:ascii="Verdana" w:hAnsi="Verdana"/>
          <w:b/>
          <w:sz w:val="20"/>
          <w:szCs w:val="20"/>
          <w:lang w:val="es-ES"/>
        </w:rPr>
      </w:pPr>
    </w:p>
    <w:p w14:paraId="4FAD8097" w14:textId="77777777" w:rsidR="003C2143" w:rsidRPr="00CF7FE6" w:rsidRDefault="003C2143" w:rsidP="003C2143">
      <w:pPr>
        <w:jc w:val="both"/>
        <w:rPr>
          <w:rFonts w:ascii="Verdana" w:hAnsi="Verdana"/>
          <w:sz w:val="20"/>
          <w:szCs w:val="20"/>
          <w:lang w:val="es-ES"/>
        </w:rPr>
      </w:pPr>
      <w:r w:rsidRPr="00CF7FE6">
        <w:rPr>
          <w:rFonts w:ascii="Verdana" w:hAnsi="Verdana"/>
          <w:sz w:val="20"/>
          <w:szCs w:val="20"/>
          <w:lang w:val="es-ES"/>
        </w:rPr>
        <w:t>En cuanto al derecho a la libertad de asociación, bas</w:t>
      </w:r>
      <w:r>
        <w:rPr>
          <w:rFonts w:ascii="Verdana" w:hAnsi="Verdana"/>
          <w:sz w:val="20"/>
          <w:szCs w:val="20"/>
          <w:lang w:val="es-ES"/>
        </w:rPr>
        <w:t>te con señalar que la mención</w:t>
      </w:r>
      <w:r w:rsidRPr="00CF7FE6">
        <w:rPr>
          <w:rFonts w:ascii="Verdana" w:hAnsi="Verdana"/>
          <w:sz w:val="20"/>
          <w:szCs w:val="20"/>
          <w:lang w:val="es-ES"/>
        </w:rPr>
        <w:t xml:space="preserve"> que la Sentencia </w:t>
      </w:r>
      <w:r>
        <w:rPr>
          <w:rFonts w:ascii="Verdana" w:hAnsi="Verdana"/>
          <w:sz w:val="20"/>
          <w:szCs w:val="20"/>
          <w:lang w:val="es-ES"/>
        </w:rPr>
        <w:t xml:space="preserve">al efecto </w:t>
      </w:r>
      <w:r w:rsidRPr="00CF7FE6">
        <w:rPr>
          <w:rFonts w:ascii="Verdana" w:hAnsi="Verdana"/>
          <w:sz w:val="20"/>
          <w:szCs w:val="20"/>
          <w:lang w:val="es-ES"/>
        </w:rPr>
        <w:t>hace al artículo 26 de la Convención</w:t>
      </w:r>
      <w:r>
        <w:rPr>
          <w:rFonts w:ascii="Verdana" w:hAnsi="Verdana"/>
          <w:sz w:val="20"/>
          <w:szCs w:val="20"/>
          <w:lang w:val="es-ES"/>
        </w:rPr>
        <w:t>,</w:t>
      </w:r>
      <w:r w:rsidRPr="00CF7FE6">
        <w:rPr>
          <w:rFonts w:ascii="Verdana" w:hAnsi="Verdana"/>
          <w:sz w:val="20"/>
          <w:szCs w:val="20"/>
          <w:lang w:val="es-ES"/>
        </w:rPr>
        <w:t xml:space="preserve"> parece innecesaria, dado que dicho derecho, por una parte, se encuentra expresamente previsto en el artículo 16.1 de la Convención</w:t>
      </w:r>
      <w:r w:rsidRPr="00CF7FE6">
        <w:rPr>
          <w:rStyle w:val="FootnoteReference"/>
          <w:szCs w:val="20"/>
          <w:lang w:val="es-ES"/>
        </w:rPr>
        <w:footnoteReference w:id="380"/>
      </w:r>
      <w:r w:rsidRPr="00CF7FE6">
        <w:rPr>
          <w:rFonts w:ascii="Verdana" w:hAnsi="Verdana"/>
          <w:sz w:val="20"/>
          <w:szCs w:val="20"/>
          <w:lang w:val="es-ES"/>
        </w:rPr>
        <w:t xml:space="preserve"> y por la otra, su sentido y alcance es ampliamente reiterado en la propia Sentencia</w:t>
      </w:r>
      <w:r w:rsidRPr="00CF7FE6">
        <w:rPr>
          <w:rStyle w:val="FootnoteReference"/>
          <w:szCs w:val="20"/>
          <w:lang w:val="es-ES"/>
        </w:rPr>
        <w:footnoteReference w:id="381"/>
      </w:r>
      <w:r>
        <w:rPr>
          <w:rFonts w:ascii="Verdana" w:hAnsi="Verdana"/>
          <w:sz w:val="20"/>
          <w:szCs w:val="20"/>
          <w:lang w:val="es-ES"/>
        </w:rPr>
        <w:t xml:space="preserve">. De ello </w:t>
      </w:r>
      <w:r w:rsidRPr="00CF7FE6">
        <w:rPr>
          <w:rFonts w:ascii="Verdana" w:hAnsi="Verdana"/>
          <w:sz w:val="20"/>
          <w:szCs w:val="20"/>
          <w:lang w:val="es-ES"/>
        </w:rPr>
        <w:t>se deduce que dicho derecho es susceptible de ser judicializado ante la Corte en mérito de esos antecedentes y no de lo previsto en el referido artículo 26, el que, por lo demás, es aludido</w:t>
      </w:r>
      <w:r>
        <w:rPr>
          <w:rFonts w:ascii="Verdana" w:hAnsi="Verdana"/>
          <w:sz w:val="20"/>
          <w:szCs w:val="20"/>
          <w:lang w:val="es-ES"/>
        </w:rPr>
        <w:t>, en cuanto a la libertad de asociación,</w:t>
      </w:r>
      <w:r w:rsidRPr="00CF7FE6">
        <w:rPr>
          <w:rFonts w:ascii="Verdana" w:hAnsi="Verdana"/>
          <w:sz w:val="20"/>
          <w:szCs w:val="20"/>
          <w:lang w:val="es-ES"/>
        </w:rPr>
        <w:t xml:space="preserve"> muy marginal o tangencialmente en el fallo, al mismo nivel que la Carta Democrática Interamericana</w:t>
      </w:r>
      <w:r>
        <w:rPr>
          <w:rStyle w:val="FootnoteReference"/>
          <w:szCs w:val="20"/>
          <w:lang w:val="es-ES"/>
        </w:rPr>
        <w:footnoteReference w:id="382"/>
      </w:r>
      <w:r w:rsidRPr="00CF7FE6">
        <w:rPr>
          <w:rFonts w:ascii="Verdana" w:hAnsi="Verdana"/>
          <w:sz w:val="20"/>
          <w:szCs w:val="20"/>
          <w:lang w:val="es-ES"/>
        </w:rPr>
        <w:t xml:space="preserve"> y el Convenio sobre los representantes de los trabajadores</w:t>
      </w:r>
      <w:r w:rsidRPr="00CF7FE6">
        <w:rPr>
          <w:rStyle w:val="FootnoteReference"/>
          <w:szCs w:val="20"/>
          <w:lang w:val="es-ES"/>
        </w:rPr>
        <w:t xml:space="preserve"> </w:t>
      </w:r>
      <w:r w:rsidRPr="00CF7FE6">
        <w:rPr>
          <w:rFonts w:ascii="Verdana" w:hAnsi="Verdana"/>
          <w:sz w:val="20"/>
          <w:szCs w:val="20"/>
          <w:lang w:val="es-ES"/>
        </w:rPr>
        <w:t>de la OIT</w:t>
      </w:r>
      <w:r w:rsidRPr="00CF7FE6">
        <w:rPr>
          <w:rStyle w:val="FootnoteReference"/>
          <w:szCs w:val="20"/>
          <w:lang w:val="es-ES"/>
        </w:rPr>
        <w:footnoteReference w:id="383"/>
      </w:r>
      <w:r w:rsidRPr="00CF7FE6">
        <w:rPr>
          <w:rFonts w:ascii="Verdana" w:hAnsi="Verdana"/>
          <w:sz w:val="20"/>
          <w:szCs w:val="20"/>
          <w:lang w:val="es-ES"/>
        </w:rPr>
        <w:t xml:space="preserve">, esto es, </w:t>
      </w:r>
      <w:r>
        <w:rPr>
          <w:rFonts w:ascii="Verdana" w:hAnsi="Verdana"/>
          <w:sz w:val="20"/>
          <w:szCs w:val="20"/>
          <w:lang w:val="es-ES"/>
        </w:rPr>
        <w:t xml:space="preserve">es abordado </w:t>
      </w:r>
      <w:r w:rsidRPr="00CF7FE6">
        <w:rPr>
          <w:rFonts w:ascii="Verdana" w:hAnsi="Verdana"/>
          <w:sz w:val="20"/>
          <w:szCs w:val="20"/>
          <w:lang w:val="es-ES"/>
        </w:rPr>
        <w:t>más propiamente como medio de interpretación</w:t>
      </w:r>
      <w:r w:rsidRPr="00BE3D78">
        <w:rPr>
          <w:lang w:val="es-ES"/>
        </w:rPr>
        <w:t xml:space="preserve"> </w:t>
      </w:r>
      <w:r w:rsidRPr="00BE3D78">
        <w:rPr>
          <w:rFonts w:ascii="Verdana" w:hAnsi="Verdana"/>
          <w:sz w:val="20"/>
          <w:szCs w:val="20"/>
          <w:lang w:val="es-ES"/>
        </w:rPr>
        <w:t>de lo previsto en ella</w:t>
      </w:r>
      <w:r w:rsidRPr="00CF7FE6">
        <w:rPr>
          <w:rFonts w:ascii="Verdana" w:hAnsi="Verdana"/>
          <w:sz w:val="20"/>
          <w:szCs w:val="20"/>
          <w:lang w:val="es-ES"/>
        </w:rPr>
        <w:t>, juntamente con el contexto de los términos de la Convención</w:t>
      </w:r>
      <w:r w:rsidRPr="00CF7FE6">
        <w:rPr>
          <w:rStyle w:val="FootnoteReference"/>
          <w:szCs w:val="20"/>
          <w:lang w:val="es-ES"/>
        </w:rPr>
        <w:footnoteReference w:id="384"/>
      </w:r>
      <w:r w:rsidRPr="00CF7FE6">
        <w:rPr>
          <w:rFonts w:ascii="Verdana" w:hAnsi="Verdana"/>
          <w:sz w:val="20"/>
          <w:szCs w:val="20"/>
          <w:lang w:val="es-ES"/>
        </w:rPr>
        <w:t xml:space="preserve">, </w:t>
      </w:r>
      <w:r>
        <w:rPr>
          <w:rFonts w:ascii="Verdana" w:hAnsi="Verdana"/>
          <w:sz w:val="20"/>
          <w:szCs w:val="20"/>
          <w:lang w:val="es-ES"/>
        </w:rPr>
        <w:t xml:space="preserve">en lo concerniente a la existencia del derecho a la libertad de asociación, más no </w:t>
      </w:r>
      <w:r w:rsidRPr="00CF7FE6">
        <w:rPr>
          <w:rFonts w:ascii="Verdana" w:hAnsi="Verdana"/>
          <w:sz w:val="20"/>
          <w:szCs w:val="20"/>
          <w:lang w:val="es-ES"/>
        </w:rPr>
        <w:t>como sustento de la competencia de la Corte para pronunciarse al respecto.</w:t>
      </w:r>
    </w:p>
    <w:p w14:paraId="4E2B0F4D" w14:textId="77777777" w:rsidR="003C2143" w:rsidRPr="00CF7FE6" w:rsidRDefault="003C2143" w:rsidP="003C2143">
      <w:pPr>
        <w:jc w:val="both"/>
        <w:rPr>
          <w:rFonts w:ascii="Verdana" w:hAnsi="Verdana"/>
          <w:sz w:val="20"/>
          <w:szCs w:val="20"/>
          <w:lang w:val="es-ES"/>
        </w:rPr>
      </w:pPr>
    </w:p>
    <w:p w14:paraId="64F6CCC5" w14:textId="77777777" w:rsidR="003C2143" w:rsidRPr="00273011" w:rsidRDefault="003C2143" w:rsidP="003C2143">
      <w:pPr>
        <w:pStyle w:val="ListParagraph"/>
        <w:numPr>
          <w:ilvl w:val="0"/>
          <w:numId w:val="33"/>
        </w:numPr>
        <w:jc w:val="both"/>
        <w:rPr>
          <w:rFonts w:ascii="Verdana" w:hAnsi="Verdana"/>
          <w:b/>
          <w:sz w:val="20"/>
          <w:szCs w:val="20"/>
          <w:lang w:val="es-ES"/>
        </w:rPr>
      </w:pPr>
      <w:r>
        <w:rPr>
          <w:rFonts w:ascii="Verdana" w:hAnsi="Verdana"/>
          <w:b/>
          <w:sz w:val="20"/>
          <w:szCs w:val="20"/>
          <w:lang w:val="es-ES"/>
        </w:rPr>
        <w:t xml:space="preserve">Alcance </w:t>
      </w:r>
      <w:r w:rsidRPr="00273011">
        <w:rPr>
          <w:rFonts w:ascii="Verdana" w:hAnsi="Verdana"/>
          <w:b/>
          <w:sz w:val="20"/>
          <w:szCs w:val="20"/>
          <w:lang w:val="es-ES"/>
        </w:rPr>
        <w:t>del presente texto.</w:t>
      </w:r>
    </w:p>
    <w:p w14:paraId="6B1A8C90" w14:textId="77777777" w:rsidR="003C2143" w:rsidRDefault="003C2143" w:rsidP="003C2143">
      <w:pPr>
        <w:ind w:left="360"/>
        <w:jc w:val="both"/>
        <w:rPr>
          <w:rFonts w:ascii="Verdana" w:hAnsi="Verdana"/>
          <w:sz w:val="20"/>
          <w:szCs w:val="20"/>
          <w:lang w:val="es-ES"/>
        </w:rPr>
      </w:pPr>
    </w:p>
    <w:p w14:paraId="748F58D6" w14:textId="77777777" w:rsidR="003C2143" w:rsidRPr="00273011" w:rsidRDefault="003C2143" w:rsidP="003C2143">
      <w:pPr>
        <w:ind w:left="360"/>
        <w:jc w:val="both"/>
        <w:rPr>
          <w:rFonts w:ascii="Verdana" w:hAnsi="Verdana"/>
          <w:sz w:val="20"/>
          <w:szCs w:val="20"/>
          <w:lang w:val="es-ES"/>
        </w:rPr>
      </w:pPr>
      <w:r w:rsidRPr="00273011">
        <w:rPr>
          <w:rFonts w:ascii="Verdana" w:hAnsi="Verdana"/>
          <w:sz w:val="20"/>
          <w:szCs w:val="20"/>
          <w:lang w:val="es-ES"/>
        </w:rPr>
        <w:t xml:space="preserve">Es por lo anterior, que lo que se expresa en este voto se restringe a lo concerniente al derecho a la estabilidad del empleo, aunque lo que se afirma puede asimismo ser estimado procedente en cuanto a la relación que la Sentencia hace del artículo 26 de la Convención con el derecho a la libertad de asociación.  </w:t>
      </w:r>
    </w:p>
    <w:p w14:paraId="3A4FF291" w14:textId="77777777" w:rsidR="003C2143" w:rsidRPr="00CF7FE6" w:rsidRDefault="003C2143" w:rsidP="003C2143">
      <w:pPr>
        <w:jc w:val="both"/>
        <w:rPr>
          <w:rFonts w:ascii="Verdana" w:hAnsi="Verdana"/>
          <w:sz w:val="20"/>
          <w:szCs w:val="20"/>
          <w:lang w:val="es-ES"/>
        </w:rPr>
      </w:pPr>
    </w:p>
    <w:p w14:paraId="28198303" w14:textId="77777777" w:rsidR="003C2143" w:rsidRPr="00273011" w:rsidRDefault="003C2143" w:rsidP="003C2143">
      <w:pPr>
        <w:pStyle w:val="ListParagraph"/>
        <w:numPr>
          <w:ilvl w:val="0"/>
          <w:numId w:val="35"/>
        </w:numPr>
        <w:jc w:val="both"/>
        <w:rPr>
          <w:rFonts w:ascii="Verdana" w:hAnsi="Verdana"/>
          <w:b/>
          <w:sz w:val="20"/>
          <w:szCs w:val="20"/>
          <w:lang w:val="es-ES"/>
        </w:rPr>
      </w:pPr>
      <w:r>
        <w:rPr>
          <w:rFonts w:ascii="Verdana" w:hAnsi="Verdana"/>
          <w:b/>
          <w:sz w:val="20"/>
          <w:szCs w:val="20"/>
          <w:lang w:val="es-ES"/>
        </w:rPr>
        <w:t xml:space="preserve">LO </w:t>
      </w:r>
      <w:r w:rsidRPr="00273011">
        <w:rPr>
          <w:rFonts w:ascii="Verdana" w:hAnsi="Verdana"/>
          <w:b/>
          <w:sz w:val="20"/>
          <w:szCs w:val="20"/>
          <w:lang w:val="es-ES"/>
        </w:rPr>
        <w:t>QUE ESTABLECE LA CONVENCIÓN.</w:t>
      </w:r>
    </w:p>
    <w:p w14:paraId="75C3D7DD" w14:textId="77777777" w:rsidR="003C2143" w:rsidRPr="00CF7FE6" w:rsidRDefault="003C2143" w:rsidP="003C2143">
      <w:pPr>
        <w:jc w:val="both"/>
        <w:rPr>
          <w:rFonts w:ascii="Verdana" w:hAnsi="Verdana"/>
          <w:b/>
          <w:sz w:val="20"/>
          <w:szCs w:val="20"/>
          <w:lang w:val="es-ES"/>
        </w:rPr>
      </w:pPr>
    </w:p>
    <w:p w14:paraId="753D27F4" w14:textId="77777777" w:rsidR="003C2143" w:rsidRPr="00CF7FE6" w:rsidRDefault="003C2143" w:rsidP="003C2143">
      <w:pPr>
        <w:jc w:val="both"/>
        <w:rPr>
          <w:rFonts w:ascii="Verdana" w:hAnsi="Verdana"/>
          <w:sz w:val="20"/>
          <w:szCs w:val="20"/>
          <w:lang w:val="es-ES"/>
        </w:rPr>
      </w:pPr>
      <w:r w:rsidRPr="00CF7FE6">
        <w:rPr>
          <w:rFonts w:ascii="Verdana" w:hAnsi="Verdana"/>
          <w:sz w:val="20"/>
          <w:szCs w:val="20"/>
          <w:lang w:val="es-ES"/>
        </w:rPr>
        <w:t>En cuanto a lo que dice</w:t>
      </w:r>
      <w:r>
        <w:rPr>
          <w:rFonts w:ascii="Verdana" w:hAnsi="Verdana"/>
          <w:sz w:val="20"/>
          <w:szCs w:val="20"/>
          <w:lang w:val="es-ES"/>
        </w:rPr>
        <w:t xml:space="preserve"> relación con lo que se discrepa</w:t>
      </w:r>
      <w:r w:rsidRPr="00CF7FE6">
        <w:rPr>
          <w:rFonts w:ascii="Verdana" w:hAnsi="Verdana"/>
          <w:sz w:val="20"/>
          <w:szCs w:val="20"/>
          <w:lang w:val="es-ES"/>
        </w:rPr>
        <w:t xml:space="preserve"> de lo expuesto en la Sentencia, se exponen cinco consideraciones. Una, sobre los derechos “</w:t>
      </w:r>
      <w:r w:rsidRPr="00CF7FE6">
        <w:rPr>
          <w:rFonts w:ascii="Verdana" w:hAnsi="Verdana"/>
          <w:i/>
          <w:sz w:val="20"/>
          <w:szCs w:val="20"/>
          <w:lang w:val="es-ES"/>
        </w:rPr>
        <w:t>reconocidos</w:t>
      </w:r>
      <w:r>
        <w:rPr>
          <w:rFonts w:ascii="Verdana" w:hAnsi="Verdana"/>
          <w:sz w:val="20"/>
          <w:szCs w:val="20"/>
          <w:lang w:val="es-ES"/>
        </w:rPr>
        <w:t>” en la Convención</w:t>
      </w:r>
      <w:r w:rsidRPr="00CF7FE6">
        <w:rPr>
          <w:rFonts w:ascii="Verdana" w:hAnsi="Verdana"/>
          <w:sz w:val="20"/>
          <w:szCs w:val="20"/>
          <w:lang w:val="es-ES"/>
        </w:rPr>
        <w:t>. Otra, sobre la existencia de otros</w:t>
      </w:r>
      <w:r>
        <w:rPr>
          <w:rFonts w:ascii="Verdana" w:hAnsi="Verdana"/>
          <w:sz w:val="20"/>
          <w:szCs w:val="20"/>
          <w:lang w:val="es-ES"/>
        </w:rPr>
        <w:t xml:space="preserve"> derechos. La tercera, sobre el </w:t>
      </w:r>
      <w:r w:rsidRPr="00CF7FE6">
        <w:rPr>
          <w:rFonts w:ascii="Verdana" w:hAnsi="Verdana"/>
          <w:sz w:val="20"/>
          <w:szCs w:val="20"/>
          <w:lang w:val="es-ES"/>
        </w:rPr>
        <w:t>sistema de protección</w:t>
      </w:r>
      <w:r>
        <w:rPr>
          <w:rFonts w:ascii="Verdana" w:hAnsi="Verdana"/>
          <w:sz w:val="20"/>
          <w:szCs w:val="20"/>
          <w:lang w:val="es-ES"/>
        </w:rPr>
        <w:t xml:space="preserve"> consagrado en </w:t>
      </w:r>
      <w:r>
        <w:rPr>
          <w:rFonts w:ascii="Verdana" w:hAnsi="Verdana"/>
          <w:sz w:val="20"/>
          <w:szCs w:val="20"/>
          <w:lang w:val="es-ES"/>
        </w:rPr>
        <w:lastRenderedPageBreak/>
        <w:t>aquella</w:t>
      </w:r>
      <w:r w:rsidRPr="00CF7FE6">
        <w:rPr>
          <w:rFonts w:ascii="Verdana" w:hAnsi="Verdana"/>
          <w:sz w:val="20"/>
          <w:szCs w:val="20"/>
          <w:lang w:val="es-ES"/>
        </w:rPr>
        <w:t>. La cuarta, sobre la ampliación de éste a otros derechos. Y, por último, acerca del Protocolo de San Salvador.</w:t>
      </w:r>
    </w:p>
    <w:p w14:paraId="4632A06B" w14:textId="77777777" w:rsidR="003C2143" w:rsidRPr="00CF7FE6" w:rsidRDefault="003C2143" w:rsidP="003C2143">
      <w:pPr>
        <w:jc w:val="both"/>
        <w:rPr>
          <w:rFonts w:ascii="Verdana" w:hAnsi="Verdana"/>
          <w:b/>
          <w:sz w:val="20"/>
          <w:szCs w:val="20"/>
          <w:lang w:val="es-ES"/>
        </w:rPr>
      </w:pPr>
    </w:p>
    <w:p w14:paraId="1F410E8D" w14:textId="77777777" w:rsidR="003C2143" w:rsidRPr="003B2532" w:rsidRDefault="003C2143" w:rsidP="003C2143">
      <w:pPr>
        <w:pStyle w:val="ListParagraph"/>
        <w:numPr>
          <w:ilvl w:val="0"/>
          <w:numId w:val="32"/>
        </w:numPr>
        <w:jc w:val="both"/>
        <w:rPr>
          <w:rFonts w:ascii="Verdana" w:hAnsi="Verdana"/>
          <w:b/>
          <w:sz w:val="20"/>
          <w:szCs w:val="20"/>
          <w:lang w:val="es-ES"/>
        </w:rPr>
      </w:pPr>
      <w:r w:rsidRPr="003B2532">
        <w:rPr>
          <w:rFonts w:ascii="Verdana" w:hAnsi="Verdana"/>
          <w:b/>
          <w:sz w:val="20"/>
          <w:szCs w:val="20"/>
          <w:lang w:val="es-ES"/>
        </w:rPr>
        <w:t xml:space="preserve">Derechos “reconocidos” </w:t>
      </w:r>
      <w:r>
        <w:rPr>
          <w:rFonts w:ascii="Verdana" w:hAnsi="Verdana"/>
          <w:b/>
          <w:sz w:val="20"/>
          <w:szCs w:val="20"/>
          <w:lang w:val="es-ES"/>
        </w:rPr>
        <w:t>en</w:t>
      </w:r>
      <w:r w:rsidRPr="003B2532">
        <w:rPr>
          <w:rFonts w:ascii="Verdana" w:hAnsi="Verdana"/>
          <w:b/>
          <w:sz w:val="20"/>
          <w:szCs w:val="20"/>
          <w:lang w:val="es-ES"/>
        </w:rPr>
        <w:t xml:space="preserve"> la Convención.</w:t>
      </w:r>
    </w:p>
    <w:p w14:paraId="1DD7FD5C" w14:textId="77777777" w:rsidR="003C2143" w:rsidRPr="00CF7FE6" w:rsidRDefault="003C2143" w:rsidP="003C2143">
      <w:pPr>
        <w:jc w:val="both"/>
        <w:rPr>
          <w:rFonts w:ascii="Verdana" w:hAnsi="Verdana"/>
          <w:sz w:val="20"/>
          <w:szCs w:val="20"/>
          <w:lang w:val="es-ES"/>
        </w:rPr>
      </w:pPr>
    </w:p>
    <w:p w14:paraId="021F6680" w14:textId="77777777" w:rsidR="003C2143" w:rsidRPr="00CF7FE6" w:rsidRDefault="003C2143" w:rsidP="003C2143">
      <w:pPr>
        <w:jc w:val="both"/>
        <w:rPr>
          <w:rFonts w:ascii="Verdana" w:hAnsi="Verdana"/>
          <w:sz w:val="20"/>
          <w:szCs w:val="20"/>
          <w:lang w:val="es-ES"/>
        </w:rPr>
      </w:pPr>
      <w:r w:rsidRPr="00CF7FE6">
        <w:rPr>
          <w:rFonts w:ascii="Verdana" w:hAnsi="Verdana"/>
          <w:sz w:val="20"/>
          <w:szCs w:val="20"/>
          <w:lang w:val="es-ES"/>
        </w:rPr>
        <w:t xml:space="preserve">El artículo 1.1 de la Convención dispone que sus Estado Partes se </w:t>
      </w:r>
      <w:proofErr w:type="gramStart"/>
      <w:r w:rsidRPr="00CF7FE6">
        <w:rPr>
          <w:rFonts w:ascii="Verdana" w:hAnsi="Verdana"/>
          <w:sz w:val="20"/>
          <w:szCs w:val="20"/>
          <w:lang w:val="es-ES"/>
        </w:rPr>
        <w:t>comprometen</w:t>
      </w:r>
      <w:proofErr w:type="gramEnd"/>
      <w:r w:rsidRPr="00CF7FE6">
        <w:rPr>
          <w:rFonts w:ascii="Verdana" w:hAnsi="Verdana"/>
          <w:sz w:val="20"/>
          <w:szCs w:val="20"/>
          <w:lang w:val="es-ES"/>
        </w:rPr>
        <w:t xml:space="preserve"> a respetar y a garantizar el libre ejercicio de  los derechos “</w:t>
      </w:r>
      <w:r w:rsidRPr="00CF7FE6">
        <w:rPr>
          <w:rFonts w:ascii="Verdana" w:hAnsi="Verdana"/>
          <w:i/>
          <w:sz w:val="20"/>
          <w:szCs w:val="20"/>
          <w:lang w:val="es-ES"/>
        </w:rPr>
        <w:t>reconocidos en ella</w:t>
      </w:r>
      <w:r w:rsidRPr="00CF7FE6">
        <w:rPr>
          <w:rFonts w:ascii="Verdana" w:hAnsi="Verdana"/>
          <w:sz w:val="20"/>
          <w:szCs w:val="20"/>
          <w:lang w:val="es-ES"/>
        </w:rPr>
        <w:t>”</w:t>
      </w:r>
      <w:r w:rsidRPr="00CF7FE6">
        <w:rPr>
          <w:rStyle w:val="FootnoteReference"/>
          <w:szCs w:val="20"/>
          <w:lang w:val="es-ES"/>
        </w:rPr>
        <w:footnoteReference w:id="385"/>
      </w:r>
      <w:r w:rsidRPr="00CF7FE6">
        <w:rPr>
          <w:rFonts w:ascii="Verdana" w:hAnsi="Verdana"/>
          <w:sz w:val="20"/>
          <w:szCs w:val="20"/>
          <w:lang w:val="es-ES"/>
        </w:rPr>
        <w:t>. Por su parte, el artículo 29</w:t>
      </w:r>
      <w:r>
        <w:rPr>
          <w:rFonts w:ascii="Verdana" w:hAnsi="Verdana"/>
          <w:sz w:val="20"/>
          <w:szCs w:val="20"/>
          <w:lang w:val="es-ES"/>
        </w:rPr>
        <w:t>.a) de del mismo texto, relativo</w:t>
      </w:r>
      <w:r w:rsidRPr="00CF7FE6">
        <w:rPr>
          <w:rFonts w:ascii="Verdana" w:hAnsi="Verdana"/>
          <w:sz w:val="20"/>
          <w:szCs w:val="20"/>
          <w:lang w:val="es-ES"/>
        </w:rPr>
        <w:t xml:space="preserve"> al principio </w:t>
      </w:r>
      <w:r w:rsidRPr="00CF7FE6">
        <w:rPr>
          <w:rFonts w:ascii="Verdana" w:hAnsi="Verdana"/>
          <w:i/>
          <w:sz w:val="20"/>
          <w:szCs w:val="20"/>
          <w:lang w:val="es-ES"/>
        </w:rPr>
        <w:t xml:space="preserve">pro </w:t>
      </w:r>
      <w:proofErr w:type="spellStart"/>
      <w:r w:rsidRPr="00CF7FE6">
        <w:rPr>
          <w:rFonts w:ascii="Verdana" w:hAnsi="Verdana"/>
          <w:i/>
          <w:sz w:val="20"/>
          <w:szCs w:val="20"/>
          <w:lang w:val="es-ES"/>
        </w:rPr>
        <w:t>personae</w:t>
      </w:r>
      <w:proofErr w:type="spellEnd"/>
      <w:r w:rsidRPr="00CF7FE6">
        <w:rPr>
          <w:rFonts w:ascii="Verdana" w:hAnsi="Verdana"/>
          <w:sz w:val="20"/>
          <w:szCs w:val="20"/>
          <w:lang w:val="es-ES"/>
        </w:rPr>
        <w:t>, emplea la misma fórmula.</w:t>
      </w:r>
      <w:r w:rsidRPr="00CF7FE6">
        <w:rPr>
          <w:rStyle w:val="FootnoteReference"/>
          <w:szCs w:val="20"/>
          <w:lang w:val="es-ES"/>
        </w:rPr>
        <w:footnoteReference w:id="386"/>
      </w:r>
      <w:r w:rsidRPr="00CF7FE6">
        <w:rPr>
          <w:rFonts w:ascii="Verdana" w:hAnsi="Verdana"/>
          <w:sz w:val="20"/>
          <w:szCs w:val="20"/>
          <w:lang w:val="es-ES"/>
        </w:rPr>
        <w:t xml:space="preserve"> </w:t>
      </w:r>
    </w:p>
    <w:p w14:paraId="09ABF932" w14:textId="77777777" w:rsidR="003C2143" w:rsidRPr="00CF7FE6" w:rsidRDefault="003C2143" w:rsidP="003C2143">
      <w:pPr>
        <w:jc w:val="both"/>
        <w:rPr>
          <w:rFonts w:ascii="Verdana" w:hAnsi="Verdana"/>
          <w:sz w:val="20"/>
          <w:szCs w:val="20"/>
          <w:lang w:val="es-ES"/>
        </w:rPr>
      </w:pPr>
    </w:p>
    <w:p w14:paraId="2583AB97" w14:textId="77777777" w:rsidR="003C2143" w:rsidRPr="00CF7FE6" w:rsidRDefault="003C2143" w:rsidP="003C2143">
      <w:pPr>
        <w:jc w:val="both"/>
        <w:rPr>
          <w:rFonts w:ascii="Verdana" w:hAnsi="Verdana"/>
          <w:sz w:val="20"/>
          <w:szCs w:val="20"/>
          <w:lang w:val="es-ES"/>
        </w:rPr>
      </w:pPr>
      <w:r w:rsidRPr="00CF7FE6">
        <w:rPr>
          <w:rFonts w:ascii="Verdana" w:hAnsi="Verdana"/>
          <w:sz w:val="20"/>
          <w:szCs w:val="20"/>
          <w:lang w:val="es-ES"/>
        </w:rPr>
        <w:t>Es menester indicar también que en otras disposiciones, la Convención se refiere a “</w:t>
      </w:r>
      <w:r w:rsidRPr="00CF7FE6">
        <w:rPr>
          <w:rFonts w:ascii="Verdana" w:hAnsi="Verdana"/>
          <w:i/>
          <w:sz w:val="20"/>
          <w:szCs w:val="20"/>
          <w:lang w:val="es-ES"/>
        </w:rPr>
        <w:t>los derechos establecidos</w:t>
      </w:r>
      <w:r w:rsidRPr="00CF7FE6">
        <w:rPr>
          <w:rFonts w:ascii="Verdana" w:hAnsi="Verdana"/>
          <w:sz w:val="20"/>
          <w:szCs w:val="20"/>
          <w:lang w:val="es-ES"/>
        </w:rPr>
        <w:t>”</w:t>
      </w:r>
      <w:r w:rsidRPr="00CF7FE6">
        <w:rPr>
          <w:rStyle w:val="FootnoteReference"/>
          <w:szCs w:val="20"/>
          <w:lang w:val="es-ES"/>
        </w:rPr>
        <w:footnoteReference w:id="387"/>
      </w:r>
      <w:r w:rsidRPr="00CF7FE6">
        <w:rPr>
          <w:rFonts w:ascii="Verdana" w:hAnsi="Verdana"/>
          <w:sz w:val="20"/>
          <w:szCs w:val="20"/>
          <w:lang w:val="es-ES"/>
        </w:rPr>
        <w:t>, “</w:t>
      </w:r>
      <w:r w:rsidRPr="00CF7FE6">
        <w:rPr>
          <w:rFonts w:ascii="Verdana" w:hAnsi="Verdana"/>
          <w:i/>
          <w:sz w:val="20"/>
          <w:szCs w:val="20"/>
          <w:lang w:val="es-ES"/>
        </w:rPr>
        <w:t>garantizados</w:t>
      </w:r>
      <w:r w:rsidRPr="00CF7FE6">
        <w:rPr>
          <w:rFonts w:ascii="Verdana" w:hAnsi="Verdana"/>
          <w:sz w:val="20"/>
          <w:szCs w:val="20"/>
          <w:lang w:val="es-ES"/>
        </w:rPr>
        <w:t>”</w:t>
      </w:r>
      <w:r w:rsidRPr="00CF7FE6">
        <w:rPr>
          <w:rStyle w:val="FootnoteReference"/>
          <w:szCs w:val="20"/>
          <w:lang w:val="es-ES"/>
        </w:rPr>
        <w:footnoteReference w:id="388"/>
      </w:r>
      <w:r w:rsidRPr="00CF7FE6">
        <w:rPr>
          <w:rFonts w:ascii="Verdana" w:hAnsi="Verdana"/>
          <w:sz w:val="20"/>
          <w:szCs w:val="20"/>
          <w:lang w:val="es-ES"/>
        </w:rPr>
        <w:t>, “</w:t>
      </w:r>
      <w:r w:rsidRPr="00CF7FE6">
        <w:rPr>
          <w:rFonts w:ascii="Verdana" w:hAnsi="Verdana"/>
          <w:i/>
          <w:sz w:val="20"/>
          <w:szCs w:val="20"/>
          <w:lang w:val="es-ES"/>
        </w:rPr>
        <w:t>consagrados</w:t>
      </w:r>
      <w:r w:rsidRPr="00CF7FE6">
        <w:rPr>
          <w:rFonts w:ascii="Verdana" w:hAnsi="Verdana"/>
          <w:sz w:val="20"/>
          <w:szCs w:val="20"/>
          <w:lang w:val="es-ES"/>
        </w:rPr>
        <w:t>”</w:t>
      </w:r>
      <w:r w:rsidRPr="00CF7FE6">
        <w:rPr>
          <w:rStyle w:val="FootnoteReference"/>
          <w:szCs w:val="20"/>
          <w:lang w:val="es-ES"/>
        </w:rPr>
        <w:footnoteReference w:id="389"/>
      </w:r>
      <w:r w:rsidRPr="00CF7FE6">
        <w:rPr>
          <w:rFonts w:ascii="Verdana" w:hAnsi="Verdana"/>
          <w:sz w:val="20"/>
          <w:szCs w:val="20"/>
          <w:lang w:val="es-ES"/>
        </w:rPr>
        <w:t xml:space="preserve"> o “</w:t>
      </w:r>
      <w:r w:rsidRPr="00CF7FE6">
        <w:rPr>
          <w:rFonts w:ascii="Verdana" w:hAnsi="Verdana"/>
          <w:i/>
          <w:sz w:val="20"/>
          <w:szCs w:val="20"/>
          <w:lang w:val="es-ES"/>
        </w:rPr>
        <w:t>protegidos</w:t>
      </w:r>
      <w:r w:rsidRPr="00CF7FE6">
        <w:rPr>
          <w:rFonts w:ascii="Verdana" w:hAnsi="Verdana"/>
          <w:sz w:val="20"/>
          <w:szCs w:val="20"/>
          <w:lang w:val="es-ES"/>
        </w:rPr>
        <w:t>”</w:t>
      </w:r>
      <w:r w:rsidRPr="00CF7FE6">
        <w:rPr>
          <w:rStyle w:val="FootnoteReference"/>
          <w:szCs w:val="20"/>
          <w:lang w:val="es-ES"/>
        </w:rPr>
        <w:footnoteReference w:id="390"/>
      </w:r>
      <w:r>
        <w:rPr>
          <w:rFonts w:ascii="Verdana" w:hAnsi="Verdana"/>
          <w:sz w:val="20"/>
          <w:szCs w:val="20"/>
          <w:lang w:val="es-ES"/>
        </w:rPr>
        <w:t xml:space="preserve"> en</w:t>
      </w:r>
      <w:r w:rsidRPr="00CF7FE6">
        <w:rPr>
          <w:rFonts w:ascii="Verdana" w:hAnsi="Verdana"/>
          <w:sz w:val="20"/>
          <w:szCs w:val="20"/>
          <w:lang w:val="es-ES"/>
        </w:rPr>
        <w:t xml:space="preserve"> ella, por lo que, lógicamente, se debe entender que se trata de los derechos </w:t>
      </w:r>
      <w:r>
        <w:rPr>
          <w:rFonts w:ascii="Verdana" w:hAnsi="Verdana"/>
          <w:sz w:val="20"/>
          <w:szCs w:val="20"/>
          <w:lang w:val="es-ES"/>
        </w:rPr>
        <w:t xml:space="preserve">que han sido  </w:t>
      </w:r>
      <w:r w:rsidRPr="00CF7FE6">
        <w:rPr>
          <w:rFonts w:ascii="Verdana" w:hAnsi="Verdana"/>
          <w:sz w:val="20"/>
          <w:szCs w:val="20"/>
          <w:lang w:val="es-ES"/>
        </w:rPr>
        <w:t>“</w:t>
      </w:r>
      <w:r>
        <w:rPr>
          <w:rFonts w:ascii="Verdana" w:hAnsi="Verdana"/>
          <w:i/>
          <w:sz w:val="20"/>
          <w:szCs w:val="20"/>
          <w:lang w:val="es-ES"/>
        </w:rPr>
        <w:t xml:space="preserve">reconocidos” </w:t>
      </w:r>
      <w:r>
        <w:rPr>
          <w:rFonts w:ascii="Verdana" w:hAnsi="Verdana"/>
          <w:sz w:val="20"/>
          <w:szCs w:val="20"/>
          <w:lang w:val="es-ES"/>
        </w:rPr>
        <w:t>en tal tratado</w:t>
      </w:r>
      <w:r w:rsidRPr="00CF7FE6">
        <w:rPr>
          <w:rStyle w:val="FootnoteReference"/>
          <w:szCs w:val="20"/>
          <w:lang w:val="es-ES"/>
        </w:rPr>
        <w:footnoteReference w:id="391"/>
      </w:r>
      <w:r w:rsidRPr="00CF7FE6">
        <w:rPr>
          <w:rFonts w:ascii="Verdana" w:hAnsi="Verdana"/>
          <w:sz w:val="20"/>
          <w:szCs w:val="20"/>
          <w:lang w:val="es-ES"/>
        </w:rPr>
        <w:t>.</w:t>
      </w:r>
    </w:p>
    <w:p w14:paraId="475A81B5" w14:textId="77777777" w:rsidR="003C2143" w:rsidRPr="00CF7FE6" w:rsidRDefault="003C2143" w:rsidP="003C2143">
      <w:pPr>
        <w:jc w:val="both"/>
        <w:rPr>
          <w:rFonts w:ascii="Verdana" w:hAnsi="Verdana"/>
          <w:sz w:val="20"/>
          <w:szCs w:val="20"/>
          <w:lang w:val="es-ES"/>
        </w:rPr>
      </w:pPr>
    </w:p>
    <w:p w14:paraId="762EE0BE" w14:textId="77777777" w:rsidR="003C2143" w:rsidRPr="00CF7FE6" w:rsidRDefault="003C2143" w:rsidP="003C2143">
      <w:pPr>
        <w:jc w:val="both"/>
        <w:rPr>
          <w:rFonts w:ascii="Verdana" w:hAnsi="Verdana"/>
          <w:sz w:val="20"/>
          <w:szCs w:val="20"/>
          <w:lang w:val="es-ES"/>
        </w:rPr>
      </w:pPr>
      <w:r w:rsidRPr="00CF7FE6">
        <w:rPr>
          <w:rFonts w:ascii="Verdana" w:hAnsi="Verdana"/>
          <w:sz w:val="20"/>
          <w:szCs w:val="20"/>
          <w:lang w:val="es-ES"/>
        </w:rPr>
        <w:t>Ahora bien, los derechos “</w:t>
      </w:r>
      <w:r w:rsidRPr="00CF7FE6">
        <w:rPr>
          <w:rFonts w:ascii="Verdana" w:hAnsi="Verdana"/>
          <w:i/>
          <w:sz w:val="20"/>
          <w:szCs w:val="20"/>
          <w:lang w:val="es-ES"/>
        </w:rPr>
        <w:t>reconocid</w:t>
      </w:r>
      <w:r w:rsidRPr="00CF7FE6">
        <w:rPr>
          <w:rFonts w:ascii="Verdana" w:hAnsi="Verdana"/>
          <w:sz w:val="20"/>
          <w:szCs w:val="20"/>
          <w:lang w:val="es-ES"/>
        </w:rPr>
        <w:t>os” en la Convención son los “</w:t>
      </w:r>
      <w:r w:rsidRPr="00CF7FE6">
        <w:rPr>
          <w:rFonts w:ascii="Verdana" w:hAnsi="Verdana"/>
          <w:i/>
          <w:sz w:val="20"/>
          <w:szCs w:val="20"/>
          <w:lang w:val="es-ES"/>
        </w:rPr>
        <w:t>Derechos Civiles y políticos</w:t>
      </w:r>
      <w:r w:rsidRPr="00CF7FE6">
        <w:rPr>
          <w:rFonts w:ascii="Verdana" w:hAnsi="Verdana"/>
          <w:sz w:val="20"/>
          <w:szCs w:val="20"/>
          <w:lang w:val="es-ES"/>
        </w:rPr>
        <w:t>” (Capítulo II), es decir, derecho al reconocimiento de la personalidad jurídica (art.3), derecho a la vida (art.4), derecho a la integridad personal (art5), prohibición de la esclavitud y la servidumbre (art.6), derecho a la libertad personal (art.7), garantías judiciales (art.8), principio de legalidad y retroactividad (art.9), derecho a indemnización (art.10), protección de la honra y la dignidad (art.11), libertad de conciencia y de religión (art.12), libertad de pensamiento y de expresión (art.13), derecho de rectificación o respuesta (art.14), derecho de reunión (art.15), libertad de asociación (art.16), protección a la familia (art.17), derecho al nombre (art.18), derechos del niño (art.19), derecho a la nacionalidad (art.20</w:t>
      </w:r>
      <w:r>
        <w:rPr>
          <w:rFonts w:ascii="Verdana" w:hAnsi="Verdana"/>
          <w:sz w:val="20"/>
          <w:szCs w:val="20"/>
          <w:lang w:val="es-ES"/>
        </w:rPr>
        <w:t>)</w:t>
      </w:r>
      <w:r w:rsidRPr="00CF7FE6">
        <w:rPr>
          <w:rFonts w:ascii="Verdana" w:hAnsi="Verdana"/>
          <w:sz w:val="20"/>
          <w:szCs w:val="20"/>
          <w:lang w:val="es-ES"/>
        </w:rPr>
        <w:t>, derecho a la propiedad privada (art.21), derecho de circulación y de residencia (art.22), derechos políticos (art.23), igualdad ante la ley (art.24) y protección judicial (art.25).</w:t>
      </w:r>
    </w:p>
    <w:p w14:paraId="7F70D567" w14:textId="77777777" w:rsidR="003C2143" w:rsidRPr="00CF7FE6" w:rsidRDefault="003C2143" w:rsidP="003C2143">
      <w:pPr>
        <w:jc w:val="both"/>
        <w:rPr>
          <w:rFonts w:ascii="Verdana" w:hAnsi="Verdana"/>
          <w:sz w:val="20"/>
          <w:szCs w:val="20"/>
          <w:lang w:val="es-ES"/>
        </w:rPr>
      </w:pPr>
    </w:p>
    <w:p w14:paraId="26B7BE57" w14:textId="77777777" w:rsidR="003C2143" w:rsidRPr="00CF7FE6" w:rsidRDefault="003C2143" w:rsidP="003C2143">
      <w:pPr>
        <w:jc w:val="both"/>
        <w:rPr>
          <w:rFonts w:ascii="Verdana" w:hAnsi="Verdana"/>
          <w:sz w:val="20"/>
          <w:szCs w:val="20"/>
          <w:lang w:val="es-ES"/>
        </w:rPr>
      </w:pPr>
      <w:r w:rsidRPr="00CF7FE6">
        <w:rPr>
          <w:rFonts w:ascii="Verdana" w:hAnsi="Verdana"/>
          <w:sz w:val="20"/>
          <w:szCs w:val="20"/>
          <w:lang w:val="es-ES"/>
        </w:rPr>
        <w:lastRenderedPageBreak/>
        <w:t>De conformidad a estas disposiciones, los derechos objeto de la Convención y que, consecuentemente, sus Estados Partes “</w:t>
      </w:r>
      <w:r w:rsidRPr="00CF7FE6">
        <w:rPr>
          <w:rFonts w:ascii="Verdana" w:hAnsi="Verdana"/>
          <w:i/>
          <w:sz w:val="20"/>
          <w:szCs w:val="20"/>
          <w:lang w:val="es-ES"/>
        </w:rPr>
        <w:t>se comprometen a respetar y a garantizar su libre y pleno ejercicio a toda persona que esté sujeta a su jurisdicción</w:t>
      </w:r>
      <w:r w:rsidRPr="00CF7FE6">
        <w:rPr>
          <w:rFonts w:ascii="Verdana" w:hAnsi="Verdana"/>
          <w:sz w:val="20"/>
          <w:szCs w:val="20"/>
          <w:lang w:val="es-ES"/>
        </w:rPr>
        <w:t xml:space="preserve">” y a interpretarlos de conformidad al principio </w:t>
      </w:r>
      <w:r w:rsidRPr="00CF7FE6">
        <w:rPr>
          <w:rFonts w:ascii="Verdana" w:hAnsi="Verdana"/>
          <w:i/>
          <w:sz w:val="20"/>
          <w:szCs w:val="20"/>
          <w:lang w:val="es-ES"/>
        </w:rPr>
        <w:t xml:space="preserve">pro </w:t>
      </w:r>
      <w:proofErr w:type="spellStart"/>
      <w:r w:rsidRPr="00CF7FE6">
        <w:rPr>
          <w:rFonts w:ascii="Verdana" w:hAnsi="Verdana"/>
          <w:i/>
          <w:sz w:val="20"/>
          <w:szCs w:val="20"/>
          <w:lang w:val="es-ES"/>
        </w:rPr>
        <w:t>personae</w:t>
      </w:r>
      <w:proofErr w:type="spellEnd"/>
      <w:r w:rsidRPr="00CF7FE6">
        <w:rPr>
          <w:rFonts w:ascii="Verdana" w:hAnsi="Verdana"/>
          <w:sz w:val="20"/>
          <w:szCs w:val="20"/>
          <w:lang w:val="es-ES"/>
        </w:rPr>
        <w:t>, son, por lo tanto, solamente los mencionados, entre los que no se encuentra el derecho al trabajo ni el derecho a la estabilidad en el empleo.</w:t>
      </w:r>
    </w:p>
    <w:p w14:paraId="720DD510" w14:textId="77777777" w:rsidR="003C2143" w:rsidRPr="00CF7FE6" w:rsidRDefault="003C2143" w:rsidP="003C2143">
      <w:pPr>
        <w:jc w:val="both"/>
        <w:rPr>
          <w:rFonts w:ascii="Verdana" w:hAnsi="Verdana"/>
          <w:sz w:val="20"/>
          <w:szCs w:val="20"/>
          <w:lang w:val="es-ES"/>
        </w:rPr>
      </w:pPr>
    </w:p>
    <w:p w14:paraId="17B3AF44" w14:textId="77777777" w:rsidR="003C2143" w:rsidRPr="003B2532" w:rsidRDefault="003C2143" w:rsidP="003C2143">
      <w:pPr>
        <w:pStyle w:val="ListParagraph"/>
        <w:numPr>
          <w:ilvl w:val="0"/>
          <w:numId w:val="32"/>
        </w:numPr>
        <w:jc w:val="both"/>
        <w:rPr>
          <w:rFonts w:ascii="Verdana" w:hAnsi="Verdana"/>
          <w:b/>
          <w:sz w:val="20"/>
          <w:szCs w:val="20"/>
          <w:lang w:val="es-ES"/>
        </w:rPr>
      </w:pPr>
      <w:r w:rsidRPr="003B2532">
        <w:rPr>
          <w:rFonts w:ascii="Verdana" w:hAnsi="Verdana"/>
          <w:b/>
          <w:sz w:val="20"/>
          <w:szCs w:val="20"/>
          <w:lang w:val="es-ES"/>
        </w:rPr>
        <w:t>La existencia de otros derechos humanos.</w:t>
      </w:r>
    </w:p>
    <w:p w14:paraId="63577F1F" w14:textId="77777777" w:rsidR="003C2143" w:rsidRPr="00CF7FE6" w:rsidRDefault="003C2143" w:rsidP="003C2143">
      <w:pPr>
        <w:jc w:val="both"/>
        <w:rPr>
          <w:rFonts w:ascii="Verdana" w:hAnsi="Verdana"/>
          <w:b/>
          <w:sz w:val="20"/>
          <w:szCs w:val="20"/>
          <w:lang w:val="es-ES"/>
        </w:rPr>
      </w:pPr>
    </w:p>
    <w:p w14:paraId="2EB4A3AD" w14:textId="77777777" w:rsidR="003C2143" w:rsidRPr="00CF7FE6" w:rsidRDefault="003C2143" w:rsidP="003C2143">
      <w:pPr>
        <w:jc w:val="both"/>
        <w:rPr>
          <w:rFonts w:ascii="Verdana" w:hAnsi="Verdana"/>
          <w:sz w:val="20"/>
          <w:szCs w:val="20"/>
          <w:lang w:val="es-ES"/>
        </w:rPr>
      </w:pPr>
      <w:r w:rsidRPr="00CF7FE6">
        <w:rPr>
          <w:rFonts w:ascii="Verdana" w:hAnsi="Verdana"/>
          <w:sz w:val="20"/>
          <w:szCs w:val="20"/>
          <w:lang w:val="es-ES"/>
        </w:rPr>
        <w:t xml:space="preserve">Empero, lo indicado no significa que no existan otros derechos humanos. Por el contrario, la propia Convención alude </w:t>
      </w:r>
      <w:r>
        <w:rPr>
          <w:rFonts w:ascii="Verdana" w:hAnsi="Verdana"/>
          <w:sz w:val="20"/>
          <w:szCs w:val="20"/>
          <w:lang w:val="es-ES"/>
        </w:rPr>
        <w:t xml:space="preserve">a </w:t>
      </w:r>
      <w:r w:rsidRPr="00CF7FE6">
        <w:rPr>
          <w:rFonts w:ascii="Verdana" w:hAnsi="Verdana"/>
          <w:sz w:val="20"/>
          <w:szCs w:val="20"/>
          <w:lang w:val="es-ES"/>
        </w:rPr>
        <w:t>otros derechos o a diversos tipos o categorías de derechos humanos o que tienen distintas fuentes del Derechos Internacional</w:t>
      </w:r>
      <w:r>
        <w:rPr>
          <w:rStyle w:val="FootnoteReference"/>
          <w:szCs w:val="20"/>
          <w:lang w:val="es-ES"/>
        </w:rPr>
        <w:footnoteReference w:id="392"/>
      </w:r>
      <w:r w:rsidRPr="00CF7FE6">
        <w:rPr>
          <w:rFonts w:ascii="Verdana" w:hAnsi="Verdana"/>
          <w:sz w:val="20"/>
          <w:szCs w:val="20"/>
          <w:lang w:val="es-ES"/>
        </w:rPr>
        <w:t>. Así, además de los “r</w:t>
      </w:r>
      <w:r w:rsidRPr="00CF7FE6">
        <w:rPr>
          <w:rFonts w:ascii="Verdana" w:hAnsi="Verdana"/>
          <w:i/>
          <w:sz w:val="20"/>
          <w:szCs w:val="20"/>
          <w:lang w:val="es-ES"/>
        </w:rPr>
        <w:t>econocidos”</w:t>
      </w:r>
      <w:r w:rsidRPr="00CF7FE6">
        <w:rPr>
          <w:rFonts w:ascii="Verdana" w:hAnsi="Verdana"/>
          <w:sz w:val="20"/>
          <w:szCs w:val="20"/>
          <w:lang w:val="es-ES"/>
        </w:rPr>
        <w:t xml:space="preserve"> en ella</w:t>
      </w:r>
      <w:r>
        <w:rPr>
          <w:rFonts w:ascii="Verdana" w:hAnsi="Verdana"/>
          <w:sz w:val="20"/>
          <w:szCs w:val="20"/>
          <w:lang w:val="es-ES"/>
        </w:rPr>
        <w:t>,</w:t>
      </w:r>
      <w:r w:rsidRPr="00CF7FE6">
        <w:rPr>
          <w:rFonts w:ascii="Verdana" w:hAnsi="Verdana"/>
          <w:sz w:val="20"/>
          <w:szCs w:val="20"/>
          <w:lang w:val="es-ES"/>
        </w:rPr>
        <w:t xml:space="preserve"> se mencionan los “</w:t>
      </w:r>
      <w:r>
        <w:rPr>
          <w:rFonts w:ascii="Verdana" w:hAnsi="Verdana"/>
          <w:i/>
          <w:sz w:val="20"/>
          <w:szCs w:val="20"/>
          <w:lang w:val="es-ES"/>
        </w:rPr>
        <w:t>derechos económicos,</w:t>
      </w:r>
      <w:r w:rsidRPr="00CF7FE6">
        <w:rPr>
          <w:rFonts w:ascii="Verdana" w:hAnsi="Verdana"/>
          <w:i/>
          <w:sz w:val="20"/>
          <w:szCs w:val="20"/>
          <w:lang w:val="es-ES"/>
        </w:rPr>
        <w:t xml:space="preserve"> sociales y culturales</w:t>
      </w:r>
      <w:r w:rsidRPr="00CF7FE6">
        <w:rPr>
          <w:rFonts w:ascii="Verdana" w:hAnsi="Verdana"/>
          <w:sz w:val="20"/>
          <w:szCs w:val="20"/>
          <w:lang w:val="es-ES"/>
        </w:rPr>
        <w:t>”</w:t>
      </w:r>
      <w:r w:rsidRPr="00CF7FE6">
        <w:rPr>
          <w:rStyle w:val="FootnoteReference"/>
          <w:szCs w:val="20"/>
          <w:lang w:val="es-ES"/>
        </w:rPr>
        <w:footnoteReference w:id="393"/>
      </w:r>
      <w:r w:rsidRPr="00CF7FE6">
        <w:rPr>
          <w:rFonts w:ascii="Verdana" w:hAnsi="Verdana"/>
          <w:sz w:val="20"/>
          <w:szCs w:val="20"/>
          <w:lang w:val="es-ES"/>
        </w:rPr>
        <w:t>; los que “</w:t>
      </w:r>
      <w:r w:rsidRPr="00CF7FE6">
        <w:rPr>
          <w:rFonts w:ascii="Verdana" w:hAnsi="Verdana"/>
          <w:i/>
          <w:sz w:val="20"/>
          <w:szCs w:val="20"/>
          <w:lang w:val="es-ES"/>
        </w:rPr>
        <w:t>derivan</w:t>
      </w:r>
      <w:r w:rsidRPr="00CF7FE6">
        <w:rPr>
          <w:rFonts w:ascii="Verdana" w:hAnsi="Verdana"/>
          <w:sz w:val="20"/>
          <w:szCs w:val="20"/>
          <w:lang w:val="es-ES"/>
        </w:rPr>
        <w:t>” de normas de la Carta de la Organización de los Estados Americanos</w:t>
      </w:r>
      <w:r w:rsidRPr="00CF7FE6">
        <w:rPr>
          <w:rStyle w:val="FootnoteReference"/>
          <w:szCs w:val="20"/>
          <w:lang w:val="es-ES"/>
        </w:rPr>
        <w:footnoteReference w:id="394"/>
      </w:r>
      <w:r w:rsidRPr="00CF7FE6">
        <w:rPr>
          <w:rFonts w:ascii="Verdana" w:hAnsi="Verdana"/>
          <w:sz w:val="20"/>
          <w:szCs w:val="20"/>
          <w:lang w:val="es-ES"/>
        </w:rPr>
        <w:t>; los “</w:t>
      </w:r>
      <w:r w:rsidRPr="00CF7FE6">
        <w:rPr>
          <w:rFonts w:ascii="Verdana" w:hAnsi="Verdana"/>
          <w:i/>
          <w:sz w:val="20"/>
          <w:szCs w:val="20"/>
          <w:lang w:val="es-ES"/>
        </w:rPr>
        <w:t>reconocidos</w:t>
      </w:r>
      <w:r w:rsidRPr="00CF7FE6">
        <w:rPr>
          <w:rFonts w:ascii="Verdana" w:hAnsi="Verdana"/>
          <w:sz w:val="20"/>
          <w:szCs w:val="20"/>
          <w:lang w:val="es-ES"/>
        </w:rPr>
        <w:t>” por leyes de los Estados u otras convenciones</w:t>
      </w:r>
      <w:r>
        <w:rPr>
          <w:rStyle w:val="FootnoteReference"/>
          <w:szCs w:val="20"/>
          <w:lang w:val="es-ES"/>
        </w:rPr>
        <w:footnoteReference w:id="395"/>
      </w:r>
      <w:r w:rsidRPr="00CF7FE6">
        <w:rPr>
          <w:rFonts w:ascii="Verdana" w:hAnsi="Verdana"/>
          <w:sz w:val="20"/>
          <w:szCs w:val="20"/>
          <w:lang w:val="es-ES"/>
        </w:rPr>
        <w:t xml:space="preserve"> y los “</w:t>
      </w:r>
      <w:r w:rsidRPr="00CF7FE6">
        <w:rPr>
          <w:rFonts w:ascii="Verdana" w:hAnsi="Verdana"/>
          <w:i/>
          <w:sz w:val="20"/>
          <w:szCs w:val="20"/>
          <w:lang w:val="es-ES"/>
        </w:rPr>
        <w:t>inherentes al ser humano o que se derivan de la forma democrática representativa de gobierno</w:t>
      </w:r>
      <w:r w:rsidRPr="00CF7FE6">
        <w:rPr>
          <w:rFonts w:ascii="Verdana" w:hAnsi="Verdana"/>
          <w:sz w:val="20"/>
          <w:szCs w:val="20"/>
          <w:lang w:val="es-ES"/>
        </w:rPr>
        <w:t>”</w:t>
      </w:r>
      <w:r w:rsidRPr="00CF7FE6">
        <w:rPr>
          <w:rStyle w:val="FootnoteReference"/>
          <w:szCs w:val="20"/>
          <w:lang w:val="es-ES"/>
        </w:rPr>
        <w:footnoteReference w:id="396"/>
      </w:r>
      <w:r w:rsidRPr="00CF7FE6">
        <w:rPr>
          <w:rFonts w:ascii="Verdana" w:hAnsi="Verdana"/>
          <w:sz w:val="20"/>
          <w:szCs w:val="20"/>
          <w:lang w:val="es-ES"/>
        </w:rPr>
        <w:t xml:space="preserve">. </w:t>
      </w:r>
    </w:p>
    <w:p w14:paraId="62F7EE66" w14:textId="77777777" w:rsidR="003C2143" w:rsidRPr="00CF7FE6" w:rsidRDefault="003C2143" w:rsidP="003C2143">
      <w:pPr>
        <w:jc w:val="both"/>
        <w:rPr>
          <w:rFonts w:ascii="Verdana" w:hAnsi="Verdana"/>
          <w:sz w:val="20"/>
          <w:szCs w:val="20"/>
          <w:lang w:val="es-ES"/>
        </w:rPr>
      </w:pPr>
    </w:p>
    <w:p w14:paraId="5C81B4FE" w14:textId="77777777" w:rsidR="003C2143" w:rsidRPr="00CF7FE6" w:rsidRDefault="003C2143" w:rsidP="003C2143">
      <w:pPr>
        <w:jc w:val="both"/>
        <w:rPr>
          <w:rFonts w:ascii="Verdana" w:hAnsi="Verdana"/>
          <w:sz w:val="20"/>
          <w:szCs w:val="20"/>
          <w:lang w:val="es-ES"/>
        </w:rPr>
      </w:pPr>
      <w:r w:rsidRPr="00CF7FE6">
        <w:rPr>
          <w:rFonts w:ascii="Verdana" w:hAnsi="Verdana"/>
          <w:sz w:val="20"/>
          <w:szCs w:val="20"/>
          <w:lang w:val="es-ES"/>
        </w:rPr>
        <w:t xml:space="preserve">Es evidente, por </w:t>
      </w:r>
      <w:r>
        <w:rPr>
          <w:rFonts w:ascii="Verdana" w:hAnsi="Verdana"/>
          <w:sz w:val="20"/>
          <w:szCs w:val="20"/>
          <w:lang w:val="es-ES"/>
        </w:rPr>
        <w:t>lo tanto y como lo afirma</w:t>
      </w:r>
      <w:r w:rsidRPr="00CF7FE6">
        <w:rPr>
          <w:rFonts w:ascii="Verdana" w:hAnsi="Verdana"/>
          <w:sz w:val="20"/>
          <w:szCs w:val="20"/>
          <w:lang w:val="es-ES"/>
        </w:rPr>
        <w:t xml:space="preserve"> la misma Sentencia al invocar el artículo 26 de la Convención para declarar la violación del derecho a la estabilidad en el empleo, que éste integra el grupo de “</w:t>
      </w:r>
      <w:r w:rsidRPr="00CF7FE6">
        <w:rPr>
          <w:rFonts w:ascii="Verdana" w:hAnsi="Verdana"/>
          <w:i/>
          <w:sz w:val="20"/>
          <w:szCs w:val="20"/>
          <w:lang w:val="es-ES"/>
        </w:rPr>
        <w:t>derechos económicos y sociales y culturales”</w:t>
      </w:r>
      <w:r w:rsidRPr="00CF7FE6">
        <w:rPr>
          <w:rStyle w:val="FootnoteReference"/>
          <w:i/>
          <w:szCs w:val="20"/>
          <w:lang w:val="es-ES"/>
        </w:rPr>
        <w:footnoteReference w:id="397"/>
      </w:r>
      <w:r w:rsidRPr="00CF7FE6">
        <w:rPr>
          <w:rFonts w:ascii="Verdana" w:hAnsi="Verdana"/>
          <w:sz w:val="20"/>
          <w:szCs w:val="20"/>
          <w:lang w:val="es-ES"/>
        </w:rPr>
        <w:t xml:space="preserve">. De ello igualmente se deduce  </w:t>
      </w:r>
      <w:r>
        <w:rPr>
          <w:rFonts w:ascii="Verdana" w:hAnsi="Verdana"/>
          <w:sz w:val="20"/>
          <w:szCs w:val="20"/>
          <w:lang w:val="es-ES"/>
        </w:rPr>
        <w:t>que, por derivar éstos</w:t>
      </w:r>
      <w:r w:rsidRPr="00CF7FE6">
        <w:rPr>
          <w:rFonts w:ascii="Verdana" w:hAnsi="Verdana"/>
          <w:sz w:val="20"/>
          <w:szCs w:val="20"/>
          <w:lang w:val="es-ES"/>
        </w:rPr>
        <w:t xml:space="preserve"> de normas de la Carta de la OEA, aquél no forma parte de los derechos “</w:t>
      </w:r>
      <w:r w:rsidRPr="00CF7FE6">
        <w:rPr>
          <w:rFonts w:ascii="Verdana" w:hAnsi="Verdana"/>
          <w:i/>
          <w:sz w:val="20"/>
          <w:szCs w:val="20"/>
          <w:lang w:val="es-ES"/>
        </w:rPr>
        <w:t xml:space="preserve">reconocidos” </w:t>
      </w:r>
      <w:r>
        <w:rPr>
          <w:rFonts w:ascii="Verdana" w:hAnsi="Verdana"/>
          <w:sz w:val="20"/>
          <w:szCs w:val="20"/>
          <w:lang w:val="es-ES"/>
        </w:rPr>
        <w:t>en</w:t>
      </w:r>
      <w:r w:rsidRPr="00CF7FE6">
        <w:rPr>
          <w:rFonts w:ascii="Verdana" w:hAnsi="Verdana"/>
          <w:sz w:val="20"/>
          <w:szCs w:val="20"/>
          <w:lang w:val="es-ES"/>
        </w:rPr>
        <w:t xml:space="preserve"> la Convención.</w:t>
      </w:r>
    </w:p>
    <w:p w14:paraId="77094A5D" w14:textId="77777777" w:rsidR="003C2143" w:rsidRPr="00CF7FE6" w:rsidRDefault="003C2143" w:rsidP="003C2143">
      <w:pPr>
        <w:jc w:val="both"/>
        <w:rPr>
          <w:rFonts w:ascii="Verdana" w:hAnsi="Verdana"/>
          <w:sz w:val="20"/>
          <w:szCs w:val="20"/>
          <w:lang w:val="es-ES"/>
        </w:rPr>
      </w:pPr>
    </w:p>
    <w:p w14:paraId="3A76C6AD" w14:textId="77777777" w:rsidR="003C2143" w:rsidRPr="003B2532" w:rsidRDefault="003C2143" w:rsidP="003C2143">
      <w:pPr>
        <w:pStyle w:val="ListParagraph"/>
        <w:numPr>
          <w:ilvl w:val="0"/>
          <w:numId w:val="32"/>
        </w:numPr>
        <w:jc w:val="both"/>
        <w:rPr>
          <w:rFonts w:ascii="Verdana" w:hAnsi="Verdana"/>
          <w:b/>
          <w:sz w:val="20"/>
          <w:szCs w:val="20"/>
          <w:lang w:val="es-ES"/>
        </w:rPr>
      </w:pPr>
      <w:r w:rsidRPr="003B2532">
        <w:rPr>
          <w:rFonts w:ascii="Verdana" w:hAnsi="Verdana"/>
          <w:b/>
          <w:sz w:val="20"/>
          <w:szCs w:val="20"/>
          <w:lang w:val="es-ES"/>
        </w:rPr>
        <w:t>El sistema de protección de la Convención.</w:t>
      </w:r>
    </w:p>
    <w:p w14:paraId="79B09C1B" w14:textId="77777777" w:rsidR="003C2143" w:rsidRPr="00CF7FE6" w:rsidRDefault="003C2143" w:rsidP="003C2143">
      <w:pPr>
        <w:jc w:val="both"/>
        <w:rPr>
          <w:rFonts w:ascii="Verdana" w:hAnsi="Verdana"/>
          <w:b/>
          <w:sz w:val="20"/>
          <w:szCs w:val="20"/>
          <w:lang w:val="es-ES"/>
        </w:rPr>
      </w:pPr>
    </w:p>
    <w:p w14:paraId="0761C008" w14:textId="77777777" w:rsidR="003C2143" w:rsidRDefault="003C2143" w:rsidP="003C2143">
      <w:pPr>
        <w:jc w:val="both"/>
        <w:rPr>
          <w:rFonts w:ascii="Verdana" w:hAnsi="Verdana"/>
          <w:sz w:val="20"/>
          <w:szCs w:val="20"/>
          <w:lang w:val="es-ES"/>
        </w:rPr>
      </w:pPr>
      <w:r>
        <w:rPr>
          <w:rFonts w:ascii="Verdana" w:hAnsi="Verdana"/>
          <w:sz w:val="20"/>
          <w:szCs w:val="20"/>
          <w:lang w:val="es-ES"/>
        </w:rPr>
        <w:t>Pues bien, considerando lo precedente, es preciso referirse a</w:t>
      </w:r>
      <w:r w:rsidRPr="00CF7FE6">
        <w:rPr>
          <w:rFonts w:ascii="Verdana" w:hAnsi="Verdana"/>
          <w:sz w:val="20"/>
          <w:szCs w:val="20"/>
          <w:lang w:val="es-ES"/>
        </w:rPr>
        <w:t xml:space="preserve">l sistema de protección contemplado en la Convención, </w:t>
      </w:r>
      <w:r>
        <w:rPr>
          <w:rFonts w:ascii="Verdana" w:hAnsi="Verdana"/>
          <w:sz w:val="20"/>
          <w:szCs w:val="20"/>
          <w:lang w:val="es-ES"/>
        </w:rPr>
        <w:t xml:space="preserve">que </w:t>
      </w:r>
      <w:r w:rsidRPr="00CF7FE6">
        <w:rPr>
          <w:rFonts w:ascii="Verdana" w:hAnsi="Verdana"/>
          <w:sz w:val="20"/>
          <w:szCs w:val="20"/>
          <w:lang w:val="es-ES"/>
        </w:rPr>
        <w:t>está previsto en su Parte II, que titula como “</w:t>
      </w:r>
      <w:r w:rsidRPr="00CF7FE6">
        <w:rPr>
          <w:rFonts w:ascii="Verdana" w:hAnsi="Verdana"/>
          <w:i/>
          <w:sz w:val="20"/>
          <w:szCs w:val="20"/>
          <w:lang w:val="es-ES"/>
        </w:rPr>
        <w:t>Medios de la Protección</w:t>
      </w:r>
      <w:r w:rsidRPr="00CF7FE6">
        <w:rPr>
          <w:rFonts w:ascii="Verdana" w:hAnsi="Verdana"/>
          <w:sz w:val="20"/>
          <w:szCs w:val="20"/>
          <w:lang w:val="es-ES"/>
        </w:rPr>
        <w:t>” y está formado por dos órganos, a saber, la Comisión y la Corte</w:t>
      </w:r>
      <w:r w:rsidRPr="00CF7FE6">
        <w:rPr>
          <w:rStyle w:val="FootnoteReference"/>
          <w:szCs w:val="20"/>
          <w:lang w:val="es-ES"/>
        </w:rPr>
        <w:footnoteReference w:id="398"/>
      </w:r>
      <w:r w:rsidRPr="00CF7FE6">
        <w:rPr>
          <w:rFonts w:ascii="Verdana" w:hAnsi="Verdana"/>
          <w:sz w:val="20"/>
          <w:szCs w:val="20"/>
          <w:lang w:val="es-ES"/>
        </w:rPr>
        <w:t xml:space="preserve">. En lo que </w:t>
      </w:r>
      <w:r w:rsidRPr="00CF7FE6">
        <w:rPr>
          <w:rFonts w:ascii="Verdana" w:hAnsi="Verdana"/>
          <w:sz w:val="20"/>
          <w:szCs w:val="20"/>
          <w:lang w:val="es-ES"/>
        </w:rPr>
        <w:lastRenderedPageBreak/>
        <w:t>concierne a la Corte, la interpretación armónica de los ya citados artículos 1, 29.a), 33, 45.1, 47.b), 48.1, 62.3, y 63.1</w:t>
      </w:r>
      <w:r>
        <w:rPr>
          <w:rFonts w:ascii="Verdana" w:hAnsi="Verdana"/>
          <w:sz w:val="20"/>
          <w:szCs w:val="20"/>
          <w:lang w:val="es-ES"/>
        </w:rPr>
        <w:t xml:space="preserve">, </w:t>
      </w:r>
      <w:r w:rsidRPr="00CF7FE6">
        <w:rPr>
          <w:rFonts w:ascii="Verdana" w:hAnsi="Verdana"/>
          <w:sz w:val="20"/>
          <w:szCs w:val="20"/>
          <w:lang w:val="es-ES"/>
        </w:rPr>
        <w:t>conduce a concluir que los derechos susceptibles a ser invocados ante aquella a los efectos de qu</w:t>
      </w:r>
      <w:r>
        <w:rPr>
          <w:rFonts w:ascii="Verdana" w:hAnsi="Verdana"/>
          <w:sz w:val="20"/>
          <w:szCs w:val="20"/>
          <w:lang w:val="es-ES"/>
        </w:rPr>
        <w:t xml:space="preserve">e se pronuncie sobre su alegada </w:t>
      </w:r>
      <w:r w:rsidRPr="00CF7FE6">
        <w:rPr>
          <w:rFonts w:ascii="Verdana" w:hAnsi="Verdana"/>
          <w:sz w:val="20"/>
          <w:szCs w:val="20"/>
          <w:lang w:val="es-ES"/>
        </w:rPr>
        <w:t>violación, son los que “</w:t>
      </w:r>
      <w:r w:rsidRPr="00CF7FE6">
        <w:rPr>
          <w:rFonts w:ascii="Verdana" w:hAnsi="Verdana"/>
          <w:i/>
          <w:sz w:val="20"/>
          <w:szCs w:val="20"/>
          <w:lang w:val="es-ES"/>
        </w:rPr>
        <w:t>reconocidos</w:t>
      </w:r>
      <w:r w:rsidRPr="00CF7FE6">
        <w:rPr>
          <w:rFonts w:ascii="Verdana" w:hAnsi="Verdana"/>
          <w:sz w:val="20"/>
          <w:szCs w:val="20"/>
          <w:lang w:val="es-ES"/>
        </w:rPr>
        <w:t>”, “</w:t>
      </w:r>
      <w:r w:rsidRPr="00CF7FE6">
        <w:rPr>
          <w:rFonts w:ascii="Verdana" w:hAnsi="Verdana"/>
          <w:i/>
          <w:sz w:val="20"/>
          <w:szCs w:val="20"/>
          <w:lang w:val="es-ES"/>
        </w:rPr>
        <w:t>establecidos</w:t>
      </w:r>
      <w:r w:rsidRPr="00CF7FE6">
        <w:rPr>
          <w:rFonts w:ascii="Verdana" w:hAnsi="Verdana"/>
          <w:sz w:val="20"/>
          <w:szCs w:val="20"/>
          <w:lang w:val="es-ES"/>
        </w:rPr>
        <w:t>”, “</w:t>
      </w:r>
      <w:r w:rsidRPr="00CF7FE6">
        <w:rPr>
          <w:rFonts w:ascii="Verdana" w:hAnsi="Verdana"/>
          <w:i/>
          <w:sz w:val="20"/>
          <w:szCs w:val="20"/>
          <w:lang w:val="es-ES"/>
        </w:rPr>
        <w:t>garantizados</w:t>
      </w:r>
      <w:r>
        <w:rPr>
          <w:rFonts w:ascii="Verdana" w:hAnsi="Verdana"/>
          <w:sz w:val="20"/>
          <w:szCs w:val="20"/>
          <w:lang w:val="es-ES"/>
        </w:rPr>
        <w:t>”</w:t>
      </w:r>
      <w:r w:rsidRPr="00CF7FE6">
        <w:rPr>
          <w:rFonts w:ascii="Verdana" w:hAnsi="Verdana"/>
          <w:sz w:val="20"/>
          <w:szCs w:val="20"/>
          <w:lang w:val="es-ES"/>
        </w:rPr>
        <w:t>, “</w:t>
      </w:r>
      <w:r w:rsidRPr="00CF7FE6">
        <w:rPr>
          <w:rFonts w:ascii="Verdana" w:hAnsi="Verdana"/>
          <w:i/>
          <w:sz w:val="20"/>
          <w:szCs w:val="20"/>
          <w:lang w:val="es-ES"/>
        </w:rPr>
        <w:t>consagrados</w:t>
      </w:r>
      <w:r w:rsidRPr="00CF7FE6">
        <w:rPr>
          <w:rFonts w:ascii="Verdana" w:hAnsi="Verdana"/>
          <w:sz w:val="20"/>
          <w:szCs w:val="20"/>
          <w:lang w:val="es-ES"/>
        </w:rPr>
        <w:t>”  o “</w:t>
      </w:r>
      <w:r w:rsidRPr="00CF7FE6">
        <w:rPr>
          <w:rFonts w:ascii="Verdana" w:hAnsi="Verdana"/>
          <w:i/>
          <w:sz w:val="20"/>
          <w:szCs w:val="20"/>
          <w:lang w:val="es-ES"/>
        </w:rPr>
        <w:t>protegidos</w:t>
      </w:r>
      <w:r>
        <w:rPr>
          <w:rFonts w:ascii="Verdana" w:hAnsi="Verdana"/>
          <w:sz w:val="20"/>
          <w:szCs w:val="20"/>
          <w:lang w:val="es-ES"/>
        </w:rPr>
        <w:t>”  en</w:t>
      </w:r>
      <w:r w:rsidRPr="00CF7FE6">
        <w:rPr>
          <w:rFonts w:ascii="Verdana" w:hAnsi="Verdana"/>
          <w:sz w:val="20"/>
          <w:szCs w:val="20"/>
          <w:lang w:val="es-ES"/>
        </w:rPr>
        <w:t xml:space="preserve"> la Convención, esto es, los “</w:t>
      </w:r>
      <w:r w:rsidRPr="00CF7FE6">
        <w:rPr>
          <w:rFonts w:ascii="Verdana" w:hAnsi="Verdana"/>
          <w:i/>
          <w:sz w:val="20"/>
          <w:szCs w:val="20"/>
          <w:lang w:val="es-ES"/>
        </w:rPr>
        <w:t xml:space="preserve">Derechos Civiles y </w:t>
      </w:r>
      <w:r>
        <w:rPr>
          <w:rFonts w:ascii="Verdana" w:hAnsi="Verdana"/>
          <w:i/>
          <w:sz w:val="20"/>
          <w:szCs w:val="20"/>
          <w:lang w:val="es-ES"/>
        </w:rPr>
        <w:t>P</w:t>
      </w:r>
      <w:r w:rsidRPr="00CF7FE6">
        <w:rPr>
          <w:rFonts w:ascii="Verdana" w:hAnsi="Verdana"/>
          <w:i/>
          <w:sz w:val="20"/>
          <w:szCs w:val="20"/>
          <w:lang w:val="es-ES"/>
        </w:rPr>
        <w:t>olíticos</w:t>
      </w:r>
      <w:r w:rsidRPr="00CF7FE6">
        <w:rPr>
          <w:rFonts w:ascii="Verdana" w:hAnsi="Verdana"/>
          <w:sz w:val="20"/>
          <w:szCs w:val="20"/>
          <w:lang w:val="es-ES"/>
        </w:rPr>
        <w:t xml:space="preserve">”, </w:t>
      </w:r>
      <w:r>
        <w:rPr>
          <w:rFonts w:ascii="Verdana" w:hAnsi="Verdana"/>
          <w:sz w:val="20"/>
          <w:szCs w:val="20"/>
          <w:lang w:val="es-ES"/>
        </w:rPr>
        <w:t>por lo que se deben excluir</w:t>
      </w:r>
      <w:r w:rsidRPr="00CF7FE6">
        <w:rPr>
          <w:rFonts w:ascii="Verdana" w:hAnsi="Verdana"/>
          <w:sz w:val="20"/>
          <w:szCs w:val="20"/>
          <w:lang w:val="es-ES"/>
        </w:rPr>
        <w:t xml:space="preserve"> de</w:t>
      </w:r>
      <w:r>
        <w:rPr>
          <w:rFonts w:ascii="Verdana" w:hAnsi="Verdana"/>
          <w:sz w:val="20"/>
          <w:szCs w:val="20"/>
          <w:lang w:val="es-ES"/>
        </w:rPr>
        <w:t xml:space="preserve"> dicha judicialización </w:t>
      </w:r>
      <w:r w:rsidRPr="00CF7FE6">
        <w:rPr>
          <w:rFonts w:ascii="Verdana" w:hAnsi="Verdana"/>
          <w:sz w:val="20"/>
          <w:szCs w:val="20"/>
          <w:lang w:val="es-ES"/>
        </w:rPr>
        <w:t>a los “</w:t>
      </w:r>
      <w:r w:rsidRPr="00CF7FE6">
        <w:rPr>
          <w:rFonts w:ascii="Verdana" w:hAnsi="Verdana"/>
          <w:i/>
          <w:sz w:val="20"/>
          <w:szCs w:val="20"/>
          <w:lang w:val="es-ES"/>
        </w:rPr>
        <w:t xml:space="preserve">derechos económicos. sociales y culturales”, </w:t>
      </w:r>
      <w:r w:rsidRPr="00CF7FE6">
        <w:rPr>
          <w:rFonts w:ascii="Verdana" w:hAnsi="Verdana"/>
          <w:sz w:val="20"/>
          <w:szCs w:val="20"/>
          <w:lang w:val="es-ES"/>
        </w:rPr>
        <w:t xml:space="preserve">a los que </w:t>
      </w:r>
      <w:r w:rsidRPr="00CF7FE6">
        <w:rPr>
          <w:rFonts w:ascii="Verdana" w:hAnsi="Verdana"/>
          <w:i/>
          <w:sz w:val="20"/>
          <w:szCs w:val="20"/>
          <w:lang w:val="es-ES"/>
        </w:rPr>
        <w:t xml:space="preserve">“derivan” </w:t>
      </w:r>
      <w:r w:rsidRPr="00CF7FE6">
        <w:rPr>
          <w:rFonts w:ascii="Verdana" w:hAnsi="Verdana"/>
          <w:sz w:val="20"/>
          <w:szCs w:val="20"/>
          <w:lang w:val="es-ES"/>
        </w:rPr>
        <w:t>de normas de la Carta de la Organización de los Estados Americanos, a los “</w:t>
      </w:r>
      <w:r w:rsidRPr="00CF7FE6">
        <w:rPr>
          <w:rFonts w:ascii="Verdana" w:hAnsi="Verdana"/>
          <w:i/>
          <w:sz w:val="20"/>
          <w:szCs w:val="20"/>
          <w:lang w:val="es-ES"/>
        </w:rPr>
        <w:t>reconocidos</w:t>
      </w:r>
      <w:r w:rsidRPr="00CF7FE6">
        <w:rPr>
          <w:rFonts w:ascii="Verdana" w:hAnsi="Verdana"/>
          <w:sz w:val="20"/>
          <w:szCs w:val="20"/>
          <w:lang w:val="es-ES"/>
        </w:rPr>
        <w:t>” por leyes de los Estados u otras convenciones y a otros “</w:t>
      </w:r>
      <w:r w:rsidRPr="00CF7FE6">
        <w:rPr>
          <w:rFonts w:ascii="Verdana" w:hAnsi="Verdana"/>
          <w:i/>
          <w:sz w:val="20"/>
          <w:szCs w:val="20"/>
          <w:lang w:val="es-ES"/>
        </w:rPr>
        <w:t>inherentes al ser humano o que se derivan de la forma democrática representativa de gobierno</w:t>
      </w:r>
      <w:r w:rsidRPr="00CF7FE6">
        <w:rPr>
          <w:rFonts w:ascii="Verdana" w:hAnsi="Verdana"/>
          <w:sz w:val="20"/>
          <w:szCs w:val="20"/>
          <w:lang w:val="es-ES"/>
        </w:rPr>
        <w:t>”. Evidentemente, d</w:t>
      </w:r>
      <w:r>
        <w:rPr>
          <w:rFonts w:ascii="Verdana" w:hAnsi="Verdana"/>
          <w:sz w:val="20"/>
          <w:szCs w:val="20"/>
          <w:lang w:val="es-ES"/>
        </w:rPr>
        <w:t xml:space="preserve">ichos derechos quedan descartados </w:t>
      </w:r>
      <w:r w:rsidRPr="00CF7FE6">
        <w:rPr>
          <w:rFonts w:ascii="Verdana" w:hAnsi="Verdana"/>
          <w:sz w:val="20"/>
          <w:szCs w:val="20"/>
          <w:lang w:val="es-ES"/>
        </w:rPr>
        <w:t xml:space="preserve">de la judicialización ante la Corte en razón de que tienen como fuente otro tratado u otra fuente de Derecho Internacional distinta a la Convención. </w:t>
      </w:r>
      <w:r>
        <w:rPr>
          <w:rFonts w:ascii="Verdana" w:hAnsi="Verdana"/>
          <w:sz w:val="20"/>
          <w:szCs w:val="20"/>
          <w:lang w:val="es-ES"/>
        </w:rPr>
        <w:t xml:space="preserve"> </w:t>
      </w:r>
      <w:r w:rsidRPr="00CF7FE6">
        <w:rPr>
          <w:rFonts w:ascii="Verdana" w:hAnsi="Verdana"/>
          <w:sz w:val="20"/>
          <w:szCs w:val="20"/>
          <w:lang w:val="es-ES"/>
        </w:rPr>
        <w:t xml:space="preserve">Al no integrar, pues, la categoría de derechos </w:t>
      </w:r>
      <w:r w:rsidRPr="00CF7FE6">
        <w:rPr>
          <w:rFonts w:ascii="Verdana" w:hAnsi="Verdana"/>
          <w:i/>
          <w:sz w:val="20"/>
          <w:szCs w:val="20"/>
          <w:lang w:val="es-ES"/>
        </w:rPr>
        <w:t xml:space="preserve">“reconocidos” </w:t>
      </w:r>
      <w:r>
        <w:rPr>
          <w:rFonts w:ascii="Verdana" w:hAnsi="Verdana"/>
          <w:sz w:val="20"/>
          <w:szCs w:val="20"/>
          <w:lang w:val="es-ES"/>
        </w:rPr>
        <w:t>en</w:t>
      </w:r>
      <w:r w:rsidRPr="00CF7FE6">
        <w:rPr>
          <w:rFonts w:ascii="Verdana" w:hAnsi="Verdana"/>
          <w:sz w:val="20"/>
          <w:szCs w:val="20"/>
          <w:lang w:val="es-ES"/>
        </w:rPr>
        <w:t xml:space="preserve"> la Convención, el derecho al trabajo y el derecho a la estabilidad en el empleo no son susceptibles de judicializar ante la Corte, salvo, en lo que respecta al primero, </w:t>
      </w:r>
      <w:r>
        <w:rPr>
          <w:rFonts w:ascii="Verdana" w:hAnsi="Verdana"/>
          <w:sz w:val="20"/>
          <w:szCs w:val="20"/>
          <w:lang w:val="es-ES"/>
        </w:rPr>
        <w:t xml:space="preserve">más únicamente </w:t>
      </w:r>
      <w:r w:rsidRPr="00CF7FE6">
        <w:rPr>
          <w:rFonts w:ascii="Verdana" w:hAnsi="Verdana"/>
          <w:sz w:val="20"/>
          <w:szCs w:val="20"/>
          <w:lang w:val="es-ES"/>
        </w:rPr>
        <w:t>en</w:t>
      </w:r>
      <w:r>
        <w:rPr>
          <w:rFonts w:ascii="Verdana" w:hAnsi="Verdana"/>
          <w:sz w:val="20"/>
          <w:szCs w:val="20"/>
          <w:lang w:val="es-ES"/>
        </w:rPr>
        <w:t xml:space="preserve"> lo pertinente a</w:t>
      </w:r>
      <w:r w:rsidRPr="00CF7FE6">
        <w:rPr>
          <w:rFonts w:ascii="Verdana" w:hAnsi="Verdana"/>
          <w:sz w:val="20"/>
          <w:szCs w:val="20"/>
          <w:lang w:val="es-ES"/>
        </w:rPr>
        <w:t xml:space="preserve"> las </w:t>
      </w:r>
      <w:r>
        <w:rPr>
          <w:rFonts w:ascii="Verdana" w:hAnsi="Verdana"/>
          <w:sz w:val="20"/>
          <w:szCs w:val="20"/>
          <w:lang w:val="es-ES"/>
        </w:rPr>
        <w:t xml:space="preserve">específicas </w:t>
      </w:r>
      <w:r w:rsidRPr="00CF7FE6">
        <w:rPr>
          <w:rFonts w:ascii="Verdana" w:hAnsi="Verdana"/>
          <w:sz w:val="20"/>
          <w:szCs w:val="20"/>
          <w:lang w:val="es-ES"/>
        </w:rPr>
        <w:t>materias</w:t>
      </w:r>
      <w:r>
        <w:rPr>
          <w:rFonts w:ascii="Verdana" w:hAnsi="Verdana"/>
          <w:sz w:val="20"/>
          <w:szCs w:val="20"/>
          <w:lang w:val="es-ES"/>
        </w:rPr>
        <w:t xml:space="preserve"> que </w:t>
      </w:r>
      <w:r w:rsidRPr="00CF7FE6">
        <w:rPr>
          <w:rFonts w:ascii="Verdana" w:hAnsi="Verdana"/>
          <w:sz w:val="20"/>
          <w:szCs w:val="20"/>
          <w:lang w:val="es-ES"/>
        </w:rPr>
        <w:t>dispone el Protocolo de San Salvador.</w:t>
      </w:r>
    </w:p>
    <w:p w14:paraId="4C10AEEC" w14:textId="77777777" w:rsidR="003C2143" w:rsidRDefault="003C2143" w:rsidP="003C2143">
      <w:pPr>
        <w:jc w:val="both"/>
        <w:rPr>
          <w:rFonts w:ascii="Verdana" w:hAnsi="Verdana"/>
          <w:sz w:val="20"/>
          <w:szCs w:val="20"/>
          <w:lang w:val="es-ES"/>
        </w:rPr>
      </w:pPr>
    </w:p>
    <w:p w14:paraId="37138088" w14:textId="77777777" w:rsidR="003C2143" w:rsidRPr="003B2532" w:rsidRDefault="003C2143" w:rsidP="003C2143">
      <w:pPr>
        <w:pStyle w:val="ListParagraph"/>
        <w:numPr>
          <w:ilvl w:val="0"/>
          <w:numId w:val="32"/>
        </w:numPr>
        <w:jc w:val="both"/>
        <w:rPr>
          <w:rFonts w:ascii="Verdana" w:hAnsi="Verdana"/>
          <w:sz w:val="20"/>
          <w:szCs w:val="20"/>
          <w:lang w:val="es-ES"/>
        </w:rPr>
      </w:pPr>
      <w:r w:rsidRPr="003B2532">
        <w:rPr>
          <w:rFonts w:ascii="Verdana" w:hAnsi="Verdana"/>
          <w:b/>
          <w:sz w:val="20"/>
          <w:szCs w:val="20"/>
          <w:lang w:val="es-ES"/>
        </w:rPr>
        <w:t xml:space="preserve">Ampliación del sistema de protección a otros derechos. </w:t>
      </w:r>
      <w:r w:rsidRPr="003B2532">
        <w:rPr>
          <w:rFonts w:ascii="Verdana" w:hAnsi="Verdana"/>
          <w:sz w:val="20"/>
          <w:szCs w:val="20"/>
          <w:lang w:val="es-ES"/>
        </w:rPr>
        <w:t xml:space="preserve"> </w:t>
      </w:r>
    </w:p>
    <w:p w14:paraId="0236B15C" w14:textId="77777777" w:rsidR="003C2143" w:rsidRPr="00CF7FE6" w:rsidRDefault="003C2143" w:rsidP="003C2143">
      <w:pPr>
        <w:jc w:val="both"/>
        <w:rPr>
          <w:rFonts w:ascii="Verdana" w:hAnsi="Verdana"/>
          <w:sz w:val="20"/>
          <w:szCs w:val="20"/>
          <w:lang w:val="es-ES"/>
        </w:rPr>
      </w:pPr>
    </w:p>
    <w:p w14:paraId="073EC2A2" w14:textId="77777777" w:rsidR="003C2143" w:rsidRPr="00CF7FE6" w:rsidRDefault="003C2143" w:rsidP="003C2143">
      <w:pPr>
        <w:jc w:val="both"/>
        <w:rPr>
          <w:rFonts w:ascii="Verdana" w:hAnsi="Verdana"/>
          <w:sz w:val="20"/>
          <w:szCs w:val="20"/>
          <w:lang w:val="es-ES"/>
        </w:rPr>
      </w:pPr>
      <w:r>
        <w:rPr>
          <w:rFonts w:ascii="Verdana" w:hAnsi="Verdana"/>
          <w:sz w:val="20"/>
          <w:szCs w:val="20"/>
          <w:lang w:val="es-ES"/>
        </w:rPr>
        <w:t>Sin embargo</w:t>
      </w:r>
      <w:r w:rsidRPr="00CF7FE6">
        <w:rPr>
          <w:rFonts w:ascii="Verdana" w:hAnsi="Verdana"/>
          <w:sz w:val="20"/>
          <w:szCs w:val="20"/>
          <w:lang w:val="es-ES"/>
        </w:rPr>
        <w:t>, la circunstancia de que un derecho no sea “</w:t>
      </w:r>
      <w:r w:rsidRPr="00CF7FE6">
        <w:rPr>
          <w:rFonts w:ascii="Verdana" w:hAnsi="Verdana"/>
          <w:i/>
          <w:sz w:val="20"/>
          <w:szCs w:val="20"/>
          <w:lang w:val="es-ES"/>
        </w:rPr>
        <w:t>reconocido</w:t>
      </w:r>
      <w:r>
        <w:rPr>
          <w:rFonts w:ascii="Verdana" w:hAnsi="Verdana"/>
          <w:sz w:val="20"/>
          <w:szCs w:val="20"/>
          <w:lang w:val="es-ES"/>
        </w:rPr>
        <w:t>” en</w:t>
      </w:r>
      <w:r w:rsidRPr="00CF7FE6">
        <w:rPr>
          <w:rFonts w:ascii="Verdana" w:hAnsi="Verdana"/>
          <w:sz w:val="20"/>
          <w:szCs w:val="20"/>
          <w:lang w:val="es-ES"/>
        </w:rPr>
        <w:t xml:space="preserve"> la Convención no impide que pueda en ser incluido entre los derechos que podrían ser invocados ante la Corte. Para ello se requiere adoptar un protocolo que lo contemple en tal sentido</w:t>
      </w:r>
      <w:r w:rsidRPr="00CF7FE6">
        <w:rPr>
          <w:rStyle w:val="FootnoteReference"/>
          <w:szCs w:val="20"/>
          <w:lang w:val="es-ES"/>
        </w:rPr>
        <w:footnoteReference w:id="399"/>
      </w:r>
      <w:r w:rsidRPr="00CF7FE6">
        <w:rPr>
          <w:rFonts w:ascii="Verdana" w:hAnsi="Verdana"/>
          <w:sz w:val="20"/>
          <w:szCs w:val="20"/>
          <w:lang w:val="es-ES"/>
        </w:rPr>
        <w:t>.</w:t>
      </w:r>
    </w:p>
    <w:p w14:paraId="0DBD7AC7" w14:textId="77777777" w:rsidR="003C2143" w:rsidRPr="00CF7FE6" w:rsidRDefault="003C2143" w:rsidP="003C2143">
      <w:pPr>
        <w:jc w:val="both"/>
        <w:rPr>
          <w:rFonts w:ascii="Verdana" w:hAnsi="Verdana"/>
          <w:sz w:val="20"/>
          <w:szCs w:val="20"/>
          <w:lang w:val="es-ES"/>
        </w:rPr>
      </w:pPr>
    </w:p>
    <w:p w14:paraId="391BD80F" w14:textId="77777777" w:rsidR="003C2143" w:rsidRPr="00CF7FE6" w:rsidRDefault="003C2143" w:rsidP="003C2143">
      <w:pPr>
        <w:jc w:val="both"/>
        <w:rPr>
          <w:rFonts w:ascii="Verdana" w:hAnsi="Verdana"/>
          <w:sz w:val="20"/>
          <w:szCs w:val="20"/>
          <w:lang w:val="es-ES"/>
        </w:rPr>
      </w:pPr>
      <w:r w:rsidRPr="00CF7FE6">
        <w:rPr>
          <w:rFonts w:ascii="Verdana" w:hAnsi="Verdana"/>
          <w:sz w:val="20"/>
          <w:szCs w:val="20"/>
          <w:lang w:val="es-ES"/>
        </w:rPr>
        <w:t>Efectivamente, el artículo 31 de la Convención, en concordancia con los artículos 76.1 y 77.1</w:t>
      </w:r>
      <w:r w:rsidRPr="00CF7FE6">
        <w:rPr>
          <w:rStyle w:val="FootnoteReference"/>
          <w:szCs w:val="20"/>
          <w:lang w:val="es-ES"/>
        </w:rPr>
        <w:footnoteReference w:id="400"/>
      </w:r>
      <w:r w:rsidRPr="00CF7FE6">
        <w:rPr>
          <w:rFonts w:ascii="Verdana" w:hAnsi="Verdana"/>
          <w:sz w:val="20"/>
          <w:szCs w:val="20"/>
          <w:lang w:val="es-ES"/>
        </w:rPr>
        <w:t xml:space="preserve"> de la misma, expresamente disponen que la función normativa relativa a la Convención y muy especialmente a los efectos de “</w:t>
      </w:r>
      <w:r w:rsidRPr="00CF7FE6">
        <w:rPr>
          <w:rFonts w:ascii="Verdana" w:hAnsi="Verdana"/>
          <w:i/>
          <w:sz w:val="20"/>
          <w:szCs w:val="20"/>
          <w:lang w:val="es-ES"/>
        </w:rPr>
        <w:t>incluir progresivamente en el régimen de protección de la misma otros derechos</w:t>
      </w:r>
      <w:r w:rsidRPr="00CF7FE6">
        <w:rPr>
          <w:rFonts w:ascii="Verdana" w:hAnsi="Verdana"/>
          <w:sz w:val="20"/>
          <w:szCs w:val="20"/>
          <w:lang w:val="es-ES"/>
        </w:rPr>
        <w:t>”, la ejercerán sus Estados Partes, por lo que esa área está implícitamente vedada a la Corte, la que, por tanto, no puede incluir al derecho a la estabilidad en el empleo entre los derechos susceptibles de judicializar ante ella. Si lo hace, evidentemente, se extralimita en su competencia. Efectivamente y a contrario de lo que parece desprenderse de la Sentencia</w:t>
      </w:r>
      <w:r w:rsidRPr="00CF7FE6">
        <w:rPr>
          <w:rStyle w:val="FootnoteReference"/>
          <w:szCs w:val="20"/>
          <w:lang w:val="es-ES"/>
        </w:rPr>
        <w:footnoteReference w:id="401"/>
      </w:r>
      <w:r w:rsidRPr="00CF7FE6">
        <w:rPr>
          <w:rFonts w:ascii="Verdana" w:hAnsi="Verdana"/>
          <w:sz w:val="20"/>
          <w:szCs w:val="20"/>
          <w:lang w:val="es-ES"/>
        </w:rPr>
        <w:t>, la facultad de determinar su propia competencia, acorde al principio de la competencia de la competencia</w:t>
      </w:r>
      <w:proofErr w:type="gramStart"/>
      <w:r w:rsidRPr="00CF7FE6">
        <w:rPr>
          <w:rFonts w:ascii="Verdana" w:hAnsi="Verdana"/>
          <w:sz w:val="20"/>
          <w:szCs w:val="20"/>
          <w:lang w:val="es-ES"/>
        </w:rPr>
        <w:t>,“</w:t>
      </w:r>
      <w:proofErr w:type="spellStart"/>
      <w:proofErr w:type="gramEnd"/>
      <w:r w:rsidRPr="00CF7FE6">
        <w:rPr>
          <w:rFonts w:ascii="Verdana" w:hAnsi="Verdana"/>
          <w:i/>
          <w:sz w:val="20"/>
          <w:szCs w:val="20"/>
          <w:lang w:val="es-ES"/>
        </w:rPr>
        <w:t>kompetenz-kompetenz</w:t>
      </w:r>
      <w:proofErr w:type="spellEnd"/>
      <w:r w:rsidRPr="00CF7FE6">
        <w:rPr>
          <w:rFonts w:ascii="Verdana" w:hAnsi="Verdana"/>
          <w:sz w:val="20"/>
          <w:szCs w:val="20"/>
          <w:lang w:val="es-ES"/>
        </w:rPr>
        <w:t xml:space="preserve">”, no la habilita para vulnerar el principio de derecho público de que solo se puede hacer lo que la norma permite o prescribe. </w:t>
      </w:r>
    </w:p>
    <w:p w14:paraId="7C3C95BE" w14:textId="77777777" w:rsidR="003C2143" w:rsidRPr="00CF7FE6" w:rsidRDefault="003C2143" w:rsidP="003C2143">
      <w:pPr>
        <w:jc w:val="both"/>
        <w:rPr>
          <w:rFonts w:ascii="Verdana" w:hAnsi="Verdana"/>
          <w:sz w:val="20"/>
          <w:szCs w:val="20"/>
          <w:lang w:val="es-ES"/>
        </w:rPr>
      </w:pPr>
    </w:p>
    <w:p w14:paraId="3B499DE6" w14:textId="77777777" w:rsidR="003C2143" w:rsidRPr="003B2532" w:rsidRDefault="003C2143" w:rsidP="003C2143">
      <w:pPr>
        <w:pStyle w:val="ListParagraph"/>
        <w:numPr>
          <w:ilvl w:val="0"/>
          <w:numId w:val="32"/>
        </w:numPr>
        <w:jc w:val="both"/>
        <w:rPr>
          <w:rFonts w:ascii="Verdana" w:hAnsi="Verdana"/>
          <w:b/>
          <w:sz w:val="20"/>
          <w:szCs w:val="20"/>
          <w:lang w:val="es-ES"/>
        </w:rPr>
      </w:pPr>
      <w:r w:rsidRPr="003B2532">
        <w:rPr>
          <w:rFonts w:ascii="Verdana" w:hAnsi="Verdana"/>
          <w:b/>
          <w:sz w:val="20"/>
          <w:szCs w:val="20"/>
          <w:lang w:val="es-ES"/>
        </w:rPr>
        <w:t>El Protocolo de San Salvador.</w:t>
      </w:r>
    </w:p>
    <w:p w14:paraId="123B4E69" w14:textId="77777777" w:rsidR="003C2143" w:rsidRPr="00CF7FE6" w:rsidRDefault="003C2143" w:rsidP="003C2143">
      <w:pPr>
        <w:jc w:val="both"/>
        <w:rPr>
          <w:rFonts w:ascii="Verdana" w:hAnsi="Verdana"/>
          <w:b/>
          <w:sz w:val="20"/>
          <w:szCs w:val="20"/>
          <w:lang w:val="es-ES"/>
        </w:rPr>
      </w:pPr>
    </w:p>
    <w:p w14:paraId="083BBB0F" w14:textId="77777777" w:rsidR="003C2143" w:rsidRPr="00CF7FE6" w:rsidRDefault="003C2143" w:rsidP="003C2143">
      <w:pPr>
        <w:jc w:val="both"/>
        <w:rPr>
          <w:rFonts w:ascii="Verdana" w:hAnsi="Verdana"/>
          <w:sz w:val="20"/>
          <w:szCs w:val="20"/>
          <w:lang w:val="es-ES"/>
        </w:rPr>
      </w:pPr>
      <w:r>
        <w:rPr>
          <w:rFonts w:ascii="Verdana" w:hAnsi="Verdana"/>
          <w:sz w:val="20"/>
          <w:szCs w:val="20"/>
          <w:lang w:val="es-ES"/>
        </w:rPr>
        <w:t>Como ya se advirtió, l</w:t>
      </w:r>
      <w:r w:rsidRPr="00CF7FE6">
        <w:rPr>
          <w:rFonts w:ascii="Verdana" w:hAnsi="Verdana"/>
          <w:sz w:val="20"/>
          <w:szCs w:val="20"/>
          <w:lang w:val="es-ES"/>
        </w:rPr>
        <w:t>a judicialización, aunque parcial, del derecho al trabajo ha tenido lugar, precisamente, con el “</w:t>
      </w:r>
      <w:r w:rsidRPr="00CF7FE6">
        <w:rPr>
          <w:rFonts w:ascii="Verdana" w:hAnsi="Verdana"/>
          <w:i/>
          <w:sz w:val="20"/>
          <w:szCs w:val="20"/>
          <w:lang w:val="es-ES"/>
        </w:rPr>
        <w:t>Protocolo Adicional a la Convención Americana sobre Derechos Humanos en materia de Derechos Económicos, Sociales y Culturales, Protocolo de San Salvador</w:t>
      </w:r>
      <w:r w:rsidRPr="00CF7FE6">
        <w:rPr>
          <w:rFonts w:ascii="Verdana" w:hAnsi="Verdana"/>
          <w:sz w:val="20"/>
          <w:szCs w:val="20"/>
          <w:lang w:val="es-ES"/>
        </w:rPr>
        <w:t xml:space="preserve">” de 1988, el que fue adoptado al amparo de  lo previsto en los artículos 76.1 y 77.1 de la Convención, </w:t>
      </w:r>
      <w:r w:rsidRPr="00CF7FE6">
        <w:rPr>
          <w:rFonts w:ascii="Verdana" w:hAnsi="Verdana"/>
          <w:sz w:val="20"/>
          <w:szCs w:val="20"/>
          <w:lang w:val="es-ES"/>
        </w:rPr>
        <w:lastRenderedPageBreak/>
        <w:t>esto es, “</w:t>
      </w:r>
      <w:r w:rsidRPr="00CF7FE6">
        <w:rPr>
          <w:rFonts w:ascii="Verdana" w:hAnsi="Verdana"/>
          <w:i/>
          <w:sz w:val="20"/>
          <w:szCs w:val="20"/>
          <w:lang w:val="es-ES"/>
        </w:rPr>
        <w:t>con la finalidad de incluir progresivamente en el régimen de protección de la misma otros derechos y libertades</w:t>
      </w:r>
      <w:r w:rsidRPr="00CF7FE6">
        <w:rPr>
          <w:rFonts w:ascii="Verdana" w:hAnsi="Verdana"/>
          <w:sz w:val="20"/>
          <w:szCs w:val="20"/>
          <w:lang w:val="es-ES"/>
        </w:rPr>
        <w:t>”, como expresamente se indica en su Preámbulo.</w:t>
      </w:r>
      <w:r w:rsidRPr="00CF7FE6">
        <w:rPr>
          <w:rStyle w:val="FootnoteReference"/>
          <w:szCs w:val="20"/>
          <w:lang w:val="es-ES"/>
        </w:rPr>
        <w:footnoteReference w:id="402"/>
      </w:r>
    </w:p>
    <w:p w14:paraId="7683E8AA" w14:textId="77777777" w:rsidR="003C2143" w:rsidRPr="00CF7FE6" w:rsidRDefault="003C2143" w:rsidP="003C2143">
      <w:pPr>
        <w:jc w:val="both"/>
        <w:rPr>
          <w:rFonts w:ascii="Verdana" w:hAnsi="Verdana"/>
          <w:sz w:val="20"/>
          <w:szCs w:val="20"/>
          <w:lang w:val="es-ES"/>
        </w:rPr>
      </w:pPr>
    </w:p>
    <w:p w14:paraId="3D81C721" w14:textId="77777777" w:rsidR="003C2143" w:rsidRPr="00CF7FE6" w:rsidRDefault="003C2143" w:rsidP="003C2143">
      <w:pPr>
        <w:jc w:val="both"/>
        <w:rPr>
          <w:rFonts w:ascii="Verdana" w:hAnsi="Verdana"/>
          <w:sz w:val="20"/>
          <w:szCs w:val="20"/>
          <w:lang w:val="es-ES"/>
        </w:rPr>
      </w:pPr>
      <w:r w:rsidRPr="00CF7FE6">
        <w:rPr>
          <w:rFonts w:ascii="Verdana" w:hAnsi="Verdana"/>
          <w:sz w:val="20"/>
          <w:szCs w:val="20"/>
          <w:lang w:val="es-ES"/>
        </w:rPr>
        <w:t xml:space="preserve">Dicho Protocolo </w:t>
      </w:r>
      <w:r>
        <w:rPr>
          <w:rFonts w:ascii="Verdana" w:hAnsi="Verdana"/>
          <w:sz w:val="20"/>
          <w:szCs w:val="20"/>
          <w:lang w:val="es-ES"/>
        </w:rPr>
        <w:t>“</w:t>
      </w:r>
      <w:r w:rsidRPr="000528BE">
        <w:rPr>
          <w:rFonts w:ascii="Verdana" w:hAnsi="Verdana"/>
          <w:i/>
          <w:sz w:val="20"/>
          <w:szCs w:val="20"/>
          <w:lang w:val="es-ES"/>
        </w:rPr>
        <w:t>reconoce</w:t>
      </w:r>
      <w:r>
        <w:rPr>
          <w:rFonts w:ascii="Verdana" w:hAnsi="Verdana"/>
          <w:sz w:val="20"/>
          <w:szCs w:val="20"/>
          <w:lang w:val="es-ES"/>
        </w:rPr>
        <w:t>”</w:t>
      </w:r>
      <w:r w:rsidRPr="00CF7FE6">
        <w:rPr>
          <w:rStyle w:val="FootnoteReference"/>
          <w:szCs w:val="20"/>
          <w:lang w:val="es-ES"/>
        </w:rPr>
        <w:footnoteReference w:id="403"/>
      </w:r>
      <w:r w:rsidRPr="00CF7FE6">
        <w:rPr>
          <w:rFonts w:ascii="Verdana" w:hAnsi="Verdana"/>
          <w:sz w:val="20"/>
          <w:szCs w:val="20"/>
          <w:lang w:val="es-ES"/>
        </w:rPr>
        <w:t xml:space="preserve"> el derecho al trabajo (art.</w:t>
      </w:r>
      <w:r>
        <w:rPr>
          <w:rFonts w:ascii="Verdana" w:hAnsi="Verdana"/>
          <w:sz w:val="20"/>
          <w:szCs w:val="20"/>
          <w:lang w:val="es-ES"/>
        </w:rPr>
        <w:t xml:space="preserve">6), el derecho a </w:t>
      </w:r>
      <w:r w:rsidRPr="00CF7FE6">
        <w:rPr>
          <w:rFonts w:ascii="Verdana" w:hAnsi="Verdana"/>
          <w:sz w:val="20"/>
          <w:szCs w:val="20"/>
          <w:lang w:val="es-ES"/>
        </w:rPr>
        <w:t xml:space="preserve">condiciones justas, equitativas y satisfactorias de trabajo (art.7), los derechos sindicales (art.8), el derecho a la seguridad social (art.9), el derecho a la  salud (art.10), el derecho a </w:t>
      </w:r>
      <w:r>
        <w:rPr>
          <w:rFonts w:ascii="Verdana" w:hAnsi="Verdana"/>
          <w:sz w:val="20"/>
          <w:szCs w:val="20"/>
          <w:lang w:val="es-ES"/>
        </w:rPr>
        <w:t>un medio ambiente sano (art.11)</w:t>
      </w:r>
      <w:r w:rsidRPr="00CF7FE6">
        <w:rPr>
          <w:rFonts w:ascii="Verdana" w:hAnsi="Verdana"/>
          <w:sz w:val="20"/>
          <w:szCs w:val="20"/>
          <w:lang w:val="es-ES"/>
        </w:rPr>
        <w:t>, el derecho a la alimentación (art.12), el derecho a la educación (art.13), el derecho a  los beneficios de la cultura (art. 14), el derecho a la constitución y protección de la familia (art.15), el derecho de la niñez (art.16), la protección de los ancianos (art.17) y la protección de los minusválidos (art. 18).</w:t>
      </w:r>
    </w:p>
    <w:p w14:paraId="36C1231E" w14:textId="77777777" w:rsidR="003C2143" w:rsidRPr="00CF7FE6" w:rsidRDefault="003C2143" w:rsidP="003C2143">
      <w:pPr>
        <w:jc w:val="both"/>
        <w:rPr>
          <w:rFonts w:ascii="Verdana" w:hAnsi="Verdana"/>
          <w:sz w:val="20"/>
          <w:szCs w:val="20"/>
          <w:lang w:val="es-ES"/>
        </w:rPr>
      </w:pPr>
    </w:p>
    <w:p w14:paraId="2A6CFF7B" w14:textId="77777777" w:rsidR="003C2143" w:rsidRPr="00CF7FE6" w:rsidRDefault="003C2143" w:rsidP="003C2143">
      <w:pPr>
        <w:jc w:val="both"/>
        <w:rPr>
          <w:rFonts w:ascii="Verdana" w:hAnsi="Verdana"/>
          <w:sz w:val="20"/>
          <w:szCs w:val="20"/>
          <w:lang w:val="es-ES"/>
        </w:rPr>
      </w:pPr>
      <w:r w:rsidRPr="00CF7FE6">
        <w:rPr>
          <w:rFonts w:ascii="Verdana" w:hAnsi="Verdana"/>
          <w:sz w:val="20"/>
          <w:szCs w:val="20"/>
          <w:lang w:val="es-ES"/>
        </w:rPr>
        <w:t xml:space="preserve">Empero, dicho Protocolo ha previsto que únicamente la violación de algunos </w:t>
      </w:r>
      <w:r>
        <w:rPr>
          <w:rFonts w:ascii="Verdana" w:hAnsi="Verdana"/>
          <w:sz w:val="20"/>
          <w:szCs w:val="20"/>
          <w:lang w:val="es-ES"/>
        </w:rPr>
        <w:t xml:space="preserve">de esos </w:t>
      </w:r>
      <w:r w:rsidRPr="00CF7FE6">
        <w:rPr>
          <w:rFonts w:ascii="Verdana" w:hAnsi="Verdana"/>
          <w:sz w:val="20"/>
          <w:szCs w:val="20"/>
          <w:lang w:val="es-ES"/>
        </w:rPr>
        <w:t>derechos pueden ser llevados ante la Corte</w:t>
      </w:r>
      <w:r w:rsidRPr="00CF7FE6">
        <w:rPr>
          <w:rStyle w:val="FootnoteReference"/>
          <w:szCs w:val="20"/>
          <w:lang w:val="es-ES"/>
        </w:rPr>
        <w:footnoteReference w:id="404"/>
      </w:r>
      <w:r w:rsidRPr="00CF7FE6">
        <w:rPr>
          <w:rFonts w:ascii="Verdana" w:hAnsi="Verdana"/>
          <w:sz w:val="20"/>
          <w:szCs w:val="20"/>
          <w:lang w:val="es-ES"/>
        </w:rPr>
        <w:t xml:space="preserve"> y ellos son los relativos al derecho de organizar sindicatos y a afiliarse en ellos</w:t>
      </w:r>
      <w:r w:rsidRPr="00CF7FE6">
        <w:rPr>
          <w:rStyle w:val="FootnoteReference"/>
          <w:szCs w:val="20"/>
          <w:lang w:val="es-ES"/>
        </w:rPr>
        <w:footnoteReference w:id="405"/>
      </w:r>
      <w:r w:rsidRPr="00CF7FE6">
        <w:rPr>
          <w:rFonts w:ascii="Verdana" w:hAnsi="Verdana"/>
          <w:sz w:val="20"/>
          <w:szCs w:val="20"/>
          <w:lang w:val="es-ES"/>
        </w:rPr>
        <w:t xml:space="preserve"> y el derecho a la educación</w:t>
      </w:r>
      <w:r w:rsidRPr="00CF7FE6">
        <w:rPr>
          <w:rStyle w:val="FootnoteReference"/>
          <w:szCs w:val="20"/>
          <w:lang w:val="es-ES"/>
        </w:rPr>
        <w:footnoteReference w:id="406"/>
      </w:r>
      <w:r w:rsidRPr="00CF7FE6">
        <w:rPr>
          <w:rFonts w:ascii="Verdana" w:hAnsi="Verdana"/>
          <w:sz w:val="20"/>
          <w:szCs w:val="20"/>
          <w:lang w:val="es-ES"/>
        </w:rPr>
        <w:t xml:space="preserve">. En lo pertinente al Derecho al Trabajo, </w:t>
      </w:r>
      <w:r>
        <w:rPr>
          <w:rFonts w:ascii="Verdana" w:hAnsi="Verdana"/>
          <w:sz w:val="20"/>
          <w:szCs w:val="20"/>
          <w:lang w:val="es-ES"/>
        </w:rPr>
        <w:t xml:space="preserve">si </w:t>
      </w:r>
      <w:r>
        <w:rPr>
          <w:rFonts w:ascii="Verdana" w:hAnsi="Verdana"/>
          <w:sz w:val="20"/>
          <w:szCs w:val="20"/>
          <w:lang w:val="es-ES"/>
        </w:rPr>
        <w:lastRenderedPageBreak/>
        <w:t>bien</w:t>
      </w:r>
      <w:r w:rsidRPr="00CF7FE6">
        <w:rPr>
          <w:rFonts w:ascii="Verdana" w:hAnsi="Verdana"/>
          <w:sz w:val="20"/>
          <w:szCs w:val="20"/>
          <w:lang w:val="es-ES"/>
        </w:rPr>
        <w:t>, en consecuencia, lo ha reconocido e incluso judicializado, lo ha hecho solo parcialmente, es decir, en lo atingente al derecho a organizar sindicados y a afiliarse en ellos. Nada más. El resto de las materias que involucra, incluyendo la eventual violación del derecho a la estabilidad en el empleo, el que, por lo demás no se menciona en el citado Protocolo, quedan, por ende, excluida</w:t>
      </w:r>
      <w:r>
        <w:rPr>
          <w:rFonts w:ascii="Verdana" w:hAnsi="Verdana"/>
          <w:sz w:val="20"/>
          <w:szCs w:val="20"/>
          <w:lang w:val="es-ES"/>
        </w:rPr>
        <w:t>s</w:t>
      </w:r>
      <w:r w:rsidRPr="00CF7FE6">
        <w:rPr>
          <w:rFonts w:ascii="Verdana" w:hAnsi="Verdana"/>
          <w:sz w:val="20"/>
          <w:szCs w:val="20"/>
          <w:lang w:val="es-ES"/>
        </w:rPr>
        <w:t xml:space="preserve"> de ser elevada</w:t>
      </w:r>
      <w:r>
        <w:rPr>
          <w:rFonts w:ascii="Verdana" w:hAnsi="Verdana"/>
          <w:sz w:val="20"/>
          <w:szCs w:val="20"/>
          <w:lang w:val="es-ES"/>
        </w:rPr>
        <w:t>s</w:t>
      </w:r>
      <w:r w:rsidRPr="00CF7FE6">
        <w:rPr>
          <w:rFonts w:ascii="Verdana" w:hAnsi="Verdana"/>
          <w:sz w:val="20"/>
          <w:szCs w:val="20"/>
          <w:lang w:val="es-ES"/>
        </w:rPr>
        <w:t xml:space="preserve"> a conocimiento y resolución de la Corte. Si se admitiera la posibilidad de que las violaciones al derecho al trabajo y al derecho a la estabilidad en el empleo pudiesen ser sometidas, conocidas y resueltas por la Corte en razón de lo previsto en el artículo 26 de la Convención, lo dispuesto en el Protocolo de San Salvador no tendría sentido alguno.  </w:t>
      </w:r>
    </w:p>
    <w:p w14:paraId="3291D366" w14:textId="77777777" w:rsidR="003C2143" w:rsidRPr="00CF7FE6" w:rsidRDefault="003C2143" w:rsidP="003C2143">
      <w:pPr>
        <w:jc w:val="both"/>
        <w:rPr>
          <w:rFonts w:ascii="Verdana" w:hAnsi="Verdana"/>
          <w:sz w:val="20"/>
          <w:szCs w:val="20"/>
          <w:lang w:val="es-ES"/>
        </w:rPr>
      </w:pPr>
    </w:p>
    <w:p w14:paraId="1F67AEFF" w14:textId="77777777" w:rsidR="003C2143" w:rsidRPr="00CF7FE6" w:rsidRDefault="003C2143" w:rsidP="003C2143">
      <w:pPr>
        <w:jc w:val="both"/>
        <w:rPr>
          <w:rFonts w:ascii="Verdana" w:hAnsi="Verdana"/>
          <w:b/>
          <w:sz w:val="20"/>
          <w:szCs w:val="20"/>
          <w:lang w:val="es-ES"/>
        </w:rPr>
      </w:pPr>
      <w:r w:rsidRPr="00CF7FE6">
        <w:rPr>
          <w:rFonts w:ascii="Verdana" w:hAnsi="Verdana"/>
          <w:b/>
          <w:sz w:val="20"/>
          <w:szCs w:val="20"/>
          <w:lang w:val="es-ES"/>
        </w:rPr>
        <w:t xml:space="preserve">II.- </w:t>
      </w:r>
      <w:r>
        <w:rPr>
          <w:rFonts w:ascii="Verdana" w:hAnsi="Verdana"/>
          <w:b/>
          <w:sz w:val="20"/>
          <w:szCs w:val="20"/>
          <w:lang w:val="es-ES"/>
        </w:rPr>
        <w:t xml:space="preserve">LA </w:t>
      </w:r>
      <w:r w:rsidRPr="00CF7FE6">
        <w:rPr>
          <w:rFonts w:ascii="Verdana" w:hAnsi="Verdana"/>
          <w:b/>
          <w:sz w:val="20"/>
          <w:szCs w:val="20"/>
          <w:lang w:val="es-ES"/>
        </w:rPr>
        <w:t>INTERPRETACIÓN DEL ARTÍCULO 26.</w:t>
      </w:r>
    </w:p>
    <w:p w14:paraId="67B1364A" w14:textId="77777777" w:rsidR="003C2143" w:rsidRPr="00CF7FE6" w:rsidRDefault="003C2143" w:rsidP="003C2143">
      <w:pPr>
        <w:jc w:val="both"/>
        <w:rPr>
          <w:rFonts w:ascii="Verdana" w:hAnsi="Verdana"/>
          <w:b/>
          <w:sz w:val="20"/>
          <w:szCs w:val="20"/>
          <w:lang w:val="es-ES"/>
        </w:rPr>
      </w:pPr>
    </w:p>
    <w:p w14:paraId="147CA3EE" w14:textId="77777777" w:rsidR="003C2143" w:rsidRPr="00CF7FE6" w:rsidRDefault="003C2143" w:rsidP="003C2143">
      <w:pPr>
        <w:jc w:val="both"/>
        <w:rPr>
          <w:rFonts w:ascii="Verdana" w:hAnsi="Verdana"/>
          <w:sz w:val="20"/>
          <w:szCs w:val="20"/>
          <w:lang w:val="es-ES"/>
        </w:rPr>
      </w:pPr>
      <w:r>
        <w:rPr>
          <w:rFonts w:ascii="Verdana" w:hAnsi="Verdana"/>
          <w:sz w:val="20"/>
          <w:szCs w:val="20"/>
          <w:lang w:val="es-ES"/>
        </w:rPr>
        <w:t xml:space="preserve">Expuesto todo lo anterior y habida cuenta </w:t>
      </w:r>
      <w:r w:rsidRPr="00CF7FE6">
        <w:rPr>
          <w:rFonts w:ascii="Verdana" w:hAnsi="Verdana"/>
          <w:sz w:val="20"/>
          <w:szCs w:val="20"/>
          <w:lang w:val="es-ES"/>
        </w:rPr>
        <w:t>que la Sentencia fundamenta lo que resuelve en su Dispositivo Nº 5</w:t>
      </w:r>
      <w:r w:rsidRPr="00CF7FE6">
        <w:rPr>
          <w:rStyle w:val="FootnoteReference"/>
          <w:szCs w:val="20"/>
          <w:lang w:val="es-ES"/>
        </w:rPr>
        <w:footnoteReference w:id="407"/>
      </w:r>
      <w:r w:rsidRPr="00CF7FE6">
        <w:rPr>
          <w:rFonts w:ascii="Verdana" w:hAnsi="Verdana"/>
          <w:sz w:val="20"/>
          <w:szCs w:val="20"/>
          <w:lang w:val="es-ES"/>
        </w:rPr>
        <w:t xml:space="preserve"> en el artículo 26 de la Convención</w:t>
      </w:r>
      <w:r w:rsidRPr="00CF7FE6">
        <w:rPr>
          <w:rStyle w:val="FootnoteReference"/>
          <w:szCs w:val="20"/>
          <w:lang w:val="es-ES"/>
        </w:rPr>
        <w:footnoteReference w:id="408"/>
      </w:r>
      <w:r w:rsidRPr="00CF7FE6">
        <w:rPr>
          <w:rFonts w:ascii="Verdana" w:hAnsi="Verdana"/>
          <w:sz w:val="20"/>
          <w:szCs w:val="20"/>
          <w:lang w:val="es-ES"/>
        </w:rPr>
        <w:t xml:space="preserve">, procede </w:t>
      </w:r>
      <w:r>
        <w:rPr>
          <w:rFonts w:ascii="Verdana" w:hAnsi="Verdana"/>
          <w:sz w:val="20"/>
          <w:szCs w:val="20"/>
          <w:lang w:val="es-ES"/>
        </w:rPr>
        <w:t xml:space="preserve">interpretar esta norma, referirse a los trabajos preparatorios que demandó, analizar </w:t>
      </w:r>
      <w:r w:rsidRPr="00CF7FE6">
        <w:rPr>
          <w:rFonts w:ascii="Verdana" w:hAnsi="Verdana"/>
          <w:sz w:val="20"/>
          <w:szCs w:val="20"/>
          <w:lang w:val="es-ES"/>
        </w:rPr>
        <w:t xml:space="preserve">los derechos a que se refiere y </w:t>
      </w:r>
      <w:r>
        <w:rPr>
          <w:rFonts w:ascii="Verdana" w:hAnsi="Verdana"/>
          <w:sz w:val="20"/>
          <w:szCs w:val="20"/>
          <w:lang w:val="es-ES"/>
        </w:rPr>
        <w:t xml:space="preserve">derivar </w:t>
      </w:r>
      <w:r w:rsidRPr="00CF7FE6">
        <w:rPr>
          <w:rFonts w:ascii="Verdana" w:hAnsi="Verdana"/>
          <w:sz w:val="20"/>
          <w:szCs w:val="20"/>
          <w:lang w:val="es-ES"/>
        </w:rPr>
        <w:t xml:space="preserve">las </w:t>
      </w:r>
      <w:r>
        <w:rPr>
          <w:rFonts w:ascii="Verdana" w:hAnsi="Verdana"/>
          <w:sz w:val="20"/>
          <w:szCs w:val="20"/>
          <w:lang w:val="es-ES"/>
        </w:rPr>
        <w:t xml:space="preserve">consecuencias de lo decidido al respecto en </w:t>
      </w:r>
      <w:r w:rsidRPr="00CF7FE6">
        <w:rPr>
          <w:rFonts w:ascii="Verdana" w:hAnsi="Verdana"/>
          <w:sz w:val="20"/>
          <w:szCs w:val="20"/>
          <w:lang w:val="es-ES"/>
        </w:rPr>
        <w:t>la Sentencia.</w:t>
      </w:r>
    </w:p>
    <w:p w14:paraId="0CA99C48" w14:textId="77777777" w:rsidR="003C2143" w:rsidRPr="00CF7FE6" w:rsidRDefault="003C2143" w:rsidP="003C2143">
      <w:pPr>
        <w:jc w:val="both"/>
        <w:rPr>
          <w:rFonts w:ascii="Verdana" w:hAnsi="Verdana"/>
          <w:sz w:val="20"/>
          <w:szCs w:val="20"/>
          <w:lang w:val="es-ES"/>
        </w:rPr>
      </w:pPr>
    </w:p>
    <w:p w14:paraId="61DD402F" w14:textId="77777777" w:rsidR="003C2143" w:rsidRPr="006364FF" w:rsidRDefault="003C2143" w:rsidP="003C2143">
      <w:pPr>
        <w:pStyle w:val="ListParagraph"/>
        <w:numPr>
          <w:ilvl w:val="0"/>
          <w:numId w:val="31"/>
        </w:numPr>
        <w:jc w:val="both"/>
        <w:rPr>
          <w:rFonts w:ascii="Verdana" w:hAnsi="Verdana"/>
          <w:b/>
          <w:sz w:val="20"/>
          <w:szCs w:val="20"/>
          <w:lang w:val="es-ES"/>
        </w:rPr>
      </w:pPr>
      <w:r w:rsidRPr="006364FF">
        <w:rPr>
          <w:rFonts w:ascii="Verdana" w:hAnsi="Verdana"/>
          <w:b/>
          <w:sz w:val="20"/>
          <w:szCs w:val="20"/>
          <w:lang w:val="es-ES"/>
        </w:rPr>
        <w:t>La norma.</w:t>
      </w:r>
    </w:p>
    <w:p w14:paraId="7FF43698" w14:textId="77777777" w:rsidR="003C2143" w:rsidRPr="00CF7FE6" w:rsidRDefault="003C2143" w:rsidP="003C2143">
      <w:pPr>
        <w:jc w:val="both"/>
        <w:rPr>
          <w:rFonts w:ascii="Verdana" w:hAnsi="Verdana"/>
          <w:sz w:val="20"/>
          <w:szCs w:val="20"/>
          <w:lang w:val="es-ES"/>
        </w:rPr>
      </w:pPr>
    </w:p>
    <w:p w14:paraId="56DF5828" w14:textId="77777777" w:rsidR="003C2143" w:rsidRPr="00CF7FE6" w:rsidRDefault="003C2143" w:rsidP="003C2143">
      <w:pPr>
        <w:jc w:val="both"/>
        <w:rPr>
          <w:rFonts w:ascii="Verdana" w:hAnsi="Verdana"/>
          <w:sz w:val="20"/>
          <w:szCs w:val="20"/>
          <w:lang w:val="es-ES"/>
        </w:rPr>
      </w:pPr>
      <w:r w:rsidRPr="00CF7FE6">
        <w:rPr>
          <w:rFonts w:ascii="Verdana" w:hAnsi="Verdana"/>
          <w:sz w:val="20"/>
          <w:szCs w:val="20"/>
          <w:lang w:val="es-ES"/>
        </w:rPr>
        <w:t>La citada disposición, tal como se indicó</w:t>
      </w:r>
      <w:r w:rsidRPr="00CF7FE6">
        <w:rPr>
          <w:rStyle w:val="FootnoteReference"/>
          <w:szCs w:val="20"/>
          <w:lang w:val="es-ES"/>
        </w:rPr>
        <w:footnoteReference w:id="409"/>
      </w:r>
      <w:r w:rsidRPr="00CF7FE6">
        <w:rPr>
          <w:rFonts w:ascii="Verdana" w:hAnsi="Verdana"/>
          <w:sz w:val="20"/>
          <w:szCs w:val="20"/>
          <w:lang w:val="es-ES"/>
        </w:rPr>
        <w:t>, establece:</w:t>
      </w:r>
    </w:p>
    <w:p w14:paraId="5145E8CC" w14:textId="77777777" w:rsidR="003C2143" w:rsidRPr="00CF7FE6" w:rsidRDefault="003C2143" w:rsidP="003C2143">
      <w:pPr>
        <w:jc w:val="both"/>
        <w:rPr>
          <w:rFonts w:ascii="Verdana" w:hAnsi="Verdana"/>
          <w:sz w:val="20"/>
          <w:szCs w:val="20"/>
          <w:lang w:val="es-ES"/>
        </w:rPr>
      </w:pPr>
    </w:p>
    <w:p w14:paraId="0200B407" w14:textId="77777777" w:rsidR="003C2143" w:rsidRPr="00D76949" w:rsidRDefault="003C2143" w:rsidP="003C2143">
      <w:pPr>
        <w:ind w:left="720" w:right="738"/>
        <w:jc w:val="both"/>
        <w:rPr>
          <w:rFonts w:ascii="Verdana" w:hAnsi="Verdana"/>
          <w:i/>
          <w:sz w:val="18"/>
          <w:szCs w:val="18"/>
          <w:lang w:val="es-ES"/>
        </w:rPr>
      </w:pPr>
      <w:r w:rsidRPr="00D76949">
        <w:rPr>
          <w:rFonts w:ascii="Verdana" w:hAnsi="Verdana"/>
          <w:sz w:val="18"/>
          <w:szCs w:val="18"/>
          <w:lang w:val="es-ES"/>
        </w:rPr>
        <w:t>“</w:t>
      </w:r>
      <w:r w:rsidRPr="00D76949">
        <w:rPr>
          <w:rFonts w:ascii="Verdana" w:hAnsi="Verdana"/>
          <w:i/>
          <w:sz w:val="18"/>
          <w:szCs w:val="18"/>
          <w:lang w:val="es-ES"/>
        </w:rPr>
        <w:t>Desarrollo Progresivo.</w:t>
      </w:r>
      <w:r w:rsidRPr="00D76949">
        <w:rPr>
          <w:rFonts w:ascii="Verdana" w:hAnsi="Verdana"/>
          <w:sz w:val="18"/>
          <w:szCs w:val="18"/>
          <w:lang w:val="es-ES"/>
        </w:rPr>
        <w:t xml:space="preserve"> </w:t>
      </w:r>
      <w:r w:rsidRPr="00D76949">
        <w:rPr>
          <w:rFonts w:ascii="Verdana" w:hAnsi="Verdana"/>
          <w:i/>
          <w:sz w:val="18"/>
          <w:szCs w:val="18"/>
          <w:lang w:val="es-ES"/>
        </w:rPr>
        <w:t>Los Estados Partes se comprometen a adoptar providencias, tanto a nivel interno como mediante la cooperación internacional, especialmente económica y técnica, para lograr progresivamente la plena efectividad de los derechos que se derivan de las normas económicas, sociales y sobre educación, ciencia y cultura, contenidas en la Carta de la Organización de los Estados Americanos, reformada por el Protocolo de Buenos Aires, en la medida de los recursos disponibles, por vía legislativa u otros medios apropiados.”</w:t>
      </w:r>
    </w:p>
    <w:p w14:paraId="700722D1" w14:textId="77777777" w:rsidR="003C2143" w:rsidRPr="00CF7FE6" w:rsidRDefault="003C2143" w:rsidP="003C2143">
      <w:pPr>
        <w:ind w:left="567"/>
        <w:jc w:val="both"/>
        <w:rPr>
          <w:rFonts w:ascii="Verdana" w:hAnsi="Verdana"/>
          <w:i/>
          <w:sz w:val="20"/>
          <w:szCs w:val="20"/>
          <w:lang w:val="es-ES"/>
        </w:rPr>
      </w:pPr>
    </w:p>
    <w:p w14:paraId="5CCFA78F" w14:textId="77777777" w:rsidR="003C2143" w:rsidRPr="00CF7FE6" w:rsidRDefault="003C2143" w:rsidP="003C2143">
      <w:pPr>
        <w:jc w:val="both"/>
        <w:rPr>
          <w:rFonts w:ascii="Verdana" w:hAnsi="Verdana"/>
          <w:sz w:val="20"/>
          <w:szCs w:val="20"/>
          <w:lang w:val="es-ES"/>
        </w:rPr>
      </w:pPr>
      <w:r w:rsidRPr="00CF7FE6">
        <w:rPr>
          <w:rFonts w:ascii="Verdana" w:hAnsi="Verdana"/>
          <w:sz w:val="20"/>
          <w:szCs w:val="20"/>
          <w:lang w:val="es-ES"/>
        </w:rPr>
        <w:t>Al efecto, se debe llamar la atención acerca de que:</w:t>
      </w:r>
    </w:p>
    <w:p w14:paraId="255BFE7B" w14:textId="77777777" w:rsidR="003C2143" w:rsidRPr="00CF7FE6" w:rsidRDefault="003C2143" w:rsidP="003C2143">
      <w:pPr>
        <w:jc w:val="both"/>
        <w:rPr>
          <w:rFonts w:ascii="Verdana" w:hAnsi="Verdana"/>
          <w:sz w:val="20"/>
          <w:szCs w:val="20"/>
          <w:lang w:val="es-ES"/>
        </w:rPr>
      </w:pPr>
    </w:p>
    <w:p w14:paraId="553E6CE1" w14:textId="77777777" w:rsidR="003C2143" w:rsidRPr="00CF7FE6" w:rsidRDefault="003C2143" w:rsidP="003C2143">
      <w:pPr>
        <w:jc w:val="both"/>
        <w:rPr>
          <w:rFonts w:ascii="Verdana" w:hAnsi="Verdana"/>
          <w:sz w:val="20"/>
          <w:szCs w:val="20"/>
          <w:lang w:val="es-ES"/>
        </w:rPr>
      </w:pPr>
      <w:r w:rsidRPr="00CF7FE6">
        <w:rPr>
          <w:rFonts w:ascii="Verdana" w:hAnsi="Verdana"/>
          <w:sz w:val="20"/>
          <w:szCs w:val="20"/>
          <w:lang w:val="es-ES"/>
        </w:rPr>
        <w:t>a.- Por de pronto, tal disposición contempla una obligación de hacer de los Estados, no de resultado, cual es, la de “</w:t>
      </w:r>
      <w:r w:rsidRPr="00CF7FE6">
        <w:rPr>
          <w:rFonts w:ascii="Verdana" w:hAnsi="Verdana"/>
          <w:i/>
          <w:sz w:val="20"/>
          <w:szCs w:val="20"/>
          <w:lang w:val="es-ES"/>
        </w:rPr>
        <w:t>adoptar providencias, tanto a nivel interno como mediante la cooperación internacional, especialmente económica y técnica, para lograr progresivamente la plena efectividad de los derechos”</w:t>
      </w:r>
      <w:r>
        <w:rPr>
          <w:rFonts w:ascii="Verdana" w:hAnsi="Verdana"/>
          <w:sz w:val="20"/>
          <w:szCs w:val="20"/>
          <w:lang w:val="es-ES"/>
        </w:rPr>
        <w:t xml:space="preserve"> que menciona</w:t>
      </w:r>
      <w:r w:rsidRPr="00CF7FE6">
        <w:rPr>
          <w:rFonts w:ascii="Verdana" w:hAnsi="Verdana"/>
          <w:sz w:val="20"/>
          <w:szCs w:val="20"/>
          <w:lang w:val="es-ES"/>
        </w:rPr>
        <w:t>. Ella, entonces, no “</w:t>
      </w:r>
      <w:r w:rsidRPr="00CF7FE6">
        <w:rPr>
          <w:rFonts w:ascii="Verdana" w:hAnsi="Verdana"/>
          <w:i/>
          <w:sz w:val="20"/>
          <w:szCs w:val="20"/>
          <w:lang w:val="es-ES"/>
        </w:rPr>
        <w:t>reconoce</w:t>
      </w:r>
      <w:r w:rsidRPr="00CF7FE6">
        <w:rPr>
          <w:rFonts w:ascii="Verdana" w:hAnsi="Verdana"/>
          <w:sz w:val="20"/>
          <w:szCs w:val="20"/>
          <w:lang w:val="es-ES"/>
        </w:rPr>
        <w:t xml:space="preserve">” derechos, sino que dispone la obligación de los Estados de desarrollar progresivamente </w:t>
      </w:r>
      <w:r>
        <w:rPr>
          <w:rFonts w:ascii="Verdana" w:hAnsi="Verdana"/>
          <w:sz w:val="20"/>
          <w:szCs w:val="20"/>
          <w:lang w:val="es-ES"/>
        </w:rPr>
        <w:t xml:space="preserve">ciertos </w:t>
      </w:r>
      <w:r w:rsidRPr="00CF7FE6">
        <w:rPr>
          <w:rFonts w:ascii="Verdana" w:hAnsi="Verdana"/>
          <w:sz w:val="20"/>
          <w:szCs w:val="20"/>
          <w:lang w:val="es-ES"/>
        </w:rPr>
        <w:t>derechos</w:t>
      </w:r>
      <w:r>
        <w:rPr>
          <w:rFonts w:ascii="Verdana" w:hAnsi="Verdana"/>
          <w:sz w:val="20"/>
          <w:szCs w:val="20"/>
          <w:lang w:val="es-ES"/>
        </w:rPr>
        <w:t xml:space="preserve">, precisamente por no ser </w:t>
      </w:r>
      <w:r w:rsidRPr="00CF7FE6">
        <w:rPr>
          <w:rFonts w:ascii="Verdana" w:hAnsi="Verdana"/>
          <w:sz w:val="20"/>
          <w:szCs w:val="20"/>
          <w:lang w:val="es-ES"/>
        </w:rPr>
        <w:t xml:space="preserve">plenamente efectivos. </w:t>
      </w:r>
    </w:p>
    <w:p w14:paraId="56E3D66B" w14:textId="77777777" w:rsidR="003C2143" w:rsidRPr="00CF7FE6" w:rsidRDefault="003C2143" w:rsidP="003C2143">
      <w:pPr>
        <w:jc w:val="both"/>
        <w:rPr>
          <w:rFonts w:ascii="Verdana" w:hAnsi="Verdana"/>
          <w:sz w:val="20"/>
          <w:szCs w:val="20"/>
          <w:lang w:val="es-ES"/>
        </w:rPr>
      </w:pPr>
    </w:p>
    <w:p w14:paraId="7DA5A92C" w14:textId="77777777" w:rsidR="003C2143" w:rsidRPr="00CF7FE6" w:rsidRDefault="003C2143" w:rsidP="003C2143">
      <w:pPr>
        <w:jc w:val="both"/>
        <w:rPr>
          <w:rFonts w:ascii="Verdana" w:hAnsi="Verdana"/>
          <w:sz w:val="20"/>
          <w:szCs w:val="20"/>
          <w:lang w:val="es-ES"/>
        </w:rPr>
      </w:pPr>
      <w:r w:rsidRPr="00CF7FE6">
        <w:rPr>
          <w:rFonts w:ascii="Verdana" w:hAnsi="Verdana"/>
          <w:sz w:val="20"/>
          <w:szCs w:val="20"/>
          <w:lang w:val="es-ES"/>
        </w:rPr>
        <w:t>b.- En se</w:t>
      </w:r>
      <w:r>
        <w:rPr>
          <w:rFonts w:ascii="Verdana" w:hAnsi="Verdana"/>
          <w:sz w:val="20"/>
          <w:szCs w:val="20"/>
          <w:lang w:val="es-ES"/>
        </w:rPr>
        <w:t>gundo término</w:t>
      </w:r>
      <w:r w:rsidRPr="00CF7FE6">
        <w:rPr>
          <w:rFonts w:ascii="Verdana" w:hAnsi="Verdana"/>
          <w:sz w:val="20"/>
          <w:szCs w:val="20"/>
          <w:lang w:val="es-ES"/>
        </w:rPr>
        <w:t>, dicha disposición se refiere a “</w:t>
      </w:r>
      <w:r w:rsidRPr="00CF7FE6">
        <w:rPr>
          <w:rFonts w:ascii="Verdana" w:hAnsi="Verdana"/>
          <w:i/>
          <w:sz w:val="20"/>
          <w:szCs w:val="20"/>
          <w:lang w:val="es-ES"/>
        </w:rPr>
        <w:t>derechos que se derivan de las normas económicas, sociales y sobre educación, ciencia y cultura, contenidas en la Carta de la</w:t>
      </w:r>
      <w:r w:rsidRPr="00CF7FE6">
        <w:rPr>
          <w:rFonts w:ascii="Verdana" w:hAnsi="Verdana"/>
          <w:sz w:val="20"/>
          <w:szCs w:val="20"/>
          <w:lang w:val="es-ES"/>
        </w:rPr>
        <w:t>”</w:t>
      </w:r>
      <w:r>
        <w:rPr>
          <w:rFonts w:ascii="Verdana" w:hAnsi="Verdana"/>
          <w:sz w:val="20"/>
          <w:szCs w:val="20"/>
          <w:lang w:val="es-ES"/>
        </w:rPr>
        <w:t xml:space="preserve"> OEA, vale decir, a derechos que se desprenden o se pueden inferir de </w:t>
      </w:r>
      <w:r w:rsidRPr="00CF7FE6">
        <w:rPr>
          <w:rFonts w:ascii="Verdana" w:hAnsi="Verdana"/>
          <w:sz w:val="20"/>
          <w:szCs w:val="20"/>
          <w:lang w:val="es-ES"/>
        </w:rPr>
        <w:t>disposiciones de esta última</w:t>
      </w:r>
      <w:r>
        <w:rPr>
          <w:rFonts w:ascii="Verdana" w:hAnsi="Verdana"/>
          <w:sz w:val="20"/>
          <w:szCs w:val="20"/>
          <w:lang w:val="es-ES"/>
        </w:rPr>
        <w:t xml:space="preserve"> y no que ella los consagre o reconozca</w:t>
      </w:r>
      <w:r w:rsidRPr="00CF7FE6">
        <w:rPr>
          <w:rFonts w:ascii="Verdana" w:hAnsi="Verdana"/>
          <w:sz w:val="20"/>
          <w:szCs w:val="20"/>
          <w:lang w:val="es-ES"/>
        </w:rPr>
        <w:t xml:space="preserve">. </w:t>
      </w:r>
    </w:p>
    <w:p w14:paraId="5758092D" w14:textId="77777777" w:rsidR="003C2143" w:rsidRPr="00CF7FE6" w:rsidRDefault="003C2143" w:rsidP="003C2143">
      <w:pPr>
        <w:jc w:val="both"/>
        <w:rPr>
          <w:rFonts w:ascii="Verdana" w:hAnsi="Verdana"/>
          <w:sz w:val="20"/>
          <w:szCs w:val="20"/>
          <w:lang w:val="es-ES"/>
        </w:rPr>
      </w:pPr>
    </w:p>
    <w:p w14:paraId="6764D77D" w14:textId="77777777" w:rsidR="003C2143" w:rsidRPr="00CF7FE6" w:rsidRDefault="003C2143" w:rsidP="003C2143">
      <w:pPr>
        <w:jc w:val="both"/>
        <w:rPr>
          <w:rFonts w:ascii="Verdana" w:hAnsi="Verdana"/>
          <w:sz w:val="20"/>
          <w:szCs w:val="20"/>
          <w:lang w:val="es-ES"/>
        </w:rPr>
      </w:pPr>
      <w:r w:rsidRPr="00CF7FE6">
        <w:rPr>
          <w:rFonts w:ascii="Verdana" w:hAnsi="Verdana"/>
          <w:sz w:val="20"/>
          <w:szCs w:val="20"/>
          <w:lang w:val="es-ES"/>
        </w:rPr>
        <w:t>c.- En tercer término, la norma en comento condiciona el cumplimiento de la mencionada obligación de hacer a “</w:t>
      </w:r>
      <w:r w:rsidRPr="00CF7FE6">
        <w:rPr>
          <w:rFonts w:ascii="Verdana" w:hAnsi="Verdana"/>
          <w:i/>
          <w:sz w:val="20"/>
          <w:szCs w:val="20"/>
          <w:lang w:val="es-ES"/>
        </w:rPr>
        <w:t>la medida de los recursos disponibles</w:t>
      </w:r>
      <w:r w:rsidRPr="00CF7FE6">
        <w:rPr>
          <w:rFonts w:ascii="Verdana" w:hAnsi="Verdana"/>
          <w:sz w:val="20"/>
          <w:szCs w:val="20"/>
          <w:lang w:val="es-ES"/>
        </w:rPr>
        <w:t xml:space="preserve">”, lo que refuerza la idea de que no se trata de una obligación de resultado. </w:t>
      </w:r>
    </w:p>
    <w:p w14:paraId="22ABD5F1" w14:textId="77777777" w:rsidR="003C2143" w:rsidRPr="00CF7FE6" w:rsidRDefault="003C2143" w:rsidP="003C2143">
      <w:pPr>
        <w:jc w:val="both"/>
        <w:rPr>
          <w:rFonts w:ascii="Verdana" w:hAnsi="Verdana"/>
          <w:sz w:val="20"/>
          <w:szCs w:val="20"/>
          <w:lang w:val="es-ES"/>
        </w:rPr>
      </w:pPr>
    </w:p>
    <w:p w14:paraId="353B37DF" w14:textId="77777777" w:rsidR="003C2143" w:rsidRDefault="003C2143" w:rsidP="003C2143">
      <w:pPr>
        <w:jc w:val="both"/>
        <w:rPr>
          <w:rFonts w:ascii="Verdana" w:hAnsi="Verdana"/>
          <w:sz w:val="20"/>
          <w:szCs w:val="20"/>
          <w:lang w:val="es-ES"/>
        </w:rPr>
      </w:pPr>
      <w:r w:rsidRPr="00CF7FE6">
        <w:rPr>
          <w:rFonts w:ascii="Verdana" w:hAnsi="Verdana"/>
          <w:sz w:val="20"/>
          <w:szCs w:val="20"/>
          <w:lang w:val="es-ES"/>
        </w:rPr>
        <w:lastRenderedPageBreak/>
        <w:t>d.- Y, finalmente, el citado artículo 26 indica el o los medios para cumplir la obligación de comportamiento que establece, a saber, “</w:t>
      </w:r>
      <w:r w:rsidRPr="00CF7FE6">
        <w:rPr>
          <w:rFonts w:ascii="Verdana" w:hAnsi="Verdana"/>
          <w:i/>
          <w:sz w:val="20"/>
          <w:szCs w:val="20"/>
          <w:lang w:val="es-ES"/>
        </w:rPr>
        <w:t>por vía legislativa u otros medios apropi</w:t>
      </w:r>
      <w:r w:rsidRPr="00CF7FE6">
        <w:rPr>
          <w:rFonts w:ascii="Verdana" w:hAnsi="Verdana"/>
          <w:sz w:val="20"/>
          <w:szCs w:val="20"/>
          <w:lang w:val="es-ES"/>
        </w:rPr>
        <w:t>ados”. Dicho artículo se refiere, por lo tanto y tal como lo señala su título, al “</w:t>
      </w:r>
      <w:r w:rsidRPr="00CF7FE6">
        <w:rPr>
          <w:rFonts w:ascii="Verdana" w:hAnsi="Verdana"/>
          <w:i/>
          <w:sz w:val="20"/>
          <w:szCs w:val="20"/>
          <w:lang w:val="es-ES"/>
        </w:rPr>
        <w:t>Desarrollo Progresivo</w:t>
      </w:r>
      <w:r w:rsidRPr="00CF7FE6">
        <w:rPr>
          <w:rFonts w:ascii="Verdana" w:hAnsi="Verdana"/>
          <w:sz w:val="20"/>
          <w:szCs w:val="20"/>
          <w:lang w:val="es-ES"/>
        </w:rPr>
        <w:t xml:space="preserve">” </w:t>
      </w:r>
      <w:r>
        <w:rPr>
          <w:rFonts w:ascii="Verdana" w:hAnsi="Verdana"/>
          <w:sz w:val="20"/>
          <w:szCs w:val="20"/>
          <w:lang w:val="es-ES"/>
        </w:rPr>
        <w:t>de los mencionados derechos, lo que, evidentemente, si bien concuerda con la obligación prevista en el artículo 2 de la Convención</w:t>
      </w:r>
      <w:r>
        <w:rPr>
          <w:rStyle w:val="FootnoteReference"/>
          <w:szCs w:val="20"/>
          <w:lang w:val="es-ES"/>
        </w:rPr>
        <w:footnoteReference w:id="410"/>
      </w:r>
      <w:r>
        <w:rPr>
          <w:rFonts w:ascii="Verdana" w:hAnsi="Verdana"/>
          <w:sz w:val="20"/>
          <w:szCs w:val="20"/>
          <w:lang w:val="es-ES"/>
        </w:rPr>
        <w:t xml:space="preserve">, no constituye, bajo ningún respecto, fundamento para sostener que se puede someter a la Corte un caso atingente a la presunta violación de alguno de los derechos a que se remite.  </w:t>
      </w:r>
      <w:r w:rsidRPr="00CF7FE6">
        <w:rPr>
          <w:rFonts w:ascii="Verdana" w:hAnsi="Verdana"/>
          <w:sz w:val="20"/>
          <w:szCs w:val="20"/>
          <w:lang w:val="es-ES"/>
        </w:rPr>
        <w:t xml:space="preserve"> </w:t>
      </w:r>
    </w:p>
    <w:p w14:paraId="3BDB3E21" w14:textId="77777777" w:rsidR="003C2143" w:rsidRPr="00CF7FE6" w:rsidRDefault="003C2143" w:rsidP="003C2143">
      <w:pPr>
        <w:jc w:val="both"/>
        <w:rPr>
          <w:rFonts w:ascii="Verdana" w:hAnsi="Verdana"/>
          <w:sz w:val="20"/>
          <w:szCs w:val="20"/>
          <w:lang w:val="es-ES"/>
        </w:rPr>
      </w:pPr>
    </w:p>
    <w:p w14:paraId="64EB42D7" w14:textId="77777777" w:rsidR="003C2143" w:rsidRPr="00CF7FE6" w:rsidRDefault="003C2143" w:rsidP="003C2143">
      <w:pPr>
        <w:jc w:val="both"/>
        <w:rPr>
          <w:rFonts w:ascii="Verdana" w:hAnsi="Verdana"/>
          <w:sz w:val="20"/>
          <w:szCs w:val="20"/>
          <w:lang w:val="es-ES"/>
        </w:rPr>
      </w:pPr>
      <w:r>
        <w:rPr>
          <w:rFonts w:ascii="Verdana" w:hAnsi="Verdana"/>
          <w:sz w:val="20"/>
          <w:szCs w:val="20"/>
          <w:lang w:val="es-ES"/>
        </w:rPr>
        <w:t>Es obvio, en consecuencia</w:t>
      </w:r>
      <w:r w:rsidRPr="00CF7FE6">
        <w:rPr>
          <w:rFonts w:ascii="Verdana" w:hAnsi="Verdana"/>
          <w:sz w:val="20"/>
          <w:szCs w:val="20"/>
          <w:lang w:val="es-ES"/>
        </w:rPr>
        <w:t>, que los citados derechos s</w:t>
      </w:r>
      <w:r>
        <w:rPr>
          <w:rFonts w:ascii="Verdana" w:hAnsi="Verdana"/>
          <w:sz w:val="20"/>
          <w:szCs w:val="20"/>
          <w:lang w:val="es-ES"/>
        </w:rPr>
        <w:t xml:space="preserve">on distintos a los que la </w:t>
      </w:r>
      <w:r w:rsidRPr="00CF7FE6">
        <w:rPr>
          <w:rFonts w:ascii="Verdana" w:hAnsi="Verdana"/>
          <w:sz w:val="20"/>
          <w:szCs w:val="20"/>
          <w:lang w:val="es-ES"/>
        </w:rPr>
        <w:t xml:space="preserve"> Convención regula en sus artículos</w:t>
      </w:r>
      <w:r>
        <w:rPr>
          <w:rFonts w:ascii="Verdana" w:hAnsi="Verdana"/>
          <w:sz w:val="20"/>
          <w:szCs w:val="20"/>
          <w:lang w:val="es-ES"/>
        </w:rPr>
        <w:t xml:space="preserve"> 3 a 25</w:t>
      </w:r>
      <w:r w:rsidRPr="00CF7FE6">
        <w:rPr>
          <w:rFonts w:ascii="Verdana" w:hAnsi="Verdana"/>
          <w:sz w:val="20"/>
          <w:szCs w:val="20"/>
          <w:lang w:val="es-ES"/>
        </w:rPr>
        <w:t xml:space="preserve"> ya citados, esto es, a los “</w:t>
      </w:r>
      <w:r w:rsidRPr="00CF7FE6">
        <w:rPr>
          <w:rFonts w:ascii="Verdana" w:hAnsi="Verdana"/>
          <w:i/>
          <w:sz w:val="20"/>
          <w:szCs w:val="20"/>
          <w:lang w:val="es-ES"/>
        </w:rPr>
        <w:t>Derechos Civiles y políticos</w:t>
      </w:r>
      <w:r w:rsidRPr="00CF7FE6">
        <w:rPr>
          <w:rFonts w:ascii="Verdana" w:hAnsi="Verdana"/>
          <w:sz w:val="20"/>
          <w:szCs w:val="20"/>
          <w:lang w:val="es-ES"/>
        </w:rPr>
        <w:t>” y sujetos, entonces, a un régimen de protección diferente.</w:t>
      </w:r>
    </w:p>
    <w:p w14:paraId="30701D8E" w14:textId="77777777" w:rsidR="003C2143" w:rsidRPr="00CF7FE6" w:rsidRDefault="003C2143" w:rsidP="003C2143">
      <w:pPr>
        <w:jc w:val="both"/>
        <w:rPr>
          <w:rFonts w:ascii="Verdana" w:hAnsi="Verdana"/>
          <w:sz w:val="20"/>
          <w:szCs w:val="20"/>
          <w:lang w:val="es-ES"/>
        </w:rPr>
      </w:pPr>
    </w:p>
    <w:p w14:paraId="582A9631" w14:textId="77777777" w:rsidR="003C2143" w:rsidRPr="00432286" w:rsidRDefault="003C2143" w:rsidP="003C2143">
      <w:pPr>
        <w:pStyle w:val="ListParagraph"/>
        <w:numPr>
          <w:ilvl w:val="0"/>
          <w:numId w:val="31"/>
        </w:numPr>
        <w:jc w:val="both"/>
        <w:rPr>
          <w:rFonts w:ascii="Verdana" w:hAnsi="Verdana"/>
          <w:b/>
          <w:sz w:val="20"/>
          <w:szCs w:val="20"/>
          <w:lang w:val="es-ES"/>
        </w:rPr>
      </w:pPr>
      <w:r>
        <w:rPr>
          <w:rFonts w:ascii="Verdana" w:hAnsi="Verdana"/>
          <w:b/>
          <w:sz w:val="20"/>
          <w:szCs w:val="20"/>
          <w:lang w:val="es-ES"/>
        </w:rPr>
        <w:t>Trabajos preparatorios</w:t>
      </w:r>
      <w:r>
        <w:rPr>
          <w:rStyle w:val="FootnoteReference"/>
          <w:b/>
          <w:szCs w:val="20"/>
          <w:lang w:val="es-ES"/>
        </w:rPr>
        <w:footnoteReference w:id="411"/>
      </w:r>
      <w:r>
        <w:rPr>
          <w:rFonts w:ascii="Verdana" w:hAnsi="Verdana"/>
          <w:b/>
          <w:sz w:val="20"/>
          <w:szCs w:val="20"/>
          <w:lang w:val="es-ES"/>
        </w:rPr>
        <w:t>.</w:t>
      </w:r>
    </w:p>
    <w:p w14:paraId="74D0CC2F" w14:textId="77777777" w:rsidR="003C2143" w:rsidRDefault="003C2143" w:rsidP="003C2143">
      <w:pPr>
        <w:jc w:val="both"/>
        <w:rPr>
          <w:rFonts w:ascii="Verdana" w:hAnsi="Verdana"/>
          <w:b/>
          <w:sz w:val="20"/>
          <w:szCs w:val="20"/>
          <w:lang w:val="es-ES"/>
        </w:rPr>
      </w:pPr>
    </w:p>
    <w:p w14:paraId="093626FB" w14:textId="77777777" w:rsidR="003C2143" w:rsidRDefault="003C2143" w:rsidP="003C2143">
      <w:pPr>
        <w:jc w:val="both"/>
        <w:rPr>
          <w:rFonts w:ascii="Verdana" w:hAnsi="Verdana"/>
          <w:sz w:val="20"/>
          <w:szCs w:val="20"/>
          <w:lang w:val="es-ES"/>
        </w:rPr>
      </w:pPr>
      <w:r w:rsidRPr="00CF7FE6">
        <w:rPr>
          <w:rFonts w:ascii="Verdana" w:hAnsi="Verdana"/>
          <w:sz w:val="20"/>
          <w:szCs w:val="20"/>
          <w:lang w:val="es-ES"/>
        </w:rPr>
        <w:t>Cabe advertir que en la Conferencia Especializada Interamericana sobre Derechos Humanos, en la que se adoptó el texto definitivo de la Convención</w:t>
      </w:r>
      <w:r w:rsidRPr="00CF7FE6">
        <w:rPr>
          <w:rFonts w:ascii="Verdana" w:hAnsi="Verdana"/>
          <w:i/>
          <w:sz w:val="20"/>
          <w:szCs w:val="20"/>
          <w:lang w:val="es-ES"/>
        </w:rPr>
        <w:t>,</w:t>
      </w:r>
      <w:r>
        <w:rPr>
          <w:rFonts w:ascii="Verdana" w:hAnsi="Verdana"/>
          <w:i/>
          <w:sz w:val="20"/>
          <w:szCs w:val="20"/>
          <w:lang w:val="es-ES"/>
        </w:rPr>
        <w:t xml:space="preserve"> </w:t>
      </w:r>
      <w:r w:rsidRPr="00CF7FE6">
        <w:rPr>
          <w:rFonts w:ascii="Verdana" w:hAnsi="Verdana"/>
          <w:i/>
          <w:sz w:val="20"/>
          <w:szCs w:val="20"/>
          <w:lang w:val="es-ES"/>
        </w:rPr>
        <w:t>“(l</w:t>
      </w:r>
      <w:proofErr w:type="gramStart"/>
      <w:r w:rsidRPr="00CF7FE6">
        <w:rPr>
          <w:rFonts w:ascii="Verdana" w:hAnsi="Verdana"/>
          <w:i/>
          <w:sz w:val="20"/>
          <w:szCs w:val="20"/>
          <w:lang w:val="es-ES"/>
        </w:rPr>
        <w:t>)</w:t>
      </w:r>
      <w:proofErr w:type="spellStart"/>
      <w:r w:rsidRPr="00CF7FE6">
        <w:rPr>
          <w:rFonts w:ascii="Verdana" w:hAnsi="Verdana"/>
          <w:i/>
          <w:sz w:val="20"/>
          <w:szCs w:val="20"/>
          <w:lang w:val="es-ES"/>
        </w:rPr>
        <w:t>uego</w:t>
      </w:r>
      <w:proofErr w:type="spellEnd"/>
      <w:proofErr w:type="gramEnd"/>
      <w:r w:rsidRPr="00CF7FE6">
        <w:rPr>
          <w:rFonts w:ascii="Verdana" w:hAnsi="Verdana"/>
          <w:i/>
          <w:sz w:val="20"/>
          <w:szCs w:val="20"/>
          <w:lang w:val="es-ES"/>
        </w:rPr>
        <w:t xml:space="preserve"> de algunos debates en los que se reiteraron algunas posiciones anteriores sin llegar a un consenso, y en ninguno de los cuales se propuso incluir a los derechos económicos, sociales y culturales en el régimen de protección previsto para los derechos civiles y políticos, se redactó un capítulo con dos artículos</w:t>
      </w:r>
      <w:r w:rsidRPr="00CF7FE6">
        <w:rPr>
          <w:rFonts w:ascii="Verdana" w:hAnsi="Verdana"/>
          <w:sz w:val="20"/>
          <w:szCs w:val="20"/>
          <w:lang w:val="es-ES"/>
        </w:rPr>
        <w:t>”</w:t>
      </w:r>
      <w:r w:rsidRPr="00CF7FE6">
        <w:rPr>
          <w:rStyle w:val="FootnoteReference"/>
          <w:szCs w:val="20"/>
          <w:lang w:val="es-ES"/>
        </w:rPr>
        <w:footnoteReference w:id="412"/>
      </w:r>
      <w:r w:rsidRPr="00CF7FE6">
        <w:rPr>
          <w:rFonts w:ascii="Verdana" w:hAnsi="Verdana"/>
          <w:sz w:val="20"/>
          <w:szCs w:val="20"/>
          <w:lang w:val="es-ES"/>
        </w:rPr>
        <w:t>. En la correspondiente votación, el primero fue incluido en el texto definitivo de la Convención, como artículo 26. El segundo, que era el artículo 27, establecía: “</w:t>
      </w:r>
      <w:r w:rsidRPr="00CF7FE6">
        <w:rPr>
          <w:rFonts w:ascii="Verdana" w:hAnsi="Verdana"/>
          <w:i/>
          <w:sz w:val="20"/>
          <w:szCs w:val="20"/>
          <w:lang w:val="es-ES"/>
        </w:rPr>
        <w:t>Control del Cumplimiento de las Obligaciones. Los Estados Partes deben remitir a la Comisión Interamericana de Derechos Humanos copia de los informes y estudios que en sus respectivos campos someten anualmente a las Comisiones Ejecutivas del Consejo Interamericano Económico y Social y del Consejo Interamericano para la Educación, la Ciencia y la Cultura, a fin de que aquélla verifique si se están cumpliendo las obligaciones antes determinadas, que son la sustentación indispensable para el ejercicio de los otros derechos consagrados en esta Convención.</w:t>
      </w:r>
      <w:r w:rsidRPr="00CF7FE6">
        <w:rPr>
          <w:rFonts w:ascii="Verdana" w:hAnsi="Verdana"/>
          <w:sz w:val="20"/>
          <w:szCs w:val="20"/>
          <w:lang w:val="es-ES"/>
        </w:rPr>
        <w:t xml:space="preserve">” </w:t>
      </w:r>
    </w:p>
    <w:p w14:paraId="7D82210E" w14:textId="77777777" w:rsidR="003C2143" w:rsidRDefault="003C2143" w:rsidP="003C2143">
      <w:pPr>
        <w:jc w:val="both"/>
        <w:rPr>
          <w:rFonts w:ascii="Verdana" w:hAnsi="Verdana"/>
          <w:sz w:val="20"/>
          <w:szCs w:val="20"/>
          <w:lang w:val="es-ES"/>
        </w:rPr>
      </w:pPr>
    </w:p>
    <w:p w14:paraId="043B06EF" w14:textId="77777777" w:rsidR="003C2143" w:rsidRPr="00CF7FE6" w:rsidRDefault="003C2143" w:rsidP="003C2143">
      <w:pPr>
        <w:jc w:val="both"/>
        <w:rPr>
          <w:rFonts w:ascii="Verdana" w:hAnsi="Verdana"/>
          <w:sz w:val="20"/>
          <w:szCs w:val="20"/>
          <w:lang w:val="es-ES"/>
        </w:rPr>
      </w:pPr>
      <w:r>
        <w:rPr>
          <w:rFonts w:ascii="Verdana" w:hAnsi="Verdana"/>
          <w:sz w:val="20"/>
          <w:szCs w:val="20"/>
          <w:lang w:val="es-ES"/>
        </w:rPr>
        <w:t>Nótese</w:t>
      </w:r>
      <w:r w:rsidRPr="00CF7FE6">
        <w:rPr>
          <w:rFonts w:ascii="Verdana" w:hAnsi="Verdana"/>
          <w:sz w:val="20"/>
          <w:szCs w:val="20"/>
          <w:lang w:val="es-ES"/>
        </w:rPr>
        <w:t>,</w:t>
      </w:r>
      <w:r>
        <w:rPr>
          <w:rFonts w:ascii="Verdana" w:hAnsi="Verdana"/>
          <w:sz w:val="20"/>
          <w:szCs w:val="20"/>
          <w:lang w:val="es-ES"/>
        </w:rPr>
        <w:t xml:space="preserve"> al efecto, que la </w:t>
      </w:r>
      <w:r w:rsidRPr="00CF7FE6">
        <w:rPr>
          <w:rFonts w:ascii="Verdana" w:hAnsi="Verdana"/>
          <w:sz w:val="20"/>
          <w:szCs w:val="20"/>
          <w:lang w:val="es-ES"/>
        </w:rPr>
        <w:t xml:space="preserve">proposición </w:t>
      </w:r>
      <w:r>
        <w:rPr>
          <w:rFonts w:ascii="Verdana" w:hAnsi="Verdana"/>
          <w:sz w:val="20"/>
          <w:szCs w:val="20"/>
          <w:lang w:val="es-ES"/>
        </w:rPr>
        <w:t xml:space="preserve">relativa al mencionado artículo 27 </w:t>
      </w:r>
      <w:r w:rsidRPr="00CF7FE6">
        <w:rPr>
          <w:rFonts w:ascii="Verdana" w:hAnsi="Verdana"/>
          <w:sz w:val="20"/>
          <w:szCs w:val="20"/>
          <w:lang w:val="es-ES"/>
        </w:rPr>
        <w:t>distinguía entre “</w:t>
      </w:r>
      <w:r w:rsidRPr="00CF7FE6">
        <w:rPr>
          <w:rFonts w:ascii="Verdana" w:hAnsi="Verdana"/>
          <w:i/>
          <w:sz w:val="20"/>
          <w:szCs w:val="20"/>
          <w:lang w:val="es-ES"/>
        </w:rPr>
        <w:t>las obligaciones antes determinadas</w:t>
      </w:r>
      <w:r w:rsidRPr="00CF7FE6">
        <w:rPr>
          <w:rFonts w:ascii="Verdana" w:hAnsi="Verdana"/>
          <w:sz w:val="20"/>
          <w:szCs w:val="20"/>
          <w:lang w:val="es-ES"/>
        </w:rPr>
        <w:t>”, obviamente en el artículo 26, y “</w:t>
      </w:r>
      <w:r w:rsidRPr="00CF7FE6">
        <w:rPr>
          <w:rFonts w:ascii="Verdana" w:hAnsi="Verdana"/>
          <w:i/>
          <w:sz w:val="20"/>
          <w:szCs w:val="20"/>
          <w:lang w:val="es-ES"/>
        </w:rPr>
        <w:t>los otros derechos consagrados en esta Convención</w:t>
      </w:r>
      <w:r w:rsidRPr="00CF7FE6">
        <w:rPr>
          <w:rFonts w:ascii="Verdana" w:hAnsi="Verdana"/>
          <w:sz w:val="20"/>
          <w:szCs w:val="20"/>
          <w:lang w:val="es-ES"/>
        </w:rPr>
        <w:t xml:space="preserve">”. </w:t>
      </w:r>
      <w:r>
        <w:rPr>
          <w:rFonts w:ascii="Verdana" w:hAnsi="Verdana"/>
          <w:sz w:val="20"/>
          <w:szCs w:val="20"/>
          <w:lang w:val="es-ES"/>
        </w:rPr>
        <w:t xml:space="preserve">Téngase presente, además, que dicho </w:t>
      </w:r>
      <w:r w:rsidRPr="00CF7FE6">
        <w:rPr>
          <w:rFonts w:ascii="Verdana" w:hAnsi="Verdana"/>
          <w:sz w:val="20"/>
          <w:szCs w:val="20"/>
          <w:lang w:val="es-ES"/>
        </w:rPr>
        <w:t xml:space="preserve">artículo fue, empero, suprimido, de </w:t>
      </w:r>
      <w:r>
        <w:rPr>
          <w:rFonts w:ascii="Verdana" w:hAnsi="Verdana"/>
          <w:sz w:val="20"/>
          <w:szCs w:val="20"/>
          <w:lang w:val="es-ES"/>
        </w:rPr>
        <w:t>todo lo cual</w:t>
      </w:r>
      <w:r w:rsidRPr="00CF7FE6">
        <w:rPr>
          <w:rFonts w:ascii="Verdana" w:hAnsi="Verdana"/>
          <w:sz w:val="20"/>
          <w:szCs w:val="20"/>
          <w:lang w:val="es-ES"/>
        </w:rPr>
        <w:t xml:space="preserve"> se concluye que en momento alguno se incluyó a los derechos económicos, sociales y culturales que se “</w:t>
      </w:r>
      <w:r w:rsidRPr="00CF7FE6">
        <w:rPr>
          <w:rFonts w:ascii="Verdana" w:hAnsi="Verdana"/>
          <w:i/>
          <w:sz w:val="20"/>
          <w:szCs w:val="20"/>
          <w:lang w:val="es-ES"/>
        </w:rPr>
        <w:t>derivan</w:t>
      </w:r>
      <w:r w:rsidRPr="00CF7FE6">
        <w:rPr>
          <w:rFonts w:ascii="Verdana" w:hAnsi="Verdana"/>
          <w:sz w:val="20"/>
          <w:szCs w:val="20"/>
          <w:lang w:val="es-ES"/>
        </w:rPr>
        <w:t>” de las normas de la Carta de la OEA, entre ellos, el derecho a la estabilidad en el empleo, en el régimen de protección de los derechos civiles y políticos “</w:t>
      </w:r>
      <w:r w:rsidRPr="00CF7FE6">
        <w:rPr>
          <w:rFonts w:ascii="Verdana" w:hAnsi="Verdana"/>
          <w:i/>
          <w:sz w:val="20"/>
          <w:szCs w:val="20"/>
          <w:lang w:val="es-ES"/>
        </w:rPr>
        <w:t xml:space="preserve">reconocidos” </w:t>
      </w:r>
      <w:r>
        <w:rPr>
          <w:rFonts w:ascii="Verdana" w:hAnsi="Verdana"/>
          <w:sz w:val="20"/>
          <w:szCs w:val="20"/>
          <w:lang w:val="es-ES"/>
        </w:rPr>
        <w:t>en</w:t>
      </w:r>
      <w:r w:rsidRPr="00CF7FE6">
        <w:rPr>
          <w:rFonts w:ascii="Verdana" w:hAnsi="Verdana"/>
          <w:sz w:val="20"/>
          <w:szCs w:val="20"/>
          <w:lang w:val="es-ES"/>
        </w:rPr>
        <w:t xml:space="preserve"> la Convención. </w:t>
      </w:r>
    </w:p>
    <w:p w14:paraId="6785A110" w14:textId="77777777" w:rsidR="003C2143" w:rsidRPr="00CF7FE6" w:rsidRDefault="003C2143" w:rsidP="003C2143">
      <w:pPr>
        <w:jc w:val="both"/>
        <w:rPr>
          <w:rFonts w:ascii="Verdana" w:hAnsi="Verdana"/>
          <w:sz w:val="20"/>
          <w:szCs w:val="20"/>
          <w:lang w:val="es-ES"/>
        </w:rPr>
      </w:pPr>
    </w:p>
    <w:p w14:paraId="0C80E365" w14:textId="77777777" w:rsidR="003C2143" w:rsidRPr="00292A5F" w:rsidRDefault="003C2143" w:rsidP="003C2143">
      <w:pPr>
        <w:pStyle w:val="ListParagraph"/>
        <w:numPr>
          <w:ilvl w:val="0"/>
          <w:numId w:val="31"/>
        </w:numPr>
        <w:jc w:val="both"/>
        <w:rPr>
          <w:rFonts w:ascii="Verdana" w:hAnsi="Verdana"/>
          <w:b/>
          <w:sz w:val="20"/>
          <w:szCs w:val="20"/>
          <w:lang w:val="es-ES"/>
        </w:rPr>
      </w:pPr>
      <w:r w:rsidRPr="00292A5F">
        <w:rPr>
          <w:rFonts w:ascii="Verdana" w:hAnsi="Verdana"/>
          <w:b/>
          <w:sz w:val="20"/>
          <w:szCs w:val="20"/>
          <w:lang w:val="es-ES"/>
        </w:rPr>
        <w:t>Los derechos que se derivan de las normas económicas, sociales y sobre educación, ciencia y cultura, contenidas en la Carta de la OEA.</w:t>
      </w:r>
    </w:p>
    <w:p w14:paraId="47A0417A" w14:textId="77777777" w:rsidR="003C2143" w:rsidRPr="00CF7FE6" w:rsidRDefault="003C2143" w:rsidP="003C2143">
      <w:pPr>
        <w:jc w:val="both"/>
        <w:rPr>
          <w:rFonts w:ascii="Verdana" w:hAnsi="Verdana"/>
          <w:b/>
          <w:sz w:val="20"/>
          <w:szCs w:val="20"/>
          <w:lang w:val="es-ES"/>
        </w:rPr>
      </w:pPr>
    </w:p>
    <w:p w14:paraId="69FCD077" w14:textId="77777777" w:rsidR="003C2143" w:rsidRPr="00CF7FE6" w:rsidRDefault="003C2143" w:rsidP="003C2143">
      <w:pPr>
        <w:jc w:val="both"/>
        <w:rPr>
          <w:rFonts w:ascii="Verdana" w:hAnsi="Verdana"/>
          <w:sz w:val="20"/>
          <w:szCs w:val="20"/>
          <w:lang w:val="es-ES"/>
        </w:rPr>
      </w:pPr>
      <w:r w:rsidRPr="00CF7FE6">
        <w:rPr>
          <w:rFonts w:ascii="Verdana" w:hAnsi="Verdana"/>
          <w:sz w:val="20"/>
          <w:szCs w:val="20"/>
          <w:lang w:val="es-ES"/>
        </w:rPr>
        <w:t>La Sentencia ha evocado a los artículos 45.b y c</w:t>
      </w:r>
      <w:r w:rsidRPr="00CF7FE6">
        <w:rPr>
          <w:rStyle w:val="FootnoteReference"/>
          <w:szCs w:val="20"/>
          <w:lang w:val="es-ES"/>
        </w:rPr>
        <w:footnoteReference w:id="413"/>
      </w:r>
      <w:r w:rsidRPr="00CF7FE6">
        <w:rPr>
          <w:rFonts w:ascii="Verdana" w:hAnsi="Verdana"/>
          <w:sz w:val="20"/>
          <w:szCs w:val="20"/>
          <w:lang w:val="es-ES"/>
        </w:rPr>
        <w:t>. 46</w:t>
      </w:r>
      <w:r w:rsidRPr="00CF7FE6">
        <w:rPr>
          <w:rStyle w:val="FootnoteReference"/>
          <w:szCs w:val="20"/>
          <w:lang w:val="es-ES"/>
        </w:rPr>
        <w:footnoteReference w:id="414"/>
      </w:r>
      <w:r w:rsidRPr="00CF7FE6">
        <w:rPr>
          <w:rFonts w:ascii="Verdana" w:hAnsi="Verdana"/>
          <w:sz w:val="20"/>
          <w:szCs w:val="20"/>
          <w:lang w:val="es-ES"/>
        </w:rPr>
        <w:t xml:space="preserve">  y 34.g</w:t>
      </w:r>
      <w:r w:rsidRPr="00CF7FE6">
        <w:rPr>
          <w:rStyle w:val="FootnoteReference"/>
          <w:szCs w:val="20"/>
          <w:lang w:val="es-ES"/>
        </w:rPr>
        <w:footnoteReference w:id="415"/>
      </w:r>
      <w:r w:rsidRPr="00CF7FE6">
        <w:rPr>
          <w:rFonts w:ascii="Verdana" w:hAnsi="Verdana"/>
          <w:sz w:val="20"/>
          <w:szCs w:val="20"/>
          <w:lang w:val="es-ES"/>
        </w:rPr>
        <w:t xml:space="preserve">  de la Carta de la OEA para pronunciarse respecto del derecho del trabajo y más específicamente</w:t>
      </w:r>
      <w:r>
        <w:rPr>
          <w:rFonts w:ascii="Verdana" w:hAnsi="Verdana"/>
          <w:sz w:val="20"/>
          <w:szCs w:val="20"/>
          <w:lang w:val="es-ES"/>
        </w:rPr>
        <w:t>,</w:t>
      </w:r>
      <w:r w:rsidRPr="00CF7FE6">
        <w:rPr>
          <w:rFonts w:ascii="Verdana" w:hAnsi="Verdana"/>
          <w:sz w:val="20"/>
          <w:szCs w:val="20"/>
          <w:lang w:val="es-ES"/>
        </w:rPr>
        <w:t xml:space="preserve"> del derecho a la estabilid</w:t>
      </w:r>
      <w:r>
        <w:rPr>
          <w:rFonts w:ascii="Verdana" w:hAnsi="Verdana"/>
          <w:sz w:val="20"/>
          <w:szCs w:val="20"/>
          <w:lang w:val="es-ES"/>
        </w:rPr>
        <w:t>ad en el empleo.  Tales disposiciones</w:t>
      </w:r>
      <w:r w:rsidRPr="00CF7FE6">
        <w:rPr>
          <w:rFonts w:ascii="Verdana" w:hAnsi="Verdana"/>
          <w:sz w:val="20"/>
          <w:szCs w:val="20"/>
          <w:lang w:val="es-ES"/>
        </w:rPr>
        <w:t xml:space="preserve">, sin embargo, </w:t>
      </w:r>
      <w:r>
        <w:rPr>
          <w:rFonts w:ascii="Verdana" w:hAnsi="Verdana"/>
          <w:sz w:val="20"/>
          <w:szCs w:val="20"/>
          <w:lang w:val="es-ES"/>
        </w:rPr>
        <w:t xml:space="preserve">disponen sea </w:t>
      </w:r>
      <w:r w:rsidRPr="00CF7FE6">
        <w:rPr>
          <w:rFonts w:ascii="Verdana" w:hAnsi="Verdana"/>
          <w:sz w:val="20"/>
          <w:szCs w:val="20"/>
          <w:lang w:val="es-ES"/>
        </w:rPr>
        <w:t>un “</w:t>
      </w:r>
      <w:r w:rsidRPr="00CF7FE6">
        <w:rPr>
          <w:rFonts w:ascii="Verdana" w:hAnsi="Verdana"/>
          <w:i/>
          <w:sz w:val="20"/>
          <w:szCs w:val="20"/>
          <w:lang w:val="es-ES"/>
        </w:rPr>
        <w:t>principio y mecani</w:t>
      </w:r>
      <w:r w:rsidRPr="00CF7FE6">
        <w:rPr>
          <w:rFonts w:ascii="Verdana" w:hAnsi="Verdana"/>
          <w:sz w:val="20"/>
          <w:szCs w:val="20"/>
          <w:lang w:val="es-ES"/>
        </w:rPr>
        <w:t>smo” para “</w:t>
      </w:r>
      <w:r w:rsidRPr="00CF7FE6">
        <w:rPr>
          <w:rFonts w:ascii="Verdana" w:hAnsi="Verdana"/>
          <w:i/>
          <w:sz w:val="20"/>
          <w:szCs w:val="20"/>
          <w:lang w:val="es-ES"/>
        </w:rPr>
        <w:t>alcanzar la plena realización de sus aspiraciones dentro de un orden social justo, acompañado de desarrollo económico y verdadera paz</w:t>
      </w:r>
      <w:r w:rsidRPr="00CF7FE6">
        <w:rPr>
          <w:rFonts w:ascii="Verdana" w:hAnsi="Verdana"/>
          <w:sz w:val="20"/>
          <w:szCs w:val="20"/>
          <w:lang w:val="es-ES"/>
        </w:rPr>
        <w:t>”</w:t>
      </w:r>
      <w:r>
        <w:rPr>
          <w:rFonts w:ascii="Verdana" w:hAnsi="Verdana"/>
          <w:sz w:val="20"/>
          <w:szCs w:val="20"/>
          <w:lang w:val="es-ES"/>
        </w:rPr>
        <w:t xml:space="preserve">, sea </w:t>
      </w:r>
      <w:r w:rsidRPr="00CF7FE6">
        <w:rPr>
          <w:rFonts w:ascii="Verdana" w:hAnsi="Verdana"/>
          <w:sz w:val="20"/>
          <w:szCs w:val="20"/>
          <w:lang w:val="es-ES"/>
        </w:rPr>
        <w:t>una “</w:t>
      </w:r>
      <w:r w:rsidRPr="00CF7FE6">
        <w:rPr>
          <w:rFonts w:ascii="Verdana" w:hAnsi="Verdana"/>
          <w:i/>
          <w:sz w:val="20"/>
          <w:szCs w:val="20"/>
          <w:lang w:val="es-ES"/>
        </w:rPr>
        <w:t>finalidad</w:t>
      </w:r>
      <w:r w:rsidRPr="00CF7FE6">
        <w:rPr>
          <w:rFonts w:ascii="Verdana" w:hAnsi="Verdana"/>
          <w:sz w:val="20"/>
          <w:szCs w:val="20"/>
          <w:lang w:val="es-ES"/>
        </w:rPr>
        <w:t>” a fin de facilitar el proceso de integración regional latinoamericana</w:t>
      </w:r>
      <w:r>
        <w:rPr>
          <w:rFonts w:ascii="Verdana" w:hAnsi="Verdana"/>
          <w:sz w:val="20"/>
          <w:szCs w:val="20"/>
          <w:lang w:val="es-ES"/>
        </w:rPr>
        <w:t xml:space="preserve">, sea </w:t>
      </w:r>
      <w:r w:rsidRPr="00CF7FE6">
        <w:rPr>
          <w:rFonts w:ascii="Verdana" w:hAnsi="Verdana"/>
          <w:sz w:val="20"/>
          <w:szCs w:val="20"/>
          <w:lang w:val="es-ES"/>
        </w:rPr>
        <w:t>una “</w:t>
      </w:r>
      <w:r w:rsidRPr="00CF7FE6">
        <w:rPr>
          <w:rFonts w:ascii="Verdana" w:hAnsi="Verdana"/>
          <w:i/>
          <w:sz w:val="20"/>
          <w:szCs w:val="20"/>
          <w:lang w:val="es-ES"/>
        </w:rPr>
        <w:t>meta</w:t>
      </w:r>
      <w:r>
        <w:rPr>
          <w:rFonts w:ascii="Verdana" w:hAnsi="Verdana"/>
          <w:i/>
          <w:sz w:val="20"/>
          <w:szCs w:val="20"/>
          <w:lang w:val="es-ES"/>
        </w:rPr>
        <w:t xml:space="preserve"> básica</w:t>
      </w:r>
      <w:r w:rsidRPr="00CF7FE6">
        <w:rPr>
          <w:rFonts w:ascii="Verdana" w:hAnsi="Verdana"/>
          <w:sz w:val="20"/>
          <w:szCs w:val="20"/>
          <w:lang w:val="es-ES"/>
        </w:rPr>
        <w:t>” para alcanzar “</w:t>
      </w:r>
      <w:r w:rsidRPr="00CF7FE6">
        <w:rPr>
          <w:rFonts w:ascii="Verdana" w:hAnsi="Verdana"/>
          <w:i/>
          <w:sz w:val="20"/>
          <w:szCs w:val="20"/>
          <w:lang w:val="es-ES"/>
        </w:rPr>
        <w:t>objetivos básicos del desarrollo integra</w:t>
      </w:r>
      <w:r w:rsidRPr="00CF7FE6">
        <w:rPr>
          <w:rFonts w:ascii="Verdana" w:hAnsi="Verdana"/>
          <w:sz w:val="20"/>
          <w:szCs w:val="20"/>
          <w:lang w:val="es-ES"/>
        </w:rPr>
        <w:t xml:space="preserve">l” </w:t>
      </w:r>
      <w:r>
        <w:rPr>
          <w:rFonts w:ascii="Verdana" w:hAnsi="Verdana"/>
          <w:sz w:val="20"/>
          <w:szCs w:val="20"/>
          <w:lang w:val="es-ES"/>
        </w:rPr>
        <w:t xml:space="preserve">y en todas esas hipótesis, disponen </w:t>
      </w:r>
      <w:r w:rsidRPr="00CF7FE6">
        <w:rPr>
          <w:rFonts w:ascii="Verdana" w:hAnsi="Verdana"/>
          <w:sz w:val="20"/>
          <w:szCs w:val="20"/>
          <w:lang w:val="es-ES"/>
        </w:rPr>
        <w:t>una obligación de comportamiento que se expresa en la dedicación de los “</w:t>
      </w:r>
      <w:r w:rsidRPr="00CF7FE6">
        <w:rPr>
          <w:rFonts w:ascii="Verdana" w:hAnsi="Verdana"/>
          <w:i/>
          <w:sz w:val="20"/>
          <w:szCs w:val="20"/>
          <w:lang w:val="es-ES"/>
        </w:rPr>
        <w:t>máximos esfuerzos</w:t>
      </w:r>
      <w:r w:rsidRPr="00CF7FE6">
        <w:rPr>
          <w:rFonts w:ascii="Verdana" w:hAnsi="Verdana"/>
          <w:sz w:val="20"/>
          <w:szCs w:val="20"/>
          <w:lang w:val="es-ES"/>
        </w:rPr>
        <w:t>” para alcanzar los objetivos indicados.</w:t>
      </w:r>
    </w:p>
    <w:p w14:paraId="22D65BB2" w14:textId="77777777" w:rsidR="003C2143" w:rsidRPr="00CF7FE6" w:rsidRDefault="003C2143" w:rsidP="003C2143">
      <w:pPr>
        <w:jc w:val="both"/>
        <w:rPr>
          <w:rFonts w:ascii="Verdana" w:hAnsi="Verdana"/>
          <w:sz w:val="20"/>
          <w:szCs w:val="20"/>
          <w:lang w:val="es-ES"/>
        </w:rPr>
      </w:pPr>
    </w:p>
    <w:p w14:paraId="148875D0" w14:textId="77777777" w:rsidR="003C2143" w:rsidRDefault="003C2143" w:rsidP="003C2143">
      <w:pPr>
        <w:jc w:val="both"/>
        <w:rPr>
          <w:rFonts w:ascii="Verdana" w:hAnsi="Verdana"/>
          <w:sz w:val="20"/>
          <w:szCs w:val="20"/>
          <w:lang w:val="es-ES"/>
        </w:rPr>
      </w:pPr>
      <w:r>
        <w:rPr>
          <w:rFonts w:ascii="Verdana" w:hAnsi="Verdana"/>
          <w:sz w:val="20"/>
          <w:szCs w:val="20"/>
          <w:lang w:val="es-ES"/>
        </w:rPr>
        <w:t>Esto es, t</w:t>
      </w:r>
      <w:r w:rsidRPr="00CF7FE6">
        <w:rPr>
          <w:rFonts w:ascii="Verdana" w:hAnsi="Verdana"/>
          <w:sz w:val="20"/>
          <w:szCs w:val="20"/>
          <w:lang w:val="es-ES"/>
        </w:rPr>
        <w:t>ales disposiciones, en rigor, no establecen derechos sino la obligación del correspondiente Estado de realizar los “</w:t>
      </w:r>
      <w:r w:rsidRPr="00CF7FE6">
        <w:rPr>
          <w:rFonts w:ascii="Verdana" w:hAnsi="Verdana"/>
          <w:i/>
          <w:sz w:val="20"/>
          <w:szCs w:val="20"/>
          <w:lang w:val="es-ES"/>
        </w:rPr>
        <w:t>máximos esfuerzos</w:t>
      </w:r>
      <w:r>
        <w:rPr>
          <w:rFonts w:ascii="Verdana" w:hAnsi="Verdana"/>
          <w:sz w:val="20"/>
          <w:szCs w:val="20"/>
          <w:lang w:val="es-ES"/>
        </w:rPr>
        <w:t xml:space="preserve">” para lograr, como objetivo, </w:t>
      </w:r>
      <w:r w:rsidRPr="00CF7FE6">
        <w:rPr>
          <w:rFonts w:ascii="Verdana" w:hAnsi="Verdana"/>
          <w:sz w:val="20"/>
          <w:szCs w:val="20"/>
          <w:lang w:val="es-ES"/>
        </w:rPr>
        <w:t>el desarrollo económico y la paz, la integración latinoamericana o el desarrollo integral, según corresponda.</w:t>
      </w:r>
      <w:r>
        <w:rPr>
          <w:rFonts w:ascii="Verdana" w:hAnsi="Verdana"/>
          <w:sz w:val="20"/>
          <w:szCs w:val="20"/>
          <w:lang w:val="es-ES"/>
        </w:rPr>
        <w:t xml:space="preserve"> Por ende y</w:t>
      </w:r>
      <w:r w:rsidRPr="00CF7FE6">
        <w:rPr>
          <w:rFonts w:ascii="Verdana" w:hAnsi="Verdana"/>
          <w:sz w:val="20"/>
          <w:szCs w:val="20"/>
          <w:lang w:val="es-ES"/>
        </w:rPr>
        <w:t>, además, atendidas las fórmulas tan genéricas empleadas por la Carta de la OEA para referirse a las materias que aborda en las referidas dis</w:t>
      </w:r>
      <w:r>
        <w:rPr>
          <w:rFonts w:ascii="Verdana" w:hAnsi="Verdana"/>
          <w:sz w:val="20"/>
          <w:szCs w:val="20"/>
          <w:lang w:val="es-ES"/>
        </w:rPr>
        <w:t>posiciones, se puede</w:t>
      </w:r>
      <w:r w:rsidRPr="00CF7FE6">
        <w:rPr>
          <w:rFonts w:ascii="Verdana" w:hAnsi="Verdana"/>
          <w:sz w:val="20"/>
          <w:szCs w:val="20"/>
          <w:lang w:val="es-ES"/>
        </w:rPr>
        <w:t xml:space="preserve"> concluir que aquellas, como se expresó, son consideradas por ella más bien como “</w:t>
      </w:r>
      <w:r w:rsidRPr="00CF7FE6">
        <w:rPr>
          <w:rFonts w:ascii="Verdana" w:hAnsi="Verdana"/>
          <w:i/>
          <w:sz w:val="20"/>
          <w:szCs w:val="20"/>
          <w:lang w:val="es-ES"/>
        </w:rPr>
        <w:t>metas</w:t>
      </w:r>
      <w:r>
        <w:rPr>
          <w:rFonts w:ascii="Verdana" w:hAnsi="Verdana"/>
          <w:sz w:val="20"/>
          <w:szCs w:val="20"/>
          <w:lang w:val="es-ES"/>
        </w:rPr>
        <w:t xml:space="preserve">” o </w:t>
      </w:r>
      <w:r w:rsidRPr="00CF7FE6">
        <w:rPr>
          <w:rFonts w:ascii="Verdana" w:hAnsi="Verdana"/>
          <w:sz w:val="20"/>
          <w:szCs w:val="20"/>
          <w:lang w:val="es-ES"/>
        </w:rPr>
        <w:t>“</w:t>
      </w:r>
      <w:r w:rsidRPr="00CF7FE6">
        <w:rPr>
          <w:rFonts w:ascii="Verdana" w:hAnsi="Verdana"/>
          <w:i/>
          <w:sz w:val="20"/>
          <w:szCs w:val="20"/>
          <w:lang w:val="es-ES"/>
        </w:rPr>
        <w:t>finalidades”</w:t>
      </w:r>
      <w:r>
        <w:rPr>
          <w:rFonts w:ascii="Verdana" w:hAnsi="Verdana"/>
          <w:i/>
          <w:sz w:val="20"/>
          <w:szCs w:val="20"/>
          <w:lang w:val="es-ES"/>
        </w:rPr>
        <w:t xml:space="preserve"> </w:t>
      </w:r>
      <w:r w:rsidRPr="00CF7FE6">
        <w:rPr>
          <w:rFonts w:ascii="Verdana" w:hAnsi="Verdana"/>
          <w:sz w:val="20"/>
          <w:szCs w:val="20"/>
          <w:lang w:val="es-ES"/>
        </w:rPr>
        <w:t xml:space="preserve">a alcanzar </w:t>
      </w:r>
      <w:r>
        <w:rPr>
          <w:rFonts w:ascii="Verdana" w:hAnsi="Verdana"/>
          <w:sz w:val="20"/>
          <w:szCs w:val="20"/>
          <w:lang w:val="es-ES"/>
        </w:rPr>
        <w:t xml:space="preserve">o como </w:t>
      </w:r>
      <w:r w:rsidRPr="002F2B90">
        <w:rPr>
          <w:rFonts w:ascii="Verdana" w:hAnsi="Verdana"/>
          <w:sz w:val="20"/>
          <w:szCs w:val="20"/>
          <w:lang w:val="es-ES"/>
        </w:rPr>
        <w:t>“</w:t>
      </w:r>
      <w:r w:rsidRPr="002F2B90">
        <w:rPr>
          <w:rFonts w:ascii="Verdana" w:hAnsi="Verdana"/>
          <w:i/>
          <w:sz w:val="20"/>
          <w:szCs w:val="20"/>
          <w:lang w:val="es-ES"/>
        </w:rPr>
        <w:t>principios y mecanismos</w:t>
      </w:r>
      <w:r w:rsidRPr="002F2B90">
        <w:rPr>
          <w:rFonts w:ascii="Verdana" w:hAnsi="Verdana"/>
          <w:sz w:val="20"/>
          <w:szCs w:val="20"/>
          <w:lang w:val="es-ES"/>
        </w:rPr>
        <w:t>”</w:t>
      </w:r>
      <w:r>
        <w:rPr>
          <w:rFonts w:ascii="Verdana" w:hAnsi="Verdana"/>
          <w:sz w:val="20"/>
          <w:szCs w:val="20"/>
          <w:lang w:val="es-ES"/>
        </w:rPr>
        <w:t xml:space="preserve"> a seguir </w:t>
      </w:r>
      <w:r w:rsidRPr="00CF7FE6">
        <w:rPr>
          <w:rFonts w:ascii="Verdana" w:hAnsi="Verdana"/>
          <w:sz w:val="20"/>
          <w:szCs w:val="20"/>
          <w:lang w:val="es-ES"/>
        </w:rPr>
        <w:t xml:space="preserve">que derechos susceptibles de judicializar internacionalmente por las personas o seres humanos. </w:t>
      </w:r>
    </w:p>
    <w:p w14:paraId="521C5E3D" w14:textId="77777777" w:rsidR="003C2143" w:rsidRPr="00CF7FE6" w:rsidRDefault="003C2143" w:rsidP="003C2143">
      <w:pPr>
        <w:jc w:val="both"/>
        <w:rPr>
          <w:rFonts w:ascii="Verdana" w:hAnsi="Verdana"/>
          <w:i/>
          <w:sz w:val="20"/>
          <w:szCs w:val="20"/>
          <w:lang w:val="es-ES"/>
        </w:rPr>
      </w:pPr>
    </w:p>
    <w:p w14:paraId="25583469" w14:textId="77777777" w:rsidR="003C2143" w:rsidRPr="00CF7FE6" w:rsidRDefault="003C2143" w:rsidP="003C2143">
      <w:pPr>
        <w:jc w:val="both"/>
        <w:rPr>
          <w:rFonts w:ascii="Verdana" w:hAnsi="Verdana"/>
          <w:sz w:val="20"/>
          <w:szCs w:val="20"/>
          <w:lang w:val="es-ES"/>
        </w:rPr>
      </w:pPr>
      <w:r>
        <w:rPr>
          <w:rFonts w:ascii="Verdana" w:hAnsi="Verdana"/>
          <w:sz w:val="20"/>
          <w:szCs w:val="20"/>
          <w:lang w:val="es-ES"/>
        </w:rPr>
        <w:t>A mayor abundamiento</w:t>
      </w:r>
      <w:r w:rsidRPr="00CF7FE6">
        <w:rPr>
          <w:rFonts w:ascii="Verdana" w:hAnsi="Verdana"/>
          <w:sz w:val="20"/>
          <w:szCs w:val="20"/>
          <w:lang w:val="es-ES"/>
        </w:rPr>
        <w:t>, cabe resaltar la circunstancia de que las normas de la Carta de l</w:t>
      </w:r>
      <w:r>
        <w:rPr>
          <w:rFonts w:ascii="Verdana" w:hAnsi="Verdana"/>
          <w:sz w:val="20"/>
          <w:szCs w:val="20"/>
          <w:lang w:val="es-ES"/>
        </w:rPr>
        <w:t xml:space="preserve">a OEA citadas por la Sentencia, </w:t>
      </w:r>
      <w:r w:rsidRPr="00CF7FE6">
        <w:rPr>
          <w:rFonts w:ascii="Verdana" w:hAnsi="Verdana"/>
          <w:sz w:val="20"/>
          <w:szCs w:val="20"/>
          <w:lang w:val="es-ES"/>
        </w:rPr>
        <w:t>se u</w:t>
      </w:r>
      <w:r>
        <w:rPr>
          <w:rFonts w:ascii="Verdana" w:hAnsi="Verdana"/>
          <w:sz w:val="20"/>
          <w:szCs w:val="20"/>
          <w:lang w:val="es-ES"/>
        </w:rPr>
        <w:t>bican en el Capítulo VII de dicho instrumento jurídico internacional</w:t>
      </w:r>
      <w:r w:rsidRPr="00CF7FE6">
        <w:rPr>
          <w:rFonts w:ascii="Verdana" w:hAnsi="Verdana"/>
          <w:sz w:val="20"/>
          <w:szCs w:val="20"/>
          <w:lang w:val="es-ES"/>
        </w:rPr>
        <w:t>, denominado  “</w:t>
      </w:r>
      <w:r w:rsidRPr="00CF7FE6">
        <w:rPr>
          <w:rFonts w:ascii="Verdana" w:hAnsi="Verdana"/>
          <w:i/>
          <w:sz w:val="20"/>
          <w:szCs w:val="20"/>
          <w:lang w:val="es-ES"/>
        </w:rPr>
        <w:t>Desarrollo Integral</w:t>
      </w:r>
      <w:r>
        <w:rPr>
          <w:rFonts w:ascii="Verdana" w:hAnsi="Verdana"/>
          <w:sz w:val="20"/>
          <w:szCs w:val="20"/>
          <w:lang w:val="es-ES"/>
        </w:rPr>
        <w:t xml:space="preserve">”, y que el </w:t>
      </w:r>
      <w:r w:rsidRPr="00CF7FE6">
        <w:rPr>
          <w:rFonts w:ascii="Verdana" w:hAnsi="Verdana"/>
          <w:sz w:val="20"/>
          <w:szCs w:val="20"/>
          <w:lang w:val="es-ES"/>
        </w:rPr>
        <w:t>artículo 30</w:t>
      </w:r>
      <w:r>
        <w:rPr>
          <w:rStyle w:val="FootnoteReference"/>
          <w:szCs w:val="20"/>
          <w:lang w:val="es-ES"/>
        </w:rPr>
        <w:footnoteReference w:id="416"/>
      </w:r>
      <w:r w:rsidRPr="00CF7FE6">
        <w:rPr>
          <w:rFonts w:ascii="Verdana" w:hAnsi="Verdana"/>
          <w:sz w:val="20"/>
          <w:szCs w:val="20"/>
          <w:lang w:val="es-ES"/>
        </w:rPr>
        <w:t>, el primero del mismo, considera a dicho desarrollo como el objetivo a lograr por medio del cumplimiento de las normas que le sigue</w:t>
      </w:r>
      <w:r>
        <w:rPr>
          <w:rFonts w:ascii="Verdana" w:hAnsi="Verdana"/>
          <w:sz w:val="20"/>
          <w:szCs w:val="20"/>
          <w:lang w:val="es-ES"/>
        </w:rPr>
        <w:t>n</w:t>
      </w:r>
      <w:r w:rsidRPr="00CF7FE6">
        <w:rPr>
          <w:rFonts w:ascii="Verdana" w:hAnsi="Verdana"/>
          <w:sz w:val="20"/>
          <w:szCs w:val="20"/>
          <w:lang w:val="es-ES"/>
        </w:rPr>
        <w:t>. Igualmente, debe señalarse que las demás disposiciones del referido Capítulo, reafirman la concepc</w:t>
      </w:r>
      <w:r>
        <w:rPr>
          <w:rFonts w:ascii="Verdana" w:hAnsi="Verdana"/>
          <w:sz w:val="20"/>
          <w:szCs w:val="20"/>
          <w:lang w:val="es-ES"/>
        </w:rPr>
        <w:t>ión de que se trata de “</w:t>
      </w:r>
      <w:r w:rsidRPr="00524B78">
        <w:rPr>
          <w:rFonts w:ascii="Verdana" w:hAnsi="Verdana"/>
          <w:i/>
          <w:sz w:val="20"/>
          <w:szCs w:val="20"/>
          <w:lang w:val="es-ES"/>
        </w:rPr>
        <w:t>propósitos</w:t>
      </w:r>
      <w:r>
        <w:rPr>
          <w:rFonts w:ascii="Verdana" w:hAnsi="Verdana"/>
          <w:sz w:val="20"/>
          <w:szCs w:val="20"/>
          <w:lang w:val="es-ES"/>
        </w:rPr>
        <w:t>”</w:t>
      </w:r>
      <w:r w:rsidRPr="00CF7FE6">
        <w:rPr>
          <w:rFonts w:ascii="Verdana" w:hAnsi="Verdana"/>
          <w:sz w:val="20"/>
          <w:szCs w:val="20"/>
          <w:lang w:val="es-ES"/>
        </w:rPr>
        <w:t xml:space="preserve"> que los Est</w:t>
      </w:r>
      <w:r>
        <w:rPr>
          <w:rFonts w:ascii="Verdana" w:hAnsi="Verdana"/>
          <w:sz w:val="20"/>
          <w:szCs w:val="20"/>
          <w:lang w:val="es-ES"/>
        </w:rPr>
        <w:t xml:space="preserve">ados se comprometen </w:t>
      </w:r>
      <w:r w:rsidRPr="00CF7FE6">
        <w:rPr>
          <w:rFonts w:ascii="Verdana" w:hAnsi="Verdana"/>
          <w:sz w:val="20"/>
          <w:szCs w:val="20"/>
          <w:lang w:val="es-ES"/>
        </w:rPr>
        <w:t>a alcanzar y no de derechos susceptibles de judicializar int</w:t>
      </w:r>
      <w:r>
        <w:rPr>
          <w:rFonts w:ascii="Verdana" w:hAnsi="Verdana"/>
          <w:sz w:val="20"/>
          <w:szCs w:val="20"/>
          <w:lang w:val="es-ES"/>
        </w:rPr>
        <w:t>ernacionalmente</w:t>
      </w:r>
      <w:r w:rsidRPr="00CF7FE6">
        <w:rPr>
          <w:rFonts w:ascii="Verdana" w:hAnsi="Verdana"/>
          <w:sz w:val="20"/>
          <w:szCs w:val="20"/>
          <w:lang w:val="es-ES"/>
        </w:rPr>
        <w:t>.</w:t>
      </w:r>
    </w:p>
    <w:p w14:paraId="43DF6959" w14:textId="77777777" w:rsidR="003C2143" w:rsidRPr="00CF7FE6" w:rsidRDefault="003C2143" w:rsidP="003C2143">
      <w:pPr>
        <w:jc w:val="both"/>
        <w:rPr>
          <w:rFonts w:ascii="Verdana" w:hAnsi="Verdana"/>
          <w:sz w:val="20"/>
          <w:szCs w:val="20"/>
          <w:lang w:val="es-ES"/>
        </w:rPr>
      </w:pPr>
    </w:p>
    <w:p w14:paraId="6CD966ED" w14:textId="77777777" w:rsidR="003C2143" w:rsidRPr="004714BF" w:rsidRDefault="003C2143" w:rsidP="003C2143">
      <w:pPr>
        <w:jc w:val="both"/>
        <w:rPr>
          <w:rFonts w:ascii="Verdana" w:hAnsi="Verdana"/>
          <w:sz w:val="20"/>
          <w:szCs w:val="20"/>
          <w:lang w:val="es-ES"/>
        </w:rPr>
      </w:pPr>
      <w:r w:rsidRPr="00CF7FE6">
        <w:rPr>
          <w:rFonts w:ascii="Verdana" w:hAnsi="Verdana"/>
          <w:sz w:val="20"/>
          <w:szCs w:val="20"/>
          <w:lang w:val="es-ES"/>
        </w:rPr>
        <w:t>Es decir, result</w:t>
      </w:r>
      <w:r>
        <w:rPr>
          <w:rFonts w:ascii="Verdana" w:hAnsi="Verdana"/>
          <w:sz w:val="20"/>
          <w:szCs w:val="20"/>
          <w:lang w:val="es-ES"/>
        </w:rPr>
        <w:t>a a todas luces evidente que, aplicando la regla de interpretación armónica prevista en el artículo 31 de la Convención de Viena sobre el Derecho de los Tratados</w:t>
      </w:r>
      <w:r>
        <w:rPr>
          <w:rStyle w:val="FootnoteReference"/>
          <w:szCs w:val="20"/>
          <w:lang w:val="es-ES"/>
        </w:rPr>
        <w:footnoteReference w:id="417"/>
      </w:r>
      <w:r>
        <w:rPr>
          <w:rFonts w:ascii="Verdana" w:hAnsi="Verdana"/>
          <w:sz w:val="20"/>
          <w:szCs w:val="20"/>
          <w:lang w:val="es-ES"/>
        </w:rPr>
        <w:t>,</w:t>
      </w:r>
      <w:r w:rsidRPr="00CF7FE6">
        <w:rPr>
          <w:rFonts w:ascii="Verdana" w:hAnsi="Verdana"/>
          <w:sz w:val="20"/>
          <w:szCs w:val="20"/>
          <w:lang w:val="es-ES"/>
        </w:rPr>
        <w:t xml:space="preserve"> </w:t>
      </w:r>
      <w:r>
        <w:rPr>
          <w:rFonts w:ascii="Verdana" w:hAnsi="Verdana"/>
          <w:sz w:val="20"/>
          <w:szCs w:val="20"/>
          <w:lang w:val="es-ES"/>
        </w:rPr>
        <w:t xml:space="preserve">no se puede inferir que las normas contempladas en el mencionado Capítulo VII, </w:t>
      </w:r>
      <w:r w:rsidRPr="00CF7FE6">
        <w:rPr>
          <w:rFonts w:ascii="Verdana" w:hAnsi="Verdana"/>
          <w:sz w:val="20"/>
          <w:szCs w:val="20"/>
          <w:lang w:val="es-ES"/>
        </w:rPr>
        <w:t>fueron convenidas en tanto establecían derechos de los seres humanos, sino obligaciones de comportamiento de los Estados en cuanto a la formulación y</w:t>
      </w:r>
      <w:r>
        <w:rPr>
          <w:rFonts w:ascii="Verdana" w:hAnsi="Verdana"/>
          <w:sz w:val="20"/>
          <w:szCs w:val="20"/>
          <w:lang w:val="es-ES"/>
        </w:rPr>
        <w:t xml:space="preserve"> aplicación de sus respectivas </w:t>
      </w:r>
      <w:r w:rsidRPr="00CF7FE6">
        <w:rPr>
          <w:rFonts w:ascii="Verdana" w:hAnsi="Verdana"/>
          <w:sz w:val="20"/>
          <w:szCs w:val="20"/>
          <w:lang w:val="es-ES"/>
        </w:rPr>
        <w:t xml:space="preserve">políticas públicas en beneficio de quienes se encuentran bajo sus respectivas jurisdicciones. El objeto y fin de tales </w:t>
      </w:r>
      <w:r>
        <w:rPr>
          <w:rFonts w:ascii="Verdana" w:hAnsi="Verdana"/>
          <w:sz w:val="20"/>
          <w:szCs w:val="20"/>
          <w:lang w:val="es-ES"/>
        </w:rPr>
        <w:t xml:space="preserve">normas </w:t>
      </w:r>
      <w:r w:rsidRPr="00CF7FE6">
        <w:rPr>
          <w:rFonts w:ascii="Verdana" w:hAnsi="Verdana"/>
          <w:sz w:val="20"/>
          <w:szCs w:val="20"/>
          <w:lang w:val="es-ES"/>
        </w:rPr>
        <w:t>no dicen relación, entonces, con los derechos humanos sino con el desarrollo integral de los pueblos</w:t>
      </w:r>
      <w:r w:rsidRPr="004714BF">
        <w:rPr>
          <w:rFonts w:ascii="Verdana" w:hAnsi="Verdana"/>
          <w:sz w:val="20"/>
          <w:szCs w:val="20"/>
          <w:lang w:val="es-ES"/>
        </w:rPr>
        <w:t>.</w:t>
      </w:r>
    </w:p>
    <w:p w14:paraId="6B4E8C01" w14:textId="77777777" w:rsidR="003C2143" w:rsidRPr="00CF7FE6" w:rsidRDefault="003C2143" w:rsidP="003C2143">
      <w:pPr>
        <w:jc w:val="both"/>
        <w:rPr>
          <w:rFonts w:ascii="Verdana" w:hAnsi="Verdana"/>
          <w:b/>
          <w:sz w:val="20"/>
          <w:szCs w:val="20"/>
          <w:lang w:val="es-ES"/>
        </w:rPr>
      </w:pPr>
    </w:p>
    <w:p w14:paraId="3F5DF095" w14:textId="77777777" w:rsidR="003C2143" w:rsidRPr="003B2532" w:rsidRDefault="003C2143" w:rsidP="003C2143">
      <w:pPr>
        <w:pStyle w:val="ListParagraph"/>
        <w:numPr>
          <w:ilvl w:val="0"/>
          <w:numId w:val="31"/>
        </w:numPr>
        <w:jc w:val="both"/>
        <w:rPr>
          <w:rFonts w:ascii="Verdana" w:hAnsi="Verdana"/>
          <w:b/>
          <w:sz w:val="20"/>
          <w:szCs w:val="20"/>
          <w:lang w:val="es-ES"/>
        </w:rPr>
      </w:pPr>
      <w:r w:rsidRPr="003B2532">
        <w:rPr>
          <w:rFonts w:ascii="Verdana" w:hAnsi="Verdana"/>
          <w:b/>
          <w:sz w:val="20"/>
          <w:szCs w:val="20"/>
          <w:lang w:val="es-ES"/>
        </w:rPr>
        <w:t>Consecuencias.</w:t>
      </w:r>
    </w:p>
    <w:p w14:paraId="11E36577" w14:textId="77777777" w:rsidR="003C2143" w:rsidRPr="00CF7FE6" w:rsidRDefault="003C2143" w:rsidP="003C2143">
      <w:pPr>
        <w:jc w:val="both"/>
        <w:rPr>
          <w:rFonts w:ascii="Verdana" w:hAnsi="Verdana"/>
          <w:b/>
          <w:sz w:val="20"/>
          <w:szCs w:val="20"/>
          <w:lang w:val="es-ES"/>
        </w:rPr>
      </w:pPr>
    </w:p>
    <w:p w14:paraId="5BB837D5" w14:textId="77777777" w:rsidR="003C2143" w:rsidRPr="00CF7FE6" w:rsidRDefault="003C2143" w:rsidP="003C2143">
      <w:pPr>
        <w:jc w:val="both"/>
        <w:rPr>
          <w:rFonts w:ascii="Verdana" w:hAnsi="Verdana"/>
          <w:sz w:val="20"/>
          <w:szCs w:val="20"/>
          <w:lang w:val="es-ES"/>
        </w:rPr>
      </w:pPr>
      <w:r w:rsidRPr="00CF7FE6">
        <w:rPr>
          <w:rFonts w:ascii="Verdana" w:hAnsi="Verdana"/>
          <w:sz w:val="20"/>
          <w:szCs w:val="20"/>
          <w:lang w:val="es-ES"/>
        </w:rPr>
        <w:t xml:space="preserve">Con relación a la interpretación que hace la Sentencia en cuanto a que los derechos aludidos en el artículo 26 de la Convención </w:t>
      </w:r>
      <w:r w:rsidRPr="00B42968">
        <w:rPr>
          <w:rFonts w:ascii="Verdana" w:hAnsi="Verdana"/>
          <w:sz w:val="20"/>
          <w:szCs w:val="20"/>
          <w:lang w:val="es-ES"/>
        </w:rPr>
        <w:t>serían también “</w:t>
      </w:r>
      <w:r w:rsidRPr="00F336C5">
        <w:rPr>
          <w:rFonts w:ascii="Verdana" w:hAnsi="Verdana"/>
          <w:i/>
          <w:sz w:val="20"/>
          <w:szCs w:val="20"/>
          <w:lang w:val="es-ES"/>
        </w:rPr>
        <w:t>exigibles en todos los casos ante aquellas autoridades que resulten competentes para ello</w:t>
      </w:r>
      <w:r w:rsidRPr="00B42968">
        <w:rPr>
          <w:rFonts w:ascii="Verdana" w:hAnsi="Verdana"/>
          <w:sz w:val="20"/>
          <w:szCs w:val="20"/>
          <w:lang w:val="es-ES"/>
        </w:rPr>
        <w:t>”</w:t>
      </w:r>
      <w:r>
        <w:rPr>
          <w:rStyle w:val="FootnoteReference"/>
          <w:szCs w:val="20"/>
          <w:lang w:val="es-ES"/>
        </w:rPr>
        <w:footnoteReference w:id="418"/>
      </w:r>
      <w:r w:rsidRPr="00CF7FE6">
        <w:rPr>
          <w:rFonts w:ascii="Verdana" w:hAnsi="Verdana"/>
          <w:sz w:val="20"/>
          <w:szCs w:val="20"/>
          <w:lang w:val="es-ES"/>
        </w:rPr>
        <w:t>, cabe</w:t>
      </w:r>
      <w:r>
        <w:rPr>
          <w:rFonts w:ascii="Verdana" w:hAnsi="Verdana"/>
          <w:sz w:val="20"/>
          <w:szCs w:val="20"/>
          <w:lang w:val="es-ES"/>
        </w:rPr>
        <w:t xml:space="preserve"> complementariamente</w:t>
      </w:r>
      <w:r w:rsidRPr="00CF7FE6">
        <w:rPr>
          <w:rFonts w:ascii="Verdana" w:hAnsi="Verdana"/>
          <w:sz w:val="20"/>
          <w:szCs w:val="20"/>
          <w:lang w:val="es-ES"/>
        </w:rPr>
        <w:t xml:space="preserve"> interrogarse</w:t>
      </w:r>
      <w:r>
        <w:rPr>
          <w:rFonts w:ascii="Verdana" w:hAnsi="Verdana"/>
          <w:sz w:val="20"/>
          <w:szCs w:val="20"/>
          <w:lang w:val="es-ES"/>
        </w:rPr>
        <w:t>, entonces,</w:t>
      </w:r>
      <w:r w:rsidRPr="00CF7FE6">
        <w:rPr>
          <w:rFonts w:ascii="Verdana" w:hAnsi="Verdana"/>
          <w:sz w:val="20"/>
          <w:szCs w:val="20"/>
          <w:lang w:val="es-ES"/>
        </w:rPr>
        <w:t xml:space="preserve"> </w:t>
      </w:r>
      <w:r>
        <w:rPr>
          <w:rFonts w:ascii="Verdana" w:hAnsi="Verdana"/>
          <w:sz w:val="20"/>
          <w:szCs w:val="20"/>
          <w:lang w:val="es-ES"/>
        </w:rPr>
        <w:t xml:space="preserve">acerca de </w:t>
      </w:r>
      <w:r w:rsidRPr="00CF7FE6">
        <w:rPr>
          <w:rFonts w:ascii="Verdana" w:hAnsi="Verdana"/>
          <w:sz w:val="20"/>
          <w:szCs w:val="20"/>
          <w:lang w:val="es-ES"/>
        </w:rPr>
        <w:t>la razón por la que</w:t>
      </w:r>
      <w:r>
        <w:rPr>
          <w:rFonts w:ascii="Verdana" w:hAnsi="Verdana"/>
          <w:sz w:val="20"/>
          <w:szCs w:val="20"/>
          <w:lang w:val="es-ES"/>
        </w:rPr>
        <w:t xml:space="preserve"> tales derechos no se incluyeron</w:t>
      </w:r>
      <w:r w:rsidRPr="00CF7FE6">
        <w:rPr>
          <w:rFonts w:ascii="Verdana" w:hAnsi="Verdana"/>
          <w:sz w:val="20"/>
          <w:szCs w:val="20"/>
          <w:lang w:val="es-ES"/>
        </w:rPr>
        <w:t xml:space="preserve"> directamente en el articulado de la Convención, como se hizo expresamente con los </w:t>
      </w:r>
      <w:r w:rsidRPr="00CF7FE6">
        <w:rPr>
          <w:rFonts w:ascii="Verdana" w:hAnsi="Verdana"/>
          <w:i/>
          <w:sz w:val="20"/>
          <w:szCs w:val="20"/>
          <w:lang w:val="es-ES"/>
        </w:rPr>
        <w:t>Derechos Civiles y Políticos</w:t>
      </w:r>
      <w:r w:rsidRPr="00CF7FE6">
        <w:rPr>
          <w:rFonts w:ascii="Verdana" w:hAnsi="Verdana"/>
          <w:sz w:val="20"/>
          <w:szCs w:val="20"/>
          <w:lang w:val="es-ES"/>
        </w:rPr>
        <w:t xml:space="preserve">, y se optó, en cambio, por hacer un enunciado general en la citada disposición, ubicada, además, en un capítulo especial, el III de la Parte I, denominado </w:t>
      </w:r>
      <w:r w:rsidRPr="00CF7FE6">
        <w:rPr>
          <w:rFonts w:ascii="Verdana" w:hAnsi="Verdana"/>
          <w:i/>
          <w:sz w:val="20"/>
          <w:szCs w:val="20"/>
          <w:lang w:val="es-ES"/>
        </w:rPr>
        <w:t>Derechos Económicos, Sociales y Culturales</w:t>
      </w:r>
      <w:r w:rsidRPr="00CF7FE6">
        <w:rPr>
          <w:rFonts w:ascii="Verdana" w:hAnsi="Verdana"/>
          <w:sz w:val="20"/>
          <w:szCs w:val="20"/>
          <w:lang w:val="es-ES"/>
        </w:rPr>
        <w:t xml:space="preserve">. </w:t>
      </w:r>
      <w:r>
        <w:rPr>
          <w:rFonts w:ascii="Verdana" w:hAnsi="Verdana"/>
          <w:sz w:val="20"/>
          <w:szCs w:val="20"/>
          <w:lang w:val="es-ES"/>
        </w:rPr>
        <w:t>El asunto es, pues, determinar la razón de la existencia de la norma en comento y, consecuentemente, de la regulación de estos últimos derechos.</w:t>
      </w:r>
      <w:r w:rsidRPr="00E71D42">
        <w:rPr>
          <w:rFonts w:ascii="Verdana" w:hAnsi="Verdana"/>
          <w:sz w:val="20"/>
          <w:szCs w:val="20"/>
          <w:lang w:val="es-ES"/>
        </w:rPr>
        <w:t xml:space="preserve"> </w:t>
      </w:r>
      <w:r>
        <w:rPr>
          <w:rFonts w:ascii="Verdana" w:hAnsi="Verdana"/>
          <w:sz w:val="20"/>
          <w:szCs w:val="20"/>
          <w:lang w:val="es-ES"/>
        </w:rPr>
        <w:t xml:space="preserve">La respuesta parece, empero, </w:t>
      </w:r>
      <w:r w:rsidRPr="00CF7FE6">
        <w:rPr>
          <w:rFonts w:ascii="Verdana" w:hAnsi="Verdana"/>
          <w:sz w:val="20"/>
          <w:szCs w:val="20"/>
          <w:lang w:val="es-ES"/>
        </w:rPr>
        <w:t xml:space="preserve">evidente, a saber, que </w:t>
      </w:r>
      <w:r>
        <w:rPr>
          <w:rFonts w:ascii="Verdana" w:hAnsi="Verdana"/>
          <w:sz w:val="20"/>
          <w:szCs w:val="20"/>
          <w:lang w:val="es-ES"/>
        </w:rPr>
        <w:t xml:space="preserve">los </w:t>
      </w:r>
      <w:r>
        <w:rPr>
          <w:rFonts w:ascii="Verdana" w:hAnsi="Verdana"/>
          <w:i/>
          <w:sz w:val="20"/>
          <w:szCs w:val="20"/>
          <w:lang w:val="es-ES"/>
        </w:rPr>
        <w:t xml:space="preserve">Derechos Económicos, Sociales y Culturales </w:t>
      </w:r>
      <w:r w:rsidRPr="00CF7FE6">
        <w:rPr>
          <w:rFonts w:ascii="Verdana" w:hAnsi="Verdana"/>
          <w:sz w:val="20"/>
          <w:szCs w:val="20"/>
          <w:lang w:val="es-ES"/>
        </w:rPr>
        <w:t xml:space="preserve">no son objeto del mismo régimen de protección que los </w:t>
      </w:r>
      <w:r w:rsidRPr="00CF7FE6">
        <w:rPr>
          <w:rFonts w:ascii="Verdana" w:hAnsi="Verdana"/>
          <w:i/>
          <w:sz w:val="20"/>
          <w:szCs w:val="20"/>
          <w:lang w:val="es-ES"/>
        </w:rPr>
        <w:t>Derechos Civiles y Políticos</w:t>
      </w:r>
      <w:r w:rsidRPr="00CF7FE6">
        <w:rPr>
          <w:rFonts w:ascii="Verdana" w:hAnsi="Verdana"/>
          <w:sz w:val="20"/>
          <w:szCs w:val="20"/>
          <w:lang w:val="es-ES"/>
        </w:rPr>
        <w:t>, precisados en el Capítulo II.</w:t>
      </w:r>
      <w:r w:rsidRPr="00F167BE">
        <w:rPr>
          <w:lang w:val="es-ES"/>
        </w:rPr>
        <w:t xml:space="preserve"> </w:t>
      </w:r>
      <w:r w:rsidRPr="00F167BE">
        <w:rPr>
          <w:rFonts w:ascii="Verdana" w:hAnsi="Verdana"/>
          <w:sz w:val="20"/>
          <w:szCs w:val="20"/>
          <w:lang w:val="es-ES"/>
        </w:rPr>
        <w:t xml:space="preserve">Es decir, </w:t>
      </w:r>
      <w:r>
        <w:rPr>
          <w:rFonts w:ascii="Verdana" w:hAnsi="Verdana"/>
          <w:sz w:val="20"/>
          <w:szCs w:val="20"/>
          <w:lang w:val="es-ES"/>
        </w:rPr>
        <w:t xml:space="preserve">que </w:t>
      </w:r>
      <w:r w:rsidRPr="00F167BE">
        <w:rPr>
          <w:rFonts w:ascii="Verdana" w:hAnsi="Verdana"/>
          <w:sz w:val="20"/>
          <w:szCs w:val="20"/>
          <w:lang w:val="es-ES"/>
        </w:rPr>
        <w:t>si bien es cierto que existe una estrecha vinculación entre ambos tipos de derechos, no es menos cierto que la Convención les proporciona un tratamiento diferenciado y que se expresa precisamente en el artículo 26.</w:t>
      </w:r>
    </w:p>
    <w:p w14:paraId="4542C9A9" w14:textId="77777777" w:rsidR="003C2143" w:rsidRPr="00CF7FE6" w:rsidRDefault="003C2143" w:rsidP="003C2143">
      <w:pPr>
        <w:jc w:val="both"/>
        <w:rPr>
          <w:rFonts w:ascii="Verdana" w:hAnsi="Verdana"/>
          <w:sz w:val="20"/>
          <w:szCs w:val="20"/>
          <w:lang w:val="es-ES"/>
        </w:rPr>
      </w:pPr>
    </w:p>
    <w:p w14:paraId="2E3F25B9" w14:textId="77777777" w:rsidR="003C2143" w:rsidRPr="00CF7FE6" w:rsidRDefault="003C2143" w:rsidP="003C2143">
      <w:pPr>
        <w:jc w:val="both"/>
        <w:rPr>
          <w:rFonts w:ascii="Verdana" w:hAnsi="Verdana"/>
          <w:sz w:val="20"/>
          <w:szCs w:val="20"/>
          <w:lang w:val="es-ES"/>
        </w:rPr>
      </w:pPr>
      <w:r w:rsidRPr="00CF7FE6">
        <w:rPr>
          <w:rFonts w:ascii="Verdana" w:hAnsi="Verdana"/>
          <w:sz w:val="20"/>
          <w:szCs w:val="20"/>
          <w:lang w:val="es-ES"/>
        </w:rPr>
        <w:t>Por otra parte, de aceptarse lo señalado en la Sentencia en lo que dice relación con el citado artículo 26, haría innecesario e inútil lo previsto en los artículos 31, 76.1 y 77.1</w:t>
      </w:r>
      <w:r w:rsidRPr="00CF7FE6">
        <w:rPr>
          <w:rStyle w:val="FootnoteReference"/>
          <w:szCs w:val="20"/>
          <w:lang w:val="es-ES"/>
        </w:rPr>
        <w:footnoteReference w:id="419"/>
      </w:r>
      <w:r w:rsidRPr="00CF7FE6">
        <w:rPr>
          <w:rFonts w:ascii="Verdana" w:hAnsi="Verdana"/>
          <w:sz w:val="20"/>
          <w:szCs w:val="20"/>
          <w:lang w:val="es-ES"/>
        </w:rPr>
        <w:t xml:space="preserve"> de la Convención, esto es, la suscripción de protocolos adicionales a fin de reconocer otros derechos diferentes a los que lo son en la Convención e incluirlos en el régimen de protección que contempla, dado que para ello bastaría la aplicación del primero de los </w:t>
      </w:r>
      <w:r>
        <w:rPr>
          <w:rFonts w:ascii="Verdana" w:hAnsi="Verdana"/>
          <w:sz w:val="20"/>
          <w:szCs w:val="20"/>
          <w:lang w:val="es-ES"/>
        </w:rPr>
        <w:t xml:space="preserve">artículos </w:t>
      </w:r>
      <w:r w:rsidRPr="00CF7FE6">
        <w:rPr>
          <w:rFonts w:ascii="Verdana" w:hAnsi="Verdana"/>
          <w:sz w:val="20"/>
          <w:szCs w:val="20"/>
          <w:lang w:val="es-ES"/>
        </w:rPr>
        <w:t>mencionados. En este sentido, incluso, como ya se indicó, el “</w:t>
      </w:r>
      <w:r w:rsidRPr="00CF7FE6">
        <w:rPr>
          <w:rFonts w:ascii="Verdana" w:hAnsi="Verdana"/>
          <w:i/>
          <w:sz w:val="20"/>
          <w:szCs w:val="20"/>
          <w:lang w:val="es-ES"/>
        </w:rPr>
        <w:t>Protocolo de San Salvador</w:t>
      </w:r>
      <w:r w:rsidRPr="00CF7FE6">
        <w:rPr>
          <w:rFonts w:ascii="Verdana" w:hAnsi="Verdana"/>
          <w:sz w:val="20"/>
          <w:szCs w:val="20"/>
          <w:lang w:val="es-ES"/>
        </w:rPr>
        <w:t>” y, muy especialmente, sus artículos relativos al derecho de organizar sindicatos y a afiliarse en ellos y el derecho a la educación</w:t>
      </w:r>
      <w:r w:rsidRPr="00CF7FE6">
        <w:rPr>
          <w:rStyle w:val="FootnoteReference"/>
          <w:szCs w:val="20"/>
          <w:lang w:val="es-ES"/>
        </w:rPr>
        <w:footnoteReference w:id="420"/>
      </w:r>
      <w:r w:rsidRPr="00CF7FE6">
        <w:rPr>
          <w:rFonts w:ascii="Verdana" w:hAnsi="Verdana"/>
          <w:sz w:val="20"/>
          <w:szCs w:val="20"/>
          <w:lang w:val="es-ES"/>
        </w:rPr>
        <w:t>, no serían necesarios para reclamar la violación de estos derechos ante la Corte, pues para ello bastaría solo el artículo 26 citado.</w:t>
      </w:r>
    </w:p>
    <w:p w14:paraId="4796EF11" w14:textId="77777777" w:rsidR="003C2143" w:rsidRPr="00CF7FE6" w:rsidRDefault="003C2143" w:rsidP="003C2143">
      <w:pPr>
        <w:jc w:val="both"/>
        <w:rPr>
          <w:rFonts w:ascii="Verdana" w:hAnsi="Verdana"/>
          <w:sz w:val="20"/>
          <w:szCs w:val="20"/>
          <w:lang w:val="es-ES"/>
        </w:rPr>
      </w:pPr>
    </w:p>
    <w:p w14:paraId="045E363F" w14:textId="77777777" w:rsidR="003C2143" w:rsidRDefault="003C2143" w:rsidP="003C2143">
      <w:pPr>
        <w:jc w:val="both"/>
        <w:rPr>
          <w:rFonts w:ascii="Verdana" w:hAnsi="Verdana"/>
          <w:sz w:val="20"/>
          <w:szCs w:val="20"/>
          <w:lang w:val="es-ES"/>
        </w:rPr>
      </w:pPr>
      <w:r w:rsidRPr="00CF7FE6">
        <w:rPr>
          <w:rFonts w:ascii="Verdana" w:hAnsi="Verdana"/>
          <w:sz w:val="20"/>
          <w:szCs w:val="20"/>
          <w:lang w:val="es-ES"/>
        </w:rPr>
        <w:t>En otras palabras, sobre la base del principio de que "</w:t>
      </w:r>
      <w:r w:rsidRPr="00CF7FE6">
        <w:rPr>
          <w:rFonts w:ascii="Verdana" w:hAnsi="Verdana"/>
          <w:i/>
          <w:sz w:val="20"/>
          <w:szCs w:val="20"/>
          <w:lang w:val="es-ES"/>
        </w:rPr>
        <w:t>donde hay la misma razón legal debe existir igual disposición de derecho"</w:t>
      </w:r>
      <w:r w:rsidRPr="00CF7FE6">
        <w:rPr>
          <w:rFonts w:ascii="Verdana" w:hAnsi="Verdana"/>
          <w:sz w:val="20"/>
          <w:szCs w:val="20"/>
          <w:lang w:val="es-ES"/>
        </w:rPr>
        <w:t xml:space="preserve"> o “</w:t>
      </w:r>
      <w:r w:rsidRPr="00CF7FE6">
        <w:rPr>
          <w:rFonts w:ascii="Verdana" w:hAnsi="Verdana"/>
          <w:i/>
          <w:sz w:val="20"/>
          <w:szCs w:val="20"/>
          <w:lang w:val="es-ES"/>
        </w:rPr>
        <w:t>donde existe la misma razón debe existir la misma disposición</w:t>
      </w:r>
      <w:r w:rsidRPr="00CF7FE6">
        <w:rPr>
          <w:rFonts w:ascii="Verdana" w:hAnsi="Verdana"/>
          <w:sz w:val="20"/>
          <w:szCs w:val="20"/>
          <w:lang w:val="es-ES"/>
        </w:rPr>
        <w:t>”, de seguirse el criterio adoptado por la Sentencia</w:t>
      </w:r>
      <w:r>
        <w:rPr>
          <w:rFonts w:ascii="Verdana" w:hAnsi="Verdana"/>
          <w:sz w:val="20"/>
          <w:szCs w:val="20"/>
          <w:lang w:val="es-ES"/>
        </w:rPr>
        <w:t xml:space="preserve"> y llevándolo a su extremo</w:t>
      </w:r>
      <w:r w:rsidRPr="00CF7FE6">
        <w:rPr>
          <w:rFonts w:ascii="Verdana" w:hAnsi="Verdana"/>
          <w:sz w:val="20"/>
          <w:szCs w:val="20"/>
          <w:lang w:val="es-ES"/>
        </w:rPr>
        <w:t>, no se vislumbraría el motivo por el que no podrían ser también invocad</w:t>
      </w:r>
      <w:r>
        <w:rPr>
          <w:rFonts w:ascii="Verdana" w:hAnsi="Verdana"/>
          <w:sz w:val="20"/>
          <w:szCs w:val="20"/>
          <w:lang w:val="es-ES"/>
        </w:rPr>
        <w:t>os ante la Corte las presuntas violaciones a los</w:t>
      </w:r>
      <w:r w:rsidRPr="00CF7FE6">
        <w:rPr>
          <w:rFonts w:ascii="Verdana" w:hAnsi="Verdana"/>
          <w:sz w:val="20"/>
          <w:szCs w:val="20"/>
          <w:lang w:val="es-ES"/>
        </w:rPr>
        <w:t xml:space="preserve"> derechos humanos que las normas de todo el Capítulo VII de la Carta de la OEA implicarían</w:t>
      </w:r>
      <w:r>
        <w:rPr>
          <w:rStyle w:val="FootnoteReference"/>
          <w:szCs w:val="20"/>
          <w:lang w:val="es-ES"/>
        </w:rPr>
        <w:footnoteReference w:id="421"/>
      </w:r>
      <w:r w:rsidRPr="00CF7FE6">
        <w:rPr>
          <w:rFonts w:ascii="Verdana" w:hAnsi="Verdana"/>
          <w:sz w:val="20"/>
          <w:szCs w:val="20"/>
          <w:lang w:val="es-ES"/>
        </w:rPr>
        <w:t xml:space="preserve">. </w:t>
      </w:r>
    </w:p>
    <w:p w14:paraId="2D53C4E9" w14:textId="77777777" w:rsidR="003C2143" w:rsidRPr="00CF7FE6" w:rsidRDefault="003C2143" w:rsidP="003C2143">
      <w:pPr>
        <w:jc w:val="both"/>
        <w:rPr>
          <w:rFonts w:ascii="Verdana" w:hAnsi="Verdana"/>
          <w:sz w:val="20"/>
          <w:szCs w:val="20"/>
          <w:lang w:val="es-ES"/>
        </w:rPr>
      </w:pPr>
    </w:p>
    <w:p w14:paraId="01B5F710" w14:textId="77777777" w:rsidR="003C2143" w:rsidRPr="00CF7FE6" w:rsidRDefault="003C2143" w:rsidP="003C2143">
      <w:pPr>
        <w:jc w:val="both"/>
        <w:rPr>
          <w:rFonts w:ascii="Verdana" w:hAnsi="Verdana"/>
          <w:sz w:val="20"/>
          <w:szCs w:val="20"/>
          <w:lang w:val="es-ES"/>
        </w:rPr>
      </w:pPr>
      <w:r w:rsidRPr="00CF7FE6">
        <w:rPr>
          <w:rFonts w:ascii="Verdana" w:hAnsi="Verdana"/>
          <w:sz w:val="20"/>
          <w:szCs w:val="20"/>
          <w:lang w:val="es-ES"/>
        </w:rPr>
        <w:t xml:space="preserve">Empero, </w:t>
      </w:r>
      <w:r>
        <w:rPr>
          <w:rFonts w:ascii="Verdana" w:hAnsi="Verdana"/>
          <w:sz w:val="20"/>
          <w:szCs w:val="20"/>
          <w:lang w:val="es-ES"/>
        </w:rPr>
        <w:t>d</w:t>
      </w:r>
      <w:r w:rsidRPr="00652B77">
        <w:rPr>
          <w:rFonts w:ascii="Verdana" w:hAnsi="Verdana"/>
          <w:sz w:val="20"/>
          <w:szCs w:val="20"/>
          <w:lang w:val="es-ES"/>
        </w:rPr>
        <w:t xml:space="preserve">e aceptarse, pues, </w:t>
      </w:r>
      <w:r>
        <w:rPr>
          <w:rFonts w:ascii="Verdana" w:hAnsi="Verdana"/>
          <w:sz w:val="20"/>
          <w:szCs w:val="20"/>
          <w:lang w:val="es-ES"/>
        </w:rPr>
        <w:t>esta conclusión extrema, importaría</w:t>
      </w:r>
      <w:r w:rsidRPr="00652B77">
        <w:rPr>
          <w:rFonts w:ascii="Verdana" w:hAnsi="Verdana"/>
          <w:sz w:val="20"/>
          <w:szCs w:val="20"/>
          <w:lang w:val="es-ES"/>
        </w:rPr>
        <w:t xml:space="preserve"> que todos los Estados Partes de la Convención y que han aceptado su jurisdicción, </w:t>
      </w:r>
      <w:r>
        <w:rPr>
          <w:rFonts w:ascii="Verdana" w:hAnsi="Verdana"/>
          <w:sz w:val="20"/>
          <w:szCs w:val="20"/>
          <w:lang w:val="es-ES"/>
        </w:rPr>
        <w:t xml:space="preserve">eventualmente </w:t>
      </w:r>
      <w:r w:rsidRPr="00652B77">
        <w:rPr>
          <w:rFonts w:ascii="Verdana" w:hAnsi="Verdana"/>
          <w:sz w:val="20"/>
          <w:szCs w:val="20"/>
          <w:lang w:val="es-ES"/>
        </w:rPr>
        <w:t>podrían ser llevados ante la Corte por ser subdesarrollados o en vías de desarrollo, es decir, por no alcanzar plenamente el desarrollo integral o algunas de sus facetas, lo que a todas luces parece alejado de lo que ellos deseaban al firmar la Convención o</w:t>
      </w:r>
      <w:r>
        <w:rPr>
          <w:rFonts w:ascii="Verdana" w:hAnsi="Verdana"/>
          <w:sz w:val="20"/>
          <w:szCs w:val="20"/>
          <w:lang w:val="es-ES"/>
        </w:rPr>
        <w:t>, al menos, de la lógica implícita en ella, en especial, por la forma en que está redactado el mencionado Capítulo VII.</w:t>
      </w:r>
      <w:r w:rsidRPr="00CF7FE6">
        <w:rPr>
          <w:rFonts w:ascii="Verdana" w:hAnsi="Verdana"/>
          <w:sz w:val="20"/>
          <w:szCs w:val="20"/>
          <w:lang w:val="es-ES"/>
        </w:rPr>
        <w:t xml:space="preserve"> </w:t>
      </w:r>
    </w:p>
    <w:p w14:paraId="3CD3E12D" w14:textId="77777777" w:rsidR="003C2143" w:rsidRDefault="003C2143" w:rsidP="003C2143">
      <w:pPr>
        <w:jc w:val="both"/>
        <w:rPr>
          <w:rFonts w:ascii="Verdana" w:hAnsi="Verdana"/>
          <w:sz w:val="20"/>
          <w:szCs w:val="20"/>
          <w:lang w:val="es-ES"/>
        </w:rPr>
      </w:pPr>
    </w:p>
    <w:p w14:paraId="27725651" w14:textId="77777777" w:rsidR="003C2143" w:rsidRPr="00CF7FE6" w:rsidRDefault="003C2143" w:rsidP="003C2143">
      <w:pPr>
        <w:jc w:val="both"/>
        <w:rPr>
          <w:rFonts w:ascii="Verdana" w:hAnsi="Verdana"/>
          <w:sz w:val="20"/>
          <w:szCs w:val="20"/>
          <w:lang w:val="es-ES"/>
        </w:rPr>
      </w:pPr>
      <w:r w:rsidRPr="00CF7FE6">
        <w:rPr>
          <w:rFonts w:ascii="Verdana" w:hAnsi="Verdana"/>
          <w:sz w:val="20"/>
          <w:szCs w:val="20"/>
          <w:lang w:val="es-ES"/>
        </w:rPr>
        <w:t xml:space="preserve">Finalmente, </w:t>
      </w:r>
      <w:r>
        <w:rPr>
          <w:rFonts w:ascii="Verdana" w:hAnsi="Verdana"/>
          <w:sz w:val="20"/>
          <w:szCs w:val="20"/>
          <w:lang w:val="es-ES"/>
        </w:rPr>
        <w:t xml:space="preserve">en tanto acotación suplementaria a lo sostenido en el presente voto, </w:t>
      </w:r>
      <w:r w:rsidRPr="00CF7FE6">
        <w:rPr>
          <w:rFonts w:ascii="Verdana" w:hAnsi="Verdana"/>
          <w:sz w:val="20"/>
          <w:szCs w:val="20"/>
          <w:lang w:val="es-ES"/>
        </w:rPr>
        <w:t xml:space="preserve">habría que recordar que </w:t>
      </w:r>
      <w:r>
        <w:rPr>
          <w:rFonts w:ascii="Verdana" w:hAnsi="Verdana"/>
          <w:sz w:val="20"/>
          <w:szCs w:val="20"/>
          <w:lang w:val="es-ES"/>
        </w:rPr>
        <w:t xml:space="preserve">en otras sentencias </w:t>
      </w:r>
      <w:r w:rsidRPr="00CF7FE6">
        <w:rPr>
          <w:rFonts w:ascii="Verdana" w:hAnsi="Verdana"/>
          <w:sz w:val="20"/>
          <w:szCs w:val="20"/>
          <w:lang w:val="es-ES"/>
        </w:rPr>
        <w:t>de la Corte</w:t>
      </w:r>
      <w:r>
        <w:rPr>
          <w:rFonts w:ascii="Verdana" w:hAnsi="Verdana"/>
          <w:sz w:val="20"/>
          <w:szCs w:val="20"/>
          <w:lang w:val="es-ES"/>
        </w:rPr>
        <w:t xml:space="preserve"> se alcanzó </w:t>
      </w:r>
      <w:r w:rsidRPr="00CF7FE6">
        <w:rPr>
          <w:rFonts w:ascii="Verdana" w:hAnsi="Verdana"/>
          <w:sz w:val="20"/>
          <w:szCs w:val="20"/>
          <w:lang w:val="es-ES"/>
        </w:rPr>
        <w:t>un resultado análogo al que se pretende en autos, aplicando únicamente disposiciones de la Convención referentes a derechos que ésta reconoce, como las que protegen el derecho a la integridad personal, a la propiedad o a las garantías judiciales y la protección judicial, sin haber tenido necesidad de recurrir al mencionado artículo 26</w:t>
      </w:r>
      <w:r w:rsidRPr="00CF7FE6">
        <w:rPr>
          <w:rStyle w:val="FootnoteReference"/>
          <w:szCs w:val="20"/>
          <w:lang w:val="es-ES"/>
        </w:rPr>
        <w:footnoteReference w:id="422"/>
      </w:r>
      <w:r w:rsidRPr="00CF7FE6">
        <w:rPr>
          <w:rFonts w:ascii="Verdana" w:hAnsi="Verdana"/>
          <w:sz w:val="20"/>
          <w:szCs w:val="20"/>
          <w:lang w:val="es-ES"/>
        </w:rPr>
        <w:t>.</w:t>
      </w:r>
    </w:p>
    <w:p w14:paraId="6866192C" w14:textId="77777777" w:rsidR="003C2143" w:rsidRPr="00CF7FE6" w:rsidRDefault="003C2143" w:rsidP="003C2143">
      <w:pPr>
        <w:jc w:val="both"/>
        <w:rPr>
          <w:rFonts w:ascii="Verdana" w:hAnsi="Verdana"/>
          <w:sz w:val="20"/>
          <w:szCs w:val="20"/>
          <w:lang w:val="es-ES"/>
        </w:rPr>
      </w:pPr>
    </w:p>
    <w:p w14:paraId="2FE08C38" w14:textId="77777777" w:rsidR="003C2143" w:rsidRPr="00CF7FE6" w:rsidRDefault="003C2143" w:rsidP="003C2143">
      <w:pPr>
        <w:jc w:val="both"/>
        <w:rPr>
          <w:rFonts w:ascii="Verdana" w:hAnsi="Verdana"/>
          <w:sz w:val="20"/>
          <w:szCs w:val="20"/>
          <w:lang w:val="es-ES"/>
        </w:rPr>
      </w:pPr>
      <w:r w:rsidRPr="00CF7FE6">
        <w:rPr>
          <w:rFonts w:ascii="Verdana" w:hAnsi="Verdana"/>
          <w:b/>
          <w:sz w:val="20"/>
          <w:szCs w:val="20"/>
          <w:lang w:val="es-ES"/>
        </w:rPr>
        <w:t>III.- OTRAS ARGUMENTACIONES ESBOZADAS EN LA SENTENCIA.</w:t>
      </w:r>
      <w:r w:rsidRPr="00CF7FE6">
        <w:rPr>
          <w:rFonts w:ascii="Verdana" w:hAnsi="Verdana"/>
          <w:sz w:val="20"/>
          <w:szCs w:val="20"/>
          <w:lang w:val="es-ES"/>
        </w:rPr>
        <w:t xml:space="preserve"> </w:t>
      </w:r>
    </w:p>
    <w:p w14:paraId="54701503" w14:textId="77777777" w:rsidR="003C2143" w:rsidRPr="00CF7FE6" w:rsidRDefault="003C2143" w:rsidP="003C2143">
      <w:pPr>
        <w:jc w:val="both"/>
        <w:rPr>
          <w:rFonts w:ascii="Verdana" w:hAnsi="Verdana"/>
          <w:sz w:val="20"/>
          <w:szCs w:val="20"/>
          <w:lang w:val="es-ES"/>
        </w:rPr>
      </w:pPr>
    </w:p>
    <w:p w14:paraId="6AE2F7AB" w14:textId="77777777" w:rsidR="003C2143" w:rsidRPr="00CF7FE6" w:rsidRDefault="003C2143" w:rsidP="003C2143">
      <w:pPr>
        <w:jc w:val="both"/>
        <w:rPr>
          <w:rFonts w:ascii="Verdana" w:hAnsi="Verdana"/>
          <w:sz w:val="20"/>
          <w:szCs w:val="20"/>
          <w:lang w:val="es-ES"/>
        </w:rPr>
      </w:pPr>
      <w:r>
        <w:rPr>
          <w:rFonts w:ascii="Verdana" w:hAnsi="Verdana"/>
          <w:sz w:val="20"/>
          <w:szCs w:val="20"/>
          <w:lang w:val="es-ES"/>
        </w:rPr>
        <w:t xml:space="preserve">A </w:t>
      </w:r>
      <w:r w:rsidRPr="00247B4A">
        <w:rPr>
          <w:rFonts w:ascii="Verdana" w:hAnsi="Verdana"/>
          <w:sz w:val="20"/>
          <w:szCs w:val="20"/>
          <w:lang w:val="es-ES"/>
        </w:rPr>
        <w:t>los efectos de reforzar l</w:t>
      </w:r>
      <w:r>
        <w:rPr>
          <w:rFonts w:ascii="Verdana" w:hAnsi="Verdana"/>
          <w:sz w:val="20"/>
          <w:szCs w:val="20"/>
          <w:lang w:val="es-ES"/>
        </w:rPr>
        <w:t>a tesis sostenida en este texto, p</w:t>
      </w:r>
      <w:r w:rsidRPr="00CF7FE6">
        <w:rPr>
          <w:rFonts w:ascii="Verdana" w:hAnsi="Verdana"/>
          <w:sz w:val="20"/>
          <w:szCs w:val="20"/>
          <w:lang w:val="es-ES"/>
        </w:rPr>
        <w:t>arece conveniente referirse también</w:t>
      </w:r>
      <w:r>
        <w:rPr>
          <w:rFonts w:ascii="Verdana" w:hAnsi="Verdana"/>
          <w:sz w:val="20"/>
          <w:szCs w:val="20"/>
          <w:lang w:val="es-ES"/>
        </w:rPr>
        <w:t>, aunque en forma adicional, a ciertas aseveraciones</w:t>
      </w:r>
      <w:r w:rsidRPr="00CF7FE6">
        <w:rPr>
          <w:rFonts w:ascii="Verdana" w:hAnsi="Verdana"/>
          <w:sz w:val="20"/>
          <w:szCs w:val="20"/>
          <w:lang w:val="es-ES"/>
        </w:rPr>
        <w:t xml:space="preserve"> de la Sentenc</w:t>
      </w:r>
      <w:r>
        <w:rPr>
          <w:rFonts w:ascii="Verdana" w:hAnsi="Verdana"/>
          <w:sz w:val="20"/>
          <w:szCs w:val="20"/>
          <w:lang w:val="es-ES"/>
        </w:rPr>
        <w:t>ia, lo que se hace seguidamente.</w:t>
      </w:r>
    </w:p>
    <w:p w14:paraId="20444453" w14:textId="77777777" w:rsidR="003C2143" w:rsidRPr="00CF7FE6" w:rsidRDefault="003C2143" w:rsidP="003C2143">
      <w:pPr>
        <w:jc w:val="both"/>
        <w:rPr>
          <w:rFonts w:ascii="Verdana" w:hAnsi="Verdana"/>
          <w:sz w:val="20"/>
          <w:szCs w:val="20"/>
          <w:lang w:val="es-ES"/>
        </w:rPr>
      </w:pPr>
    </w:p>
    <w:p w14:paraId="75FDD886" w14:textId="77777777" w:rsidR="003C2143" w:rsidRDefault="003C2143" w:rsidP="003C2143">
      <w:pPr>
        <w:jc w:val="both"/>
        <w:rPr>
          <w:rFonts w:ascii="Verdana" w:hAnsi="Verdana"/>
          <w:sz w:val="20"/>
          <w:szCs w:val="20"/>
          <w:lang w:val="es-ES"/>
        </w:rPr>
      </w:pPr>
      <w:r>
        <w:rPr>
          <w:rFonts w:ascii="Verdana" w:hAnsi="Verdana"/>
          <w:sz w:val="20"/>
          <w:szCs w:val="20"/>
          <w:lang w:val="es-ES"/>
        </w:rPr>
        <w:t>1</w:t>
      </w:r>
      <w:r w:rsidRPr="00CF7FE6">
        <w:rPr>
          <w:rFonts w:ascii="Verdana" w:hAnsi="Verdana"/>
          <w:sz w:val="20"/>
          <w:szCs w:val="20"/>
          <w:lang w:val="es-ES"/>
        </w:rPr>
        <w:t xml:space="preserve">.- </w:t>
      </w:r>
      <w:r>
        <w:rPr>
          <w:rFonts w:ascii="Verdana" w:hAnsi="Verdana"/>
          <w:sz w:val="20"/>
          <w:szCs w:val="20"/>
          <w:lang w:val="es-ES"/>
        </w:rPr>
        <w:t xml:space="preserve">La afirmación concerniente </w:t>
      </w:r>
      <w:r w:rsidRPr="00CF7FE6">
        <w:rPr>
          <w:rFonts w:ascii="Verdana" w:hAnsi="Verdana"/>
          <w:sz w:val="20"/>
          <w:szCs w:val="20"/>
          <w:lang w:val="es-ES"/>
        </w:rPr>
        <w:t>a “</w:t>
      </w:r>
      <w:r w:rsidRPr="00731AEA">
        <w:rPr>
          <w:rFonts w:ascii="Verdana" w:hAnsi="Verdana"/>
          <w:i/>
          <w:sz w:val="20"/>
          <w:szCs w:val="20"/>
          <w:lang w:val="es-ES"/>
        </w:rPr>
        <w:t>la interdependencia e indivisibilidad existente entre los derechos civiles y políticos, y los económicos, sociales y culturales</w:t>
      </w:r>
      <w:r>
        <w:rPr>
          <w:rFonts w:ascii="Verdana" w:hAnsi="Verdana"/>
          <w:sz w:val="20"/>
          <w:szCs w:val="20"/>
          <w:lang w:val="es-ES"/>
        </w:rPr>
        <w:t>”</w:t>
      </w:r>
      <w:r w:rsidRPr="00731AEA">
        <w:rPr>
          <w:rFonts w:ascii="Verdana" w:hAnsi="Verdana"/>
          <w:sz w:val="20"/>
          <w:szCs w:val="20"/>
          <w:lang w:val="es-ES"/>
        </w:rPr>
        <w:t xml:space="preserve">, </w:t>
      </w:r>
      <w:r>
        <w:rPr>
          <w:rFonts w:ascii="Verdana" w:hAnsi="Verdana"/>
          <w:sz w:val="20"/>
          <w:szCs w:val="20"/>
          <w:lang w:val="es-ES"/>
        </w:rPr>
        <w:t>por lo “</w:t>
      </w:r>
      <w:r w:rsidRPr="00731AEA">
        <w:rPr>
          <w:rFonts w:ascii="Verdana" w:hAnsi="Verdana"/>
          <w:i/>
          <w:sz w:val="20"/>
          <w:szCs w:val="20"/>
          <w:lang w:val="es-ES"/>
        </w:rPr>
        <w:t>que deben ser entendidos integralmente y de forma conglobada como derechos humanos, sin jerarquía entre sí y exigibles en todos los casos ante aquellas autoridades que resulten competentes para ello</w:t>
      </w:r>
      <w:r w:rsidRPr="00F167BE">
        <w:rPr>
          <w:rFonts w:ascii="Verdana" w:hAnsi="Verdana"/>
          <w:i/>
          <w:sz w:val="20"/>
          <w:szCs w:val="20"/>
          <w:lang w:val="es-ES"/>
        </w:rPr>
        <w:t>”</w:t>
      </w:r>
      <w:r w:rsidRPr="00CF7FE6">
        <w:rPr>
          <w:rStyle w:val="FootnoteReference"/>
          <w:szCs w:val="20"/>
          <w:lang w:val="es-ES"/>
        </w:rPr>
        <w:footnoteReference w:id="423"/>
      </w:r>
      <w:r w:rsidRPr="00CF7FE6">
        <w:rPr>
          <w:rFonts w:ascii="Verdana" w:hAnsi="Verdana"/>
          <w:sz w:val="20"/>
          <w:szCs w:val="20"/>
          <w:lang w:val="es-ES"/>
        </w:rPr>
        <w:t>, en nada implica que la violación de ambos tipos de derechos puedan ser invocados ante la Corte</w:t>
      </w:r>
      <w:r>
        <w:rPr>
          <w:rFonts w:ascii="Verdana" w:hAnsi="Verdana"/>
          <w:sz w:val="20"/>
          <w:szCs w:val="20"/>
          <w:lang w:val="es-ES"/>
        </w:rPr>
        <w:t xml:space="preserve">. Lo sostenido por la Sentencia se podría compartir en la medida en que se entienda que si bien </w:t>
      </w:r>
      <w:r w:rsidRPr="00CF7FE6">
        <w:rPr>
          <w:rFonts w:ascii="Verdana" w:hAnsi="Verdana"/>
          <w:sz w:val="20"/>
          <w:szCs w:val="20"/>
          <w:lang w:val="es-ES"/>
        </w:rPr>
        <w:t>el goce de todos los derechos humanos, incluidos los económicos, sociales y culturales, deben ser respetados</w:t>
      </w:r>
      <w:r>
        <w:rPr>
          <w:rFonts w:ascii="Verdana" w:hAnsi="Verdana"/>
          <w:sz w:val="20"/>
          <w:szCs w:val="20"/>
          <w:lang w:val="es-ES"/>
        </w:rPr>
        <w:t xml:space="preserve"> y que, consecuentemente, todos pueden ser exigibles ante las autoridades competentes, de ello no se desprende que estas últimas sean, siempre y en toda circunstancia y en cuanto a todos los derechos humanos, los tribunales nacionales y, eventualmente, la Corte. Efectivamente y como ya se ha indicado, no se discute que las presuntas violaciones de cualquier derecho humano pueden y aún deben ser reclamadas ante los tribunales nacionales competentes</w:t>
      </w:r>
      <w:r>
        <w:rPr>
          <w:rStyle w:val="FootnoteReference"/>
          <w:szCs w:val="20"/>
          <w:lang w:val="es-ES"/>
        </w:rPr>
        <w:footnoteReference w:id="424"/>
      </w:r>
      <w:r>
        <w:rPr>
          <w:rFonts w:ascii="Verdana" w:hAnsi="Verdana"/>
          <w:sz w:val="20"/>
          <w:szCs w:val="20"/>
          <w:lang w:val="es-ES"/>
        </w:rPr>
        <w:t xml:space="preserve">, pero, lo que se sostienen en el presente voto es que </w:t>
      </w:r>
      <w:r>
        <w:rPr>
          <w:rFonts w:ascii="Verdana" w:hAnsi="Verdana"/>
          <w:sz w:val="20"/>
          <w:szCs w:val="20"/>
          <w:lang w:val="es-ES"/>
        </w:rPr>
        <w:lastRenderedPageBreak/>
        <w:t xml:space="preserve">únicamente algunas de las violaciones de los derechos económicos, sociales y culturales, específicamente las previstas en el Protocolo de San Salvador, pueden ser sometidas a conocimiento y resolución de la Corte.  </w:t>
      </w:r>
    </w:p>
    <w:p w14:paraId="26688B9C" w14:textId="77777777" w:rsidR="003C2143" w:rsidRDefault="003C2143" w:rsidP="003C2143">
      <w:pPr>
        <w:jc w:val="both"/>
        <w:rPr>
          <w:rFonts w:ascii="Verdana" w:hAnsi="Verdana"/>
          <w:sz w:val="20"/>
          <w:szCs w:val="20"/>
          <w:lang w:val="es-ES"/>
        </w:rPr>
      </w:pPr>
    </w:p>
    <w:p w14:paraId="13C0ADFA" w14:textId="77777777" w:rsidR="003C2143" w:rsidRPr="00CF7FE6" w:rsidRDefault="003C2143" w:rsidP="003C2143">
      <w:pPr>
        <w:jc w:val="both"/>
        <w:rPr>
          <w:rFonts w:ascii="Verdana" w:hAnsi="Verdana"/>
          <w:sz w:val="20"/>
          <w:szCs w:val="20"/>
          <w:lang w:val="es-ES"/>
        </w:rPr>
      </w:pPr>
      <w:r>
        <w:rPr>
          <w:rFonts w:ascii="Verdana" w:hAnsi="Verdana"/>
          <w:sz w:val="20"/>
          <w:szCs w:val="20"/>
          <w:lang w:val="es-ES"/>
        </w:rPr>
        <w:t xml:space="preserve">2.- </w:t>
      </w:r>
      <w:r w:rsidRPr="00670DE6">
        <w:rPr>
          <w:rFonts w:ascii="Verdana" w:hAnsi="Verdana"/>
          <w:sz w:val="20"/>
          <w:szCs w:val="20"/>
          <w:lang w:val="es-ES"/>
        </w:rPr>
        <w:t>Igualmente, la declaración de que “</w:t>
      </w:r>
      <w:r w:rsidRPr="00670DE6">
        <w:rPr>
          <w:rFonts w:ascii="Verdana" w:hAnsi="Verdana"/>
          <w:i/>
          <w:sz w:val="20"/>
          <w:szCs w:val="20"/>
          <w:lang w:val="es-ES"/>
        </w:rPr>
        <w:t>el artículo</w:t>
      </w:r>
      <w:r>
        <w:rPr>
          <w:rFonts w:ascii="Verdana" w:hAnsi="Verdana"/>
          <w:i/>
          <w:sz w:val="20"/>
          <w:szCs w:val="20"/>
          <w:lang w:val="es-ES"/>
        </w:rPr>
        <w:t xml:space="preserve"> 26 [</w:t>
      </w:r>
      <w:r w:rsidRPr="00670DE6">
        <w:rPr>
          <w:rFonts w:ascii="Verdana" w:hAnsi="Verdana"/>
          <w:i/>
          <w:sz w:val="20"/>
          <w:szCs w:val="20"/>
          <w:lang w:val="es-ES"/>
        </w:rPr>
        <w:t>...</w:t>
      </w:r>
      <w:r>
        <w:rPr>
          <w:rFonts w:ascii="Verdana" w:hAnsi="Verdana"/>
          <w:i/>
          <w:sz w:val="20"/>
          <w:szCs w:val="20"/>
          <w:lang w:val="es-ES"/>
        </w:rPr>
        <w:t>]</w:t>
      </w:r>
      <w:r w:rsidRPr="00670DE6">
        <w:rPr>
          <w:rFonts w:ascii="Verdana" w:hAnsi="Verdana"/>
          <w:i/>
          <w:sz w:val="20"/>
          <w:szCs w:val="20"/>
          <w:lang w:val="es-ES"/>
        </w:rPr>
        <w:t xml:space="preserve"> está sujeto a las obligaciones generales contenidas en los artículos 1.1 y 2 señalados en el capítulo I (titulado “Enumeración de Deberes”), así como lo están los artículos 3 al 25 señalados en el capítulo II (titulado “Derechos Civiles y Políticos”)</w:t>
      </w:r>
      <w:r>
        <w:rPr>
          <w:rStyle w:val="FootnoteReference"/>
          <w:szCs w:val="20"/>
          <w:lang w:val="es-ES"/>
        </w:rPr>
        <w:footnoteReference w:id="425"/>
      </w:r>
      <w:r w:rsidRPr="00670DE6">
        <w:rPr>
          <w:rFonts w:ascii="Verdana" w:hAnsi="Verdana"/>
          <w:sz w:val="20"/>
          <w:szCs w:val="20"/>
          <w:lang w:val="es-ES"/>
        </w:rPr>
        <w:t>, no conlleva que los derechos que derivan de la Carta de la OEA sean susceptibles de judicializar ante la Corte. Ello significa únicamente, como ya se afirmó, que todos los derechos humanos, incluyendo los derechos económicos, sociales y culturales, aludidos estos últimos en el Capítulo III de la Convención, deben ser respetados y garantizarse su respeto, por así disponerlo los artículos 1 y 2 mencionados.</w:t>
      </w:r>
    </w:p>
    <w:p w14:paraId="61DEFC2D" w14:textId="77777777" w:rsidR="003C2143" w:rsidRPr="00CF7FE6" w:rsidRDefault="003C2143" w:rsidP="003C2143">
      <w:pPr>
        <w:pStyle w:val="ListParagraph"/>
        <w:ind w:left="0"/>
        <w:jc w:val="both"/>
        <w:rPr>
          <w:rFonts w:ascii="Verdana" w:hAnsi="Verdana"/>
          <w:sz w:val="20"/>
          <w:szCs w:val="20"/>
          <w:lang w:val="es-ES"/>
        </w:rPr>
      </w:pPr>
    </w:p>
    <w:p w14:paraId="427D3891" w14:textId="77777777" w:rsidR="003C2143" w:rsidRDefault="003C2143" w:rsidP="003C2143">
      <w:pPr>
        <w:jc w:val="both"/>
        <w:rPr>
          <w:rFonts w:ascii="Verdana" w:hAnsi="Verdana"/>
          <w:sz w:val="20"/>
          <w:szCs w:val="20"/>
          <w:lang w:val="es-ES"/>
        </w:rPr>
      </w:pPr>
      <w:r>
        <w:rPr>
          <w:rFonts w:ascii="Verdana" w:hAnsi="Verdana"/>
          <w:sz w:val="20"/>
          <w:szCs w:val="20"/>
          <w:lang w:val="es-ES"/>
        </w:rPr>
        <w:t>3</w:t>
      </w:r>
      <w:r w:rsidRPr="00CF7FE6">
        <w:rPr>
          <w:rFonts w:ascii="Verdana" w:hAnsi="Verdana"/>
          <w:sz w:val="20"/>
          <w:szCs w:val="20"/>
          <w:lang w:val="es-ES"/>
        </w:rPr>
        <w:t xml:space="preserve">.- </w:t>
      </w:r>
      <w:r w:rsidRPr="00670DE6">
        <w:rPr>
          <w:rFonts w:ascii="Verdana" w:hAnsi="Verdana"/>
          <w:sz w:val="20"/>
          <w:szCs w:val="20"/>
          <w:lang w:val="es-ES"/>
        </w:rPr>
        <w:t xml:space="preserve">La alusión a los artículos </w:t>
      </w:r>
      <w:r w:rsidRPr="00670DE6">
        <w:rPr>
          <w:rFonts w:ascii="Verdana" w:hAnsi="Verdana"/>
          <w:i/>
          <w:sz w:val="20"/>
          <w:szCs w:val="20"/>
          <w:lang w:val="es-ES"/>
        </w:rPr>
        <w:t>“6 del Pacto Internacional de Derechos Económicos, Sociales y Culturales”, “23 de la Declaración Universal de Derechos Humanos” , “7 y 8 de la Carta Social de las Américas”, “6 y 7 del Protocolo Adicional a la Convención Americana sobre Derechos Económicos, Sociales y Culturales”, “11 de la Convención sobre la Eliminación de Todas las Formas de Discriminación contra la Mujer”, “32.1 de la Convención sobre los Derechos del Niño”, “1 de la Carta Social Europea” y “15 de la Carta Africana sobre los Derechos Humanos y de los Pueblos”</w:t>
      </w:r>
      <w:r>
        <w:rPr>
          <w:rStyle w:val="FootnoteReference"/>
          <w:i/>
          <w:szCs w:val="20"/>
          <w:lang w:val="es-ES"/>
        </w:rPr>
        <w:footnoteReference w:id="426"/>
      </w:r>
      <w:r>
        <w:rPr>
          <w:rFonts w:ascii="Verdana" w:hAnsi="Verdana"/>
          <w:sz w:val="20"/>
          <w:szCs w:val="20"/>
          <w:lang w:val="es-ES"/>
        </w:rPr>
        <w:t>, tampoco</w:t>
      </w:r>
      <w:r w:rsidRPr="00670DE6">
        <w:rPr>
          <w:rFonts w:ascii="Verdana" w:hAnsi="Verdana"/>
          <w:sz w:val="20"/>
          <w:szCs w:val="20"/>
          <w:lang w:val="es-ES"/>
        </w:rPr>
        <w:t xml:space="preserve"> constituyen fundamento para sostener que la violación del derecho al trabajo y más específicamente, del derecho a la estabilidad laboral, puede ser conocida y resuelta por la Corte a la luz de lo prescrito en el artículo 26 de la Convención.</w:t>
      </w:r>
    </w:p>
    <w:p w14:paraId="58EFF3EE" w14:textId="77777777" w:rsidR="003C2143" w:rsidRDefault="003C2143" w:rsidP="003C2143">
      <w:pPr>
        <w:jc w:val="both"/>
        <w:rPr>
          <w:rFonts w:ascii="Verdana" w:hAnsi="Verdana"/>
          <w:sz w:val="20"/>
          <w:szCs w:val="20"/>
          <w:lang w:val="es-ES"/>
        </w:rPr>
      </w:pPr>
    </w:p>
    <w:p w14:paraId="086DE8D3" w14:textId="77777777" w:rsidR="003C2143" w:rsidRDefault="003C2143" w:rsidP="003C2143">
      <w:pPr>
        <w:jc w:val="both"/>
        <w:rPr>
          <w:rFonts w:ascii="Verdana" w:hAnsi="Verdana"/>
          <w:sz w:val="20"/>
          <w:szCs w:val="20"/>
          <w:lang w:val="es-ES"/>
        </w:rPr>
      </w:pPr>
      <w:r>
        <w:rPr>
          <w:rFonts w:ascii="Verdana" w:hAnsi="Verdana"/>
          <w:sz w:val="20"/>
          <w:szCs w:val="20"/>
          <w:lang w:val="es-ES"/>
        </w:rPr>
        <w:t xml:space="preserve">4.- </w:t>
      </w:r>
      <w:r w:rsidRPr="000C3877">
        <w:rPr>
          <w:rFonts w:ascii="Verdana" w:hAnsi="Verdana"/>
          <w:sz w:val="20"/>
          <w:szCs w:val="20"/>
          <w:lang w:val="es-ES"/>
        </w:rPr>
        <w:t>Lo mismo acontece con las referencias al Comité de Derechos Económicos, Sociales y Culturales, en su Observación General No. 18 sobre el derecho al trabajo</w:t>
      </w:r>
      <w:r>
        <w:rPr>
          <w:rStyle w:val="FootnoteReference"/>
          <w:szCs w:val="20"/>
          <w:lang w:val="es-ES"/>
        </w:rPr>
        <w:footnoteReference w:id="427"/>
      </w:r>
      <w:r w:rsidRPr="000C3877">
        <w:rPr>
          <w:rFonts w:ascii="Verdana" w:hAnsi="Verdana"/>
          <w:sz w:val="20"/>
          <w:szCs w:val="20"/>
          <w:lang w:val="es-ES"/>
        </w:rPr>
        <w:t>, y al Convenio 158 de la Organización International del Trabajo, sobre la terminación de la relación de trabajo (1982)</w:t>
      </w:r>
      <w:r>
        <w:rPr>
          <w:rStyle w:val="FootnoteReference"/>
          <w:szCs w:val="20"/>
          <w:lang w:val="es-ES"/>
        </w:rPr>
        <w:footnoteReference w:id="428"/>
      </w:r>
      <w:r w:rsidRPr="000C3877">
        <w:rPr>
          <w:rFonts w:ascii="Verdana" w:hAnsi="Verdana"/>
          <w:sz w:val="20"/>
          <w:szCs w:val="20"/>
          <w:lang w:val="es-ES"/>
        </w:rPr>
        <w:t>. En definitiva, las disposiciones citadas no se refieren a ello ni les corresponde hacerlo, sea porque unas tratan de tratados que no tienen relación alguna con la posibilidad de judicializar los derechos económicos, sociales y culturales, sea porque otras son resoluciones de organizaciones internacionales no vinculantes para los Estados, esto es, meras resoluciones, que o bien reflejan aspiraciones políticas, que pueden ser muy legítimas, de que sean incorporadas en el Derecho o bien no interpretan tratado alguno.</w:t>
      </w:r>
    </w:p>
    <w:p w14:paraId="7B89A7B0" w14:textId="77777777" w:rsidR="003C2143" w:rsidRDefault="003C2143" w:rsidP="003C2143">
      <w:pPr>
        <w:jc w:val="both"/>
        <w:rPr>
          <w:rFonts w:ascii="Verdana" w:hAnsi="Verdana"/>
          <w:sz w:val="20"/>
          <w:szCs w:val="20"/>
          <w:lang w:val="es-ES"/>
        </w:rPr>
      </w:pPr>
    </w:p>
    <w:p w14:paraId="6AF2FE40" w14:textId="77777777" w:rsidR="003C2143" w:rsidRDefault="003C2143" w:rsidP="003C2143">
      <w:pPr>
        <w:jc w:val="both"/>
        <w:rPr>
          <w:rFonts w:ascii="Verdana" w:hAnsi="Verdana"/>
          <w:sz w:val="20"/>
          <w:szCs w:val="20"/>
          <w:lang w:val="es-ES"/>
        </w:rPr>
      </w:pPr>
      <w:r w:rsidRPr="000C3877">
        <w:rPr>
          <w:rFonts w:ascii="Verdana" w:hAnsi="Verdana"/>
          <w:sz w:val="20"/>
          <w:szCs w:val="20"/>
          <w:lang w:val="es-ES"/>
        </w:rPr>
        <w:lastRenderedPageBreak/>
        <w:t>5.- Lo sostenido en orden a que “</w:t>
      </w:r>
      <w:r w:rsidRPr="000C3877">
        <w:rPr>
          <w:rFonts w:ascii="Verdana" w:hAnsi="Verdana"/>
          <w:i/>
          <w:sz w:val="20"/>
          <w:szCs w:val="20"/>
          <w:lang w:val="es-ES"/>
        </w:rPr>
        <w:t>la Declaración Americana, constituye, en lo pertinente y en relación con la Carta de la Organización, una fuente de obligaciones internacionales</w:t>
      </w:r>
      <w:r w:rsidRPr="000C3877">
        <w:rPr>
          <w:rFonts w:ascii="Verdana" w:hAnsi="Verdana"/>
          <w:sz w:val="20"/>
          <w:szCs w:val="20"/>
          <w:lang w:val="es-ES"/>
        </w:rPr>
        <w:t>”</w:t>
      </w:r>
      <w:r>
        <w:rPr>
          <w:rStyle w:val="FootnoteReference"/>
          <w:szCs w:val="20"/>
          <w:lang w:val="es-ES"/>
        </w:rPr>
        <w:footnoteReference w:id="429"/>
      </w:r>
      <w:r>
        <w:rPr>
          <w:rFonts w:ascii="Verdana" w:hAnsi="Verdana"/>
          <w:sz w:val="20"/>
          <w:szCs w:val="20"/>
          <w:lang w:val="es-ES"/>
        </w:rPr>
        <w:t xml:space="preserve"> </w:t>
      </w:r>
      <w:r w:rsidRPr="000C3877">
        <w:rPr>
          <w:rFonts w:ascii="Verdana" w:hAnsi="Verdana"/>
          <w:sz w:val="20"/>
          <w:szCs w:val="20"/>
          <w:lang w:val="es-ES"/>
        </w:rPr>
        <w:t>y a lo dispuesto en el artículo 29.d) de la Convención</w:t>
      </w:r>
      <w:r>
        <w:rPr>
          <w:rStyle w:val="FootnoteReference"/>
          <w:szCs w:val="20"/>
          <w:lang w:val="es-ES"/>
        </w:rPr>
        <w:footnoteReference w:id="430"/>
      </w:r>
      <w:r>
        <w:rPr>
          <w:rFonts w:ascii="Verdana" w:hAnsi="Verdana"/>
          <w:sz w:val="20"/>
          <w:szCs w:val="20"/>
          <w:lang w:val="es-ES"/>
        </w:rPr>
        <w:t xml:space="preserve">, </w:t>
      </w:r>
      <w:r w:rsidRPr="000C3877">
        <w:rPr>
          <w:rFonts w:ascii="Verdana" w:hAnsi="Verdana"/>
          <w:sz w:val="20"/>
          <w:szCs w:val="20"/>
          <w:lang w:val="es-ES"/>
        </w:rPr>
        <w:t>no contradice la circunstancia, indiscutida en Derecho Internacional, de que aquella es una resolución de una organización o institución internacional declarativa de derecho y, por ende, aunque no prevista entre las fuentes del Derecho Internacional que contempla el artículo 38 del Estatuto de la Corte Internacional de Justicia</w:t>
      </w:r>
      <w:r>
        <w:rPr>
          <w:rStyle w:val="FootnoteReference"/>
          <w:szCs w:val="20"/>
          <w:lang w:val="es-ES"/>
        </w:rPr>
        <w:footnoteReference w:id="431"/>
      </w:r>
      <w:r w:rsidRPr="000C3877">
        <w:rPr>
          <w:rFonts w:ascii="Verdana" w:hAnsi="Verdana"/>
          <w:sz w:val="20"/>
          <w:szCs w:val="20"/>
          <w:lang w:val="es-ES"/>
        </w:rPr>
        <w:t>, única disposición que lo hace, es una fuente auxiliar del Derecho Internacional, es decir, que sirve “</w:t>
      </w:r>
      <w:r w:rsidRPr="00310630">
        <w:rPr>
          <w:rFonts w:ascii="Verdana" w:hAnsi="Verdana"/>
          <w:i/>
          <w:sz w:val="20"/>
          <w:szCs w:val="20"/>
          <w:lang w:val="es-ES"/>
        </w:rPr>
        <w:t>para la determinación de las reglas de derecho</w:t>
      </w:r>
      <w:r w:rsidRPr="000C3877">
        <w:rPr>
          <w:rFonts w:ascii="Verdana" w:hAnsi="Verdana"/>
          <w:sz w:val="20"/>
          <w:szCs w:val="20"/>
          <w:lang w:val="es-ES"/>
        </w:rPr>
        <w:t>” establecidas por una fuente autónoma del Derecho Internacional. La referida declaración es, entonces, “</w:t>
      </w:r>
      <w:r w:rsidRPr="00310630">
        <w:rPr>
          <w:rFonts w:ascii="Verdana" w:hAnsi="Verdana"/>
          <w:i/>
          <w:sz w:val="20"/>
          <w:szCs w:val="20"/>
          <w:lang w:val="es-ES"/>
        </w:rPr>
        <w:t>fuente de obligaciones internacionales</w:t>
      </w:r>
      <w:r w:rsidRPr="000C3877">
        <w:rPr>
          <w:rFonts w:ascii="Verdana" w:hAnsi="Verdana"/>
          <w:sz w:val="20"/>
          <w:szCs w:val="20"/>
          <w:lang w:val="es-ES"/>
        </w:rPr>
        <w:t>” en la medida que interpreta derechos u obligaciones previstos en alguna de las fuentes autónomas de Derecho Internacional.</w:t>
      </w:r>
    </w:p>
    <w:p w14:paraId="0710CC13" w14:textId="77777777" w:rsidR="003C2143" w:rsidRPr="000C3877" w:rsidRDefault="003C2143" w:rsidP="003C2143">
      <w:pPr>
        <w:jc w:val="both"/>
        <w:rPr>
          <w:rFonts w:ascii="Verdana" w:hAnsi="Verdana"/>
          <w:sz w:val="20"/>
          <w:szCs w:val="20"/>
          <w:lang w:val="es-ES"/>
        </w:rPr>
      </w:pPr>
    </w:p>
    <w:p w14:paraId="2A719AE5" w14:textId="77777777" w:rsidR="003C2143" w:rsidRDefault="003C2143" w:rsidP="003C2143">
      <w:pPr>
        <w:jc w:val="both"/>
        <w:rPr>
          <w:rFonts w:ascii="Verdana" w:hAnsi="Verdana"/>
          <w:sz w:val="20"/>
          <w:szCs w:val="20"/>
          <w:lang w:val="es-ES"/>
        </w:rPr>
      </w:pPr>
      <w:r>
        <w:rPr>
          <w:rFonts w:ascii="Verdana" w:hAnsi="Verdana"/>
          <w:sz w:val="20"/>
          <w:szCs w:val="20"/>
          <w:lang w:val="es-ES"/>
        </w:rPr>
        <w:t xml:space="preserve">6.- </w:t>
      </w:r>
      <w:r w:rsidRPr="000C3877">
        <w:rPr>
          <w:rFonts w:ascii="Verdana" w:hAnsi="Verdana"/>
          <w:sz w:val="20"/>
          <w:szCs w:val="20"/>
          <w:lang w:val="es-ES"/>
        </w:rPr>
        <w:t>Las referencias a todos los documentos recién citados</w:t>
      </w:r>
      <w:r>
        <w:rPr>
          <w:rStyle w:val="FootnoteReference"/>
          <w:szCs w:val="20"/>
          <w:lang w:val="es-ES"/>
        </w:rPr>
        <w:footnoteReference w:id="432"/>
      </w:r>
      <w:r w:rsidRPr="000C3877">
        <w:rPr>
          <w:rFonts w:ascii="Verdana" w:hAnsi="Verdana"/>
          <w:sz w:val="20"/>
          <w:szCs w:val="20"/>
          <w:lang w:val="es-ES"/>
        </w:rPr>
        <w:t>, parecen formularse básicamente para complementar la interpretación en cuanto a la existencia del derecho al trabajo y del derecho a la estabilidad, lo que, se reitera, no se contradice o disiente en el presente escrito, pero no conllevan que dichos textos dispongan que la violación de tales derechos puedan ser sometidas al conocimiento y resolución de la Corte en virtud de lo prescrito en el tantas veces citado artículo 26.</w:t>
      </w:r>
    </w:p>
    <w:p w14:paraId="634FFA30" w14:textId="77777777" w:rsidR="003C2143" w:rsidRDefault="003C2143" w:rsidP="003C2143">
      <w:pPr>
        <w:jc w:val="both"/>
        <w:rPr>
          <w:rFonts w:ascii="Verdana" w:hAnsi="Verdana"/>
          <w:sz w:val="20"/>
          <w:szCs w:val="20"/>
          <w:lang w:val="es-ES"/>
        </w:rPr>
      </w:pPr>
    </w:p>
    <w:p w14:paraId="0E3DE9B8" w14:textId="77777777" w:rsidR="003C2143" w:rsidRDefault="003C2143" w:rsidP="003C2143">
      <w:pPr>
        <w:jc w:val="both"/>
        <w:rPr>
          <w:rFonts w:ascii="Verdana" w:hAnsi="Verdana"/>
          <w:sz w:val="20"/>
          <w:szCs w:val="20"/>
          <w:lang w:val="es-ES"/>
        </w:rPr>
      </w:pPr>
      <w:r>
        <w:rPr>
          <w:rFonts w:ascii="Verdana" w:hAnsi="Verdana"/>
          <w:sz w:val="20"/>
          <w:szCs w:val="20"/>
          <w:lang w:val="es-ES"/>
        </w:rPr>
        <w:t xml:space="preserve">7.- </w:t>
      </w:r>
      <w:r w:rsidRPr="00310630">
        <w:rPr>
          <w:rFonts w:ascii="Verdana" w:hAnsi="Verdana"/>
          <w:sz w:val="20"/>
          <w:szCs w:val="20"/>
          <w:lang w:val="es-ES"/>
        </w:rPr>
        <w:t>La frase de que “</w:t>
      </w:r>
      <w:r w:rsidRPr="00310630">
        <w:rPr>
          <w:rFonts w:ascii="Verdana" w:hAnsi="Verdana"/>
          <w:i/>
          <w:sz w:val="20"/>
          <w:szCs w:val="20"/>
          <w:lang w:val="es-ES"/>
        </w:rPr>
        <w:t>la Corte ejerce una jurisdicción plena sobre todos sus artículos y disposiciones”</w:t>
      </w:r>
      <w:r>
        <w:rPr>
          <w:rStyle w:val="FootnoteReference"/>
          <w:i/>
          <w:szCs w:val="20"/>
          <w:lang w:val="es-ES"/>
        </w:rPr>
        <w:footnoteReference w:id="433"/>
      </w:r>
      <w:r>
        <w:rPr>
          <w:rFonts w:ascii="Verdana" w:hAnsi="Verdana"/>
          <w:sz w:val="20"/>
          <w:szCs w:val="20"/>
          <w:lang w:val="es-ES"/>
        </w:rPr>
        <w:t>, asimismo no</w:t>
      </w:r>
      <w:r w:rsidRPr="00310630">
        <w:rPr>
          <w:rFonts w:ascii="Verdana" w:hAnsi="Verdana"/>
          <w:sz w:val="20"/>
          <w:szCs w:val="20"/>
          <w:lang w:val="es-ES"/>
        </w:rPr>
        <w:t xml:space="preserve"> importa que el artículo 26 de la Convención contempla derechos cuya violación pueda ser llevada a conocimiento y resolución de aquella, sino que indica que ella debe fallar aplicando e interpretando las disposiciones de la Convención</w:t>
      </w:r>
      <w:r>
        <w:rPr>
          <w:rStyle w:val="FootnoteReference"/>
          <w:szCs w:val="20"/>
          <w:lang w:val="es-ES"/>
        </w:rPr>
        <w:footnoteReference w:id="434"/>
      </w:r>
      <w:r w:rsidRPr="00310630">
        <w:rPr>
          <w:rFonts w:ascii="Verdana" w:hAnsi="Verdana"/>
          <w:sz w:val="20"/>
          <w:szCs w:val="20"/>
          <w:lang w:val="es-ES"/>
        </w:rPr>
        <w:t>, lo que debe hacer, por otra parte y como antes se afirmó, respetando el principio de derecho público de que solo procede lo que la norma permite o prescribe.</w:t>
      </w:r>
    </w:p>
    <w:p w14:paraId="783BE8FE" w14:textId="77777777" w:rsidR="003C2143" w:rsidRDefault="003C2143" w:rsidP="003C2143">
      <w:pPr>
        <w:jc w:val="both"/>
        <w:rPr>
          <w:rFonts w:ascii="Verdana" w:hAnsi="Verdana"/>
          <w:sz w:val="20"/>
          <w:szCs w:val="20"/>
          <w:lang w:val="es-ES"/>
        </w:rPr>
      </w:pPr>
    </w:p>
    <w:p w14:paraId="2D665E79" w14:textId="77777777" w:rsidR="003C2143" w:rsidRDefault="003C2143" w:rsidP="003C2143">
      <w:pPr>
        <w:jc w:val="both"/>
        <w:rPr>
          <w:rFonts w:ascii="Verdana" w:hAnsi="Verdana"/>
          <w:sz w:val="20"/>
          <w:szCs w:val="20"/>
          <w:lang w:val="es-ES"/>
        </w:rPr>
      </w:pPr>
      <w:r>
        <w:rPr>
          <w:rFonts w:ascii="Verdana" w:hAnsi="Verdana"/>
          <w:sz w:val="20"/>
          <w:szCs w:val="20"/>
          <w:lang w:val="es-ES"/>
        </w:rPr>
        <w:t>8.- En cuanto a l</w:t>
      </w:r>
      <w:r w:rsidRPr="00CF7FE6">
        <w:rPr>
          <w:rFonts w:ascii="Verdana" w:hAnsi="Verdana"/>
          <w:sz w:val="20"/>
          <w:szCs w:val="20"/>
          <w:lang w:val="es-ES"/>
        </w:rPr>
        <w:t>o señalado respecto a que la Corte “</w:t>
      </w:r>
      <w:r w:rsidRPr="00CF7FE6">
        <w:rPr>
          <w:rFonts w:ascii="Verdana" w:hAnsi="Verdana"/>
          <w:i/>
          <w:sz w:val="20"/>
          <w:szCs w:val="20"/>
          <w:lang w:val="es-ES"/>
        </w:rPr>
        <w:t>tiene el derecho a resolver cualquier controversia relativa a su jurisdicción”</w:t>
      </w:r>
      <w:r w:rsidRPr="00CF7FE6">
        <w:rPr>
          <w:rStyle w:val="FootnoteReference"/>
          <w:szCs w:val="20"/>
          <w:lang w:val="es-ES"/>
        </w:rPr>
        <w:footnoteReference w:id="435"/>
      </w:r>
      <w:r w:rsidRPr="00CF7FE6">
        <w:rPr>
          <w:rFonts w:ascii="Verdana" w:hAnsi="Verdana"/>
          <w:sz w:val="20"/>
          <w:szCs w:val="20"/>
          <w:lang w:val="es-ES"/>
        </w:rPr>
        <w:t xml:space="preserve">, </w:t>
      </w:r>
      <w:r>
        <w:rPr>
          <w:rFonts w:ascii="Verdana" w:hAnsi="Verdana"/>
          <w:sz w:val="20"/>
          <w:szCs w:val="20"/>
          <w:lang w:val="es-ES"/>
        </w:rPr>
        <w:t xml:space="preserve">se debe tener presente que en autos no se aludió </w:t>
      </w:r>
      <w:r w:rsidRPr="00CF7FE6">
        <w:rPr>
          <w:rFonts w:ascii="Verdana" w:hAnsi="Verdana"/>
          <w:sz w:val="20"/>
          <w:szCs w:val="20"/>
          <w:lang w:val="es-ES"/>
        </w:rPr>
        <w:t xml:space="preserve">a la presunta violación de los derechos laborales a la luz de la Convención. Únicamente lo hizo el </w:t>
      </w:r>
      <w:r w:rsidRPr="00CF7FE6">
        <w:rPr>
          <w:rFonts w:ascii="Verdana" w:hAnsi="Verdana"/>
          <w:sz w:val="20"/>
          <w:szCs w:val="20"/>
          <w:lang w:val="es-ES"/>
        </w:rPr>
        <w:lastRenderedPageBreak/>
        <w:t>peticionario, pero solamente ante la Comisión</w:t>
      </w:r>
      <w:r w:rsidRPr="00CF7FE6">
        <w:rPr>
          <w:rStyle w:val="FootnoteReference"/>
          <w:szCs w:val="20"/>
          <w:lang w:val="es-ES"/>
        </w:rPr>
        <w:footnoteReference w:id="436"/>
      </w:r>
      <w:r w:rsidRPr="00CF7FE6">
        <w:rPr>
          <w:rFonts w:ascii="Verdana" w:hAnsi="Verdana"/>
          <w:sz w:val="20"/>
          <w:szCs w:val="20"/>
          <w:lang w:val="es-ES"/>
        </w:rPr>
        <w:t>, sin invocar, por lo demás, la aplicación del artículo 26</w:t>
      </w:r>
      <w:r>
        <w:rPr>
          <w:rFonts w:ascii="Verdana" w:hAnsi="Verdana"/>
          <w:sz w:val="20"/>
          <w:szCs w:val="20"/>
          <w:lang w:val="es-ES"/>
        </w:rPr>
        <w:t>. En rigor, n</w:t>
      </w:r>
      <w:r w:rsidRPr="00CF7FE6">
        <w:rPr>
          <w:rFonts w:ascii="Verdana" w:hAnsi="Verdana"/>
          <w:sz w:val="20"/>
          <w:szCs w:val="20"/>
          <w:lang w:val="es-ES"/>
        </w:rPr>
        <w:t>o hubo, pues, controversia al respecto.</w:t>
      </w:r>
    </w:p>
    <w:p w14:paraId="4B4307B8" w14:textId="77777777" w:rsidR="003C2143" w:rsidRPr="00CF7FE6" w:rsidRDefault="003C2143" w:rsidP="003C2143">
      <w:pPr>
        <w:jc w:val="both"/>
        <w:rPr>
          <w:rFonts w:ascii="Verdana" w:hAnsi="Verdana"/>
          <w:sz w:val="20"/>
          <w:szCs w:val="20"/>
          <w:lang w:val="es-ES"/>
        </w:rPr>
      </w:pPr>
    </w:p>
    <w:p w14:paraId="658C0DC9" w14:textId="77777777" w:rsidR="003C2143" w:rsidRDefault="003C2143" w:rsidP="003C2143">
      <w:pPr>
        <w:jc w:val="both"/>
        <w:rPr>
          <w:rFonts w:ascii="Verdana" w:hAnsi="Verdana"/>
          <w:sz w:val="20"/>
          <w:szCs w:val="20"/>
          <w:lang w:val="es-ES"/>
        </w:rPr>
      </w:pPr>
      <w:r>
        <w:rPr>
          <w:rFonts w:ascii="Verdana" w:hAnsi="Verdana"/>
          <w:sz w:val="20"/>
          <w:szCs w:val="20"/>
          <w:lang w:val="es-ES"/>
        </w:rPr>
        <w:t>9</w:t>
      </w:r>
      <w:r w:rsidRPr="00CF7FE6">
        <w:rPr>
          <w:rFonts w:ascii="Verdana" w:hAnsi="Verdana"/>
          <w:sz w:val="20"/>
          <w:szCs w:val="20"/>
          <w:lang w:val="es-ES"/>
        </w:rPr>
        <w:t>.- La mención a los “</w:t>
      </w:r>
      <w:r w:rsidRPr="00CF7FE6">
        <w:rPr>
          <w:rFonts w:ascii="Verdana" w:hAnsi="Verdana"/>
          <w:i/>
          <w:sz w:val="20"/>
          <w:szCs w:val="20"/>
          <w:lang w:val="es-ES"/>
        </w:rPr>
        <w:t>importantes desarrollos jurisprudenciales en la materia a la luz de diversos artículos convencionales</w:t>
      </w:r>
      <w:r w:rsidRPr="00CF7FE6">
        <w:rPr>
          <w:rFonts w:ascii="Verdana" w:hAnsi="Verdana"/>
          <w:sz w:val="20"/>
          <w:szCs w:val="20"/>
          <w:lang w:val="es-ES"/>
        </w:rPr>
        <w:t>”</w:t>
      </w:r>
      <w:r w:rsidRPr="00CF7FE6">
        <w:rPr>
          <w:rStyle w:val="FootnoteReference"/>
          <w:szCs w:val="20"/>
          <w:lang w:val="es-ES"/>
        </w:rPr>
        <w:footnoteReference w:id="437"/>
      </w:r>
      <w:r w:rsidRPr="00CF7FE6">
        <w:rPr>
          <w:rFonts w:ascii="Verdana" w:hAnsi="Verdana"/>
          <w:sz w:val="20"/>
          <w:szCs w:val="20"/>
          <w:lang w:val="es-ES"/>
        </w:rPr>
        <w:t xml:space="preserve">, debe entenderse también como el empleo de la propia jurisprudencia en tanto fuente auxiliar del Derecho Internacional y no como creadora </w:t>
      </w:r>
      <w:r w:rsidRPr="00CF7FE6">
        <w:rPr>
          <w:rFonts w:ascii="Verdana" w:hAnsi="Verdana"/>
          <w:i/>
          <w:sz w:val="20"/>
          <w:szCs w:val="20"/>
          <w:lang w:val="es-ES"/>
        </w:rPr>
        <w:t>per se</w:t>
      </w:r>
      <w:r w:rsidRPr="00CF7FE6">
        <w:rPr>
          <w:rFonts w:ascii="Verdana" w:hAnsi="Verdana"/>
          <w:sz w:val="20"/>
          <w:szCs w:val="20"/>
          <w:lang w:val="es-ES"/>
        </w:rPr>
        <w:t xml:space="preserve"> de derechos u obligaciones internacionales.</w:t>
      </w:r>
    </w:p>
    <w:p w14:paraId="48F9C018" w14:textId="77777777" w:rsidR="003C2143" w:rsidRPr="00CF7FE6" w:rsidRDefault="003C2143" w:rsidP="003C2143">
      <w:pPr>
        <w:jc w:val="both"/>
        <w:rPr>
          <w:rFonts w:ascii="Verdana" w:hAnsi="Verdana"/>
          <w:sz w:val="20"/>
          <w:szCs w:val="20"/>
          <w:lang w:val="es-ES"/>
        </w:rPr>
      </w:pPr>
    </w:p>
    <w:p w14:paraId="304B3E06" w14:textId="77777777" w:rsidR="003C2143" w:rsidRPr="00CF7FE6" w:rsidRDefault="003C2143" w:rsidP="003C2143">
      <w:pPr>
        <w:jc w:val="both"/>
        <w:rPr>
          <w:rFonts w:ascii="Verdana" w:hAnsi="Verdana"/>
          <w:sz w:val="20"/>
          <w:szCs w:val="20"/>
          <w:lang w:val="es-ES"/>
        </w:rPr>
      </w:pPr>
      <w:r>
        <w:rPr>
          <w:rFonts w:ascii="Verdana" w:hAnsi="Verdana"/>
          <w:sz w:val="20"/>
          <w:szCs w:val="20"/>
          <w:lang w:val="es-ES"/>
        </w:rPr>
        <w:t xml:space="preserve">10.- Finalmente, la evocación </w:t>
      </w:r>
      <w:r w:rsidRPr="00CF7FE6">
        <w:rPr>
          <w:rFonts w:ascii="Verdana" w:hAnsi="Verdana"/>
          <w:sz w:val="20"/>
          <w:szCs w:val="20"/>
          <w:lang w:val="es-ES"/>
        </w:rPr>
        <w:t>a que “</w:t>
      </w:r>
      <w:r w:rsidRPr="00CF7FE6">
        <w:rPr>
          <w:rFonts w:ascii="Verdana" w:hAnsi="Verdana"/>
          <w:i/>
          <w:sz w:val="20"/>
          <w:szCs w:val="20"/>
          <w:lang w:val="es-ES"/>
        </w:rPr>
        <w:t>el derecho al trabajo está reconocido explícitamente en diversas leyes internas de los Estados de la región</w:t>
      </w:r>
      <w:r w:rsidRPr="00CF7FE6">
        <w:rPr>
          <w:rFonts w:ascii="Verdana" w:hAnsi="Verdana"/>
          <w:sz w:val="20"/>
          <w:szCs w:val="20"/>
          <w:lang w:val="es-ES"/>
        </w:rPr>
        <w:t>”</w:t>
      </w:r>
      <w:r w:rsidRPr="00CF7FE6">
        <w:rPr>
          <w:rStyle w:val="FootnoteReference"/>
          <w:szCs w:val="20"/>
          <w:lang w:val="es-ES"/>
        </w:rPr>
        <w:footnoteReference w:id="438"/>
      </w:r>
      <w:r>
        <w:rPr>
          <w:rFonts w:ascii="Verdana" w:hAnsi="Verdana"/>
          <w:sz w:val="20"/>
          <w:szCs w:val="20"/>
          <w:lang w:val="es-ES"/>
        </w:rPr>
        <w:t>, supone únicamente que no hay duda alguna de que en el ámbito interno o sede nacional la presunta violación al derecho al trabajo puede y debe ser invocada ante los tribunales nacionales competentes</w:t>
      </w:r>
      <w:r w:rsidRPr="00CF7FE6">
        <w:rPr>
          <w:rFonts w:ascii="Verdana" w:hAnsi="Verdana"/>
          <w:sz w:val="20"/>
          <w:szCs w:val="20"/>
          <w:lang w:val="es-ES"/>
        </w:rPr>
        <w:t xml:space="preserve"> y no que exista el derecho a reclamar la violación a ese derecho ante la Corte al amparo de lo previsto en el artículo 26 de la Convención.</w:t>
      </w:r>
    </w:p>
    <w:p w14:paraId="519735D5" w14:textId="77777777" w:rsidR="003C2143" w:rsidRPr="00CF7FE6" w:rsidRDefault="003C2143" w:rsidP="003C2143">
      <w:pPr>
        <w:jc w:val="both"/>
        <w:rPr>
          <w:rFonts w:ascii="Verdana" w:hAnsi="Verdana"/>
          <w:sz w:val="20"/>
          <w:szCs w:val="20"/>
          <w:lang w:val="es-ES"/>
        </w:rPr>
      </w:pPr>
    </w:p>
    <w:p w14:paraId="30F91B6D" w14:textId="77777777" w:rsidR="003C2143" w:rsidRPr="00CF7FE6" w:rsidRDefault="003C2143" w:rsidP="003C2143">
      <w:pPr>
        <w:jc w:val="both"/>
        <w:rPr>
          <w:rFonts w:ascii="Verdana" w:hAnsi="Verdana"/>
          <w:b/>
          <w:sz w:val="20"/>
          <w:szCs w:val="20"/>
          <w:lang w:val="es-ES"/>
        </w:rPr>
      </w:pPr>
      <w:r>
        <w:rPr>
          <w:rFonts w:ascii="Verdana" w:hAnsi="Verdana"/>
          <w:b/>
          <w:sz w:val="20"/>
          <w:szCs w:val="20"/>
          <w:lang w:val="es-ES"/>
        </w:rPr>
        <w:t>CONCLUSIÓN</w:t>
      </w:r>
      <w:r w:rsidRPr="00CF7FE6">
        <w:rPr>
          <w:rFonts w:ascii="Verdana" w:hAnsi="Verdana"/>
          <w:b/>
          <w:sz w:val="20"/>
          <w:szCs w:val="20"/>
          <w:lang w:val="es-ES"/>
        </w:rPr>
        <w:t>.</w:t>
      </w:r>
    </w:p>
    <w:p w14:paraId="5F9DDF6A" w14:textId="77777777" w:rsidR="003C2143" w:rsidRPr="00CF7FE6" w:rsidRDefault="003C2143" w:rsidP="003C2143">
      <w:pPr>
        <w:jc w:val="both"/>
        <w:rPr>
          <w:rFonts w:ascii="Verdana" w:hAnsi="Verdana"/>
          <w:b/>
          <w:sz w:val="20"/>
          <w:szCs w:val="20"/>
          <w:lang w:val="es-ES"/>
        </w:rPr>
      </w:pPr>
    </w:p>
    <w:p w14:paraId="4690D5E6" w14:textId="77777777" w:rsidR="003C2143" w:rsidRDefault="003C2143" w:rsidP="003C2143">
      <w:pPr>
        <w:jc w:val="both"/>
        <w:rPr>
          <w:rFonts w:ascii="Verdana" w:hAnsi="Verdana"/>
          <w:sz w:val="20"/>
          <w:szCs w:val="20"/>
          <w:lang w:val="es-ES"/>
        </w:rPr>
      </w:pPr>
      <w:r>
        <w:rPr>
          <w:rFonts w:ascii="Verdana" w:hAnsi="Verdana"/>
          <w:sz w:val="20"/>
          <w:szCs w:val="20"/>
          <w:lang w:val="es-ES"/>
        </w:rPr>
        <w:t xml:space="preserve">En suma, entonces, se discrepa de lo resuelto en la Sentencia habida cuenta que, haciendo la Convención una clara distinción entre los derechos políticos y civiles y los derechos económicos, sociales y culturales, el derecho al trabajo, incluyendo al derecho a la estabilidad en el empleo, en tanto integrante de los últimos mencionados, no es </w:t>
      </w:r>
      <w:r w:rsidRPr="00112B3A">
        <w:rPr>
          <w:rFonts w:ascii="Verdana" w:hAnsi="Verdana"/>
          <w:sz w:val="20"/>
          <w:szCs w:val="20"/>
          <w:lang w:val="es-ES"/>
        </w:rPr>
        <w:t xml:space="preserve"> derecho “</w:t>
      </w:r>
      <w:r w:rsidRPr="00A46621">
        <w:rPr>
          <w:rFonts w:ascii="Verdana" w:hAnsi="Verdana"/>
          <w:i/>
          <w:sz w:val="20"/>
          <w:szCs w:val="20"/>
          <w:lang w:val="es-ES"/>
        </w:rPr>
        <w:t>reconocido</w:t>
      </w:r>
      <w:r>
        <w:rPr>
          <w:rFonts w:ascii="Verdana" w:hAnsi="Verdana"/>
          <w:sz w:val="20"/>
          <w:szCs w:val="20"/>
          <w:lang w:val="es-ES"/>
        </w:rPr>
        <w:t>” en</w:t>
      </w:r>
      <w:r w:rsidRPr="00112B3A">
        <w:rPr>
          <w:rFonts w:ascii="Verdana" w:hAnsi="Verdana"/>
          <w:sz w:val="20"/>
          <w:szCs w:val="20"/>
          <w:lang w:val="es-ES"/>
        </w:rPr>
        <w:t xml:space="preserve"> la Convención y no se encuentra, consecuentemente, al amparo del sistema de protección previsto en ella</w:t>
      </w:r>
      <w:r>
        <w:rPr>
          <w:rFonts w:ascii="Verdana" w:hAnsi="Verdana"/>
          <w:sz w:val="20"/>
          <w:szCs w:val="20"/>
          <w:lang w:val="es-ES"/>
        </w:rPr>
        <w:t xml:space="preserve"> únicamente para el primer tipo de derechos señalados. Para que los derechos económicos sociales y culturales pudieran judicializar ante la Corte, sería menester la suscripción de un protocolo complementario, lo que no ha acontecido, salvo parcialmente en el Protocolo de San Salvador, pero para materias ajenas a las de autos. </w:t>
      </w:r>
    </w:p>
    <w:p w14:paraId="3D6AC414" w14:textId="77777777" w:rsidR="003C2143" w:rsidRDefault="003C2143" w:rsidP="003C2143">
      <w:pPr>
        <w:jc w:val="both"/>
        <w:rPr>
          <w:rFonts w:ascii="Verdana" w:hAnsi="Verdana"/>
          <w:sz w:val="20"/>
          <w:szCs w:val="20"/>
          <w:lang w:val="es-ES"/>
        </w:rPr>
      </w:pPr>
    </w:p>
    <w:p w14:paraId="43F0FFD8" w14:textId="77777777" w:rsidR="003C2143" w:rsidRDefault="003C2143" w:rsidP="003C2143">
      <w:pPr>
        <w:jc w:val="both"/>
        <w:rPr>
          <w:rFonts w:ascii="Verdana" w:hAnsi="Verdana"/>
          <w:sz w:val="20"/>
          <w:szCs w:val="20"/>
          <w:lang w:val="es-ES"/>
        </w:rPr>
      </w:pPr>
      <w:r>
        <w:rPr>
          <w:rFonts w:ascii="Verdana" w:hAnsi="Verdana"/>
          <w:sz w:val="20"/>
          <w:szCs w:val="20"/>
          <w:lang w:val="es-ES"/>
        </w:rPr>
        <w:t>Se disiente también en mérito de que lo que establece el artículo 26 de la Convención son obligaciones de comportamiento de los Estados, no reconocimiento de derechos de los seres humanos, norma que, por lo demás, se remite a la Carta de la OEA, la que, a su vez, tampoco lo hace, sino más bien estipula “</w:t>
      </w:r>
      <w:r w:rsidRPr="00325D8E">
        <w:rPr>
          <w:rFonts w:ascii="Verdana" w:hAnsi="Verdana"/>
          <w:i/>
          <w:sz w:val="20"/>
          <w:szCs w:val="20"/>
          <w:lang w:val="es-ES"/>
        </w:rPr>
        <w:t>metas</w:t>
      </w:r>
      <w:r>
        <w:rPr>
          <w:rFonts w:ascii="Verdana" w:hAnsi="Verdana"/>
          <w:sz w:val="20"/>
          <w:szCs w:val="20"/>
          <w:lang w:val="es-ES"/>
        </w:rPr>
        <w:t>” o “</w:t>
      </w:r>
      <w:r w:rsidRPr="00325D8E">
        <w:rPr>
          <w:rFonts w:ascii="Verdana" w:hAnsi="Verdana"/>
          <w:i/>
          <w:sz w:val="20"/>
          <w:szCs w:val="20"/>
          <w:lang w:val="es-ES"/>
        </w:rPr>
        <w:t>finalidades</w:t>
      </w:r>
      <w:r>
        <w:rPr>
          <w:rFonts w:ascii="Verdana" w:hAnsi="Verdana"/>
          <w:sz w:val="20"/>
          <w:szCs w:val="20"/>
          <w:lang w:val="es-ES"/>
        </w:rPr>
        <w:t xml:space="preserve">” o </w:t>
      </w:r>
      <w:r w:rsidRPr="00380245">
        <w:rPr>
          <w:rFonts w:ascii="Verdana" w:hAnsi="Verdana"/>
          <w:sz w:val="20"/>
          <w:szCs w:val="20"/>
          <w:lang w:val="es-ES"/>
        </w:rPr>
        <w:t>“</w:t>
      </w:r>
      <w:r w:rsidRPr="00380245">
        <w:rPr>
          <w:rFonts w:ascii="Verdana" w:hAnsi="Verdana"/>
          <w:i/>
          <w:sz w:val="20"/>
          <w:szCs w:val="20"/>
          <w:lang w:val="es-ES"/>
        </w:rPr>
        <w:t>principios y mecanismos”</w:t>
      </w:r>
      <w:r>
        <w:rPr>
          <w:rFonts w:ascii="Verdana" w:hAnsi="Verdana"/>
          <w:sz w:val="20"/>
          <w:szCs w:val="20"/>
          <w:lang w:val="es-ES"/>
        </w:rPr>
        <w:t xml:space="preserve"> que los Estados se comprometen a alcanzar o a implementar, según corresponda. Adicionalmente, no se comparte lo decidido puesto que, al permitir que lo previsto en el artículo 26 citado se pueda judicializar ante la Corte, no solo deja sin sentido lo dispuesto tanto en los artículos 31, </w:t>
      </w:r>
      <w:r w:rsidRPr="00CA45E4">
        <w:rPr>
          <w:rFonts w:ascii="Verdana" w:hAnsi="Verdana"/>
          <w:sz w:val="20"/>
          <w:szCs w:val="20"/>
          <w:lang w:val="es-ES"/>
        </w:rPr>
        <w:t xml:space="preserve">76.1 y 77.1 </w:t>
      </w:r>
      <w:r>
        <w:rPr>
          <w:rFonts w:ascii="Verdana" w:hAnsi="Verdana"/>
          <w:sz w:val="20"/>
          <w:szCs w:val="20"/>
          <w:lang w:val="es-ES"/>
        </w:rPr>
        <w:t xml:space="preserve">de la Convención como en el Protocolo de San Salvador, sino que permitiría que todos los derechos que se derivan de la Carta de la OEA lo sean, eventualidad evidentemente del todo alejada de lo convenido.  </w:t>
      </w:r>
    </w:p>
    <w:p w14:paraId="0F93CD60" w14:textId="77777777" w:rsidR="003C2143" w:rsidRDefault="003C2143" w:rsidP="003C2143">
      <w:pPr>
        <w:jc w:val="both"/>
        <w:rPr>
          <w:rFonts w:ascii="Verdana" w:hAnsi="Verdana"/>
          <w:sz w:val="20"/>
          <w:szCs w:val="20"/>
          <w:lang w:val="es-ES"/>
        </w:rPr>
      </w:pPr>
    </w:p>
    <w:p w14:paraId="343A8F6D" w14:textId="77777777" w:rsidR="003C2143" w:rsidRPr="00CF7FE6" w:rsidRDefault="003C2143" w:rsidP="003C2143">
      <w:pPr>
        <w:jc w:val="both"/>
        <w:rPr>
          <w:rFonts w:ascii="Verdana" w:hAnsi="Verdana"/>
          <w:sz w:val="20"/>
          <w:szCs w:val="20"/>
          <w:lang w:val="es-ES"/>
        </w:rPr>
      </w:pPr>
      <w:r>
        <w:rPr>
          <w:rFonts w:ascii="Verdana" w:hAnsi="Verdana"/>
          <w:sz w:val="20"/>
          <w:szCs w:val="20"/>
          <w:lang w:val="es-ES"/>
        </w:rPr>
        <w:t xml:space="preserve">Con lo anterior, </w:t>
      </w:r>
      <w:r w:rsidRPr="00CF7FE6">
        <w:rPr>
          <w:rFonts w:ascii="Verdana" w:hAnsi="Verdana"/>
          <w:sz w:val="20"/>
          <w:szCs w:val="20"/>
          <w:lang w:val="es-ES"/>
        </w:rPr>
        <w:t>s</w:t>
      </w:r>
      <w:r>
        <w:rPr>
          <w:rFonts w:ascii="Verdana" w:hAnsi="Verdana"/>
          <w:sz w:val="20"/>
          <w:szCs w:val="20"/>
          <w:lang w:val="es-ES"/>
        </w:rPr>
        <w:t xml:space="preserve">e reitera </w:t>
      </w:r>
      <w:r w:rsidRPr="00CF7FE6">
        <w:rPr>
          <w:rFonts w:ascii="Verdana" w:hAnsi="Verdana"/>
          <w:sz w:val="20"/>
          <w:szCs w:val="20"/>
          <w:lang w:val="es-ES"/>
        </w:rPr>
        <w:t xml:space="preserve">no se está negando la existencia del derecho a la estabilidad laboral, el que, por lo demás, no figura en esos términos en la Carta de la OEA de cuyas normas, según el artículo 26 de la Convención, derivaría. Únicamente se sostiene que su eventual violación no puede </w:t>
      </w:r>
      <w:r>
        <w:rPr>
          <w:rFonts w:ascii="Verdana" w:hAnsi="Verdana"/>
          <w:sz w:val="20"/>
          <w:szCs w:val="20"/>
          <w:lang w:val="es-ES"/>
        </w:rPr>
        <w:t xml:space="preserve">ser </w:t>
      </w:r>
      <w:r w:rsidRPr="00CF7FE6">
        <w:rPr>
          <w:rFonts w:ascii="Verdana" w:hAnsi="Verdana"/>
          <w:sz w:val="20"/>
          <w:szCs w:val="20"/>
          <w:lang w:val="es-ES"/>
        </w:rPr>
        <w:t xml:space="preserve">sometida al conocimiento y resolución de la Corte, </w:t>
      </w:r>
    </w:p>
    <w:p w14:paraId="459D213D" w14:textId="77777777" w:rsidR="003C2143" w:rsidRPr="00CF7FE6" w:rsidRDefault="003C2143" w:rsidP="003C2143">
      <w:pPr>
        <w:jc w:val="both"/>
        <w:rPr>
          <w:rFonts w:ascii="Verdana" w:hAnsi="Verdana"/>
          <w:sz w:val="20"/>
          <w:szCs w:val="20"/>
          <w:lang w:val="es-ES"/>
        </w:rPr>
      </w:pPr>
    </w:p>
    <w:p w14:paraId="3810F66E" w14:textId="77777777" w:rsidR="003C2143" w:rsidRPr="00CF7FE6" w:rsidRDefault="003C2143" w:rsidP="003C2143">
      <w:pPr>
        <w:jc w:val="both"/>
        <w:rPr>
          <w:rFonts w:ascii="Verdana" w:hAnsi="Verdana"/>
          <w:sz w:val="20"/>
          <w:szCs w:val="20"/>
          <w:lang w:val="es-ES"/>
        </w:rPr>
      </w:pPr>
      <w:r w:rsidRPr="00CF7FE6">
        <w:rPr>
          <w:rFonts w:ascii="Verdana" w:hAnsi="Verdana"/>
          <w:sz w:val="20"/>
          <w:szCs w:val="20"/>
          <w:lang w:val="es-ES"/>
        </w:rPr>
        <w:t xml:space="preserve">Tampoco el presente voto debe ser entendido en orden a que eventualmente no se esté a favor de judicializar los derechos económicos, sociales y culturales. Lo que se considera sobre el particular es que, si se procede a </w:t>
      </w:r>
      <w:r>
        <w:rPr>
          <w:rFonts w:ascii="Verdana" w:hAnsi="Verdana"/>
          <w:sz w:val="20"/>
          <w:szCs w:val="20"/>
          <w:lang w:val="es-ES"/>
        </w:rPr>
        <w:t xml:space="preserve">ello, debe hacerse </w:t>
      </w:r>
      <w:r w:rsidRPr="00CF7FE6">
        <w:rPr>
          <w:rFonts w:ascii="Verdana" w:hAnsi="Verdana"/>
          <w:sz w:val="20"/>
          <w:szCs w:val="20"/>
          <w:lang w:val="es-ES"/>
        </w:rPr>
        <w:t xml:space="preserve">por quién detenta la titularidad de la </w:t>
      </w:r>
      <w:r w:rsidRPr="00CF7FE6">
        <w:rPr>
          <w:rFonts w:ascii="Verdana" w:hAnsi="Verdana"/>
          <w:sz w:val="20"/>
          <w:szCs w:val="20"/>
          <w:lang w:val="es-ES"/>
        </w:rPr>
        <w:lastRenderedPageBreak/>
        <w:t>función normativa</w:t>
      </w:r>
      <w:r>
        <w:rPr>
          <w:rFonts w:ascii="Verdana" w:hAnsi="Verdana"/>
          <w:sz w:val="20"/>
          <w:szCs w:val="20"/>
          <w:lang w:val="es-ES"/>
        </w:rPr>
        <w:t xml:space="preserve"> internacional</w:t>
      </w:r>
      <w:r w:rsidRPr="00CF7FE6">
        <w:rPr>
          <w:rFonts w:ascii="Verdana" w:hAnsi="Verdana"/>
          <w:sz w:val="20"/>
          <w:szCs w:val="20"/>
          <w:lang w:val="es-ES"/>
        </w:rPr>
        <w:t xml:space="preserve">, esto es, </w:t>
      </w:r>
      <w:r>
        <w:rPr>
          <w:rFonts w:ascii="Verdana" w:hAnsi="Verdana"/>
          <w:sz w:val="20"/>
          <w:szCs w:val="20"/>
          <w:lang w:val="es-ES"/>
        </w:rPr>
        <w:t xml:space="preserve">los Estados </w:t>
      </w:r>
      <w:r w:rsidRPr="00CF7FE6">
        <w:rPr>
          <w:rFonts w:ascii="Verdana" w:hAnsi="Verdana"/>
          <w:sz w:val="20"/>
          <w:szCs w:val="20"/>
          <w:lang w:val="es-ES"/>
        </w:rPr>
        <w:t>a través de tratados, costumbre internacional, principios generales de derecho o</w:t>
      </w:r>
      <w:r>
        <w:rPr>
          <w:rFonts w:ascii="Verdana" w:hAnsi="Verdana"/>
          <w:sz w:val="20"/>
          <w:szCs w:val="20"/>
          <w:lang w:val="es-ES"/>
        </w:rPr>
        <w:t xml:space="preserve"> de</w:t>
      </w:r>
      <w:r w:rsidRPr="00CF7FE6">
        <w:rPr>
          <w:rFonts w:ascii="Verdana" w:hAnsi="Verdana"/>
          <w:sz w:val="20"/>
          <w:szCs w:val="20"/>
          <w:lang w:val="es-ES"/>
        </w:rPr>
        <w:t xml:space="preserve"> actos jurídicos unilaterales. No parece conve</w:t>
      </w:r>
      <w:r>
        <w:rPr>
          <w:rFonts w:ascii="Verdana" w:hAnsi="Verdana"/>
          <w:sz w:val="20"/>
          <w:szCs w:val="20"/>
          <w:lang w:val="es-ES"/>
        </w:rPr>
        <w:t>niente que el órgano al que le compete</w:t>
      </w:r>
      <w:r w:rsidRPr="00CF7FE6">
        <w:rPr>
          <w:rFonts w:ascii="Verdana" w:hAnsi="Verdana"/>
          <w:sz w:val="20"/>
          <w:szCs w:val="20"/>
          <w:lang w:val="es-ES"/>
        </w:rPr>
        <w:t xml:space="preserve"> la función judicial interamericana asuma la función normativa internacional, </w:t>
      </w:r>
      <w:r>
        <w:rPr>
          <w:rFonts w:ascii="Verdana" w:hAnsi="Verdana"/>
          <w:sz w:val="20"/>
          <w:szCs w:val="20"/>
          <w:lang w:val="es-ES"/>
        </w:rPr>
        <w:t xml:space="preserve">máxime </w:t>
      </w:r>
      <w:r w:rsidRPr="00CF7FE6">
        <w:rPr>
          <w:rFonts w:ascii="Verdana" w:hAnsi="Verdana"/>
          <w:sz w:val="20"/>
          <w:szCs w:val="20"/>
          <w:lang w:val="es-ES"/>
        </w:rPr>
        <w:t xml:space="preserve">cuando los Estados Partes de la Convención son democráticos y </w:t>
      </w:r>
      <w:r>
        <w:rPr>
          <w:rFonts w:ascii="Verdana" w:hAnsi="Verdana"/>
          <w:sz w:val="20"/>
          <w:szCs w:val="20"/>
          <w:lang w:val="es-ES"/>
        </w:rPr>
        <w:t xml:space="preserve">a su </w:t>
      </w:r>
      <w:r w:rsidRPr="00CF7FE6">
        <w:rPr>
          <w:rFonts w:ascii="Verdana" w:hAnsi="Verdana"/>
          <w:sz w:val="20"/>
          <w:szCs w:val="20"/>
          <w:lang w:val="es-ES"/>
        </w:rPr>
        <w:t>r</w:t>
      </w:r>
      <w:r>
        <w:rPr>
          <w:rFonts w:ascii="Verdana" w:hAnsi="Verdana"/>
          <w:sz w:val="20"/>
          <w:szCs w:val="20"/>
          <w:lang w:val="es-ES"/>
        </w:rPr>
        <w:t xml:space="preserve">especto </w:t>
      </w:r>
      <w:r w:rsidRPr="00CF7FE6">
        <w:rPr>
          <w:rFonts w:ascii="Verdana" w:hAnsi="Verdana"/>
          <w:sz w:val="20"/>
          <w:szCs w:val="20"/>
          <w:lang w:val="es-ES"/>
        </w:rPr>
        <w:t>rige la Carta Democrática Interamericana que prevé la separación de poderes y la participación ciudadana en los asuntos públicos</w:t>
      </w:r>
      <w:r w:rsidRPr="00CF7FE6">
        <w:rPr>
          <w:rStyle w:val="FootnoteReference"/>
          <w:szCs w:val="20"/>
          <w:lang w:val="es-ES"/>
        </w:rPr>
        <w:footnoteReference w:id="439"/>
      </w:r>
      <w:r>
        <w:rPr>
          <w:rFonts w:ascii="Verdana" w:hAnsi="Verdana"/>
          <w:sz w:val="20"/>
          <w:szCs w:val="20"/>
          <w:lang w:val="es-ES"/>
        </w:rPr>
        <w:t>, lo que parecería que también debería reflejarse en lo atinente a la función normativa internacional, particularmente de aquellas normas que les conciernen más directamente.</w:t>
      </w:r>
    </w:p>
    <w:p w14:paraId="7DCAA88F" w14:textId="77777777" w:rsidR="003C2143" w:rsidRPr="00CF7FE6" w:rsidRDefault="003C2143" w:rsidP="003C2143">
      <w:pPr>
        <w:jc w:val="both"/>
        <w:rPr>
          <w:rFonts w:ascii="Verdana" w:hAnsi="Verdana"/>
          <w:sz w:val="20"/>
          <w:szCs w:val="20"/>
          <w:lang w:val="es-ES"/>
        </w:rPr>
      </w:pPr>
    </w:p>
    <w:p w14:paraId="62B1648B" w14:textId="77777777" w:rsidR="003C2143" w:rsidRDefault="003C2143" w:rsidP="003C2143">
      <w:pPr>
        <w:jc w:val="both"/>
        <w:rPr>
          <w:rFonts w:ascii="Verdana" w:hAnsi="Verdana"/>
          <w:sz w:val="20"/>
          <w:szCs w:val="20"/>
          <w:lang w:val="es-ES"/>
        </w:rPr>
      </w:pPr>
      <w:r>
        <w:rPr>
          <w:rFonts w:ascii="Verdana" w:hAnsi="Verdana"/>
          <w:sz w:val="20"/>
          <w:szCs w:val="20"/>
          <w:lang w:val="es-ES"/>
        </w:rPr>
        <w:t>En definitiva</w:t>
      </w:r>
      <w:r w:rsidRPr="00CF7FE6">
        <w:rPr>
          <w:rFonts w:ascii="Verdana" w:hAnsi="Verdana"/>
          <w:sz w:val="20"/>
          <w:szCs w:val="20"/>
          <w:lang w:val="es-ES"/>
        </w:rPr>
        <w:t>, en el presente voto se deja constancia de la discrepancia en cuanto a que en la Sentencia se desarrolle y concrete, por primera vez, “</w:t>
      </w:r>
      <w:r w:rsidRPr="00CF7FE6">
        <w:rPr>
          <w:rFonts w:ascii="Verdana" w:hAnsi="Verdana"/>
          <w:i/>
          <w:sz w:val="20"/>
          <w:szCs w:val="20"/>
          <w:lang w:val="es-ES"/>
        </w:rPr>
        <w:t>una condena específica por la violación del artículo 26 de la Convención, dispuesto en (su) Capítulo III titulado Derechos Económicos, Sociales y Culturales</w:t>
      </w:r>
      <w:r w:rsidRPr="00CF7FE6">
        <w:rPr>
          <w:rFonts w:ascii="Verdana" w:hAnsi="Verdana"/>
          <w:sz w:val="20"/>
          <w:szCs w:val="20"/>
          <w:lang w:val="es-ES"/>
        </w:rPr>
        <w:t>”</w:t>
      </w:r>
      <w:r w:rsidRPr="00CF7FE6">
        <w:rPr>
          <w:rStyle w:val="FootnoteReference"/>
          <w:szCs w:val="20"/>
          <w:lang w:val="es-ES"/>
        </w:rPr>
        <w:footnoteReference w:id="440"/>
      </w:r>
      <w:r w:rsidRPr="00CF7FE6">
        <w:rPr>
          <w:rFonts w:ascii="Verdana" w:hAnsi="Verdana"/>
          <w:sz w:val="20"/>
          <w:szCs w:val="20"/>
          <w:lang w:val="es-ES"/>
        </w:rPr>
        <w:t>.</w:t>
      </w:r>
      <w:r>
        <w:rPr>
          <w:rFonts w:ascii="Verdana" w:hAnsi="Verdana"/>
          <w:sz w:val="20"/>
          <w:szCs w:val="20"/>
          <w:lang w:val="es-ES"/>
        </w:rPr>
        <w:t xml:space="preserve"> </w:t>
      </w:r>
    </w:p>
    <w:p w14:paraId="4A6B063B" w14:textId="77777777" w:rsidR="003C2143" w:rsidRDefault="003C2143" w:rsidP="003C2143">
      <w:pPr>
        <w:jc w:val="both"/>
        <w:rPr>
          <w:rFonts w:ascii="Verdana" w:hAnsi="Verdana"/>
          <w:sz w:val="20"/>
          <w:szCs w:val="20"/>
          <w:lang w:val="es-ES"/>
        </w:rPr>
      </w:pPr>
    </w:p>
    <w:p w14:paraId="06DAE831" w14:textId="77777777" w:rsidR="003C2143" w:rsidRPr="00CF7FE6" w:rsidRDefault="003C2143" w:rsidP="003C2143">
      <w:pPr>
        <w:jc w:val="both"/>
        <w:rPr>
          <w:rFonts w:ascii="Verdana" w:hAnsi="Verdana"/>
          <w:sz w:val="20"/>
          <w:szCs w:val="20"/>
          <w:lang w:val="es-ES"/>
        </w:rPr>
      </w:pPr>
      <w:r w:rsidRPr="00CF7FE6">
        <w:rPr>
          <w:rFonts w:ascii="Verdana" w:hAnsi="Verdana"/>
          <w:sz w:val="20"/>
          <w:szCs w:val="20"/>
          <w:lang w:val="es-ES"/>
        </w:rPr>
        <w:t>Y se procede así, además,</w:t>
      </w:r>
      <w:r>
        <w:rPr>
          <w:rFonts w:ascii="Verdana" w:hAnsi="Verdana"/>
          <w:sz w:val="20"/>
          <w:szCs w:val="20"/>
          <w:lang w:val="es-ES"/>
        </w:rPr>
        <w:t xml:space="preserve"> no solo por las negativas </w:t>
      </w:r>
      <w:r w:rsidRPr="00CF7FE6">
        <w:rPr>
          <w:rFonts w:ascii="Verdana" w:hAnsi="Verdana"/>
          <w:sz w:val="20"/>
          <w:szCs w:val="20"/>
          <w:lang w:val="es-ES"/>
        </w:rPr>
        <w:t>consecuencias que podrí</w:t>
      </w:r>
      <w:r>
        <w:rPr>
          <w:rFonts w:ascii="Verdana" w:hAnsi="Verdana"/>
          <w:sz w:val="20"/>
          <w:szCs w:val="20"/>
          <w:lang w:val="es-ES"/>
        </w:rPr>
        <w:t>a tener tal decisión</w:t>
      </w:r>
      <w:r w:rsidRPr="00CF7FE6">
        <w:rPr>
          <w:rFonts w:ascii="Verdana" w:hAnsi="Verdana"/>
          <w:sz w:val="20"/>
          <w:szCs w:val="20"/>
          <w:lang w:val="es-ES"/>
        </w:rPr>
        <w:t xml:space="preserve">, </w:t>
      </w:r>
      <w:r>
        <w:rPr>
          <w:rFonts w:ascii="Verdana" w:hAnsi="Verdana"/>
          <w:sz w:val="20"/>
          <w:szCs w:val="20"/>
          <w:lang w:val="es-ES"/>
        </w:rPr>
        <w:t xml:space="preserve">sino también porque parece no ponderar la circunstancia de que </w:t>
      </w:r>
      <w:r w:rsidRPr="00CF7FE6">
        <w:rPr>
          <w:rFonts w:ascii="Verdana" w:hAnsi="Verdana"/>
          <w:sz w:val="20"/>
          <w:szCs w:val="20"/>
          <w:lang w:val="es-ES"/>
        </w:rPr>
        <w:t>aún existe, aunque en menor medida que antaño, el ámbito de la jurisdicción interna, doméstica o exclusiva de los Estados</w:t>
      </w:r>
      <w:r>
        <w:rPr>
          <w:rStyle w:val="FootnoteReference"/>
          <w:szCs w:val="20"/>
          <w:lang w:val="es-ES"/>
        </w:rPr>
        <w:footnoteReference w:id="441"/>
      </w:r>
      <w:r>
        <w:rPr>
          <w:rFonts w:ascii="Verdana" w:hAnsi="Verdana"/>
          <w:sz w:val="20"/>
          <w:szCs w:val="20"/>
          <w:lang w:val="es-ES"/>
        </w:rPr>
        <w:t>, también denominado margen de apreciación</w:t>
      </w:r>
      <w:r>
        <w:rPr>
          <w:rStyle w:val="FootnoteReference"/>
          <w:szCs w:val="20"/>
          <w:lang w:val="es-ES"/>
        </w:rPr>
        <w:footnoteReference w:id="442"/>
      </w:r>
      <w:r>
        <w:rPr>
          <w:rFonts w:ascii="Verdana" w:hAnsi="Verdana"/>
          <w:sz w:val="20"/>
          <w:szCs w:val="20"/>
          <w:lang w:val="es-ES"/>
        </w:rPr>
        <w:t xml:space="preserve">, el que evidencia que no todo lo regula el Derecho Internacional y que, en lo atingente a la Convención, se expresa, entre otras normas, tanto en aquella que dispone </w:t>
      </w:r>
      <w:r w:rsidRPr="00CF7FE6">
        <w:rPr>
          <w:rFonts w:ascii="Verdana" w:hAnsi="Verdana"/>
          <w:sz w:val="20"/>
          <w:szCs w:val="20"/>
          <w:lang w:val="es-ES"/>
        </w:rPr>
        <w:t>que es el Estado Parte del caso de que se trata el que d</w:t>
      </w:r>
      <w:r>
        <w:rPr>
          <w:rFonts w:ascii="Verdana" w:hAnsi="Verdana"/>
          <w:sz w:val="20"/>
          <w:szCs w:val="20"/>
          <w:lang w:val="es-ES"/>
        </w:rPr>
        <w:t xml:space="preserve">ebe cumplir </w:t>
      </w:r>
      <w:r w:rsidRPr="00CF7FE6">
        <w:rPr>
          <w:rFonts w:ascii="Verdana" w:hAnsi="Verdana"/>
          <w:sz w:val="20"/>
          <w:szCs w:val="20"/>
          <w:lang w:val="es-ES"/>
        </w:rPr>
        <w:t>el respectivo fallo</w:t>
      </w:r>
      <w:r w:rsidRPr="00CF7FE6">
        <w:rPr>
          <w:rStyle w:val="FootnoteReference"/>
          <w:szCs w:val="20"/>
          <w:lang w:val="es-ES"/>
        </w:rPr>
        <w:footnoteReference w:id="443"/>
      </w:r>
      <w:r>
        <w:rPr>
          <w:rFonts w:ascii="Verdana" w:hAnsi="Verdana"/>
          <w:sz w:val="20"/>
          <w:szCs w:val="20"/>
          <w:lang w:val="es-ES"/>
        </w:rPr>
        <w:t xml:space="preserve"> como en su artículo 26, que deja, en la mencionada esfera, el enjuiciamiento de los derechos económicos, sociales y culturales.</w:t>
      </w:r>
    </w:p>
    <w:p w14:paraId="170A62B7" w14:textId="77777777" w:rsidR="003C2143" w:rsidRPr="00CF7FE6" w:rsidRDefault="003C2143" w:rsidP="003C2143">
      <w:pPr>
        <w:jc w:val="both"/>
        <w:rPr>
          <w:rFonts w:ascii="Verdana" w:hAnsi="Verdana"/>
          <w:sz w:val="20"/>
          <w:szCs w:val="20"/>
          <w:lang w:val="es-ES"/>
        </w:rPr>
      </w:pPr>
    </w:p>
    <w:p w14:paraId="0479C1D4" w14:textId="77777777" w:rsidR="003C2143" w:rsidRPr="00D11632" w:rsidRDefault="003C2143" w:rsidP="003C2143">
      <w:pPr>
        <w:jc w:val="right"/>
        <w:rPr>
          <w:rFonts w:ascii="Verdana" w:hAnsi="Verdana"/>
          <w:sz w:val="20"/>
          <w:szCs w:val="20"/>
          <w:lang w:val="es-ES"/>
        </w:rPr>
      </w:pPr>
    </w:p>
    <w:p w14:paraId="4E0D9019" w14:textId="77777777" w:rsidR="003C2143" w:rsidRDefault="003C2143" w:rsidP="003C2143">
      <w:pPr>
        <w:rPr>
          <w:rFonts w:ascii="Verdana" w:hAnsi="Verdana"/>
          <w:sz w:val="20"/>
          <w:szCs w:val="20"/>
          <w:lang w:val="es-ES"/>
        </w:rPr>
      </w:pPr>
    </w:p>
    <w:p w14:paraId="795DDDC1" w14:textId="77777777" w:rsidR="003C2143" w:rsidRPr="00D11632" w:rsidRDefault="003C2143" w:rsidP="003C2143">
      <w:pPr>
        <w:rPr>
          <w:rFonts w:ascii="Verdana" w:hAnsi="Verdana"/>
          <w:sz w:val="20"/>
          <w:szCs w:val="20"/>
          <w:lang w:val="es-ES"/>
        </w:rPr>
      </w:pPr>
    </w:p>
    <w:p w14:paraId="21112AAE" w14:textId="77777777" w:rsidR="003C2143" w:rsidRPr="00D11632" w:rsidRDefault="003C2143" w:rsidP="003C2143">
      <w:pPr>
        <w:jc w:val="right"/>
        <w:rPr>
          <w:rFonts w:ascii="Verdana" w:hAnsi="Verdana"/>
          <w:sz w:val="20"/>
          <w:szCs w:val="20"/>
          <w:lang w:val="es-ES"/>
        </w:rPr>
      </w:pPr>
    </w:p>
    <w:p w14:paraId="2A9F088A" w14:textId="77777777" w:rsidR="003C2143" w:rsidRPr="00D11632" w:rsidRDefault="003C2143" w:rsidP="003C2143">
      <w:pPr>
        <w:jc w:val="right"/>
        <w:rPr>
          <w:rFonts w:ascii="Verdana" w:hAnsi="Verdana"/>
          <w:sz w:val="20"/>
          <w:szCs w:val="20"/>
          <w:lang w:val="es-ES"/>
        </w:rPr>
      </w:pPr>
    </w:p>
    <w:p w14:paraId="321759DF" w14:textId="77777777" w:rsidR="003C2143" w:rsidRPr="00D11632" w:rsidRDefault="003C2143" w:rsidP="003C2143">
      <w:pPr>
        <w:jc w:val="right"/>
        <w:rPr>
          <w:rFonts w:ascii="Verdana" w:hAnsi="Verdana"/>
          <w:sz w:val="20"/>
          <w:szCs w:val="20"/>
          <w:lang w:val="es-ES"/>
        </w:rPr>
      </w:pPr>
    </w:p>
    <w:p w14:paraId="44DF7B48" w14:textId="77777777" w:rsidR="003C2143" w:rsidRPr="00D11632" w:rsidRDefault="003C2143" w:rsidP="003C2143">
      <w:pPr>
        <w:rPr>
          <w:rFonts w:ascii="Verdana" w:hAnsi="Verdana"/>
          <w:sz w:val="20"/>
          <w:szCs w:val="20"/>
          <w:lang w:val="es-ES"/>
        </w:rPr>
      </w:pPr>
    </w:p>
    <w:p w14:paraId="4C8946A2" w14:textId="77777777" w:rsidR="003C2143" w:rsidRPr="00D11632" w:rsidRDefault="003C2143" w:rsidP="003C2143">
      <w:pPr>
        <w:ind w:right="18"/>
        <w:jc w:val="right"/>
        <w:rPr>
          <w:rFonts w:ascii="Verdana" w:hAnsi="Verdana"/>
          <w:sz w:val="20"/>
          <w:szCs w:val="20"/>
          <w:lang w:val="es-ES"/>
        </w:rPr>
      </w:pPr>
      <w:r w:rsidRPr="00D11632">
        <w:rPr>
          <w:rFonts w:ascii="Verdana" w:hAnsi="Verdana"/>
          <w:sz w:val="20"/>
          <w:szCs w:val="20"/>
          <w:lang w:val="es-ES"/>
        </w:rPr>
        <w:t>Eduardo Vio Grossi</w:t>
      </w:r>
    </w:p>
    <w:p w14:paraId="496787A6" w14:textId="77777777" w:rsidR="003C2143" w:rsidRPr="00D11632" w:rsidRDefault="003C2143" w:rsidP="003C2143">
      <w:pPr>
        <w:ind w:right="738"/>
        <w:jc w:val="right"/>
        <w:rPr>
          <w:rFonts w:ascii="Verdana" w:hAnsi="Verdana"/>
          <w:sz w:val="20"/>
          <w:szCs w:val="20"/>
          <w:lang w:val="es-ES"/>
        </w:rPr>
      </w:pPr>
      <w:r w:rsidRPr="00D11632">
        <w:rPr>
          <w:rFonts w:ascii="Verdana" w:hAnsi="Verdana"/>
          <w:sz w:val="20"/>
          <w:szCs w:val="20"/>
          <w:lang w:val="es-ES"/>
        </w:rPr>
        <w:t>Juez</w:t>
      </w:r>
    </w:p>
    <w:p w14:paraId="23CBBA22" w14:textId="77777777" w:rsidR="003C2143" w:rsidRPr="00D11632" w:rsidRDefault="003C2143" w:rsidP="003C2143">
      <w:pPr>
        <w:jc w:val="right"/>
        <w:rPr>
          <w:rFonts w:ascii="Verdana" w:hAnsi="Verdana"/>
          <w:sz w:val="20"/>
          <w:szCs w:val="20"/>
          <w:lang w:val="es-ES"/>
        </w:rPr>
      </w:pPr>
    </w:p>
    <w:p w14:paraId="59B0611F" w14:textId="77777777" w:rsidR="003C2143" w:rsidRPr="00D11632" w:rsidRDefault="003C2143" w:rsidP="003C2143">
      <w:pPr>
        <w:jc w:val="right"/>
        <w:rPr>
          <w:rFonts w:ascii="Verdana" w:hAnsi="Verdana"/>
          <w:sz w:val="20"/>
          <w:szCs w:val="20"/>
          <w:lang w:val="es-ES"/>
        </w:rPr>
      </w:pPr>
    </w:p>
    <w:p w14:paraId="5E8AD9FF" w14:textId="77777777" w:rsidR="003C2143" w:rsidRPr="00D11632" w:rsidRDefault="003C2143" w:rsidP="003C2143">
      <w:pPr>
        <w:rPr>
          <w:rFonts w:ascii="Verdana" w:hAnsi="Verdana"/>
          <w:sz w:val="20"/>
          <w:szCs w:val="20"/>
          <w:lang w:val="es-ES"/>
        </w:rPr>
      </w:pPr>
    </w:p>
    <w:p w14:paraId="0FD9EF85" w14:textId="77777777" w:rsidR="003C2143" w:rsidRDefault="003C2143" w:rsidP="003C2143">
      <w:pPr>
        <w:rPr>
          <w:rFonts w:ascii="Verdana" w:hAnsi="Verdana"/>
          <w:b/>
          <w:sz w:val="20"/>
          <w:szCs w:val="20"/>
          <w:lang w:val="es-ES"/>
        </w:rPr>
      </w:pPr>
    </w:p>
    <w:p w14:paraId="36C679AA" w14:textId="77777777" w:rsidR="003C2143" w:rsidRDefault="003C2143" w:rsidP="003C2143">
      <w:pPr>
        <w:rPr>
          <w:rFonts w:ascii="Verdana" w:hAnsi="Verdana"/>
          <w:b/>
          <w:sz w:val="20"/>
          <w:szCs w:val="20"/>
          <w:lang w:val="es-ES"/>
        </w:rPr>
      </w:pPr>
    </w:p>
    <w:p w14:paraId="77363902" w14:textId="77777777" w:rsidR="003C2143" w:rsidRDefault="003C2143" w:rsidP="003C2143">
      <w:pPr>
        <w:rPr>
          <w:rFonts w:ascii="Verdana" w:hAnsi="Verdana"/>
          <w:b/>
          <w:sz w:val="20"/>
          <w:szCs w:val="20"/>
          <w:lang w:val="es-ES"/>
        </w:rPr>
      </w:pPr>
    </w:p>
    <w:p w14:paraId="76360227" w14:textId="77777777" w:rsidR="003C2143" w:rsidRDefault="003C2143" w:rsidP="003C2143">
      <w:pPr>
        <w:rPr>
          <w:rFonts w:ascii="Verdana" w:hAnsi="Verdana"/>
          <w:b/>
          <w:sz w:val="20"/>
          <w:szCs w:val="20"/>
          <w:lang w:val="es-ES"/>
        </w:rPr>
      </w:pPr>
    </w:p>
    <w:p w14:paraId="10FD78BF" w14:textId="77777777" w:rsidR="003C2143" w:rsidRDefault="003C2143" w:rsidP="003C2143">
      <w:pPr>
        <w:rPr>
          <w:rFonts w:ascii="Verdana" w:hAnsi="Verdana"/>
          <w:b/>
          <w:sz w:val="20"/>
          <w:szCs w:val="20"/>
          <w:lang w:val="es-ES"/>
        </w:rPr>
      </w:pPr>
    </w:p>
    <w:p w14:paraId="670E047C" w14:textId="77777777" w:rsidR="003C2143" w:rsidRDefault="003C2143" w:rsidP="003C2143">
      <w:pPr>
        <w:rPr>
          <w:rFonts w:ascii="Verdana" w:hAnsi="Verdana"/>
          <w:b/>
          <w:sz w:val="20"/>
          <w:szCs w:val="20"/>
          <w:lang w:val="es-ES"/>
        </w:rPr>
      </w:pPr>
    </w:p>
    <w:p w14:paraId="1FCF05BB" w14:textId="77777777" w:rsidR="003C2143" w:rsidRPr="00D11632" w:rsidRDefault="003C2143" w:rsidP="003C2143">
      <w:pPr>
        <w:rPr>
          <w:rFonts w:ascii="Verdana" w:hAnsi="Verdana"/>
          <w:sz w:val="20"/>
          <w:szCs w:val="20"/>
          <w:lang w:val="es-ES"/>
        </w:rPr>
      </w:pPr>
      <w:r w:rsidRPr="00D11632">
        <w:rPr>
          <w:rFonts w:ascii="Verdana" w:hAnsi="Verdana"/>
          <w:sz w:val="20"/>
          <w:szCs w:val="20"/>
          <w:lang w:val="es-ES"/>
        </w:rPr>
        <w:t>Pablo Saavedra Alessandri</w:t>
      </w:r>
    </w:p>
    <w:p w14:paraId="641B9400" w14:textId="77777777" w:rsidR="003C2143" w:rsidRPr="00D11632" w:rsidRDefault="003C2143" w:rsidP="003C2143">
      <w:pPr>
        <w:ind w:firstLine="720"/>
        <w:rPr>
          <w:rFonts w:ascii="Verdana" w:hAnsi="Verdana"/>
          <w:sz w:val="20"/>
          <w:szCs w:val="20"/>
          <w:lang w:val="es-ES"/>
        </w:rPr>
      </w:pPr>
      <w:r>
        <w:rPr>
          <w:rFonts w:ascii="Verdana" w:hAnsi="Verdana"/>
          <w:sz w:val="20"/>
          <w:szCs w:val="20"/>
          <w:lang w:val="es-ES"/>
        </w:rPr>
        <w:t xml:space="preserve">  </w:t>
      </w:r>
      <w:r w:rsidRPr="00D11632">
        <w:rPr>
          <w:rFonts w:ascii="Verdana" w:hAnsi="Verdana"/>
          <w:sz w:val="20"/>
          <w:szCs w:val="20"/>
          <w:lang w:val="es-ES"/>
        </w:rPr>
        <w:t>Secretario</w:t>
      </w:r>
    </w:p>
    <w:p w14:paraId="11099F44" w14:textId="77777777" w:rsidR="003C2143" w:rsidRPr="00CF7FE6" w:rsidRDefault="003C2143" w:rsidP="003C2143">
      <w:pPr>
        <w:rPr>
          <w:rFonts w:ascii="Verdana" w:hAnsi="Verdana"/>
          <w:sz w:val="20"/>
          <w:szCs w:val="20"/>
          <w:lang w:val="es-ES"/>
        </w:rPr>
      </w:pPr>
    </w:p>
    <w:p w14:paraId="41B8A820" w14:textId="77777777" w:rsidR="00E70701" w:rsidRPr="003C2143" w:rsidRDefault="00E70701" w:rsidP="00324758">
      <w:pPr>
        <w:pStyle w:val="ListParagraph"/>
        <w:widowControl w:val="0"/>
        <w:tabs>
          <w:tab w:val="center" w:pos="567"/>
        </w:tabs>
        <w:autoSpaceDE w:val="0"/>
        <w:autoSpaceDN w:val="0"/>
        <w:adjustRightInd w:val="0"/>
        <w:ind w:left="0" w:right="-90"/>
        <w:jc w:val="both"/>
        <w:rPr>
          <w:rFonts w:ascii="Verdana" w:hAnsi="Verdana"/>
          <w:sz w:val="20"/>
          <w:szCs w:val="20"/>
          <w:lang w:val="es-ES"/>
        </w:rPr>
        <w:sectPr w:rsidR="00E70701" w:rsidRPr="003C2143" w:rsidSect="00F83E8F">
          <w:footnotePr>
            <w:numRestart w:val="eachSect"/>
          </w:footnotePr>
          <w:pgSz w:w="12240" w:h="15840" w:code="1"/>
          <w:pgMar w:top="1247" w:right="1247" w:bottom="1247" w:left="1247" w:header="709" w:footer="709" w:gutter="0"/>
          <w:pgNumType w:start="1"/>
          <w:cols w:space="708"/>
          <w:titlePg/>
          <w:docGrid w:linePitch="360"/>
        </w:sectPr>
      </w:pPr>
    </w:p>
    <w:p w14:paraId="73C0FB23" w14:textId="77777777" w:rsidR="00E70701" w:rsidRDefault="00E70701" w:rsidP="00C44F79">
      <w:pPr>
        <w:tabs>
          <w:tab w:val="left" w:pos="709"/>
        </w:tabs>
        <w:jc w:val="center"/>
        <w:rPr>
          <w:rFonts w:ascii="Verdana" w:hAnsi="Verdana"/>
          <w:b/>
          <w:sz w:val="20"/>
          <w:szCs w:val="20"/>
          <w:lang w:val="es-CR"/>
        </w:rPr>
      </w:pPr>
    </w:p>
    <w:p w14:paraId="4D6F6F91" w14:textId="77777777" w:rsidR="00E70701" w:rsidRDefault="00E70701" w:rsidP="00C44F79">
      <w:pPr>
        <w:tabs>
          <w:tab w:val="left" w:pos="709"/>
        </w:tabs>
        <w:jc w:val="center"/>
        <w:rPr>
          <w:rFonts w:ascii="Verdana" w:hAnsi="Verdana"/>
          <w:b/>
          <w:sz w:val="20"/>
          <w:szCs w:val="20"/>
          <w:lang w:val="es-CR"/>
        </w:rPr>
      </w:pPr>
      <w:r w:rsidRPr="008E47DC">
        <w:rPr>
          <w:rFonts w:ascii="Verdana" w:hAnsi="Verdana"/>
          <w:b/>
          <w:sz w:val="20"/>
          <w:szCs w:val="20"/>
          <w:lang w:val="es-CR"/>
        </w:rPr>
        <w:t xml:space="preserve">VOTO PARCIALMENTE DISIDENTE DEL </w:t>
      </w:r>
    </w:p>
    <w:p w14:paraId="4717DF46" w14:textId="77777777" w:rsidR="00E70701" w:rsidRPr="008E47DC" w:rsidRDefault="00E70701" w:rsidP="00C44F79">
      <w:pPr>
        <w:tabs>
          <w:tab w:val="left" w:pos="709"/>
        </w:tabs>
        <w:jc w:val="center"/>
        <w:rPr>
          <w:rFonts w:ascii="Verdana" w:hAnsi="Verdana"/>
          <w:b/>
          <w:sz w:val="20"/>
          <w:szCs w:val="20"/>
          <w:lang w:val="es-CR"/>
        </w:rPr>
      </w:pPr>
      <w:r w:rsidRPr="008E47DC">
        <w:rPr>
          <w:rFonts w:ascii="Verdana" w:hAnsi="Verdana"/>
          <w:b/>
          <w:sz w:val="20"/>
          <w:szCs w:val="20"/>
          <w:lang w:val="es-CR"/>
        </w:rPr>
        <w:t>JUEZ HUMBERTO ANTONIO SIERRA PORTO</w:t>
      </w:r>
    </w:p>
    <w:p w14:paraId="79DD52D9" w14:textId="77777777" w:rsidR="00E70701" w:rsidRPr="008E47DC" w:rsidRDefault="00E70701" w:rsidP="00C44F79">
      <w:pPr>
        <w:tabs>
          <w:tab w:val="left" w:pos="709"/>
        </w:tabs>
        <w:jc w:val="center"/>
        <w:rPr>
          <w:rFonts w:ascii="Verdana" w:hAnsi="Verdana"/>
          <w:b/>
          <w:sz w:val="20"/>
          <w:szCs w:val="20"/>
          <w:lang w:val="es-CR"/>
        </w:rPr>
      </w:pPr>
    </w:p>
    <w:p w14:paraId="3AC0478B" w14:textId="77777777" w:rsidR="00E70701" w:rsidRPr="008E47DC" w:rsidRDefault="00E70701" w:rsidP="00C44F79">
      <w:pPr>
        <w:tabs>
          <w:tab w:val="left" w:pos="709"/>
        </w:tabs>
        <w:jc w:val="center"/>
        <w:rPr>
          <w:rFonts w:ascii="Verdana" w:hAnsi="Verdana"/>
          <w:b/>
          <w:sz w:val="20"/>
          <w:szCs w:val="20"/>
          <w:lang w:val="es-CR"/>
        </w:rPr>
      </w:pPr>
      <w:r w:rsidRPr="008E47DC">
        <w:rPr>
          <w:rFonts w:ascii="Verdana" w:hAnsi="Verdana"/>
          <w:b/>
          <w:sz w:val="20"/>
          <w:szCs w:val="20"/>
          <w:lang w:val="es-CR"/>
        </w:rPr>
        <w:t>SENTENCIA DE LA CORTE INTERAMERICANA DE DERECHOS HUMANOS</w:t>
      </w:r>
    </w:p>
    <w:p w14:paraId="7D856AF2" w14:textId="77777777" w:rsidR="00E70701" w:rsidRPr="008E47DC" w:rsidRDefault="00E70701" w:rsidP="00C44F79">
      <w:pPr>
        <w:tabs>
          <w:tab w:val="left" w:pos="709"/>
        </w:tabs>
        <w:jc w:val="center"/>
        <w:rPr>
          <w:rFonts w:ascii="Verdana" w:hAnsi="Verdana"/>
          <w:b/>
          <w:sz w:val="20"/>
          <w:szCs w:val="20"/>
          <w:lang w:val="es-CR"/>
        </w:rPr>
      </w:pPr>
    </w:p>
    <w:p w14:paraId="0264C2C0" w14:textId="77777777" w:rsidR="00E70701" w:rsidRPr="008E47DC" w:rsidRDefault="00E70701" w:rsidP="00C44F79">
      <w:pPr>
        <w:tabs>
          <w:tab w:val="left" w:pos="709"/>
        </w:tabs>
        <w:jc w:val="center"/>
        <w:rPr>
          <w:rFonts w:ascii="Verdana" w:hAnsi="Verdana" w:cs="Verdana Bold"/>
          <w:b/>
          <w:bCs/>
          <w:caps/>
          <w:sz w:val="20"/>
          <w:szCs w:val="20"/>
        </w:rPr>
      </w:pPr>
      <w:r w:rsidRPr="008E47DC">
        <w:rPr>
          <w:rFonts w:ascii="Verdana" w:eastAsia="MS Mincho" w:hAnsi="Verdana"/>
          <w:b/>
          <w:sz w:val="20"/>
          <w:szCs w:val="20"/>
        </w:rPr>
        <w:t xml:space="preserve">CASO LAGOS DEL CAMPO </w:t>
      </w:r>
      <w:r w:rsidRPr="008E47DC">
        <w:rPr>
          <w:rFonts w:ascii="Verdana" w:eastAsia="MS Mincho" w:hAnsi="Verdana"/>
          <w:b/>
          <w:i/>
          <w:sz w:val="20"/>
          <w:szCs w:val="20"/>
        </w:rPr>
        <w:t>VS</w:t>
      </w:r>
      <w:r w:rsidRPr="008E47DC">
        <w:rPr>
          <w:rFonts w:ascii="Verdana" w:eastAsia="MS Mincho" w:hAnsi="Verdana"/>
          <w:b/>
          <w:sz w:val="20"/>
          <w:szCs w:val="20"/>
        </w:rPr>
        <w:t>. PERÚ</w:t>
      </w:r>
    </w:p>
    <w:p w14:paraId="6E8FE463" w14:textId="77777777" w:rsidR="00E70701" w:rsidRPr="008E47DC" w:rsidRDefault="00E70701" w:rsidP="00C44F79">
      <w:pPr>
        <w:tabs>
          <w:tab w:val="left" w:pos="709"/>
        </w:tabs>
        <w:jc w:val="center"/>
        <w:rPr>
          <w:rFonts w:ascii="Verdana" w:hAnsi="Verdana"/>
          <w:b/>
          <w:sz w:val="20"/>
          <w:szCs w:val="20"/>
          <w:lang w:val="es-CR"/>
        </w:rPr>
      </w:pPr>
    </w:p>
    <w:p w14:paraId="2139A35A" w14:textId="77777777" w:rsidR="00E70701" w:rsidRPr="008E47DC" w:rsidRDefault="00E70701" w:rsidP="00C44F79">
      <w:pPr>
        <w:tabs>
          <w:tab w:val="left" w:pos="709"/>
        </w:tabs>
        <w:jc w:val="center"/>
        <w:rPr>
          <w:rFonts w:ascii="Verdana" w:hAnsi="Verdana"/>
          <w:b/>
          <w:sz w:val="20"/>
          <w:szCs w:val="20"/>
          <w:lang w:val="es-CR"/>
        </w:rPr>
      </w:pPr>
      <w:r w:rsidRPr="008E47DC">
        <w:rPr>
          <w:rFonts w:ascii="Verdana" w:hAnsi="Verdana"/>
          <w:b/>
          <w:sz w:val="20"/>
          <w:szCs w:val="20"/>
          <w:lang w:val="es-CR"/>
        </w:rPr>
        <w:t>SENTENCIA DE 31 DE AGOSTO DE 2017</w:t>
      </w:r>
    </w:p>
    <w:p w14:paraId="3B3C87FE" w14:textId="77777777" w:rsidR="00E70701" w:rsidRPr="008E47DC" w:rsidRDefault="00E70701" w:rsidP="00C44F79">
      <w:pPr>
        <w:tabs>
          <w:tab w:val="left" w:pos="709"/>
        </w:tabs>
        <w:jc w:val="center"/>
        <w:rPr>
          <w:rFonts w:ascii="Verdana" w:hAnsi="Verdana"/>
          <w:b/>
          <w:sz w:val="20"/>
          <w:szCs w:val="20"/>
          <w:lang w:val="es-CR"/>
        </w:rPr>
      </w:pPr>
    </w:p>
    <w:p w14:paraId="1C39DC04" w14:textId="77777777" w:rsidR="00E70701" w:rsidRPr="00C24C47" w:rsidRDefault="00E70701" w:rsidP="00C44F79">
      <w:pPr>
        <w:tabs>
          <w:tab w:val="left" w:pos="709"/>
        </w:tabs>
        <w:jc w:val="center"/>
        <w:rPr>
          <w:rFonts w:ascii="Verdana" w:hAnsi="Verdana"/>
          <w:b/>
          <w:i/>
          <w:sz w:val="20"/>
          <w:szCs w:val="20"/>
          <w:lang w:val="es-CR"/>
        </w:rPr>
      </w:pPr>
      <w:r w:rsidRPr="00C24C47">
        <w:rPr>
          <w:rFonts w:ascii="Verdana" w:hAnsi="Verdana"/>
          <w:b/>
          <w:i/>
          <w:sz w:val="20"/>
          <w:szCs w:val="20"/>
          <w:lang w:val="es-CR"/>
        </w:rPr>
        <w:t>(Excepciones Preliminares, Fondo, Reparaciones y Costas)</w:t>
      </w:r>
    </w:p>
    <w:p w14:paraId="72BA3687" w14:textId="77777777" w:rsidR="00E70701" w:rsidRDefault="00E70701" w:rsidP="00C44F79">
      <w:pPr>
        <w:jc w:val="both"/>
        <w:rPr>
          <w:rFonts w:ascii="Verdana" w:hAnsi="Verdana" w:cs="Arial"/>
          <w:sz w:val="20"/>
          <w:szCs w:val="20"/>
        </w:rPr>
      </w:pPr>
    </w:p>
    <w:p w14:paraId="6CCAD845" w14:textId="77777777" w:rsidR="00E70701" w:rsidRDefault="00E70701" w:rsidP="00C44F79">
      <w:pPr>
        <w:jc w:val="both"/>
        <w:rPr>
          <w:rFonts w:ascii="Verdana" w:hAnsi="Verdana" w:cs="Arial"/>
          <w:sz w:val="20"/>
          <w:szCs w:val="20"/>
        </w:rPr>
      </w:pPr>
      <w:r>
        <w:rPr>
          <w:rFonts w:ascii="Verdana" w:hAnsi="Verdana" w:cs="Arial"/>
          <w:sz w:val="20"/>
          <w:szCs w:val="20"/>
        </w:rPr>
        <w:t>Con el acostumbrado respeto por las decisiones de la Corte, me permito formular a continuación el presente voto parcialmente disidente en el caso de la referencia. Para efectos del desarrollo de esta posición seguiremos el siguiente orden:</w:t>
      </w:r>
    </w:p>
    <w:p w14:paraId="3CD7B93E" w14:textId="77777777" w:rsidR="00E70701" w:rsidRPr="008E47DC" w:rsidRDefault="00E70701" w:rsidP="00C44F79">
      <w:pPr>
        <w:jc w:val="both"/>
        <w:rPr>
          <w:rFonts w:ascii="Verdana" w:hAnsi="Verdana" w:cs="Arial"/>
          <w:sz w:val="20"/>
          <w:szCs w:val="20"/>
        </w:rPr>
      </w:pPr>
    </w:p>
    <w:p w14:paraId="3AEA41D6" w14:textId="77777777" w:rsidR="00E70701" w:rsidRPr="00966D31" w:rsidRDefault="00E70701" w:rsidP="00E70701">
      <w:pPr>
        <w:pStyle w:val="ListParagraph"/>
        <w:numPr>
          <w:ilvl w:val="0"/>
          <w:numId w:val="36"/>
        </w:numPr>
        <w:jc w:val="both"/>
        <w:rPr>
          <w:rFonts w:ascii="Verdana" w:hAnsi="Verdana" w:cs="Arial"/>
          <w:b/>
          <w:sz w:val="20"/>
          <w:szCs w:val="20"/>
        </w:rPr>
      </w:pPr>
      <w:r w:rsidRPr="00966D31">
        <w:rPr>
          <w:rFonts w:ascii="Verdana" w:hAnsi="Verdana" w:cs="Arial"/>
          <w:b/>
          <w:sz w:val="20"/>
          <w:szCs w:val="20"/>
        </w:rPr>
        <w:t>INTRODUCCIÓN</w:t>
      </w:r>
    </w:p>
    <w:p w14:paraId="47EC7F11" w14:textId="77777777" w:rsidR="00E70701" w:rsidRDefault="00E70701" w:rsidP="00C44F79">
      <w:pPr>
        <w:jc w:val="both"/>
        <w:rPr>
          <w:rFonts w:ascii="Verdana" w:hAnsi="Verdana" w:cs="Arial"/>
          <w:sz w:val="20"/>
          <w:szCs w:val="20"/>
        </w:rPr>
      </w:pPr>
    </w:p>
    <w:p w14:paraId="56D37E39" w14:textId="77777777" w:rsidR="00E70701" w:rsidRDefault="00E70701" w:rsidP="00E70701">
      <w:pPr>
        <w:pStyle w:val="ListParagraph"/>
        <w:numPr>
          <w:ilvl w:val="0"/>
          <w:numId w:val="37"/>
        </w:numPr>
        <w:ind w:left="0" w:firstLine="0"/>
        <w:jc w:val="both"/>
        <w:rPr>
          <w:rFonts w:ascii="Verdana" w:hAnsi="Verdana" w:cs="Arial"/>
          <w:sz w:val="20"/>
          <w:szCs w:val="20"/>
        </w:rPr>
      </w:pPr>
      <w:r w:rsidRPr="00966D31">
        <w:rPr>
          <w:rFonts w:ascii="Verdana" w:hAnsi="Verdana" w:cs="Arial"/>
          <w:sz w:val="20"/>
          <w:szCs w:val="20"/>
        </w:rPr>
        <w:t xml:space="preserve">El presente voto parcialmente disidente tiene la intención de presentar de forma detallada las razones por las cuales voté en contra del punto resolutivo quinto en la Sentencia del </w:t>
      </w:r>
      <w:r>
        <w:rPr>
          <w:rFonts w:ascii="Verdana" w:hAnsi="Verdana" w:cs="Arial"/>
          <w:i/>
          <w:sz w:val="20"/>
          <w:szCs w:val="20"/>
        </w:rPr>
        <w:t>C</w:t>
      </w:r>
      <w:r w:rsidRPr="00C24C47">
        <w:rPr>
          <w:rFonts w:ascii="Verdana" w:hAnsi="Verdana" w:cs="Arial"/>
          <w:i/>
          <w:sz w:val="20"/>
          <w:szCs w:val="20"/>
        </w:rPr>
        <w:t>aso Lagos del Campo Vs. Perú</w:t>
      </w:r>
      <w:r w:rsidRPr="00966D31">
        <w:rPr>
          <w:rFonts w:ascii="Verdana" w:hAnsi="Verdana" w:cs="Arial"/>
          <w:sz w:val="20"/>
          <w:szCs w:val="20"/>
        </w:rPr>
        <w:t xml:space="preserve">. En efecto, mi posición respecto a hacer justiciables los denominados derechos económicos, sociales y culturales (DESC) a través de una aplicación directa del artículo 26 de la Convención Americana sobre Derechos Humanos (CADH), ya es conocida, dado que hace dos años presenté un voto concurrente sobre la materia en el </w:t>
      </w:r>
      <w:r w:rsidRPr="00C24C47">
        <w:rPr>
          <w:rFonts w:ascii="Verdana" w:hAnsi="Verdana" w:cs="Arial"/>
          <w:i/>
          <w:sz w:val="20"/>
          <w:szCs w:val="20"/>
        </w:rPr>
        <w:t xml:space="preserve">Caso González </w:t>
      </w:r>
      <w:proofErr w:type="spellStart"/>
      <w:r w:rsidRPr="00C24C47">
        <w:rPr>
          <w:rFonts w:ascii="Verdana" w:hAnsi="Verdana" w:cs="Arial"/>
          <w:i/>
          <w:sz w:val="20"/>
          <w:szCs w:val="20"/>
        </w:rPr>
        <w:t>Lluy</w:t>
      </w:r>
      <w:proofErr w:type="spellEnd"/>
      <w:r w:rsidRPr="00C24C47">
        <w:rPr>
          <w:rFonts w:ascii="Verdana" w:hAnsi="Verdana" w:cs="Arial"/>
          <w:i/>
          <w:sz w:val="20"/>
          <w:szCs w:val="20"/>
        </w:rPr>
        <w:t xml:space="preserve"> y otros Vs. Ecuador</w:t>
      </w:r>
      <w:r w:rsidRPr="00966D31">
        <w:rPr>
          <w:rFonts w:ascii="Verdana" w:hAnsi="Verdana" w:cs="Arial"/>
          <w:sz w:val="20"/>
          <w:szCs w:val="20"/>
        </w:rPr>
        <w:t xml:space="preserve">. En aquella oportunidad, </w:t>
      </w:r>
      <w:r>
        <w:rPr>
          <w:rFonts w:ascii="Verdana" w:hAnsi="Verdana" w:cs="Arial"/>
          <w:sz w:val="20"/>
          <w:szCs w:val="20"/>
        </w:rPr>
        <w:t>indique</w:t>
      </w:r>
      <w:r w:rsidRPr="00966D31">
        <w:rPr>
          <w:rFonts w:ascii="Verdana" w:hAnsi="Verdana" w:cs="Arial"/>
          <w:sz w:val="20"/>
          <w:szCs w:val="20"/>
        </w:rPr>
        <w:t xml:space="preserve"> los argumentos jurídicos que sustentan mi posición con la esperanza de que estos fuesen parte del debate interno y externo que se ha dado sobre la aplicabilidad del citado artículo de la Convención, pero también con </w:t>
      </w:r>
      <w:r>
        <w:rPr>
          <w:rFonts w:ascii="Verdana" w:hAnsi="Verdana" w:cs="Arial"/>
          <w:sz w:val="20"/>
          <w:szCs w:val="20"/>
        </w:rPr>
        <w:t>el propósito</w:t>
      </w:r>
      <w:r w:rsidRPr="00966D31">
        <w:rPr>
          <w:rFonts w:ascii="Verdana" w:hAnsi="Verdana" w:cs="Arial"/>
          <w:sz w:val="20"/>
          <w:szCs w:val="20"/>
        </w:rPr>
        <w:t xml:space="preserve"> de disuadir a quienes abogaban a favor del paso que la Corte IDH ha dado en esta Sentencia.</w:t>
      </w:r>
    </w:p>
    <w:p w14:paraId="0A9E42C0" w14:textId="77777777" w:rsidR="00E70701" w:rsidRDefault="00E70701" w:rsidP="00C44F79">
      <w:pPr>
        <w:pStyle w:val="ListParagraph"/>
        <w:ind w:left="0"/>
        <w:jc w:val="both"/>
        <w:rPr>
          <w:rFonts w:ascii="Verdana" w:hAnsi="Verdana" w:cs="Arial"/>
          <w:sz w:val="20"/>
          <w:szCs w:val="20"/>
        </w:rPr>
      </w:pPr>
    </w:p>
    <w:p w14:paraId="747384C2" w14:textId="77777777" w:rsidR="00E70701" w:rsidRDefault="00E70701" w:rsidP="00E70701">
      <w:pPr>
        <w:pStyle w:val="ListParagraph"/>
        <w:numPr>
          <w:ilvl w:val="0"/>
          <w:numId w:val="37"/>
        </w:numPr>
        <w:ind w:left="0" w:firstLine="0"/>
        <w:jc w:val="both"/>
        <w:rPr>
          <w:rFonts w:ascii="Verdana" w:hAnsi="Verdana" w:cs="Arial"/>
          <w:sz w:val="20"/>
          <w:szCs w:val="20"/>
        </w:rPr>
      </w:pPr>
      <w:r>
        <w:rPr>
          <w:rFonts w:ascii="Verdana" w:hAnsi="Verdana" w:cs="Arial"/>
          <w:sz w:val="20"/>
          <w:szCs w:val="20"/>
        </w:rPr>
        <w:t xml:space="preserve">Lo anterior no significa que sea contrario en general a la tesis de que los DESC son derechos justiciables, por el contrario, durante mi paso por la Corte Constitucional colombiana tuve oportunidad de contribuir al desarrollo de líneas jurisprudenciales relacionadas con el carácter de derechos fundamentales y por lo tanto la exigibilidad mediante la acción de tutela del derecho a la salud, el derecho a la vivienda digna, el derecho al agua potable y el derecho a la seguridad social, entre otros. No obstante, considero que existen diferencias sustanciales entre la Constitución Colombiana y la CADH, por una parte, y entre el rol de un juez de un tribunal constitucional y el papel que corresponde a un juez que hace parte de un tribunal internacional de derechos humanos, por otra parte. </w:t>
      </w:r>
    </w:p>
    <w:p w14:paraId="0EB8EB7C" w14:textId="77777777" w:rsidR="00E70701" w:rsidRPr="000F5A5E" w:rsidRDefault="00E70701" w:rsidP="00C44F79">
      <w:pPr>
        <w:pStyle w:val="ListParagraph"/>
        <w:rPr>
          <w:rFonts w:ascii="Verdana" w:hAnsi="Verdana" w:cs="Arial"/>
          <w:sz w:val="20"/>
          <w:szCs w:val="20"/>
        </w:rPr>
      </w:pPr>
    </w:p>
    <w:p w14:paraId="0EBE0F78" w14:textId="32FC768D" w:rsidR="00E70701" w:rsidRPr="00705592" w:rsidRDefault="00E70701" w:rsidP="00C44F79">
      <w:pPr>
        <w:pStyle w:val="ListParagraph"/>
        <w:numPr>
          <w:ilvl w:val="0"/>
          <w:numId w:val="37"/>
        </w:numPr>
        <w:ind w:left="0" w:firstLine="0"/>
        <w:jc w:val="both"/>
        <w:rPr>
          <w:rFonts w:ascii="Verdana" w:hAnsi="Verdana" w:cs="Arial"/>
          <w:sz w:val="20"/>
          <w:szCs w:val="20"/>
        </w:rPr>
      </w:pPr>
      <w:r w:rsidRPr="00705592">
        <w:rPr>
          <w:rFonts w:ascii="Verdana" w:hAnsi="Verdana" w:cs="Arial"/>
          <w:sz w:val="20"/>
          <w:szCs w:val="20"/>
        </w:rPr>
        <w:t xml:space="preserve">Asimismo de mi experiencia como juez de un tribunal nacional cuya trayectoria en la </w:t>
      </w:r>
      <w:proofErr w:type="spellStart"/>
      <w:r w:rsidRPr="00705592">
        <w:rPr>
          <w:rFonts w:ascii="Verdana" w:hAnsi="Verdana" w:cs="Arial"/>
          <w:sz w:val="20"/>
          <w:szCs w:val="20"/>
        </w:rPr>
        <w:t>justiciabilidad</w:t>
      </w:r>
      <w:proofErr w:type="spellEnd"/>
      <w:r w:rsidRPr="00705592">
        <w:rPr>
          <w:rFonts w:ascii="Verdana" w:hAnsi="Verdana" w:cs="Arial"/>
          <w:sz w:val="20"/>
          <w:szCs w:val="20"/>
        </w:rPr>
        <w:t xml:space="preserve"> directa de los DESC es ampliamente conocida, me queda la clara percepción de las dificultades que supone que un órgano judicial asuma competencias en esta materia, pues aunque no siempre la protección de estos derechos supone la adopción de políticas públicas o tomar decisiones sobre bienes escasos o meritorios, en numerosos casos sometidos a conocimiento de una autoridad judicial si se requiere, lo que indefectiblemente conduce al debate sobre del rol de los jueces en un Estado social de derecho y sobre cuál es el órgano legitimado para adoptar estas decisiones en un sistema democrático.</w:t>
      </w:r>
    </w:p>
    <w:p w14:paraId="2C64351A" w14:textId="77777777" w:rsidR="00E70701" w:rsidRPr="000F5A5E" w:rsidRDefault="00E70701" w:rsidP="00C44F79">
      <w:pPr>
        <w:pStyle w:val="ListParagraph"/>
        <w:rPr>
          <w:rFonts w:ascii="Verdana" w:hAnsi="Verdana" w:cs="Arial"/>
          <w:sz w:val="20"/>
          <w:szCs w:val="20"/>
        </w:rPr>
      </w:pPr>
    </w:p>
    <w:p w14:paraId="1B55FD5D" w14:textId="77777777" w:rsidR="00E70701" w:rsidRPr="00966D31" w:rsidRDefault="00E70701" w:rsidP="00E70701">
      <w:pPr>
        <w:pStyle w:val="ListParagraph"/>
        <w:numPr>
          <w:ilvl w:val="0"/>
          <w:numId w:val="37"/>
        </w:numPr>
        <w:ind w:left="0" w:firstLine="0"/>
        <w:jc w:val="both"/>
        <w:rPr>
          <w:rFonts w:ascii="Verdana" w:hAnsi="Verdana" w:cs="Arial"/>
          <w:sz w:val="20"/>
          <w:szCs w:val="20"/>
        </w:rPr>
      </w:pPr>
      <w:r w:rsidRPr="00966D31">
        <w:rPr>
          <w:rFonts w:ascii="Verdana" w:hAnsi="Verdana" w:cs="Arial"/>
          <w:sz w:val="20"/>
          <w:szCs w:val="20"/>
        </w:rPr>
        <w:t>En este sentido, contin</w:t>
      </w:r>
      <w:r>
        <w:rPr>
          <w:rFonts w:ascii="Verdana" w:hAnsi="Verdana" w:cs="Arial"/>
          <w:sz w:val="20"/>
          <w:szCs w:val="20"/>
        </w:rPr>
        <w:t>úo</w:t>
      </w:r>
      <w:r w:rsidRPr="00966D31">
        <w:rPr>
          <w:rFonts w:ascii="Verdana" w:hAnsi="Verdana" w:cs="Arial"/>
          <w:sz w:val="20"/>
          <w:szCs w:val="20"/>
        </w:rPr>
        <w:t xml:space="preserve"> convencido de que </w:t>
      </w:r>
      <w:r>
        <w:rPr>
          <w:rFonts w:ascii="Verdana" w:hAnsi="Verdana" w:cs="Arial"/>
          <w:sz w:val="20"/>
          <w:szCs w:val="20"/>
        </w:rPr>
        <w:t xml:space="preserve">en el marco del sistema interamericano de protección de los derechos humanos </w:t>
      </w:r>
      <w:r w:rsidRPr="00966D31">
        <w:rPr>
          <w:rFonts w:ascii="Verdana" w:hAnsi="Verdana" w:cs="Arial"/>
          <w:sz w:val="20"/>
          <w:szCs w:val="20"/>
        </w:rPr>
        <w:t xml:space="preserve">la </w:t>
      </w:r>
      <w:proofErr w:type="spellStart"/>
      <w:r w:rsidRPr="00966D31">
        <w:rPr>
          <w:rFonts w:ascii="Verdana" w:hAnsi="Verdana" w:cs="Arial"/>
          <w:sz w:val="20"/>
          <w:szCs w:val="20"/>
        </w:rPr>
        <w:t>justiciabilidad</w:t>
      </w:r>
      <w:proofErr w:type="spellEnd"/>
      <w:r w:rsidRPr="00966D31">
        <w:rPr>
          <w:rFonts w:ascii="Verdana" w:hAnsi="Verdana" w:cs="Arial"/>
          <w:sz w:val="20"/>
          <w:szCs w:val="20"/>
        </w:rPr>
        <w:t xml:space="preserve"> de los DESC no debe realizarse por medio de la aplicación directa del artículo 26 de la CADH, como se efectuó en este presente caso, por lo que a continuación estableceré los fundamentos de posición. Para ello, en este voto: i) reiteraré las razones generales por las cuales no estoy de acuerdo con la </w:t>
      </w:r>
      <w:proofErr w:type="spellStart"/>
      <w:r w:rsidRPr="00966D31">
        <w:rPr>
          <w:rFonts w:ascii="Verdana" w:hAnsi="Verdana" w:cs="Arial"/>
          <w:sz w:val="20"/>
          <w:szCs w:val="20"/>
        </w:rPr>
        <w:t>justiciabilidad</w:t>
      </w:r>
      <w:proofErr w:type="spellEnd"/>
      <w:r w:rsidRPr="00966D31">
        <w:rPr>
          <w:rFonts w:ascii="Verdana" w:hAnsi="Verdana" w:cs="Arial"/>
          <w:sz w:val="20"/>
          <w:szCs w:val="20"/>
        </w:rPr>
        <w:t xml:space="preserve"> de los </w:t>
      </w:r>
      <w:r w:rsidRPr="00966D31">
        <w:rPr>
          <w:rFonts w:ascii="Verdana" w:hAnsi="Verdana" w:cs="Arial"/>
          <w:sz w:val="20"/>
          <w:szCs w:val="20"/>
        </w:rPr>
        <w:lastRenderedPageBreak/>
        <w:t>DESC a partir del artículo 26 de conformidad con el voto concurrente que ya había presentado en el pasado y añadiré las preocupaciones que esta Sentencia me genera al respecto; ii) señalaré el por qué, a mi pa</w:t>
      </w:r>
      <w:r>
        <w:rPr>
          <w:rFonts w:ascii="Verdana" w:hAnsi="Verdana" w:cs="Arial"/>
          <w:sz w:val="20"/>
          <w:szCs w:val="20"/>
        </w:rPr>
        <w:t>recer, este caso en particular no es pertinente</w:t>
      </w:r>
      <w:r w:rsidRPr="00966D31">
        <w:rPr>
          <w:rFonts w:ascii="Verdana" w:hAnsi="Verdana" w:cs="Arial"/>
          <w:sz w:val="20"/>
          <w:szCs w:val="20"/>
        </w:rPr>
        <w:t xml:space="preserve"> para arribar a una declaración de la vulneración del artículo 26 de la CADH y ni siquiera para entrar en este debate, y iii) indicaré las falencias argumentativas de la Sentencia que </w:t>
      </w:r>
      <w:r>
        <w:rPr>
          <w:rFonts w:ascii="Verdana" w:hAnsi="Verdana" w:cs="Arial"/>
          <w:sz w:val="20"/>
          <w:szCs w:val="20"/>
        </w:rPr>
        <w:t>hacen de é</w:t>
      </w:r>
      <w:r w:rsidRPr="00966D31">
        <w:rPr>
          <w:rFonts w:ascii="Verdana" w:hAnsi="Verdana" w:cs="Arial"/>
          <w:sz w:val="20"/>
          <w:szCs w:val="20"/>
        </w:rPr>
        <w:t>ste un precedente muy delicado en el marco de la jurisprudencia de la Corte IDH.</w:t>
      </w:r>
    </w:p>
    <w:p w14:paraId="4CE5A73C" w14:textId="77777777" w:rsidR="00E70701" w:rsidRDefault="00E70701" w:rsidP="00C44F79">
      <w:pPr>
        <w:jc w:val="both"/>
        <w:rPr>
          <w:rFonts w:ascii="Verdana" w:hAnsi="Verdana" w:cs="Arial"/>
          <w:sz w:val="20"/>
          <w:szCs w:val="20"/>
        </w:rPr>
      </w:pPr>
    </w:p>
    <w:p w14:paraId="214D8975" w14:textId="77777777" w:rsidR="00E70701" w:rsidRPr="00966D31" w:rsidRDefault="00E70701" w:rsidP="00E70701">
      <w:pPr>
        <w:pStyle w:val="ListParagraph"/>
        <w:numPr>
          <w:ilvl w:val="0"/>
          <w:numId w:val="36"/>
        </w:numPr>
        <w:jc w:val="both"/>
        <w:rPr>
          <w:rFonts w:ascii="Verdana" w:hAnsi="Verdana" w:cs="Arial"/>
          <w:b/>
          <w:sz w:val="20"/>
          <w:szCs w:val="20"/>
        </w:rPr>
      </w:pPr>
      <w:r w:rsidRPr="00966D31">
        <w:rPr>
          <w:rFonts w:ascii="Verdana" w:hAnsi="Verdana" w:cs="Arial"/>
          <w:b/>
          <w:sz w:val="20"/>
          <w:szCs w:val="20"/>
        </w:rPr>
        <w:t xml:space="preserve">ARGUMENTOS PRINCIPALES EN CONTRA DE LA JUSTICIABILIDAD DIRECTA </w:t>
      </w:r>
      <w:r>
        <w:rPr>
          <w:rFonts w:ascii="Verdana" w:hAnsi="Verdana" w:cs="Arial"/>
          <w:b/>
          <w:sz w:val="20"/>
          <w:szCs w:val="20"/>
        </w:rPr>
        <w:t xml:space="preserve">DE LOS DESC A PARTIR </w:t>
      </w:r>
      <w:r w:rsidRPr="00966D31">
        <w:rPr>
          <w:rFonts w:ascii="Verdana" w:hAnsi="Verdana" w:cs="Arial"/>
          <w:b/>
          <w:sz w:val="20"/>
          <w:szCs w:val="20"/>
        </w:rPr>
        <w:t>DEL ARTÍCULO 26 DE LA CADH</w:t>
      </w:r>
    </w:p>
    <w:p w14:paraId="369F0D1E" w14:textId="77777777" w:rsidR="00E70701" w:rsidRPr="00CB59B1" w:rsidRDefault="00E70701" w:rsidP="00C44F79">
      <w:pPr>
        <w:pStyle w:val="ListParagraph"/>
        <w:jc w:val="both"/>
        <w:rPr>
          <w:rFonts w:ascii="Verdana" w:hAnsi="Verdana" w:cs="Arial"/>
          <w:b/>
          <w:sz w:val="20"/>
          <w:szCs w:val="20"/>
        </w:rPr>
      </w:pPr>
    </w:p>
    <w:p w14:paraId="0EC719E8" w14:textId="77777777" w:rsidR="00E70701" w:rsidRDefault="00E70701" w:rsidP="00E70701">
      <w:pPr>
        <w:pStyle w:val="ListParagraph"/>
        <w:numPr>
          <w:ilvl w:val="0"/>
          <w:numId w:val="37"/>
        </w:numPr>
        <w:ind w:left="0" w:firstLine="0"/>
        <w:jc w:val="both"/>
        <w:rPr>
          <w:rFonts w:ascii="Verdana" w:hAnsi="Verdana" w:cs="Arial"/>
          <w:sz w:val="20"/>
          <w:szCs w:val="20"/>
        </w:rPr>
      </w:pPr>
      <w:r w:rsidRPr="00966D31">
        <w:rPr>
          <w:rFonts w:ascii="Verdana" w:hAnsi="Verdana" w:cs="Arial"/>
          <w:sz w:val="20"/>
          <w:szCs w:val="20"/>
        </w:rPr>
        <w:t xml:space="preserve">Debido a que en el mencionado voto concurrente hice una explicación </w:t>
      </w:r>
      <w:r>
        <w:rPr>
          <w:rFonts w:ascii="Verdana" w:hAnsi="Verdana" w:cs="Arial"/>
          <w:sz w:val="20"/>
          <w:szCs w:val="20"/>
        </w:rPr>
        <w:t>amplia</w:t>
      </w:r>
      <w:r w:rsidRPr="00966D31">
        <w:rPr>
          <w:rFonts w:ascii="Verdana" w:hAnsi="Verdana" w:cs="Arial"/>
          <w:sz w:val="20"/>
          <w:szCs w:val="20"/>
        </w:rPr>
        <w:t xml:space="preserve"> de cada argumento que sustenta mi posición, estimo que no es pertinente reproducirlos nuevamente de forma extensa, por lo que me centraré en las conclusiones y reflexiones más relevantes de dicho escrito.</w:t>
      </w:r>
    </w:p>
    <w:p w14:paraId="0739A33D" w14:textId="77777777" w:rsidR="00E70701" w:rsidRDefault="00E70701" w:rsidP="00C44F79">
      <w:pPr>
        <w:pStyle w:val="ListParagraph"/>
        <w:ind w:left="0"/>
        <w:jc w:val="both"/>
        <w:rPr>
          <w:rFonts w:ascii="Verdana" w:hAnsi="Verdana" w:cs="Arial"/>
          <w:sz w:val="20"/>
          <w:szCs w:val="20"/>
        </w:rPr>
      </w:pPr>
    </w:p>
    <w:p w14:paraId="4938195A" w14:textId="77777777" w:rsidR="00E70701" w:rsidRPr="00966D31" w:rsidRDefault="00E70701" w:rsidP="00E70701">
      <w:pPr>
        <w:pStyle w:val="ListParagraph"/>
        <w:numPr>
          <w:ilvl w:val="0"/>
          <w:numId w:val="37"/>
        </w:numPr>
        <w:ind w:left="0" w:firstLine="0"/>
        <w:jc w:val="both"/>
        <w:rPr>
          <w:rFonts w:ascii="Verdana" w:hAnsi="Verdana" w:cs="Arial"/>
          <w:sz w:val="20"/>
          <w:szCs w:val="20"/>
        </w:rPr>
      </w:pPr>
      <w:r w:rsidRPr="00966D31">
        <w:rPr>
          <w:rFonts w:ascii="Verdana" w:hAnsi="Verdana" w:cs="Arial"/>
          <w:sz w:val="20"/>
          <w:szCs w:val="20"/>
        </w:rPr>
        <w:t>Sin embargo y de manera preliminar, deseo reiterar que mi posición sobre la competencia de la Corte IDH no debe ser entendida como una forma de negar la importancia y la necesidad de hacer justiciables los DESC, pues son dos temas distintos. De hecho, la amplia jurisprudencia sobre la materia que ayude a desarrollar durante mi ejercicio como magistrado de la Corte Constitucional colombiana</w:t>
      </w:r>
      <w:r>
        <w:rPr>
          <w:rStyle w:val="FootnoteReference"/>
          <w:rFonts w:cs="Arial"/>
          <w:szCs w:val="20"/>
        </w:rPr>
        <w:footnoteReference w:id="444"/>
      </w:r>
      <w:r w:rsidRPr="00966D31">
        <w:rPr>
          <w:rFonts w:ascii="Verdana" w:hAnsi="Verdana" w:cs="Arial"/>
          <w:sz w:val="20"/>
          <w:szCs w:val="20"/>
        </w:rPr>
        <w:t xml:space="preserve">, acredita que mi postura es favorable a garantizar estos derechos de manera directa cuando las condiciones de competencia están dadas. De forma que mi debate no se centra en si los DESC son derechos que deben ser respetados y garantizados por los Estados a las personas, sino en la forma en que se alcanza esa </w:t>
      </w:r>
      <w:proofErr w:type="spellStart"/>
      <w:r w:rsidRPr="00966D31">
        <w:rPr>
          <w:rFonts w:ascii="Verdana" w:hAnsi="Verdana" w:cs="Arial"/>
          <w:sz w:val="20"/>
          <w:szCs w:val="20"/>
        </w:rPr>
        <w:t>justiciabilidad</w:t>
      </w:r>
      <w:proofErr w:type="spellEnd"/>
      <w:r w:rsidRPr="00966D31">
        <w:rPr>
          <w:rFonts w:ascii="Verdana" w:hAnsi="Verdana" w:cs="Arial"/>
          <w:sz w:val="20"/>
          <w:szCs w:val="20"/>
        </w:rPr>
        <w:t xml:space="preserve"> en el sistema interamericano en particular. Dicho lo anterior, procederé a recordar porque la aplicación directa del artículo 26 de la Convención Americana es efectivamente tan conflictiva. </w:t>
      </w:r>
    </w:p>
    <w:p w14:paraId="08316266" w14:textId="77777777" w:rsidR="00E70701" w:rsidRDefault="00E70701" w:rsidP="00C44F79">
      <w:pPr>
        <w:tabs>
          <w:tab w:val="left" w:pos="709"/>
        </w:tabs>
        <w:rPr>
          <w:rFonts w:ascii="Verdana" w:hAnsi="Verdana" w:cs="Arial"/>
          <w:sz w:val="20"/>
          <w:szCs w:val="20"/>
        </w:rPr>
      </w:pPr>
    </w:p>
    <w:p w14:paraId="69988838" w14:textId="77777777" w:rsidR="00E70701" w:rsidRPr="00966D31" w:rsidRDefault="00E70701" w:rsidP="00E70701">
      <w:pPr>
        <w:pStyle w:val="ListParagraph"/>
        <w:numPr>
          <w:ilvl w:val="0"/>
          <w:numId w:val="38"/>
        </w:numPr>
        <w:tabs>
          <w:tab w:val="left" w:pos="709"/>
        </w:tabs>
        <w:rPr>
          <w:rFonts w:ascii="Verdana" w:hAnsi="Verdana"/>
          <w:b/>
          <w:sz w:val="20"/>
          <w:szCs w:val="20"/>
        </w:rPr>
      </w:pPr>
      <w:r w:rsidRPr="00966D31">
        <w:rPr>
          <w:rFonts w:ascii="Verdana" w:hAnsi="Verdana"/>
          <w:b/>
          <w:sz w:val="20"/>
          <w:szCs w:val="20"/>
        </w:rPr>
        <w:t>Alcances del artículo 26 de la Convención Americana</w:t>
      </w:r>
    </w:p>
    <w:p w14:paraId="1BAEA9C8" w14:textId="77777777" w:rsidR="00E70701" w:rsidRDefault="00E70701" w:rsidP="00C44F79">
      <w:pPr>
        <w:jc w:val="both"/>
        <w:rPr>
          <w:rFonts w:ascii="Verdana" w:hAnsi="Verdana" w:cs="Arial"/>
          <w:sz w:val="20"/>
          <w:szCs w:val="20"/>
        </w:rPr>
      </w:pPr>
    </w:p>
    <w:p w14:paraId="16B4248B" w14:textId="77777777" w:rsidR="00E70701" w:rsidRDefault="00E70701" w:rsidP="00E70701">
      <w:pPr>
        <w:pStyle w:val="ListParagraph"/>
        <w:numPr>
          <w:ilvl w:val="0"/>
          <w:numId w:val="37"/>
        </w:numPr>
        <w:ind w:left="0" w:firstLine="0"/>
        <w:jc w:val="both"/>
        <w:rPr>
          <w:rFonts w:ascii="Verdana" w:hAnsi="Verdana" w:cs="Arial"/>
          <w:sz w:val="20"/>
          <w:szCs w:val="20"/>
        </w:rPr>
      </w:pPr>
      <w:r w:rsidRPr="00966D31">
        <w:rPr>
          <w:rFonts w:ascii="Verdana" w:hAnsi="Verdana" w:cs="Arial"/>
          <w:sz w:val="20"/>
          <w:szCs w:val="20"/>
        </w:rPr>
        <w:t>El alcance de este artículo ha sido ampliamente discutido por académicos</w:t>
      </w:r>
      <w:r>
        <w:rPr>
          <w:rStyle w:val="FootnoteReference"/>
          <w:rFonts w:cs="Arial"/>
          <w:szCs w:val="20"/>
        </w:rPr>
        <w:footnoteReference w:id="445"/>
      </w:r>
      <w:r w:rsidRPr="00966D31">
        <w:rPr>
          <w:rFonts w:ascii="Verdana" w:hAnsi="Verdana" w:cs="Arial"/>
          <w:sz w:val="20"/>
          <w:szCs w:val="20"/>
        </w:rPr>
        <w:t xml:space="preserve"> y al interior de la Corte IDH</w:t>
      </w:r>
      <w:r>
        <w:rPr>
          <w:rStyle w:val="FootnoteReference"/>
          <w:rFonts w:cs="Arial"/>
          <w:szCs w:val="20"/>
        </w:rPr>
        <w:footnoteReference w:id="446"/>
      </w:r>
      <w:r w:rsidRPr="00966D31">
        <w:rPr>
          <w:rFonts w:ascii="Verdana" w:hAnsi="Verdana" w:cs="Arial"/>
          <w:sz w:val="20"/>
          <w:szCs w:val="20"/>
        </w:rPr>
        <w:t xml:space="preserve">, por lo que el debate ha intentado ampliarse a temas tales como el carácter prestacional de los DESC o la indivisibilidad de los mismos, cuando la pregunta central que debe realizarse para entender el alcance de este derecho es: ¿contiene el artículo 26 de la CADH derechos subjetivos? </w:t>
      </w:r>
    </w:p>
    <w:p w14:paraId="17EA9588" w14:textId="77777777" w:rsidR="00E70701" w:rsidRDefault="00E70701" w:rsidP="00C44F79">
      <w:pPr>
        <w:pStyle w:val="ListParagraph"/>
        <w:ind w:left="0"/>
        <w:jc w:val="both"/>
        <w:rPr>
          <w:rFonts w:ascii="Verdana" w:hAnsi="Verdana" w:cs="Arial"/>
          <w:sz w:val="20"/>
          <w:szCs w:val="20"/>
        </w:rPr>
      </w:pPr>
    </w:p>
    <w:p w14:paraId="1D773C41" w14:textId="77777777" w:rsidR="00E70701" w:rsidRPr="00966D31" w:rsidRDefault="00E70701" w:rsidP="00E70701">
      <w:pPr>
        <w:pStyle w:val="ListParagraph"/>
        <w:numPr>
          <w:ilvl w:val="0"/>
          <w:numId w:val="37"/>
        </w:numPr>
        <w:ind w:left="0" w:firstLine="0"/>
        <w:jc w:val="both"/>
        <w:rPr>
          <w:rFonts w:ascii="Verdana" w:hAnsi="Verdana" w:cs="Arial"/>
          <w:sz w:val="20"/>
          <w:szCs w:val="20"/>
        </w:rPr>
      </w:pPr>
      <w:r w:rsidRPr="00966D31">
        <w:rPr>
          <w:rFonts w:ascii="Verdana" w:hAnsi="Verdana"/>
          <w:sz w:val="20"/>
          <w:szCs w:val="20"/>
        </w:rPr>
        <w:t>Al respecto, ya he demostrado en oportunidades anteriores</w:t>
      </w:r>
      <w:r>
        <w:rPr>
          <w:rStyle w:val="FootnoteReference"/>
          <w:szCs w:val="20"/>
        </w:rPr>
        <w:footnoteReference w:id="447"/>
      </w:r>
      <w:r w:rsidRPr="00966D31">
        <w:rPr>
          <w:rFonts w:ascii="Verdana" w:hAnsi="Verdana"/>
          <w:sz w:val="20"/>
          <w:szCs w:val="20"/>
        </w:rPr>
        <w:t xml:space="preserve"> que el artículo 26</w:t>
      </w:r>
      <w:r>
        <w:rPr>
          <w:rStyle w:val="FootnoteReference"/>
          <w:szCs w:val="20"/>
        </w:rPr>
        <w:footnoteReference w:id="448"/>
      </w:r>
      <w:r w:rsidRPr="00966D31">
        <w:rPr>
          <w:rFonts w:ascii="Verdana" w:hAnsi="Verdana"/>
          <w:sz w:val="20"/>
          <w:szCs w:val="20"/>
        </w:rPr>
        <w:t xml:space="preserve"> de la CADH no establece un catálogo de derechos, sino que la obligación que este artículo implica y que la Corte puede supervisar de manera directa es el cumplimiento de la obligación de </w:t>
      </w:r>
      <w:r w:rsidRPr="00966D31">
        <w:rPr>
          <w:rFonts w:ascii="Verdana" w:hAnsi="Verdana"/>
          <w:sz w:val="20"/>
          <w:szCs w:val="20"/>
        </w:rPr>
        <w:lastRenderedPageBreak/>
        <w:t>desarrollo progresivo y su consecuente deber de no regresividad, de los derechos que se pudieran derivar de la Carta de la Organización de Estados Americanos (en adelante “Carta”).</w:t>
      </w:r>
    </w:p>
    <w:p w14:paraId="024F45C9" w14:textId="77777777" w:rsidR="00E70701" w:rsidRPr="00966D31" w:rsidRDefault="00E70701" w:rsidP="00C44F79">
      <w:pPr>
        <w:jc w:val="both"/>
        <w:rPr>
          <w:rFonts w:ascii="Verdana" w:hAnsi="Verdana"/>
          <w:sz w:val="20"/>
          <w:szCs w:val="20"/>
        </w:rPr>
      </w:pPr>
    </w:p>
    <w:p w14:paraId="3634DE07" w14:textId="77777777" w:rsidR="00E70701" w:rsidRPr="00966D31" w:rsidRDefault="00E70701" w:rsidP="00E70701">
      <w:pPr>
        <w:pStyle w:val="ListParagraph"/>
        <w:numPr>
          <w:ilvl w:val="0"/>
          <w:numId w:val="37"/>
        </w:numPr>
        <w:ind w:left="0" w:firstLine="0"/>
        <w:jc w:val="both"/>
        <w:rPr>
          <w:rFonts w:ascii="Verdana" w:hAnsi="Verdana" w:cs="Arial"/>
          <w:sz w:val="20"/>
          <w:szCs w:val="20"/>
        </w:rPr>
      </w:pPr>
      <w:r w:rsidRPr="00966D31">
        <w:rPr>
          <w:rFonts w:ascii="Verdana" w:hAnsi="Verdana"/>
          <w:sz w:val="20"/>
          <w:szCs w:val="20"/>
        </w:rPr>
        <w:t xml:space="preserve">Lo anterior se debe a que dicho artículo realiza una remisión directa a la Carta de la Organización de Estados Americanos. Sin embargo, de una lectura de la Carta se puede concluir que ésta tampoco contiene un catálogo de derechos subjetivos claros y precisos, sino que por el contrario se trata de un listado de metas y expectativas que persiguen los Estados de la región, lo cual dificulta vislumbrar cuáles son los derechos a los que se hace mención en el artículo. En concreto, hay </w:t>
      </w:r>
      <w:r>
        <w:rPr>
          <w:rFonts w:ascii="Verdana" w:hAnsi="Verdana"/>
          <w:sz w:val="20"/>
          <w:szCs w:val="20"/>
        </w:rPr>
        <w:t xml:space="preserve">pocas </w:t>
      </w:r>
      <w:r w:rsidRPr="00966D31">
        <w:rPr>
          <w:rFonts w:ascii="Verdana" w:hAnsi="Verdana"/>
          <w:sz w:val="20"/>
          <w:szCs w:val="20"/>
        </w:rPr>
        <w:t>referencias expresas a los DESC y para afirmar que efectivamente se encuentran consagrados en la Carta es necesario realizar una labor interpretativa bastante extensa.</w:t>
      </w:r>
    </w:p>
    <w:p w14:paraId="25367A41" w14:textId="77777777" w:rsidR="00E70701" w:rsidRPr="00966D31" w:rsidRDefault="00E70701" w:rsidP="00C44F79">
      <w:pPr>
        <w:jc w:val="both"/>
        <w:rPr>
          <w:rFonts w:ascii="Verdana" w:hAnsi="Verdana"/>
          <w:sz w:val="20"/>
          <w:szCs w:val="20"/>
        </w:rPr>
      </w:pPr>
    </w:p>
    <w:p w14:paraId="35FCD393" w14:textId="77777777" w:rsidR="00E70701" w:rsidRPr="00966D31" w:rsidRDefault="00E70701" w:rsidP="00E70701">
      <w:pPr>
        <w:pStyle w:val="ListParagraph"/>
        <w:numPr>
          <w:ilvl w:val="0"/>
          <w:numId w:val="37"/>
        </w:numPr>
        <w:ind w:left="0" w:firstLine="0"/>
        <w:jc w:val="both"/>
        <w:rPr>
          <w:rFonts w:ascii="Verdana" w:hAnsi="Verdana" w:cs="Arial"/>
          <w:sz w:val="20"/>
          <w:szCs w:val="20"/>
        </w:rPr>
      </w:pPr>
      <w:r w:rsidRPr="00966D31">
        <w:rPr>
          <w:rFonts w:ascii="Verdana" w:hAnsi="Verdana"/>
          <w:sz w:val="20"/>
          <w:szCs w:val="20"/>
        </w:rPr>
        <w:t xml:space="preserve">Si bien hubiera sido deseable </w:t>
      </w:r>
      <w:r>
        <w:rPr>
          <w:rFonts w:ascii="Verdana" w:hAnsi="Verdana"/>
          <w:sz w:val="20"/>
          <w:szCs w:val="20"/>
        </w:rPr>
        <w:t xml:space="preserve">que </w:t>
      </w:r>
      <w:r w:rsidRPr="00966D31">
        <w:rPr>
          <w:rFonts w:ascii="Verdana" w:hAnsi="Verdana"/>
          <w:sz w:val="20"/>
          <w:szCs w:val="20"/>
        </w:rPr>
        <w:t xml:space="preserve">el artículo 26 utilizara una técnica legislativa menos problemática, lo cierto es que </w:t>
      </w:r>
      <w:r>
        <w:rPr>
          <w:rFonts w:ascii="Verdana" w:hAnsi="Verdana"/>
          <w:sz w:val="20"/>
          <w:szCs w:val="20"/>
        </w:rPr>
        <w:t xml:space="preserve">hace </w:t>
      </w:r>
      <w:r w:rsidRPr="00966D31">
        <w:rPr>
          <w:rFonts w:ascii="Verdana" w:hAnsi="Verdana"/>
          <w:sz w:val="20"/>
          <w:szCs w:val="20"/>
        </w:rPr>
        <w:t>remisión a la Carta</w:t>
      </w:r>
      <w:r>
        <w:rPr>
          <w:rFonts w:ascii="Verdana" w:hAnsi="Verdana"/>
          <w:sz w:val="20"/>
          <w:szCs w:val="20"/>
        </w:rPr>
        <w:t xml:space="preserve"> de la OEA</w:t>
      </w:r>
      <w:r w:rsidRPr="00966D31">
        <w:rPr>
          <w:rFonts w:ascii="Verdana" w:hAnsi="Verdana"/>
          <w:sz w:val="20"/>
          <w:szCs w:val="20"/>
        </w:rPr>
        <w:t xml:space="preserve"> y no a la Declaración Americana, lo cual podría haber producido una interpretación distinta, debido a que la declaración sí cuenta con referencias más claras a los DESC</w:t>
      </w:r>
      <w:r w:rsidRPr="00810CE7">
        <w:rPr>
          <w:rStyle w:val="FootnoteReference"/>
          <w:szCs w:val="20"/>
        </w:rPr>
        <w:footnoteReference w:id="449"/>
      </w:r>
      <w:r w:rsidRPr="00966D31">
        <w:rPr>
          <w:rFonts w:ascii="Verdana" w:hAnsi="Verdana"/>
          <w:sz w:val="20"/>
          <w:szCs w:val="20"/>
        </w:rPr>
        <w:t xml:space="preserve">. </w:t>
      </w:r>
      <w:r w:rsidRPr="00966D31">
        <w:rPr>
          <w:rFonts w:ascii="Verdana" w:hAnsi="Verdana"/>
          <w:sz w:val="20"/>
          <w:szCs w:val="20"/>
          <w:lang w:val="es-CR"/>
        </w:rPr>
        <w:t>Lamentablemente, este no es el caso</w:t>
      </w:r>
      <w:r>
        <w:rPr>
          <w:rStyle w:val="FootnoteReference"/>
          <w:szCs w:val="20"/>
          <w:lang w:val="es-CR"/>
        </w:rPr>
        <w:footnoteReference w:id="450"/>
      </w:r>
      <w:r w:rsidRPr="00966D31">
        <w:rPr>
          <w:rFonts w:ascii="Verdana" w:hAnsi="Verdana"/>
          <w:sz w:val="20"/>
          <w:szCs w:val="20"/>
          <w:lang w:val="es-CR"/>
        </w:rPr>
        <w:t xml:space="preserve">. </w:t>
      </w:r>
      <w:r>
        <w:rPr>
          <w:rFonts w:ascii="Verdana" w:hAnsi="Verdana"/>
          <w:sz w:val="20"/>
          <w:szCs w:val="20"/>
          <w:lang w:val="es-CR"/>
        </w:rPr>
        <w:t>De manera que el uso de la Declaración Americana en la presente Sentencia es “un atajo” que no tiene mayor sustento, más allá de una referencia a una opinión consultiva del año 1989.</w:t>
      </w:r>
    </w:p>
    <w:p w14:paraId="3F4D7E93" w14:textId="77777777" w:rsidR="00E70701" w:rsidRPr="00966D31" w:rsidRDefault="00E70701" w:rsidP="00C44F79">
      <w:pPr>
        <w:jc w:val="both"/>
        <w:rPr>
          <w:rFonts w:ascii="Verdana" w:hAnsi="Verdana"/>
          <w:sz w:val="20"/>
          <w:szCs w:val="20"/>
          <w:lang w:val="es-CR"/>
        </w:rPr>
      </w:pPr>
    </w:p>
    <w:p w14:paraId="1AFDB4E2" w14:textId="77777777" w:rsidR="00E70701" w:rsidRPr="005B157E" w:rsidRDefault="00E70701" w:rsidP="00E70701">
      <w:pPr>
        <w:pStyle w:val="ListParagraph"/>
        <w:numPr>
          <w:ilvl w:val="0"/>
          <w:numId w:val="37"/>
        </w:numPr>
        <w:ind w:left="0" w:firstLine="0"/>
        <w:jc w:val="both"/>
        <w:rPr>
          <w:rFonts w:ascii="Verdana" w:hAnsi="Verdana" w:cs="Arial"/>
          <w:sz w:val="20"/>
          <w:szCs w:val="20"/>
        </w:rPr>
      </w:pPr>
      <w:r>
        <w:rPr>
          <w:rFonts w:ascii="Verdana" w:hAnsi="Verdana"/>
          <w:sz w:val="20"/>
          <w:szCs w:val="20"/>
        </w:rPr>
        <w:t>Ahora bien, efectivamente el derecho al trabajo es uno de esos</w:t>
      </w:r>
      <w:r w:rsidRPr="005B157E">
        <w:rPr>
          <w:rFonts w:ascii="Verdana" w:hAnsi="Verdana"/>
          <w:sz w:val="20"/>
          <w:szCs w:val="20"/>
        </w:rPr>
        <w:t xml:space="preserve"> derechos que se pudieran derivar de la Carta más allá de la simple referencia al nombre</w:t>
      </w:r>
      <w:r>
        <w:rPr>
          <w:rStyle w:val="FootnoteReference"/>
          <w:szCs w:val="20"/>
        </w:rPr>
        <w:footnoteReference w:id="451"/>
      </w:r>
      <w:r>
        <w:rPr>
          <w:rFonts w:ascii="Verdana" w:hAnsi="Verdana"/>
          <w:sz w:val="20"/>
          <w:szCs w:val="20"/>
        </w:rPr>
        <w:t>, pues dicho instrumento realiza una mención expresa del mismo</w:t>
      </w:r>
      <w:r w:rsidRPr="005B157E">
        <w:rPr>
          <w:rFonts w:ascii="Verdana" w:hAnsi="Verdana"/>
          <w:sz w:val="20"/>
          <w:szCs w:val="20"/>
        </w:rPr>
        <w:t>.</w:t>
      </w:r>
      <w:r>
        <w:rPr>
          <w:rFonts w:ascii="Verdana" w:hAnsi="Verdana"/>
          <w:sz w:val="20"/>
          <w:szCs w:val="20"/>
        </w:rPr>
        <w:t xml:space="preserve"> No obstante, una cosa es el derecho al trabajo y otra es la estabilidad laboral, lo cual muestra los dilemas que se presentan cuando el catálogo de derechos y sus alcances no se encuentran bien definidos. Además, no se puede entonces olvidar que la obligación general del artículo 26 de la CADH le permite a la Corte supervisar </w:t>
      </w:r>
      <w:r w:rsidRPr="00966D31">
        <w:rPr>
          <w:rFonts w:ascii="Verdana" w:hAnsi="Verdana"/>
          <w:sz w:val="20"/>
          <w:szCs w:val="20"/>
        </w:rPr>
        <w:t>es el cumplimiento de la obligación de desarrollo progresivo y su consecuente deber de no regresividad</w:t>
      </w:r>
      <w:r>
        <w:rPr>
          <w:rFonts w:ascii="Verdana" w:hAnsi="Verdana"/>
          <w:sz w:val="20"/>
          <w:szCs w:val="20"/>
        </w:rPr>
        <w:t>, análisis que no se realizó en la presente Sentencia.</w:t>
      </w:r>
    </w:p>
    <w:p w14:paraId="1210EFA9" w14:textId="77777777" w:rsidR="00E70701" w:rsidRPr="005B157E" w:rsidRDefault="00E70701" w:rsidP="00C44F79">
      <w:pPr>
        <w:jc w:val="both"/>
        <w:rPr>
          <w:rFonts w:ascii="Verdana" w:hAnsi="Verdana"/>
          <w:sz w:val="20"/>
          <w:szCs w:val="20"/>
          <w:lang w:val="es-CR"/>
        </w:rPr>
      </w:pPr>
    </w:p>
    <w:p w14:paraId="2EC6EAA8" w14:textId="77777777" w:rsidR="00E70701" w:rsidRPr="00966D31" w:rsidRDefault="00E70701" w:rsidP="00E70701">
      <w:pPr>
        <w:pStyle w:val="ListParagraph"/>
        <w:numPr>
          <w:ilvl w:val="0"/>
          <w:numId w:val="37"/>
        </w:numPr>
        <w:ind w:left="0" w:firstLine="0"/>
        <w:jc w:val="both"/>
        <w:rPr>
          <w:rFonts w:ascii="Verdana" w:hAnsi="Verdana" w:cs="Arial"/>
          <w:sz w:val="20"/>
          <w:szCs w:val="20"/>
        </w:rPr>
      </w:pPr>
      <w:r>
        <w:rPr>
          <w:rFonts w:ascii="Verdana" w:hAnsi="Verdana"/>
          <w:sz w:val="20"/>
          <w:szCs w:val="20"/>
          <w:lang w:val="es-CR"/>
        </w:rPr>
        <w:t>Por otra parte, i</w:t>
      </w:r>
      <w:r w:rsidRPr="00966D31">
        <w:rPr>
          <w:rFonts w:ascii="Verdana" w:hAnsi="Verdana"/>
          <w:sz w:val="20"/>
          <w:szCs w:val="20"/>
          <w:lang w:val="es-CR"/>
        </w:rPr>
        <w:t xml:space="preserve">nsisto en dejar en claro que la remisión es a la Carta y no a otras declaraciones, tratados o documentos de </w:t>
      </w:r>
      <w:proofErr w:type="spellStart"/>
      <w:r w:rsidRPr="00966D31">
        <w:rPr>
          <w:rFonts w:ascii="Verdana" w:hAnsi="Verdana"/>
          <w:i/>
          <w:sz w:val="20"/>
          <w:szCs w:val="20"/>
          <w:lang w:val="es-CR"/>
        </w:rPr>
        <w:t>soft</w:t>
      </w:r>
      <w:proofErr w:type="spellEnd"/>
      <w:r w:rsidRPr="00966D31">
        <w:rPr>
          <w:rFonts w:ascii="Verdana" w:hAnsi="Verdana"/>
          <w:i/>
          <w:sz w:val="20"/>
          <w:szCs w:val="20"/>
          <w:lang w:val="es-CR"/>
        </w:rPr>
        <w:t xml:space="preserve"> </w:t>
      </w:r>
      <w:proofErr w:type="spellStart"/>
      <w:r w:rsidRPr="00966D31">
        <w:rPr>
          <w:rFonts w:ascii="Verdana" w:hAnsi="Verdana"/>
          <w:i/>
          <w:sz w:val="20"/>
          <w:szCs w:val="20"/>
          <w:lang w:val="es-CR"/>
        </w:rPr>
        <w:t>law</w:t>
      </w:r>
      <w:proofErr w:type="spellEnd"/>
      <w:r>
        <w:rPr>
          <w:rStyle w:val="FootnoteReference"/>
          <w:szCs w:val="20"/>
          <w:lang w:val="es-CR"/>
        </w:rPr>
        <w:footnoteReference w:id="452"/>
      </w:r>
      <w:r w:rsidRPr="00966D31">
        <w:rPr>
          <w:rFonts w:ascii="Verdana" w:hAnsi="Verdana"/>
          <w:sz w:val="20"/>
          <w:szCs w:val="20"/>
          <w:lang w:val="es-CR"/>
        </w:rPr>
        <w:t xml:space="preserve">, porque la mención de estos no subsana o cambia lo que el artículo 26 de la CADH expresamente indica. En otras palabras, hacer referencia a “un vasto </w:t>
      </w:r>
      <w:r w:rsidRPr="00966D31">
        <w:rPr>
          <w:rFonts w:ascii="Verdana" w:hAnsi="Verdana"/>
          <w:i/>
          <w:sz w:val="20"/>
          <w:szCs w:val="20"/>
          <w:lang w:val="es-CR"/>
        </w:rPr>
        <w:t>corpus iuris</w:t>
      </w:r>
      <w:r w:rsidRPr="00966D31">
        <w:rPr>
          <w:rFonts w:ascii="Verdana" w:hAnsi="Verdana"/>
          <w:sz w:val="20"/>
          <w:szCs w:val="20"/>
          <w:lang w:val="es-CR"/>
        </w:rPr>
        <w:t>”</w:t>
      </w:r>
      <w:r>
        <w:rPr>
          <w:rStyle w:val="FootnoteReference"/>
          <w:szCs w:val="20"/>
          <w:lang w:val="es-CR"/>
        </w:rPr>
        <w:footnoteReference w:id="453"/>
      </w:r>
      <w:r w:rsidRPr="00966D31">
        <w:rPr>
          <w:rFonts w:ascii="Verdana" w:hAnsi="Verdana"/>
          <w:sz w:val="20"/>
          <w:szCs w:val="20"/>
          <w:lang w:val="es-CR"/>
        </w:rPr>
        <w:t xml:space="preserve">, en el que se mencionan tratados del sistema universal y sistemas regionales distintos al interamericano, no modifica el hecho de que la remisión del artículo 26 se hizo a la Carta y a ningún otro instrumento, tratado o documento de derecho internacional. </w:t>
      </w:r>
    </w:p>
    <w:p w14:paraId="2024F4B8" w14:textId="77777777" w:rsidR="00E70701" w:rsidRPr="00966D31" w:rsidRDefault="00E70701" w:rsidP="00C44F79">
      <w:pPr>
        <w:jc w:val="both"/>
        <w:rPr>
          <w:rFonts w:ascii="Verdana" w:hAnsi="Verdana"/>
          <w:sz w:val="20"/>
          <w:szCs w:val="20"/>
          <w:lang w:val="es-CR"/>
        </w:rPr>
      </w:pPr>
    </w:p>
    <w:p w14:paraId="44CCE779" w14:textId="77777777" w:rsidR="00E70701" w:rsidRDefault="00E70701" w:rsidP="00E70701">
      <w:pPr>
        <w:pStyle w:val="ListParagraph"/>
        <w:numPr>
          <w:ilvl w:val="0"/>
          <w:numId w:val="37"/>
        </w:numPr>
        <w:ind w:left="0" w:firstLine="0"/>
        <w:jc w:val="both"/>
        <w:rPr>
          <w:rFonts w:ascii="Verdana" w:hAnsi="Verdana" w:cs="Arial"/>
          <w:sz w:val="20"/>
          <w:szCs w:val="20"/>
        </w:rPr>
      </w:pPr>
      <w:r w:rsidRPr="00966D31">
        <w:rPr>
          <w:rFonts w:ascii="Verdana" w:hAnsi="Verdana"/>
          <w:sz w:val="20"/>
          <w:szCs w:val="20"/>
          <w:lang w:val="es-CR"/>
        </w:rPr>
        <w:t xml:space="preserve">Si de por sí, intentar construir un catálogo de DESC a partir de la Carta es una tarea interpretativa compleja, entrar a utilizar cuanto tratado de derechos humanos existe para llenar de contenido al artículo 26 de la CADH, lo único que puede generar es </w:t>
      </w:r>
      <w:r w:rsidRPr="00966D31">
        <w:rPr>
          <w:rFonts w:ascii="Verdana" w:hAnsi="Verdana" w:cs="Arial"/>
          <w:sz w:val="20"/>
          <w:szCs w:val="20"/>
        </w:rPr>
        <w:t>una dinámica de “</w:t>
      </w:r>
      <w:r w:rsidRPr="00966D31">
        <w:rPr>
          <w:rFonts w:ascii="Verdana" w:hAnsi="Verdana" w:cs="Arial"/>
          <w:i/>
          <w:sz w:val="20"/>
          <w:szCs w:val="20"/>
        </w:rPr>
        <w:t>vis expansiva</w:t>
      </w:r>
      <w:r w:rsidRPr="00966D31">
        <w:rPr>
          <w:rFonts w:ascii="Verdana" w:hAnsi="Verdana" w:cs="Arial"/>
          <w:sz w:val="20"/>
          <w:szCs w:val="20"/>
        </w:rPr>
        <w:t>” de la responsabilidad internacional de los Estado</w:t>
      </w:r>
      <w:r>
        <w:rPr>
          <w:rFonts w:ascii="Verdana" w:hAnsi="Verdana" w:cs="Arial"/>
          <w:sz w:val="20"/>
          <w:szCs w:val="20"/>
        </w:rPr>
        <w:t>s</w:t>
      </w:r>
      <w:r w:rsidRPr="00966D31">
        <w:rPr>
          <w:rFonts w:ascii="Verdana" w:hAnsi="Verdana" w:cs="Arial"/>
          <w:sz w:val="20"/>
          <w:szCs w:val="20"/>
        </w:rPr>
        <w:t xml:space="preserve">. Es decir que al no tener presente un catálogo definido de los DESC cuya infracción genera responsabilidad de los Estados, estos no pueden prevenir ni reparar internamente las posibles infracciones porque básicamente la Corte IDH puede modificar el catálogo de los derechos dependiendo del caso. </w:t>
      </w:r>
    </w:p>
    <w:p w14:paraId="03D8E261" w14:textId="77777777" w:rsidR="00E70701" w:rsidRDefault="00E70701" w:rsidP="00C44F79">
      <w:pPr>
        <w:jc w:val="both"/>
        <w:rPr>
          <w:rFonts w:ascii="Verdana" w:hAnsi="Verdana" w:cs="Arial"/>
          <w:sz w:val="20"/>
          <w:szCs w:val="20"/>
        </w:rPr>
      </w:pPr>
    </w:p>
    <w:p w14:paraId="3271596A" w14:textId="77777777" w:rsidR="00E70701" w:rsidRDefault="00E70701" w:rsidP="00E70701">
      <w:pPr>
        <w:pStyle w:val="ListParagraph"/>
        <w:numPr>
          <w:ilvl w:val="0"/>
          <w:numId w:val="37"/>
        </w:numPr>
        <w:ind w:left="0" w:firstLine="0"/>
        <w:jc w:val="both"/>
        <w:rPr>
          <w:rFonts w:ascii="Verdana" w:hAnsi="Verdana" w:cs="Arial"/>
          <w:sz w:val="20"/>
          <w:szCs w:val="20"/>
        </w:rPr>
      </w:pPr>
      <w:r w:rsidRPr="00966D31">
        <w:rPr>
          <w:rFonts w:ascii="Verdana" w:hAnsi="Verdana" w:cs="Arial"/>
          <w:sz w:val="20"/>
          <w:szCs w:val="20"/>
        </w:rPr>
        <w:t>En este sentido, la Sentencia</w:t>
      </w:r>
      <w:r w:rsidRPr="00966D31">
        <w:rPr>
          <w:rFonts w:ascii="Verdana" w:hAnsi="Verdana"/>
          <w:sz w:val="20"/>
          <w:szCs w:val="20"/>
          <w:lang w:val="es-CR"/>
        </w:rPr>
        <w:t xml:space="preserve"> bajo análisis es preocupante </w:t>
      </w:r>
      <w:r w:rsidRPr="00966D31">
        <w:rPr>
          <w:rFonts w:ascii="Verdana" w:hAnsi="Verdana" w:cs="Arial"/>
          <w:sz w:val="20"/>
          <w:szCs w:val="20"/>
        </w:rPr>
        <w:t>porque se inaugura una lógica de funcionamiento de la justicia interamericana que no sólo afecta al sistema de competencias de la Comisión y de la Corte, sino que entra a modificar y añadir un catálogo de nuevos derechos protegidos por la Convención Americana.</w:t>
      </w:r>
    </w:p>
    <w:p w14:paraId="417FF77F" w14:textId="77777777" w:rsidR="00E70701" w:rsidRDefault="00E70701" w:rsidP="00C44F79">
      <w:pPr>
        <w:jc w:val="both"/>
        <w:rPr>
          <w:rFonts w:ascii="Verdana" w:hAnsi="Verdana" w:cs="Arial"/>
          <w:b/>
          <w:sz w:val="20"/>
          <w:szCs w:val="20"/>
        </w:rPr>
      </w:pPr>
    </w:p>
    <w:p w14:paraId="6546A19F" w14:textId="77777777" w:rsidR="00E70701" w:rsidRPr="0047061E" w:rsidRDefault="00E70701" w:rsidP="00E70701">
      <w:pPr>
        <w:pStyle w:val="ListParagraph"/>
        <w:numPr>
          <w:ilvl w:val="0"/>
          <w:numId w:val="38"/>
        </w:numPr>
        <w:tabs>
          <w:tab w:val="left" w:pos="426"/>
          <w:tab w:val="left" w:pos="709"/>
        </w:tabs>
        <w:jc w:val="both"/>
        <w:rPr>
          <w:rFonts w:ascii="Verdana" w:hAnsi="Verdana"/>
          <w:b/>
          <w:sz w:val="20"/>
          <w:szCs w:val="20"/>
        </w:rPr>
      </w:pPr>
      <w:r w:rsidRPr="0047061E">
        <w:rPr>
          <w:rFonts w:ascii="Verdana" w:hAnsi="Verdana"/>
          <w:b/>
          <w:sz w:val="20"/>
          <w:szCs w:val="20"/>
        </w:rPr>
        <w:t>El Protocolo de San Salvador</w:t>
      </w:r>
    </w:p>
    <w:p w14:paraId="61B32C79" w14:textId="77777777" w:rsidR="00E70701" w:rsidRDefault="00E70701" w:rsidP="00C44F79">
      <w:pPr>
        <w:jc w:val="both"/>
        <w:rPr>
          <w:rFonts w:ascii="Verdana" w:hAnsi="Verdana" w:cs="Arial"/>
          <w:b/>
          <w:sz w:val="20"/>
          <w:szCs w:val="20"/>
        </w:rPr>
      </w:pPr>
    </w:p>
    <w:p w14:paraId="31BE0463" w14:textId="77777777" w:rsidR="00E70701" w:rsidRDefault="00E70701" w:rsidP="00E70701">
      <w:pPr>
        <w:pStyle w:val="ListParagraph"/>
        <w:numPr>
          <w:ilvl w:val="0"/>
          <w:numId w:val="37"/>
        </w:numPr>
        <w:ind w:left="0" w:firstLine="0"/>
        <w:jc w:val="both"/>
        <w:rPr>
          <w:rFonts w:ascii="Verdana" w:hAnsi="Verdana"/>
          <w:sz w:val="20"/>
          <w:szCs w:val="20"/>
        </w:rPr>
      </w:pPr>
      <w:r w:rsidRPr="0047061E">
        <w:rPr>
          <w:rFonts w:ascii="Verdana" w:hAnsi="Verdana"/>
          <w:sz w:val="20"/>
          <w:szCs w:val="20"/>
        </w:rPr>
        <w:t>Como se señaló anteriormente</w:t>
      </w:r>
      <w:r>
        <w:rPr>
          <w:rStyle w:val="FootnoteReference"/>
          <w:szCs w:val="20"/>
        </w:rPr>
        <w:footnoteReference w:id="454"/>
      </w:r>
      <w:r w:rsidRPr="0047061E">
        <w:rPr>
          <w:rFonts w:ascii="Verdana" w:hAnsi="Verdana"/>
          <w:sz w:val="20"/>
          <w:szCs w:val="20"/>
        </w:rPr>
        <w:t xml:space="preserve"> no es posible abordar los debates sobre la competencia de la Corte Interamericana en materia de DESC sin tener en cuenta al Protocolo de San Salvador. La relevancia del Protocolo radica en que es mediante este tratado que los Estados de la región tomaron la decisión de definir cuáles son los DESC que están obligados a cumplir. Asimismo, establecieron de manera clara y precisa el contenido de dichos derechos.</w:t>
      </w:r>
    </w:p>
    <w:p w14:paraId="61BB090E" w14:textId="77777777" w:rsidR="00E70701" w:rsidRDefault="00E70701" w:rsidP="00C44F79">
      <w:pPr>
        <w:pStyle w:val="ListParagraph"/>
        <w:ind w:left="0"/>
        <w:jc w:val="both"/>
        <w:rPr>
          <w:rFonts w:ascii="Verdana" w:hAnsi="Verdana"/>
          <w:sz w:val="20"/>
          <w:szCs w:val="20"/>
        </w:rPr>
      </w:pPr>
    </w:p>
    <w:p w14:paraId="5F5735AD" w14:textId="77777777" w:rsidR="00E70701" w:rsidRPr="0047061E" w:rsidRDefault="00E70701" w:rsidP="00E70701">
      <w:pPr>
        <w:pStyle w:val="ListParagraph"/>
        <w:numPr>
          <w:ilvl w:val="0"/>
          <w:numId w:val="37"/>
        </w:numPr>
        <w:ind w:left="0" w:firstLine="0"/>
        <w:jc w:val="both"/>
        <w:rPr>
          <w:rFonts w:ascii="Verdana" w:hAnsi="Verdana"/>
          <w:sz w:val="20"/>
          <w:szCs w:val="20"/>
        </w:rPr>
      </w:pPr>
      <w:r w:rsidRPr="0047061E">
        <w:rPr>
          <w:rFonts w:ascii="Verdana" w:hAnsi="Verdana"/>
          <w:sz w:val="20"/>
          <w:szCs w:val="20"/>
        </w:rPr>
        <w:t>No obstante lo anterior, los Estados tomaron la decisión soberana de restringir cuáles de los DESC consagrados en el Protocolo podían ser objeto de supervisión por medio del mecanismo de peticiones individuales al establecer en el artículo 19.6 que:</w:t>
      </w:r>
    </w:p>
    <w:p w14:paraId="2FB314A7" w14:textId="77777777" w:rsidR="00E70701" w:rsidRDefault="00E70701" w:rsidP="00C44F79">
      <w:pPr>
        <w:pStyle w:val="ListParagraph"/>
        <w:tabs>
          <w:tab w:val="left" w:pos="426"/>
          <w:tab w:val="left" w:pos="709"/>
        </w:tabs>
        <w:ind w:left="0"/>
        <w:jc w:val="both"/>
        <w:rPr>
          <w:rFonts w:ascii="Verdana" w:hAnsi="Verdana"/>
          <w:sz w:val="20"/>
          <w:szCs w:val="20"/>
        </w:rPr>
      </w:pPr>
    </w:p>
    <w:p w14:paraId="042C063D" w14:textId="77777777" w:rsidR="00E70701" w:rsidRPr="00EF393D" w:rsidRDefault="00E70701" w:rsidP="00C44F79">
      <w:pPr>
        <w:pStyle w:val="ListParagraph"/>
        <w:tabs>
          <w:tab w:val="left" w:pos="426"/>
          <w:tab w:val="left" w:pos="709"/>
        </w:tabs>
        <w:ind w:left="426" w:right="378"/>
        <w:jc w:val="both"/>
        <w:rPr>
          <w:rFonts w:ascii="Verdana" w:hAnsi="Verdana" w:cs="Tahoma"/>
          <w:color w:val="000000"/>
          <w:sz w:val="16"/>
          <w:szCs w:val="16"/>
          <w:shd w:val="clear" w:color="auto" w:fill="FFFFFF"/>
        </w:rPr>
      </w:pPr>
      <w:r w:rsidRPr="00EF393D">
        <w:rPr>
          <w:rFonts w:ascii="Verdana" w:hAnsi="Verdana" w:cs="Tahoma"/>
          <w:color w:val="000000"/>
          <w:sz w:val="16"/>
          <w:szCs w:val="16"/>
          <w:shd w:val="clear" w:color="auto" w:fill="FFFFFF"/>
        </w:rPr>
        <w:t xml:space="preserve">6. </w:t>
      </w:r>
      <w:r w:rsidRPr="00EF393D">
        <w:rPr>
          <w:rFonts w:ascii="Verdana" w:hAnsi="Verdana" w:cs="Tahoma"/>
          <w:color w:val="000000"/>
          <w:sz w:val="16"/>
          <w:szCs w:val="16"/>
          <w:u w:val="single"/>
          <w:shd w:val="clear" w:color="auto" w:fill="FFFFFF"/>
        </w:rPr>
        <w:t>En el caso de que los derechos establecidos en el párrafo a) del artículo 8 y en el artículo 13 fuesen violados por una acción imputable directamente a un Estado</w:t>
      </w:r>
      <w:r w:rsidRPr="00EF393D">
        <w:rPr>
          <w:rFonts w:ascii="Verdana" w:hAnsi="Verdana" w:cs="Tahoma"/>
          <w:color w:val="000000"/>
          <w:sz w:val="16"/>
          <w:szCs w:val="16"/>
          <w:shd w:val="clear" w:color="auto" w:fill="FFFFFF"/>
        </w:rPr>
        <w:t xml:space="preserve"> parte del presente Protocolo, </w:t>
      </w:r>
      <w:r w:rsidRPr="00EF393D">
        <w:rPr>
          <w:rFonts w:ascii="Verdana" w:hAnsi="Verdana" w:cs="Tahoma"/>
          <w:color w:val="000000"/>
          <w:sz w:val="16"/>
          <w:szCs w:val="16"/>
          <w:u w:val="single"/>
          <w:shd w:val="clear" w:color="auto" w:fill="FFFFFF"/>
        </w:rPr>
        <w:t>tal situación podría dar lugar</w:t>
      </w:r>
      <w:r w:rsidRPr="00EF393D">
        <w:rPr>
          <w:rFonts w:ascii="Verdana" w:hAnsi="Verdana" w:cs="Tahoma"/>
          <w:color w:val="000000"/>
          <w:sz w:val="16"/>
          <w:szCs w:val="16"/>
          <w:shd w:val="clear" w:color="auto" w:fill="FFFFFF"/>
        </w:rPr>
        <w:t xml:space="preserve">, mediante la participación de la Comisión Interamericana de Derechos Humanos, y cuando proceda de la Corte Interamericana de Derechos Humanos, </w:t>
      </w:r>
      <w:r w:rsidRPr="00EF393D">
        <w:rPr>
          <w:rFonts w:ascii="Verdana" w:hAnsi="Verdana" w:cs="Tahoma"/>
          <w:color w:val="000000"/>
          <w:sz w:val="16"/>
          <w:szCs w:val="16"/>
          <w:u w:val="single"/>
          <w:shd w:val="clear" w:color="auto" w:fill="FFFFFF"/>
        </w:rPr>
        <w:t xml:space="preserve">a la aplicación del sistema de peticiones individuales </w:t>
      </w:r>
      <w:r w:rsidRPr="00EF393D">
        <w:rPr>
          <w:rFonts w:ascii="Verdana" w:hAnsi="Verdana" w:cs="Tahoma"/>
          <w:color w:val="000000"/>
          <w:sz w:val="16"/>
          <w:szCs w:val="16"/>
          <w:shd w:val="clear" w:color="auto" w:fill="FFFFFF"/>
        </w:rPr>
        <w:t>regulado por los artículos 44 a 51 y 61 a 69 de la Convención Americana sobre Derechos Humanos.</w:t>
      </w:r>
      <w:r>
        <w:rPr>
          <w:rFonts w:ascii="Verdana" w:hAnsi="Verdana" w:cs="Tahoma"/>
          <w:color w:val="000000"/>
          <w:sz w:val="16"/>
          <w:szCs w:val="16"/>
          <w:shd w:val="clear" w:color="auto" w:fill="FFFFFF"/>
        </w:rPr>
        <w:t xml:space="preserve"> (Subrayado fuera del texto)</w:t>
      </w:r>
    </w:p>
    <w:p w14:paraId="27F81526" w14:textId="77777777" w:rsidR="00E70701" w:rsidRPr="00EF393D" w:rsidRDefault="00E70701" w:rsidP="00C44F79">
      <w:pPr>
        <w:pStyle w:val="ListParagraph"/>
        <w:tabs>
          <w:tab w:val="left" w:pos="426"/>
          <w:tab w:val="left" w:pos="709"/>
        </w:tabs>
        <w:ind w:left="0"/>
        <w:jc w:val="both"/>
        <w:rPr>
          <w:rFonts w:ascii="Verdana" w:hAnsi="Verdana"/>
          <w:sz w:val="20"/>
          <w:szCs w:val="20"/>
        </w:rPr>
      </w:pPr>
    </w:p>
    <w:p w14:paraId="7350151D" w14:textId="77777777" w:rsidR="00E70701" w:rsidRDefault="00E70701" w:rsidP="00E70701">
      <w:pPr>
        <w:pStyle w:val="ListParagraph"/>
        <w:numPr>
          <w:ilvl w:val="0"/>
          <w:numId w:val="37"/>
        </w:numPr>
        <w:ind w:left="0" w:firstLine="0"/>
        <w:jc w:val="both"/>
        <w:rPr>
          <w:rFonts w:ascii="Verdana" w:hAnsi="Verdana"/>
          <w:sz w:val="20"/>
          <w:szCs w:val="20"/>
        </w:rPr>
      </w:pPr>
      <w:r w:rsidRPr="00047DC2">
        <w:rPr>
          <w:rFonts w:ascii="Verdana" w:hAnsi="Verdana"/>
          <w:sz w:val="20"/>
          <w:szCs w:val="20"/>
        </w:rPr>
        <w:t>Es así como, mediante esta disposición, los Estados resolvieron limitar la competencia de la Comisión y de la Corte para conocer de casos contenciosos que no se encuentren relacionados con algunos derechos sindicales y con el derecho a la educación</w:t>
      </w:r>
      <w:r>
        <w:rPr>
          <w:rFonts w:ascii="Verdana" w:hAnsi="Verdana"/>
          <w:sz w:val="20"/>
          <w:szCs w:val="20"/>
        </w:rPr>
        <w:t>.</w:t>
      </w:r>
    </w:p>
    <w:p w14:paraId="6246F038" w14:textId="77777777" w:rsidR="00E70701" w:rsidRDefault="00E70701" w:rsidP="00C44F79">
      <w:pPr>
        <w:pStyle w:val="ListParagraph"/>
        <w:ind w:left="0"/>
        <w:jc w:val="both"/>
        <w:rPr>
          <w:rFonts w:ascii="Verdana" w:hAnsi="Verdana"/>
          <w:sz w:val="20"/>
          <w:szCs w:val="20"/>
        </w:rPr>
      </w:pPr>
    </w:p>
    <w:p w14:paraId="567A89C1" w14:textId="77777777" w:rsidR="00E70701" w:rsidRDefault="00E70701" w:rsidP="00E70701">
      <w:pPr>
        <w:pStyle w:val="ListParagraph"/>
        <w:numPr>
          <w:ilvl w:val="0"/>
          <w:numId w:val="37"/>
        </w:numPr>
        <w:ind w:left="0" w:firstLine="0"/>
        <w:jc w:val="both"/>
        <w:rPr>
          <w:rFonts w:ascii="Verdana" w:hAnsi="Verdana"/>
          <w:sz w:val="20"/>
          <w:szCs w:val="20"/>
        </w:rPr>
      </w:pPr>
      <w:r w:rsidRPr="00047DC2">
        <w:rPr>
          <w:rFonts w:ascii="Verdana" w:hAnsi="Verdana"/>
          <w:sz w:val="20"/>
          <w:szCs w:val="20"/>
        </w:rPr>
        <w:t>Ahora bien, esta limitación de competencia no debe entenderse como contradictoria con lo dispuesto con el artículo 26 de la Convención Americana, si se tiene en cuenta que esta norma expresa la voluntad posterior y más específica de los Estados sobre la competencia de la Corte Interamericana sobre DESC. Tampoco se debe leer la Convención Americana de forma aislada sin tener en cuenta su Protocolo, por cuanto son tratados complementarios que deben ser leídos e interpretados de manera conjunta.</w:t>
      </w:r>
      <w:r>
        <w:rPr>
          <w:rFonts w:ascii="Verdana" w:hAnsi="Verdana"/>
          <w:sz w:val="20"/>
          <w:szCs w:val="20"/>
        </w:rPr>
        <w:t xml:space="preserve"> En este sentido, </w:t>
      </w:r>
      <w:r>
        <w:rPr>
          <w:rFonts w:ascii="Verdana" w:hAnsi="Verdana" w:cs="Arial"/>
          <w:sz w:val="20"/>
          <w:szCs w:val="20"/>
        </w:rPr>
        <w:t>las distintas propuestas</w:t>
      </w:r>
      <w:r w:rsidRPr="00047DC2">
        <w:rPr>
          <w:rFonts w:ascii="Verdana" w:hAnsi="Verdana" w:cs="Arial"/>
          <w:sz w:val="20"/>
          <w:szCs w:val="20"/>
        </w:rPr>
        <w:t xml:space="preserve"> de reforma al sistema IDH que pretenden incluir la </w:t>
      </w:r>
      <w:proofErr w:type="spellStart"/>
      <w:r w:rsidRPr="00047DC2">
        <w:rPr>
          <w:rFonts w:ascii="Verdana" w:hAnsi="Verdana" w:cs="Arial"/>
          <w:sz w:val="20"/>
          <w:szCs w:val="20"/>
        </w:rPr>
        <w:t>justiciabilidad</w:t>
      </w:r>
      <w:proofErr w:type="spellEnd"/>
      <w:r w:rsidRPr="00047DC2">
        <w:rPr>
          <w:rFonts w:ascii="Verdana" w:hAnsi="Verdana" w:cs="Arial"/>
          <w:sz w:val="20"/>
          <w:szCs w:val="20"/>
        </w:rPr>
        <w:t xml:space="preserve"> de DESC hacen evidente, que est</w:t>
      </w:r>
      <w:r>
        <w:rPr>
          <w:rFonts w:ascii="Verdana" w:hAnsi="Verdana" w:cs="Arial"/>
          <w:sz w:val="20"/>
          <w:szCs w:val="20"/>
        </w:rPr>
        <w:t>amos ante una compresión de la C</w:t>
      </w:r>
      <w:r w:rsidRPr="00047DC2">
        <w:rPr>
          <w:rFonts w:ascii="Verdana" w:hAnsi="Verdana" w:cs="Arial"/>
          <w:sz w:val="20"/>
          <w:szCs w:val="20"/>
        </w:rPr>
        <w:t xml:space="preserve">onvención contraria a la voluntad de los Estados, </w:t>
      </w:r>
      <w:r>
        <w:rPr>
          <w:rFonts w:ascii="Verdana" w:hAnsi="Verdana" w:cs="Arial"/>
          <w:sz w:val="20"/>
          <w:szCs w:val="20"/>
        </w:rPr>
        <w:t>a la voluntad expre</w:t>
      </w:r>
      <w:r w:rsidRPr="00047DC2">
        <w:rPr>
          <w:rFonts w:ascii="Verdana" w:hAnsi="Verdana" w:cs="Arial"/>
          <w:sz w:val="20"/>
          <w:szCs w:val="20"/>
        </w:rPr>
        <w:t>sa de no hacer justiciables los DESC</w:t>
      </w:r>
      <w:r>
        <w:rPr>
          <w:rFonts w:ascii="Verdana" w:hAnsi="Verdana" w:cs="Arial"/>
          <w:sz w:val="20"/>
          <w:szCs w:val="20"/>
        </w:rPr>
        <w:t>, salvo los que expresamente señala el artículo 19.6 del Protocolo</w:t>
      </w:r>
      <w:r w:rsidRPr="00047DC2">
        <w:rPr>
          <w:rFonts w:ascii="Verdana" w:hAnsi="Verdana" w:cs="Arial"/>
          <w:sz w:val="20"/>
          <w:szCs w:val="20"/>
        </w:rPr>
        <w:t>.</w:t>
      </w:r>
    </w:p>
    <w:p w14:paraId="3603A328" w14:textId="77777777" w:rsidR="00E70701" w:rsidRPr="00047DC2" w:rsidRDefault="00E70701" w:rsidP="00C44F79">
      <w:pPr>
        <w:jc w:val="both"/>
        <w:rPr>
          <w:rFonts w:ascii="Verdana" w:hAnsi="Verdana"/>
          <w:sz w:val="20"/>
          <w:szCs w:val="20"/>
        </w:rPr>
      </w:pPr>
    </w:p>
    <w:p w14:paraId="4496FA8A" w14:textId="77777777" w:rsidR="00E70701" w:rsidRDefault="00E70701" w:rsidP="00E70701">
      <w:pPr>
        <w:pStyle w:val="ListParagraph"/>
        <w:numPr>
          <w:ilvl w:val="0"/>
          <w:numId w:val="37"/>
        </w:numPr>
        <w:ind w:left="0" w:firstLine="0"/>
        <w:jc w:val="both"/>
        <w:rPr>
          <w:rFonts w:ascii="Verdana" w:hAnsi="Verdana"/>
          <w:sz w:val="20"/>
          <w:szCs w:val="20"/>
        </w:rPr>
      </w:pPr>
      <w:r w:rsidRPr="00047DC2">
        <w:rPr>
          <w:rFonts w:ascii="Verdana" w:hAnsi="Verdana"/>
          <w:sz w:val="20"/>
          <w:szCs w:val="20"/>
        </w:rPr>
        <w:t xml:space="preserve">Asimismo, es relevante señalar que las obligaciones generadas por el Protocolo a los Estados Parte son independientes al hecho de que la Corte tenga competencia para declarar violaciones en el marco de su función contenciosa. Simplemente para la vigilancia de cumplimiento de estos derechos los Estados dispusieron otros mecanismos, como lo son los </w:t>
      </w:r>
      <w:r w:rsidRPr="00047DC2">
        <w:rPr>
          <w:rFonts w:ascii="Verdana" w:hAnsi="Verdana"/>
          <w:sz w:val="20"/>
          <w:szCs w:val="20"/>
        </w:rPr>
        <w:lastRenderedPageBreak/>
        <w:t>establecidos en los demás incisos del artículo 19 del Protocolo, tales como la posibilidad de formular observaciones y recomendaciones sobre la situación de los DESC en el informe anual de la Comisión Interamericana.</w:t>
      </w:r>
    </w:p>
    <w:p w14:paraId="6F166522" w14:textId="77777777" w:rsidR="00E70701" w:rsidRPr="00047DC2" w:rsidRDefault="00E70701" w:rsidP="00C44F79">
      <w:pPr>
        <w:jc w:val="both"/>
        <w:rPr>
          <w:rFonts w:ascii="Verdana" w:hAnsi="Verdana"/>
          <w:sz w:val="20"/>
          <w:szCs w:val="20"/>
        </w:rPr>
      </w:pPr>
    </w:p>
    <w:p w14:paraId="4932C3DC" w14:textId="77777777" w:rsidR="00E70701" w:rsidRPr="00047DC2" w:rsidRDefault="00E70701" w:rsidP="00E70701">
      <w:pPr>
        <w:pStyle w:val="ListParagraph"/>
        <w:numPr>
          <w:ilvl w:val="0"/>
          <w:numId w:val="37"/>
        </w:numPr>
        <w:ind w:left="0" w:firstLine="0"/>
        <w:jc w:val="both"/>
        <w:rPr>
          <w:rFonts w:ascii="Verdana" w:hAnsi="Verdana"/>
          <w:sz w:val="20"/>
          <w:szCs w:val="20"/>
        </w:rPr>
      </w:pPr>
      <w:r w:rsidRPr="00047DC2">
        <w:rPr>
          <w:rFonts w:ascii="Verdana" w:hAnsi="Verdana"/>
          <w:sz w:val="20"/>
          <w:szCs w:val="20"/>
        </w:rPr>
        <w:t xml:space="preserve">Teniendo en cuenta lo anteriormente señalado, estimo inconcebible que una Sentencia que declara la vulneración de un DESC en el sistema interamericano, no haga referencia alguna al Protocolo y sus alcances. Más adelante me concentraré en mostrar como esto representa una falencia argumentativa importante, pero más allá de la técnica jurídica que es exigible a un Tribunal de la envergadura de la Corte IDH, la omisión de referirse al Protocolo demuestra la intensión expresa de no querer encarar los problemas de competencia y </w:t>
      </w:r>
      <w:proofErr w:type="spellStart"/>
      <w:r w:rsidRPr="00047DC2">
        <w:rPr>
          <w:rFonts w:ascii="Verdana" w:hAnsi="Verdana"/>
          <w:sz w:val="20"/>
          <w:szCs w:val="20"/>
        </w:rPr>
        <w:t>justiciabilidad</w:t>
      </w:r>
      <w:proofErr w:type="spellEnd"/>
      <w:r w:rsidRPr="00047DC2">
        <w:rPr>
          <w:rFonts w:ascii="Verdana" w:hAnsi="Verdana"/>
          <w:sz w:val="20"/>
          <w:szCs w:val="20"/>
        </w:rPr>
        <w:t xml:space="preserve"> que se generan por el mismo. En otras palabras, pareciera que </w:t>
      </w:r>
      <w:r>
        <w:rPr>
          <w:rFonts w:ascii="Verdana" w:hAnsi="Verdana"/>
          <w:sz w:val="20"/>
          <w:szCs w:val="20"/>
        </w:rPr>
        <w:t xml:space="preserve">lo que se busca al </w:t>
      </w:r>
      <w:r w:rsidRPr="00047DC2">
        <w:rPr>
          <w:rFonts w:ascii="Verdana" w:hAnsi="Verdana"/>
          <w:sz w:val="20"/>
          <w:szCs w:val="20"/>
        </w:rPr>
        <w:t xml:space="preserve">no hacer referencia alguna al </w:t>
      </w:r>
      <w:r>
        <w:rPr>
          <w:rFonts w:ascii="Verdana" w:hAnsi="Verdana"/>
          <w:sz w:val="20"/>
          <w:szCs w:val="20"/>
        </w:rPr>
        <w:t xml:space="preserve">Protocolo es el deseo de </w:t>
      </w:r>
      <w:r w:rsidRPr="00047DC2">
        <w:rPr>
          <w:rFonts w:ascii="Verdana" w:hAnsi="Verdana"/>
          <w:sz w:val="20"/>
          <w:szCs w:val="20"/>
        </w:rPr>
        <w:t>negar su existencia</w:t>
      </w:r>
      <w:r>
        <w:rPr>
          <w:rFonts w:ascii="Verdana" w:hAnsi="Verdana"/>
          <w:sz w:val="20"/>
          <w:szCs w:val="20"/>
        </w:rPr>
        <w:t xml:space="preserve"> como tratado complementario de la Convención Americana</w:t>
      </w:r>
      <w:r w:rsidRPr="00047DC2">
        <w:rPr>
          <w:rFonts w:ascii="Verdana" w:hAnsi="Verdana"/>
          <w:sz w:val="20"/>
          <w:szCs w:val="20"/>
        </w:rPr>
        <w:t>, la voluntad de los Estados que expresa</w:t>
      </w:r>
      <w:r>
        <w:rPr>
          <w:rFonts w:ascii="Verdana" w:hAnsi="Verdana"/>
          <w:sz w:val="20"/>
          <w:szCs w:val="20"/>
        </w:rPr>
        <w:t xml:space="preserve"> el mismo</w:t>
      </w:r>
      <w:r w:rsidRPr="00047DC2">
        <w:rPr>
          <w:rFonts w:ascii="Verdana" w:hAnsi="Verdana"/>
          <w:sz w:val="20"/>
          <w:szCs w:val="20"/>
        </w:rPr>
        <w:t xml:space="preserve"> y los debates que se generan a partir de sus disposiciones. </w:t>
      </w:r>
      <w:r>
        <w:rPr>
          <w:rFonts w:ascii="Verdana" w:hAnsi="Verdana"/>
          <w:sz w:val="20"/>
          <w:szCs w:val="20"/>
        </w:rPr>
        <w:t>No obstante esta intención, es claro que la validez y obligatoriedad de una norma no puede depender de que sea mencionada en una sentencia en particular, es decir que, así la quieran omitir, esto no afecta en lo más mínimo su existencia o fuerza vinculante.</w:t>
      </w:r>
    </w:p>
    <w:p w14:paraId="3B90A829" w14:textId="77777777" w:rsidR="00E70701" w:rsidRDefault="00E70701" w:rsidP="00C44F79">
      <w:pPr>
        <w:jc w:val="both"/>
        <w:rPr>
          <w:rFonts w:ascii="Verdana" w:hAnsi="Verdana" w:cs="Arial"/>
          <w:b/>
          <w:sz w:val="20"/>
          <w:szCs w:val="20"/>
        </w:rPr>
      </w:pPr>
    </w:p>
    <w:p w14:paraId="3790138C" w14:textId="77777777" w:rsidR="00E70701" w:rsidRPr="00B54B55" w:rsidRDefault="00E70701" w:rsidP="00E70701">
      <w:pPr>
        <w:pStyle w:val="ListParagraph"/>
        <w:numPr>
          <w:ilvl w:val="0"/>
          <w:numId w:val="38"/>
        </w:numPr>
        <w:tabs>
          <w:tab w:val="left" w:pos="426"/>
          <w:tab w:val="left" w:pos="709"/>
        </w:tabs>
        <w:jc w:val="both"/>
        <w:rPr>
          <w:rFonts w:ascii="Verdana" w:hAnsi="Verdana"/>
          <w:b/>
          <w:sz w:val="20"/>
          <w:szCs w:val="20"/>
        </w:rPr>
      </w:pPr>
      <w:r w:rsidRPr="00B54B55">
        <w:rPr>
          <w:rFonts w:ascii="Verdana" w:hAnsi="Verdana"/>
          <w:b/>
          <w:sz w:val="20"/>
          <w:szCs w:val="20"/>
        </w:rPr>
        <w:t xml:space="preserve">Interpretación evolutiva y principio </w:t>
      </w:r>
      <w:r w:rsidRPr="00B54B55">
        <w:rPr>
          <w:rFonts w:ascii="Verdana" w:hAnsi="Verdana"/>
          <w:b/>
          <w:i/>
          <w:sz w:val="20"/>
          <w:szCs w:val="20"/>
        </w:rPr>
        <w:t xml:space="preserve">pro </w:t>
      </w:r>
      <w:r>
        <w:rPr>
          <w:rFonts w:ascii="Verdana" w:hAnsi="Verdana"/>
          <w:b/>
          <w:i/>
          <w:sz w:val="20"/>
          <w:szCs w:val="20"/>
        </w:rPr>
        <w:t>persona</w:t>
      </w:r>
    </w:p>
    <w:p w14:paraId="2D4AB5DB" w14:textId="77777777" w:rsidR="00E70701" w:rsidRDefault="00E70701" w:rsidP="00C44F79">
      <w:pPr>
        <w:jc w:val="both"/>
        <w:rPr>
          <w:rFonts w:ascii="Verdana" w:hAnsi="Verdana" w:cs="Arial"/>
          <w:b/>
          <w:sz w:val="20"/>
          <w:szCs w:val="20"/>
        </w:rPr>
      </w:pPr>
    </w:p>
    <w:p w14:paraId="262F5DCA" w14:textId="77777777" w:rsidR="00E70701" w:rsidRDefault="00E70701" w:rsidP="00E70701">
      <w:pPr>
        <w:pStyle w:val="ListParagraph"/>
        <w:numPr>
          <w:ilvl w:val="0"/>
          <w:numId w:val="37"/>
        </w:numPr>
        <w:ind w:left="0" w:firstLine="0"/>
        <w:jc w:val="both"/>
        <w:rPr>
          <w:rFonts w:ascii="Verdana" w:hAnsi="Verdana"/>
          <w:sz w:val="20"/>
          <w:szCs w:val="20"/>
        </w:rPr>
      </w:pPr>
      <w:r>
        <w:rPr>
          <w:rFonts w:ascii="Verdana" w:hAnsi="Verdana"/>
          <w:sz w:val="20"/>
          <w:szCs w:val="20"/>
        </w:rPr>
        <w:t xml:space="preserve">La idea de superar los problemas de </w:t>
      </w:r>
      <w:proofErr w:type="spellStart"/>
      <w:r>
        <w:rPr>
          <w:rFonts w:ascii="Verdana" w:hAnsi="Verdana"/>
          <w:sz w:val="20"/>
          <w:szCs w:val="20"/>
        </w:rPr>
        <w:t>justiciabilidad</w:t>
      </w:r>
      <w:proofErr w:type="spellEnd"/>
      <w:r>
        <w:rPr>
          <w:rFonts w:ascii="Verdana" w:hAnsi="Verdana"/>
          <w:sz w:val="20"/>
          <w:szCs w:val="20"/>
        </w:rPr>
        <w:t xml:space="preserve"> de los DESC a partir de una interpretación evolutiva y supuestamente “</w:t>
      </w:r>
      <w:r>
        <w:rPr>
          <w:rFonts w:ascii="Verdana" w:hAnsi="Verdana"/>
          <w:i/>
          <w:sz w:val="20"/>
          <w:szCs w:val="20"/>
        </w:rPr>
        <w:t>pro persona</w:t>
      </w:r>
      <w:r>
        <w:rPr>
          <w:rFonts w:ascii="Verdana" w:hAnsi="Verdana"/>
          <w:sz w:val="20"/>
          <w:szCs w:val="20"/>
        </w:rPr>
        <w:t>” del artículo 26 de la CADH ha sido constante por parte de quienes apoyan esta tesis. Sin embargo, este argumento entraña un problema de base, puesto que no tiene en cuenta que para realizar una correcta interpretación de un tratado es necesario acudir a</w:t>
      </w:r>
      <w:r w:rsidRPr="008C6799">
        <w:rPr>
          <w:rFonts w:ascii="Verdana" w:hAnsi="Verdana"/>
          <w:sz w:val="20"/>
          <w:szCs w:val="20"/>
        </w:rPr>
        <w:t xml:space="preserve"> los demás métodos interpretativos con los que se cuenta en el derecho internacional, ya que el método evolutivo no es el único que debe ser tenido en cuenta.</w:t>
      </w:r>
    </w:p>
    <w:p w14:paraId="022DCFF3" w14:textId="77777777" w:rsidR="00E70701" w:rsidRDefault="00E70701" w:rsidP="00C44F79">
      <w:pPr>
        <w:pStyle w:val="ListParagraph"/>
        <w:ind w:left="0"/>
        <w:jc w:val="both"/>
        <w:rPr>
          <w:rFonts w:ascii="Verdana" w:hAnsi="Verdana"/>
          <w:sz w:val="20"/>
          <w:szCs w:val="20"/>
        </w:rPr>
      </w:pPr>
    </w:p>
    <w:p w14:paraId="328F4E48" w14:textId="77777777" w:rsidR="00E70701" w:rsidRDefault="00E70701" w:rsidP="00E70701">
      <w:pPr>
        <w:pStyle w:val="ListParagraph"/>
        <w:numPr>
          <w:ilvl w:val="0"/>
          <w:numId w:val="37"/>
        </w:numPr>
        <w:ind w:left="0" w:firstLine="0"/>
        <w:jc w:val="both"/>
        <w:rPr>
          <w:rFonts w:ascii="Verdana" w:hAnsi="Verdana"/>
          <w:sz w:val="20"/>
          <w:szCs w:val="20"/>
        </w:rPr>
      </w:pPr>
      <w:r w:rsidRPr="00C06104">
        <w:rPr>
          <w:rFonts w:ascii="Verdana" w:hAnsi="Verdana"/>
          <w:sz w:val="20"/>
          <w:szCs w:val="20"/>
        </w:rPr>
        <w:t>Sobre los métodos de interpretación que deben ser tenidos en cuenta, los artículos 31 y 32 de la Convención de Viena sobre el Derecho de los Tratados establecen los principales métodos. Esto ha sido acogido por la Corte Interamericana en su jurisprudencia</w:t>
      </w:r>
      <w:r>
        <w:rPr>
          <w:rStyle w:val="FootnoteReference"/>
          <w:szCs w:val="20"/>
        </w:rPr>
        <w:footnoteReference w:id="455"/>
      </w:r>
      <w:r w:rsidRPr="00C06104">
        <w:rPr>
          <w:rFonts w:ascii="Verdana" w:hAnsi="Verdana"/>
          <w:sz w:val="20"/>
          <w:szCs w:val="20"/>
        </w:rPr>
        <w:t xml:space="preserve">, de manera que además del método evolutivo ha utilizado otros </w:t>
      </w:r>
      <w:r w:rsidRPr="00C06104">
        <w:rPr>
          <w:rFonts w:ascii="Verdana" w:hAnsi="Verdana"/>
          <w:sz w:val="20"/>
          <w:szCs w:val="20"/>
          <w:lang w:val="es-CR"/>
        </w:rPr>
        <w:t>criterios de interpretación, tales como la interpretación literal, la interpretación sistemática y la interpretación teleológica.</w:t>
      </w:r>
    </w:p>
    <w:p w14:paraId="3EBAF20E" w14:textId="77777777" w:rsidR="00E70701" w:rsidRPr="00C06104" w:rsidRDefault="00E70701" w:rsidP="00C44F79">
      <w:pPr>
        <w:jc w:val="both"/>
        <w:rPr>
          <w:rFonts w:ascii="Verdana" w:hAnsi="Verdana"/>
          <w:sz w:val="20"/>
          <w:szCs w:val="20"/>
        </w:rPr>
      </w:pPr>
    </w:p>
    <w:p w14:paraId="24E4E206" w14:textId="77777777" w:rsidR="00E70701" w:rsidRPr="00D309D6" w:rsidRDefault="00E70701" w:rsidP="00E70701">
      <w:pPr>
        <w:pStyle w:val="ListParagraph"/>
        <w:numPr>
          <w:ilvl w:val="0"/>
          <w:numId w:val="37"/>
        </w:numPr>
        <w:ind w:left="0" w:firstLine="0"/>
        <w:jc w:val="both"/>
        <w:rPr>
          <w:rFonts w:ascii="Verdana" w:hAnsi="Verdana"/>
          <w:sz w:val="20"/>
          <w:szCs w:val="20"/>
        </w:rPr>
      </w:pPr>
      <w:r w:rsidRPr="00C06104">
        <w:rPr>
          <w:rFonts w:ascii="Verdana" w:hAnsi="Verdana"/>
          <w:sz w:val="20"/>
          <w:szCs w:val="20"/>
        </w:rPr>
        <w:t xml:space="preserve">Al respecto, cabe señalar que si se quisiera hacer una interpretación de la norma no es suficiente con hacer uso de uno de los diversos métodos de interpretación existentes, por </w:t>
      </w:r>
      <w:proofErr w:type="gramStart"/>
      <w:r w:rsidRPr="00C06104">
        <w:rPr>
          <w:rFonts w:ascii="Verdana" w:hAnsi="Verdana"/>
          <w:sz w:val="20"/>
          <w:szCs w:val="20"/>
        </w:rPr>
        <w:t>cuanto</w:t>
      </w:r>
      <w:proofErr w:type="gramEnd"/>
      <w:r w:rsidRPr="00C06104">
        <w:rPr>
          <w:rFonts w:ascii="Verdana" w:hAnsi="Verdana"/>
          <w:sz w:val="20"/>
          <w:szCs w:val="20"/>
        </w:rPr>
        <w:t xml:space="preserve"> estos son complementarios entre sí y ninguno tiene una mayor jerarquía que el otro.  </w:t>
      </w:r>
      <w:r w:rsidRPr="004066BD">
        <w:rPr>
          <w:rFonts w:ascii="Verdana" w:hAnsi="Verdana" w:cs="Arial"/>
          <w:sz w:val="20"/>
          <w:szCs w:val="20"/>
        </w:rPr>
        <w:t>En efecto, en el mencionado voto concurrente hice el análisis</w:t>
      </w:r>
      <w:r>
        <w:rPr>
          <w:rStyle w:val="FootnoteReference"/>
          <w:rFonts w:cs="Arial"/>
          <w:szCs w:val="20"/>
        </w:rPr>
        <w:footnoteReference w:id="456"/>
      </w:r>
      <w:r w:rsidRPr="004066BD">
        <w:rPr>
          <w:rFonts w:ascii="Verdana" w:hAnsi="Verdana" w:cs="Arial"/>
          <w:sz w:val="20"/>
          <w:szCs w:val="20"/>
        </w:rPr>
        <w:t xml:space="preserve"> del artículo 26 </w:t>
      </w:r>
      <w:r>
        <w:rPr>
          <w:rFonts w:ascii="Verdana" w:hAnsi="Verdana" w:cs="Arial"/>
          <w:sz w:val="20"/>
          <w:szCs w:val="20"/>
        </w:rPr>
        <w:t xml:space="preserve">CADH </w:t>
      </w:r>
      <w:r w:rsidRPr="004066BD">
        <w:rPr>
          <w:rFonts w:ascii="Verdana" w:hAnsi="Verdana" w:cs="Arial"/>
          <w:sz w:val="20"/>
          <w:szCs w:val="20"/>
        </w:rPr>
        <w:t xml:space="preserve">teniendo en cuenta todos los métodos interpretativos, </w:t>
      </w:r>
      <w:r>
        <w:rPr>
          <w:rFonts w:ascii="Verdana" w:hAnsi="Verdana" w:cs="Arial"/>
          <w:sz w:val="20"/>
          <w:szCs w:val="20"/>
        </w:rPr>
        <w:t>el</w:t>
      </w:r>
      <w:r w:rsidRPr="004066BD">
        <w:rPr>
          <w:rFonts w:ascii="Verdana" w:hAnsi="Verdana" w:cs="Arial"/>
          <w:sz w:val="20"/>
          <w:szCs w:val="20"/>
        </w:rPr>
        <w:t xml:space="preserve"> cual demostró que el mismo no permite una </w:t>
      </w:r>
      <w:proofErr w:type="spellStart"/>
      <w:r w:rsidRPr="004066BD">
        <w:rPr>
          <w:rFonts w:ascii="Verdana" w:hAnsi="Verdana" w:cs="Arial"/>
          <w:sz w:val="20"/>
          <w:szCs w:val="20"/>
        </w:rPr>
        <w:t>justiciabilidad</w:t>
      </w:r>
      <w:proofErr w:type="spellEnd"/>
      <w:r w:rsidRPr="004066BD">
        <w:rPr>
          <w:rFonts w:ascii="Verdana" w:hAnsi="Verdana" w:cs="Arial"/>
          <w:sz w:val="20"/>
          <w:szCs w:val="20"/>
        </w:rPr>
        <w:t xml:space="preserve"> directa de los DESC, pues la competencia de la Corte IDH en la materia se encuentra regulada por el artículo </w:t>
      </w:r>
      <w:r w:rsidRPr="004066BD">
        <w:rPr>
          <w:rFonts w:ascii="Verdana" w:hAnsi="Verdana"/>
          <w:sz w:val="20"/>
          <w:szCs w:val="20"/>
        </w:rPr>
        <w:t>19.6 del Protocolo.</w:t>
      </w:r>
    </w:p>
    <w:p w14:paraId="7BBFB8F9" w14:textId="77777777" w:rsidR="00E70701" w:rsidRPr="00D309D6" w:rsidRDefault="00E70701" w:rsidP="00C44F79">
      <w:pPr>
        <w:jc w:val="both"/>
        <w:rPr>
          <w:rFonts w:ascii="Verdana" w:hAnsi="Verdana"/>
          <w:sz w:val="20"/>
          <w:szCs w:val="20"/>
        </w:rPr>
      </w:pPr>
    </w:p>
    <w:p w14:paraId="05281C86" w14:textId="77777777" w:rsidR="00E70701" w:rsidRDefault="00E70701" w:rsidP="00E70701">
      <w:pPr>
        <w:pStyle w:val="ListParagraph"/>
        <w:numPr>
          <w:ilvl w:val="0"/>
          <w:numId w:val="37"/>
        </w:numPr>
        <w:ind w:left="0" w:firstLine="0"/>
        <w:jc w:val="both"/>
        <w:rPr>
          <w:rFonts w:ascii="Verdana" w:hAnsi="Verdana"/>
          <w:sz w:val="20"/>
          <w:szCs w:val="20"/>
        </w:rPr>
      </w:pPr>
      <w:r>
        <w:rPr>
          <w:rFonts w:ascii="Verdana" w:hAnsi="Verdana"/>
          <w:sz w:val="20"/>
          <w:szCs w:val="20"/>
        </w:rPr>
        <w:t xml:space="preserve">Por ello, este punto también es bastante controversial en la presente Sentencia, pues se limita a usar un solo método de interpretación, dejando de lado a una de las normas más básicas del derecho internacional público, como lo es la </w:t>
      </w:r>
      <w:r w:rsidRPr="00C06104">
        <w:rPr>
          <w:rFonts w:ascii="Verdana" w:hAnsi="Verdana"/>
          <w:sz w:val="20"/>
          <w:szCs w:val="20"/>
        </w:rPr>
        <w:t>Convención de Viena sobre el Derecho de los Tratado</w:t>
      </w:r>
      <w:r>
        <w:rPr>
          <w:rFonts w:ascii="Verdana" w:hAnsi="Verdana"/>
          <w:sz w:val="20"/>
          <w:szCs w:val="20"/>
        </w:rPr>
        <w:t xml:space="preserve">s. Asimismo, no explica o argumenta porque se pretende realizar una interpretación del tratado bajo una sola metodología que además no es usual para la Corte IDH, que en diversas oportunidades ha realizado interpretaciones a partir de todos los métodos establecidos. </w:t>
      </w:r>
    </w:p>
    <w:p w14:paraId="6EDB0217" w14:textId="77777777" w:rsidR="00E70701" w:rsidRPr="006532EF" w:rsidRDefault="00E70701" w:rsidP="00C44F79">
      <w:pPr>
        <w:jc w:val="both"/>
        <w:rPr>
          <w:rFonts w:ascii="Verdana" w:hAnsi="Verdana"/>
          <w:sz w:val="20"/>
          <w:szCs w:val="20"/>
        </w:rPr>
      </w:pPr>
    </w:p>
    <w:p w14:paraId="62EC1C26" w14:textId="77777777" w:rsidR="00E70701" w:rsidRDefault="00E70701" w:rsidP="00E70701">
      <w:pPr>
        <w:pStyle w:val="ListParagraph"/>
        <w:numPr>
          <w:ilvl w:val="0"/>
          <w:numId w:val="37"/>
        </w:numPr>
        <w:ind w:left="0" w:firstLine="0"/>
        <w:jc w:val="both"/>
        <w:rPr>
          <w:rFonts w:ascii="Verdana" w:hAnsi="Verdana"/>
          <w:sz w:val="20"/>
          <w:szCs w:val="20"/>
        </w:rPr>
      </w:pPr>
      <w:r>
        <w:rPr>
          <w:rFonts w:ascii="Verdana" w:hAnsi="Verdana"/>
          <w:sz w:val="20"/>
          <w:szCs w:val="20"/>
        </w:rPr>
        <w:t xml:space="preserve">Finalmente, recalcó que en este caso no se está frente a una interpretación más garantista de la norma que permita la aplicación del principio </w:t>
      </w:r>
      <w:proofErr w:type="spellStart"/>
      <w:r>
        <w:rPr>
          <w:rFonts w:ascii="Verdana" w:hAnsi="Verdana"/>
          <w:i/>
          <w:sz w:val="20"/>
          <w:szCs w:val="20"/>
        </w:rPr>
        <w:t>pro</w:t>
      </w:r>
      <w:proofErr w:type="spellEnd"/>
      <w:r>
        <w:rPr>
          <w:rFonts w:ascii="Verdana" w:hAnsi="Verdana"/>
          <w:i/>
          <w:sz w:val="20"/>
          <w:szCs w:val="20"/>
        </w:rPr>
        <w:t xml:space="preserve"> persona</w:t>
      </w:r>
      <w:r>
        <w:rPr>
          <w:rFonts w:ascii="Verdana" w:hAnsi="Verdana"/>
          <w:sz w:val="20"/>
          <w:szCs w:val="20"/>
        </w:rPr>
        <w:t xml:space="preserve">. Esto se debe a que </w:t>
      </w:r>
      <w:r w:rsidRPr="00E274DB">
        <w:rPr>
          <w:rFonts w:ascii="Verdana" w:hAnsi="Verdana"/>
          <w:sz w:val="20"/>
          <w:szCs w:val="20"/>
        </w:rPr>
        <w:t xml:space="preserve">el principio </w:t>
      </w:r>
      <w:r w:rsidRPr="00E274DB">
        <w:rPr>
          <w:rFonts w:ascii="Verdana" w:hAnsi="Verdana"/>
          <w:i/>
          <w:sz w:val="20"/>
          <w:szCs w:val="20"/>
        </w:rPr>
        <w:t xml:space="preserve">pro </w:t>
      </w:r>
      <w:r>
        <w:rPr>
          <w:rFonts w:ascii="Verdana" w:hAnsi="Verdana"/>
          <w:i/>
          <w:sz w:val="20"/>
          <w:szCs w:val="20"/>
        </w:rPr>
        <w:t>persona</w:t>
      </w:r>
      <w:r w:rsidRPr="00E274DB">
        <w:rPr>
          <w:rFonts w:ascii="Verdana" w:hAnsi="Verdana"/>
          <w:sz w:val="20"/>
          <w:szCs w:val="20"/>
        </w:rPr>
        <w:t xml:space="preserve"> debe ser aplicado cuando la Corte se encuentre frente a dos posibles interpretaciones válidas </w:t>
      </w:r>
      <w:r>
        <w:rPr>
          <w:rFonts w:ascii="Verdana" w:hAnsi="Verdana"/>
          <w:sz w:val="20"/>
          <w:szCs w:val="20"/>
        </w:rPr>
        <w:t>y ciertas. Justamente, lo que he</w:t>
      </w:r>
      <w:r w:rsidRPr="00E274DB">
        <w:rPr>
          <w:rFonts w:ascii="Verdana" w:hAnsi="Verdana"/>
          <w:sz w:val="20"/>
          <w:szCs w:val="20"/>
        </w:rPr>
        <w:t xml:space="preserve"> demostrado es que la </w:t>
      </w:r>
      <w:proofErr w:type="spellStart"/>
      <w:r w:rsidRPr="00E274DB">
        <w:rPr>
          <w:rFonts w:ascii="Verdana" w:hAnsi="Verdana"/>
          <w:sz w:val="20"/>
          <w:szCs w:val="20"/>
        </w:rPr>
        <w:t>justiciabilidad</w:t>
      </w:r>
      <w:proofErr w:type="spellEnd"/>
      <w:r w:rsidRPr="00E274DB">
        <w:rPr>
          <w:rFonts w:ascii="Verdana" w:hAnsi="Verdana"/>
          <w:sz w:val="20"/>
          <w:szCs w:val="20"/>
        </w:rPr>
        <w:t xml:space="preserve"> directa de los DESC a partir del artículo 26 de la Convención no es </w:t>
      </w:r>
      <w:r>
        <w:rPr>
          <w:rFonts w:ascii="Verdana" w:hAnsi="Verdana"/>
          <w:sz w:val="20"/>
          <w:szCs w:val="20"/>
        </w:rPr>
        <w:t xml:space="preserve">una </w:t>
      </w:r>
      <w:r w:rsidRPr="00E274DB">
        <w:rPr>
          <w:rFonts w:ascii="Verdana" w:hAnsi="Verdana"/>
          <w:sz w:val="20"/>
          <w:szCs w:val="20"/>
        </w:rPr>
        <w:t>interpr</w:t>
      </w:r>
      <w:r>
        <w:rPr>
          <w:rFonts w:ascii="Verdana" w:hAnsi="Verdana"/>
          <w:sz w:val="20"/>
          <w:szCs w:val="20"/>
        </w:rPr>
        <w:t>etación vá</w:t>
      </w:r>
      <w:r w:rsidRPr="00E274DB">
        <w:rPr>
          <w:rFonts w:ascii="Verdana" w:hAnsi="Verdana"/>
          <w:sz w:val="20"/>
          <w:szCs w:val="20"/>
        </w:rPr>
        <w:t>lida, dado que lo que se está intentando es derivar un enunciado normativo que no corresponde a la norma</w:t>
      </w:r>
      <w:r>
        <w:rPr>
          <w:rStyle w:val="FootnoteReference"/>
          <w:szCs w:val="20"/>
        </w:rPr>
        <w:footnoteReference w:id="457"/>
      </w:r>
      <w:r w:rsidRPr="00E274DB">
        <w:rPr>
          <w:rFonts w:ascii="Verdana" w:hAnsi="Verdana"/>
          <w:sz w:val="20"/>
          <w:szCs w:val="20"/>
        </w:rPr>
        <w:t>.</w:t>
      </w:r>
      <w:r>
        <w:rPr>
          <w:rFonts w:ascii="Verdana" w:hAnsi="Verdana"/>
          <w:sz w:val="20"/>
          <w:szCs w:val="20"/>
        </w:rPr>
        <w:t xml:space="preserve"> Dicho de otra forma, el principio </w:t>
      </w:r>
      <w:r>
        <w:rPr>
          <w:rFonts w:ascii="Verdana" w:hAnsi="Verdana"/>
          <w:i/>
          <w:sz w:val="20"/>
          <w:szCs w:val="20"/>
        </w:rPr>
        <w:t xml:space="preserve">pro persona </w:t>
      </w:r>
      <w:r>
        <w:rPr>
          <w:rFonts w:ascii="Verdana" w:hAnsi="Verdana"/>
          <w:sz w:val="20"/>
          <w:szCs w:val="20"/>
        </w:rPr>
        <w:t>no puede ser utilizado para validar una opción interpretativa que no se desprende de la norma y que por el contrario implica una modificación de la misma.</w:t>
      </w:r>
    </w:p>
    <w:p w14:paraId="1700B7F2" w14:textId="77777777" w:rsidR="00E70701" w:rsidRPr="000D3FFA" w:rsidRDefault="00E70701" w:rsidP="00C44F79">
      <w:pPr>
        <w:jc w:val="both"/>
        <w:rPr>
          <w:rFonts w:ascii="Verdana" w:hAnsi="Verdana" w:cs="Arial"/>
          <w:sz w:val="20"/>
          <w:szCs w:val="20"/>
        </w:rPr>
      </w:pPr>
    </w:p>
    <w:p w14:paraId="119D8619" w14:textId="77777777" w:rsidR="00E70701" w:rsidRPr="003A65D1" w:rsidRDefault="00E70701" w:rsidP="00E70701">
      <w:pPr>
        <w:pStyle w:val="ListParagraph"/>
        <w:numPr>
          <w:ilvl w:val="0"/>
          <w:numId w:val="36"/>
        </w:numPr>
        <w:jc w:val="both"/>
        <w:rPr>
          <w:rFonts w:ascii="Verdana" w:hAnsi="Verdana" w:cs="Arial"/>
          <w:b/>
          <w:sz w:val="20"/>
          <w:szCs w:val="20"/>
        </w:rPr>
      </w:pPr>
      <w:r w:rsidRPr="003A65D1">
        <w:rPr>
          <w:rFonts w:ascii="Verdana" w:hAnsi="Verdana" w:cs="Arial"/>
          <w:b/>
          <w:sz w:val="20"/>
          <w:szCs w:val="20"/>
        </w:rPr>
        <w:t>IMPERTINENCIA DEL CASO</w:t>
      </w:r>
      <w:r>
        <w:rPr>
          <w:rFonts w:ascii="Verdana" w:hAnsi="Verdana" w:cs="Arial"/>
          <w:b/>
          <w:sz w:val="20"/>
          <w:szCs w:val="20"/>
        </w:rPr>
        <w:t xml:space="preserve"> CONCRETO</w:t>
      </w:r>
    </w:p>
    <w:p w14:paraId="632E35FC" w14:textId="77777777" w:rsidR="00E70701" w:rsidRPr="006532EF" w:rsidRDefault="00E70701" w:rsidP="00C44F79">
      <w:pPr>
        <w:jc w:val="both"/>
        <w:rPr>
          <w:rFonts w:ascii="Verdana" w:hAnsi="Verdana"/>
          <w:sz w:val="20"/>
          <w:szCs w:val="20"/>
        </w:rPr>
      </w:pPr>
    </w:p>
    <w:p w14:paraId="7ED9FAA1" w14:textId="77777777" w:rsidR="00E70701" w:rsidRDefault="00E70701" w:rsidP="00E70701">
      <w:pPr>
        <w:pStyle w:val="ListParagraph"/>
        <w:numPr>
          <w:ilvl w:val="0"/>
          <w:numId w:val="37"/>
        </w:numPr>
        <w:ind w:left="0" w:firstLine="0"/>
        <w:jc w:val="both"/>
        <w:rPr>
          <w:rFonts w:ascii="Verdana" w:hAnsi="Verdana"/>
          <w:sz w:val="20"/>
          <w:szCs w:val="20"/>
        </w:rPr>
      </w:pPr>
      <w:r>
        <w:rPr>
          <w:rFonts w:ascii="Verdana" w:hAnsi="Verdana"/>
          <w:sz w:val="20"/>
          <w:szCs w:val="20"/>
        </w:rPr>
        <w:t>Una vez expuestos mis argumentos generales sobre la materia, procederé a presentar las razones por las cuales consideró que este caso en particular presentaba diversas complejidades que hacían que no permitía entrar a este debate y mucho menos para arribar a la conclusión que llegó la mayoría de la Corte IDH.</w:t>
      </w:r>
    </w:p>
    <w:p w14:paraId="0B70FCE2" w14:textId="77777777" w:rsidR="00E70701" w:rsidRDefault="00E70701" w:rsidP="00C44F79">
      <w:pPr>
        <w:pStyle w:val="ListParagraph"/>
        <w:ind w:left="0"/>
        <w:jc w:val="both"/>
        <w:rPr>
          <w:rFonts w:ascii="Verdana" w:hAnsi="Verdana"/>
          <w:sz w:val="20"/>
          <w:szCs w:val="20"/>
        </w:rPr>
      </w:pPr>
    </w:p>
    <w:p w14:paraId="08A23077" w14:textId="77777777" w:rsidR="00E70701" w:rsidRPr="00A8332C" w:rsidRDefault="00E70701" w:rsidP="00E70701">
      <w:pPr>
        <w:pStyle w:val="ListParagraph"/>
        <w:numPr>
          <w:ilvl w:val="0"/>
          <w:numId w:val="37"/>
        </w:numPr>
        <w:ind w:left="0" w:firstLine="0"/>
        <w:jc w:val="both"/>
        <w:rPr>
          <w:rFonts w:ascii="Verdana" w:hAnsi="Verdana"/>
          <w:sz w:val="20"/>
          <w:szCs w:val="20"/>
        </w:rPr>
      </w:pPr>
      <w:r>
        <w:rPr>
          <w:rFonts w:ascii="Verdana" w:hAnsi="Verdana"/>
          <w:sz w:val="20"/>
          <w:szCs w:val="20"/>
        </w:rPr>
        <w:t>En primer lugar, consid</w:t>
      </w:r>
      <w:r w:rsidRPr="00A8332C">
        <w:rPr>
          <w:rFonts w:ascii="Verdana" w:hAnsi="Verdana"/>
          <w:sz w:val="20"/>
          <w:szCs w:val="20"/>
        </w:rPr>
        <w:t xml:space="preserve">ero sumamente </w:t>
      </w:r>
      <w:r>
        <w:rPr>
          <w:rFonts w:ascii="Verdana" w:hAnsi="Verdana"/>
          <w:sz w:val="20"/>
          <w:szCs w:val="20"/>
        </w:rPr>
        <w:t xml:space="preserve">atrevido </w:t>
      </w:r>
      <w:r w:rsidRPr="00A8332C">
        <w:rPr>
          <w:rFonts w:ascii="Verdana" w:hAnsi="Verdana"/>
          <w:sz w:val="20"/>
          <w:szCs w:val="20"/>
        </w:rPr>
        <w:t xml:space="preserve">hacer uso del principio </w:t>
      </w:r>
      <w:proofErr w:type="spellStart"/>
      <w:r w:rsidRPr="00A8332C">
        <w:rPr>
          <w:rFonts w:ascii="Verdana" w:hAnsi="Verdana"/>
          <w:i/>
          <w:sz w:val="20"/>
          <w:szCs w:val="20"/>
        </w:rPr>
        <w:t>iura</w:t>
      </w:r>
      <w:proofErr w:type="spellEnd"/>
      <w:r w:rsidRPr="00A8332C">
        <w:rPr>
          <w:rFonts w:ascii="Verdana" w:hAnsi="Verdana"/>
          <w:i/>
          <w:sz w:val="20"/>
          <w:szCs w:val="20"/>
        </w:rPr>
        <w:t xml:space="preserve"> </w:t>
      </w:r>
      <w:proofErr w:type="spellStart"/>
      <w:r w:rsidRPr="00A8332C">
        <w:rPr>
          <w:rFonts w:ascii="Verdana" w:hAnsi="Verdana"/>
          <w:i/>
          <w:sz w:val="20"/>
          <w:szCs w:val="20"/>
        </w:rPr>
        <w:t>novit</w:t>
      </w:r>
      <w:proofErr w:type="spellEnd"/>
      <w:r w:rsidRPr="00A8332C">
        <w:rPr>
          <w:rFonts w:ascii="Verdana" w:hAnsi="Verdana"/>
          <w:i/>
          <w:sz w:val="20"/>
          <w:szCs w:val="20"/>
        </w:rPr>
        <w:t xml:space="preserve"> curia</w:t>
      </w:r>
      <w:r w:rsidRPr="00A8332C">
        <w:rPr>
          <w:rFonts w:ascii="Verdana" w:hAnsi="Verdana"/>
          <w:sz w:val="20"/>
          <w:szCs w:val="20"/>
        </w:rPr>
        <w:t xml:space="preserve"> en el presente caso. Como es de conocimiento general, este principio ha sido utilizado desde sus primeras sentencias</w:t>
      </w:r>
      <w:r w:rsidRPr="00A8332C">
        <w:rPr>
          <w:rStyle w:val="FootnoteReference"/>
          <w:szCs w:val="20"/>
        </w:rPr>
        <w:footnoteReference w:id="458"/>
      </w:r>
      <w:r w:rsidRPr="00A8332C">
        <w:rPr>
          <w:rFonts w:ascii="Verdana" w:hAnsi="Verdana"/>
          <w:sz w:val="20"/>
          <w:szCs w:val="20"/>
        </w:rPr>
        <w:t xml:space="preserve"> por la Corte IDH</w:t>
      </w:r>
      <w:r>
        <w:rPr>
          <w:rFonts w:ascii="Verdana" w:hAnsi="Verdana"/>
          <w:sz w:val="20"/>
          <w:szCs w:val="20"/>
        </w:rPr>
        <w:t xml:space="preserve">, la cual lo ha definido como </w:t>
      </w:r>
      <w:r w:rsidRPr="00A8332C">
        <w:rPr>
          <w:rFonts w:ascii="Verdana" w:hAnsi="Verdana"/>
          <w:sz w:val="20"/>
          <w:szCs w:val="20"/>
        </w:rPr>
        <w:t>“</w:t>
      </w:r>
      <w:r w:rsidRPr="00A8332C">
        <w:rPr>
          <w:rFonts w:ascii="Verdana" w:eastAsia="Times New Roman" w:hAnsi="Verdana"/>
          <w:sz w:val="20"/>
          <w:szCs w:val="20"/>
          <w:lang w:eastAsia="es-ES_tradnl"/>
        </w:rPr>
        <w:t xml:space="preserve">la facultad e inclusive el deber </w:t>
      </w:r>
      <w:r>
        <w:rPr>
          <w:rFonts w:ascii="Verdana" w:eastAsia="Times New Roman" w:hAnsi="Verdana"/>
          <w:sz w:val="20"/>
          <w:szCs w:val="20"/>
          <w:lang w:eastAsia="es-ES_tradnl"/>
        </w:rPr>
        <w:t xml:space="preserve">[que posee el juzgador] </w:t>
      </w:r>
      <w:r w:rsidRPr="00A8332C">
        <w:rPr>
          <w:rFonts w:ascii="Verdana" w:eastAsia="Times New Roman" w:hAnsi="Verdana"/>
          <w:sz w:val="20"/>
          <w:szCs w:val="20"/>
          <w:lang w:eastAsia="es-ES_tradnl"/>
        </w:rPr>
        <w:t>de aplicar</w:t>
      </w:r>
      <w:r>
        <w:rPr>
          <w:rFonts w:ascii="Verdana" w:eastAsia="Times New Roman" w:hAnsi="Verdana"/>
          <w:sz w:val="20"/>
          <w:szCs w:val="20"/>
          <w:lang w:eastAsia="es-ES_tradnl"/>
        </w:rPr>
        <w:t xml:space="preserve"> </w:t>
      </w:r>
      <w:r w:rsidRPr="00A8332C">
        <w:rPr>
          <w:rFonts w:ascii="Verdana" w:eastAsia="Times New Roman" w:hAnsi="Verdana"/>
          <w:sz w:val="20"/>
          <w:szCs w:val="20"/>
          <w:lang w:eastAsia="es-ES_tradnl"/>
        </w:rPr>
        <w:t>las disposiciones jurídicas pertinentes en una causa, aun cuando las partes no las invoquen expresamente”</w:t>
      </w:r>
      <w:r>
        <w:rPr>
          <w:rStyle w:val="FootnoteReference"/>
          <w:rFonts w:eastAsia="Times New Roman"/>
          <w:szCs w:val="20"/>
          <w:lang w:eastAsia="es-ES_tradnl"/>
        </w:rPr>
        <w:footnoteReference w:id="459"/>
      </w:r>
      <w:r>
        <w:rPr>
          <w:rFonts w:ascii="Verdana" w:eastAsia="Times New Roman" w:hAnsi="Verdana"/>
          <w:sz w:val="20"/>
          <w:szCs w:val="20"/>
          <w:lang w:eastAsia="es-ES_tradnl"/>
        </w:rPr>
        <w:t xml:space="preserve">. De manera que este principio implica, como su nombre lo indica, que el juez interamericano pueda aplicar una norma que no ha sido alegada por la Comisión o las partes, pues éste se encuentra en mejor posición para determinar cuál es el derecho aplicable al caso. En otras palabras, el sistema interamericano no es justicia rogada, en el sentido que no se traba la </w:t>
      </w:r>
      <w:proofErr w:type="spellStart"/>
      <w:r w:rsidRPr="00681FB5">
        <w:rPr>
          <w:rFonts w:ascii="Verdana" w:eastAsia="Times New Roman" w:hAnsi="Verdana"/>
          <w:i/>
          <w:sz w:val="20"/>
          <w:szCs w:val="20"/>
          <w:lang w:eastAsia="es-ES_tradnl"/>
        </w:rPr>
        <w:t>litis</w:t>
      </w:r>
      <w:proofErr w:type="spellEnd"/>
      <w:r>
        <w:rPr>
          <w:rFonts w:ascii="Verdana" w:eastAsia="Times New Roman" w:hAnsi="Verdana"/>
          <w:sz w:val="20"/>
          <w:szCs w:val="20"/>
          <w:lang w:eastAsia="es-ES_tradnl"/>
        </w:rPr>
        <w:t xml:space="preserve"> a partir de las normas alegadas por la CIDH o las partes.</w:t>
      </w:r>
    </w:p>
    <w:p w14:paraId="5129E7D9" w14:textId="77777777" w:rsidR="00E70701" w:rsidRPr="00A8332C" w:rsidRDefault="00E70701" w:rsidP="00C44F79">
      <w:pPr>
        <w:jc w:val="both"/>
        <w:rPr>
          <w:rFonts w:ascii="Verdana" w:hAnsi="Verdana"/>
          <w:sz w:val="20"/>
          <w:szCs w:val="20"/>
        </w:rPr>
      </w:pPr>
    </w:p>
    <w:p w14:paraId="4FB04686" w14:textId="77777777" w:rsidR="00E70701" w:rsidRDefault="00E70701" w:rsidP="00E70701">
      <w:pPr>
        <w:pStyle w:val="ListParagraph"/>
        <w:numPr>
          <w:ilvl w:val="0"/>
          <w:numId w:val="37"/>
        </w:numPr>
        <w:ind w:left="0" w:firstLine="0"/>
        <w:jc w:val="both"/>
        <w:rPr>
          <w:rFonts w:ascii="Verdana" w:hAnsi="Verdana"/>
          <w:sz w:val="20"/>
          <w:szCs w:val="20"/>
        </w:rPr>
      </w:pPr>
      <w:r>
        <w:rPr>
          <w:rFonts w:ascii="Verdana" w:hAnsi="Verdana"/>
          <w:sz w:val="20"/>
          <w:szCs w:val="20"/>
        </w:rPr>
        <w:t>Dado esto por sentado, estimo que, si bien esta es una facultad reconocida para los jueces interamericanos, no puede ser usada bajo cualquier circunstancia y sin acudir a ciertos criterios de razonabilidad y pertinencia. En efecto, considero que el mencionado principio puede ser utilizado cuando sea manifiesta la violación de derechos humanos o cuando los representantes o la Comisión hayan incurrido en un grave olvido o error, de manera que la Corte subsane una posible injusticia, pero dicho principio no debe utilizarse para sorprender a un Estado con una violación que no preveía en lo más mínimo y que no tuvo la oportunidad de controvertir ni siquiera en los hechos.</w:t>
      </w:r>
    </w:p>
    <w:p w14:paraId="388E6297" w14:textId="77777777" w:rsidR="00E70701" w:rsidRPr="00475FAC" w:rsidRDefault="00E70701" w:rsidP="00C44F79">
      <w:pPr>
        <w:jc w:val="both"/>
        <w:rPr>
          <w:rFonts w:ascii="Verdana" w:hAnsi="Verdana"/>
          <w:sz w:val="20"/>
          <w:szCs w:val="20"/>
        </w:rPr>
      </w:pPr>
    </w:p>
    <w:p w14:paraId="49690183" w14:textId="77777777" w:rsidR="00E70701" w:rsidRDefault="00E70701" w:rsidP="00E70701">
      <w:pPr>
        <w:pStyle w:val="ListParagraph"/>
        <w:numPr>
          <w:ilvl w:val="0"/>
          <w:numId w:val="37"/>
        </w:numPr>
        <w:ind w:left="0" w:firstLine="0"/>
        <w:jc w:val="both"/>
        <w:rPr>
          <w:rFonts w:ascii="Verdana" w:hAnsi="Verdana"/>
          <w:sz w:val="20"/>
          <w:szCs w:val="20"/>
        </w:rPr>
      </w:pPr>
      <w:r>
        <w:rPr>
          <w:rFonts w:ascii="Verdana" w:hAnsi="Verdana"/>
          <w:sz w:val="20"/>
          <w:szCs w:val="20"/>
        </w:rPr>
        <w:t>En el presente caso, se indicó en la Sentencia que el peticionario argumentó en la primera etapa del proceso ante la Comisión Interamericana la presunta vulneración del derecho al trabajo</w:t>
      </w:r>
      <w:r>
        <w:rPr>
          <w:rStyle w:val="FootnoteReference"/>
          <w:szCs w:val="20"/>
        </w:rPr>
        <w:footnoteReference w:id="460"/>
      </w:r>
      <w:r>
        <w:rPr>
          <w:rFonts w:ascii="Verdana" w:hAnsi="Verdana"/>
          <w:sz w:val="20"/>
          <w:szCs w:val="20"/>
        </w:rPr>
        <w:t>. Lo anterior se tomó como base para concluir que el Estado había conocido desde el principio los hechos</w:t>
      </w:r>
      <w:r>
        <w:rPr>
          <w:rStyle w:val="FootnoteReference"/>
          <w:szCs w:val="20"/>
        </w:rPr>
        <w:footnoteReference w:id="461"/>
      </w:r>
      <w:r>
        <w:rPr>
          <w:rFonts w:ascii="Verdana" w:hAnsi="Verdana"/>
          <w:sz w:val="20"/>
          <w:szCs w:val="20"/>
        </w:rPr>
        <w:t xml:space="preserve"> y que “las partes </w:t>
      </w:r>
      <w:proofErr w:type="gramStart"/>
      <w:r>
        <w:rPr>
          <w:rFonts w:ascii="Verdana" w:hAnsi="Verdana"/>
          <w:sz w:val="20"/>
          <w:szCs w:val="20"/>
        </w:rPr>
        <w:t>ha[</w:t>
      </w:r>
      <w:proofErr w:type="spellStart"/>
      <w:proofErr w:type="gramEnd"/>
      <w:r>
        <w:rPr>
          <w:rFonts w:ascii="Verdana" w:hAnsi="Verdana"/>
          <w:sz w:val="20"/>
          <w:szCs w:val="20"/>
        </w:rPr>
        <w:t>bían</w:t>
      </w:r>
      <w:proofErr w:type="spellEnd"/>
      <w:r>
        <w:rPr>
          <w:rFonts w:ascii="Verdana" w:hAnsi="Verdana"/>
          <w:sz w:val="20"/>
          <w:szCs w:val="20"/>
        </w:rPr>
        <w:t>] tenido amplia posibilidad de hacer referencia al alcance de los derechos que involucran los hechos analizados”</w:t>
      </w:r>
      <w:r>
        <w:rPr>
          <w:rStyle w:val="FootnoteReference"/>
          <w:szCs w:val="20"/>
        </w:rPr>
        <w:footnoteReference w:id="462"/>
      </w:r>
      <w:r>
        <w:rPr>
          <w:rFonts w:ascii="Verdana" w:hAnsi="Verdana"/>
          <w:sz w:val="20"/>
          <w:szCs w:val="20"/>
        </w:rPr>
        <w:t>.</w:t>
      </w:r>
    </w:p>
    <w:p w14:paraId="5C6BE371" w14:textId="77777777" w:rsidR="00E70701" w:rsidRPr="00F64356" w:rsidRDefault="00E70701" w:rsidP="00C44F79">
      <w:pPr>
        <w:jc w:val="both"/>
        <w:rPr>
          <w:rFonts w:ascii="Verdana" w:hAnsi="Verdana"/>
          <w:sz w:val="20"/>
          <w:szCs w:val="20"/>
        </w:rPr>
      </w:pPr>
    </w:p>
    <w:p w14:paraId="320152A0" w14:textId="77777777" w:rsidR="00E70701" w:rsidRDefault="00E70701" w:rsidP="00E70701">
      <w:pPr>
        <w:pStyle w:val="ListParagraph"/>
        <w:numPr>
          <w:ilvl w:val="0"/>
          <w:numId w:val="37"/>
        </w:numPr>
        <w:ind w:left="0" w:firstLine="0"/>
        <w:jc w:val="both"/>
        <w:rPr>
          <w:rFonts w:ascii="Verdana" w:hAnsi="Verdana"/>
          <w:sz w:val="20"/>
          <w:szCs w:val="20"/>
        </w:rPr>
      </w:pPr>
      <w:r>
        <w:rPr>
          <w:rFonts w:ascii="Verdana" w:hAnsi="Verdana"/>
          <w:sz w:val="20"/>
          <w:szCs w:val="20"/>
        </w:rPr>
        <w:lastRenderedPageBreak/>
        <w:t>La conclusión a la que arriba la Corte puede ser considerada como ligera o apresurada, pues afirmar que el Estado tuvo una amplia posibilidad de defenderse frente a la vulneración del artículo 26 de la Convención Americana, no tiene en cuenta el arduo debate que se ha dado al interior de la Corte Interamericana en torno a este artículo. En efecto, al declarar la vulneración del artículo 26 de la CADH en este caso, no se está simplemente discutiendo si el despido del señor Lagos estuvo o no justificado, sino que detrás hay toda una disertación acerca del alcance de un artículo que no ha sido pacífico y que los Estados han sido enfáticos en rechazar. De manera que no es suficiente con decir que una mención en los alegatos presentados antes del informe de admisibilidad de la Comisión podían hacer prever al Estado del Perú que fuese posible que la Corte Interamericana entrará a declarar la vulneración de dicho derecho en un caso que se presentó como la presunta violación de los artículos 8 y 13 de la CADH.</w:t>
      </w:r>
    </w:p>
    <w:p w14:paraId="77CB7F2A" w14:textId="77777777" w:rsidR="00E70701" w:rsidRPr="000E4B5D" w:rsidRDefault="00E70701" w:rsidP="00C44F79">
      <w:pPr>
        <w:jc w:val="both"/>
        <w:rPr>
          <w:rFonts w:ascii="Verdana" w:hAnsi="Verdana"/>
          <w:sz w:val="20"/>
          <w:szCs w:val="20"/>
        </w:rPr>
      </w:pPr>
    </w:p>
    <w:p w14:paraId="54DA738E" w14:textId="77777777" w:rsidR="00E70701" w:rsidRDefault="00E70701" w:rsidP="00E70701">
      <w:pPr>
        <w:pStyle w:val="ListParagraph"/>
        <w:numPr>
          <w:ilvl w:val="0"/>
          <w:numId w:val="37"/>
        </w:numPr>
        <w:ind w:left="0" w:firstLine="0"/>
        <w:jc w:val="both"/>
        <w:rPr>
          <w:rFonts w:ascii="Verdana" w:hAnsi="Verdana"/>
          <w:sz w:val="20"/>
          <w:szCs w:val="20"/>
        </w:rPr>
      </w:pPr>
      <w:r>
        <w:rPr>
          <w:rFonts w:ascii="Verdana" w:hAnsi="Verdana"/>
          <w:sz w:val="20"/>
          <w:szCs w:val="20"/>
        </w:rPr>
        <w:t xml:space="preserve">Al respecto, considero que dadas las complejidades del debate del artículo 26 de la CADH y las implicaciones que esto puede generar no sólo frente al caso en particular, sino como precedente a futuro de la Corte IDH, lo mínimo es que se permitiera un debate público y abierto sobre las posibles interpretaciones y alcances en discusión. De hecho, si se hubiese arribado a esta conclusión en un caso como </w:t>
      </w:r>
      <w:proofErr w:type="spellStart"/>
      <w:r w:rsidRPr="00C24C47">
        <w:rPr>
          <w:rFonts w:ascii="Verdana" w:hAnsi="Verdana"/>
          <w:i/>
          <w:sz w:val="20"/>
          <w:szCs w:val="20"/>
        </w:rPr>
        <w:t>Gonzalez</w:t>
      </w:r>
      <w:proofErr w:type="spellEnd"/>
      <w:r w:rsidRPr="00C24C47">
        <w:rPr>
          <w:rFonts w:ascii="Verdana" w:hAnsi="Verdana"/>
          <w:i/>
          <w:sz w:val="20"/>
          <w:szCs w:val="20"/>
        </w:rPr>
        <w:t xml:space="preserve"> </w:t>
      </w:r>
      <w:proofErr w:type="spellStart"/>
      <w:r w:rsidRPr="00C24C47">
        <w:rPr>
          <w:rFonts w:ascii="Verdana" w:hAnsi="Verdana"/>
          <w:i/>
          <w:sz w:val="20"/>
          <w:szCs w:val="20"/>
        </w:rPr>
        <w:t>Lluy</w:t>
      </w:r>
      <w:proofErr w:type="spellEnd"/>
      <w:r w:rsidRPr="00C24C47">
        <w:rPr>
          <w:rFonts w:ascii="Verdana" w:hAnsi="Verdana"/>
          <w:i/>
          <w:sz w:val="20"/>
          <w:szCs w:val="20"/>
        </w:rPr>
        <w:t xml:space="preserve"> Vs. Ecuador</w:t>
      </w:r>
      <w:r>
        <w:rPr>
          <w:rFonts w:ascii="Verdana" w:hAnsi="Verdana"/>
          <w:sz w:val="20"/>
          <w:szCs w:val="20"/>
        </w:rPr>
        <w:t xml:space="preserve">, en el cual se dio el debate entre los representantes y el Estado en la audiencia pública y en los diversos escritos principales, no me parecería tan impertinente (desde una perspectiva procesal) la declaración, puesto que el Estado tuvo en su momento la oportunidad de presentar su posición sobre el tema. Sin embargo, arribar a la conclusión de esta Sentencia sin el debido debate entre las partes, puede ser visto por los Estados como una decisión arbitraria y precipitada del Tribunal, lo cual pone en grave riesgo la legitimidad del mismo. </w:t>
      </w:r>
    </w:p>
    <w:p w14:paraId="5B8FEDD2" w14:textId="77777777" w:rsidR="00E70701" w:rsidRPr="007457AD" w:rsidRDefault="00E70701" w:rsidP="00C44F79">
      <w:pPr>
        <w:pStyle w:val="ListParagraph"/>
        <w:rPr>
          <w:rFonts w:ascii="Verdana" w:hAnsi="Verdana"/>
          <w:sz w:val="20"/>
          <w:szCs w:val="20"/>
        </w:rPr>
      </w:pPr>
    </w:p>
    <w:p w14:paraId="3BA365F5" w14:textId="77777777" w:rsidR="00E70701" w:rsidRDefault="00E70701" w:rsidP="00E70701">
      <w:pPr>
        <w:pStyle w:val="ListParagraph"/>
        <w:numPr>
          <w:ilvl w:val="0"/>
          <w:numId w:val="37"/>
        </w:numPr>
        <w:ind w:left="0" w:firstLine="0"/>
        <w:jc w:val="both"/>
        <w:rPr>
          <w:rFonts w:ascii="Verdana" w:hAnsi="Verdana" w:cs="Arial"/>
          <w:sz w:val="20"/>
          <w:szCs w:val="20"/>
        </w:rPr>
      </w:pPr>
      <w:r>
        <w:rPr>
          <w:rFonts w:ascii="Verdana" w:hAnsi="Verdana" w:cs="Arial"/>
          <w:sz w:val="20"/>
          <w:szCs w:val="20"/>
        </w:rPr>
        <w:t>El debido respeto y acatamiento de las decisiones de la Corte es indispensable para lograr que las sentencias condenatorias de los Estados por desconocimiento de derecho humanos se conviertan no solo en un mecanismo de reparación de las víctimas, sino que además sirvan como catalizador positivo de transformaciones estructurales en la sociedad y en el aparato estatal.  Las decisiones judiciales por un tribunal internacional sobre la utilización y distribución adecuada de recursos económicos, escasos por definición, conlleva una intervención particularmente intensa en los asuntos internos y por esto requieren una legitimidad que solo podría derivarse de una manifestación explicita.</w:t>
      </w:r>
    </w:p>
    <w:p w14:paraId="068B4B96" w14:textId="77777777" w:rsidR="00E70701" w:rsidRPr="007457AD" w:rsidRDefault="00E70701" w:rsidP="00C44F79">
      <w:pPr>
        <w:pStyle w:val="ListParagraph"/>
        <w:rPr>
          <w:rFonts w:ascii="Verdana" w:hAnsi="Verdana" w:cs="Arial"/>
          <w:sz w:val="20"/>
          <w:szCs w:val="20"/>
        </w:rPr>
      </w:pPr>
    </w:p>
    <w:p w14:paraId="28DF7C54" w14:textId="77777777" w:rsidR="00E70701" w:rsidRPr="002D14F0" w:rsidRDefault="00E70701" w:rsidP="00E70701">
      <w:pPr>
        <w:pStyle w:val="ListParagraph"/>
        <w:numPr>
          <w:ilvl w:val="0"/>
          <w:numId w:val="37"/>
        </w:numPr>
        <w:ind w:left="0" w:firstLine="0"/>
        <w:jc w:val="both"/>
        <w:rPr>
          <w:rFonts w:ascii="Verdana" w:hAnsi="Verdana"/>
          <w:sz w:val="20"/>
          <w:szCs w:val="20"/>
        </w:rPr>
      </w:pPr>
      <w:r>
        <w:rPr>
          <w:rFonts w:ascii="Verdana" w:hAnsi="Verdana" w:cs="Arial"/>
          <w:sz w:val="20"/>
          <w:szCs w:val="20"/>
        </w:rPr>
        <w:t xml:space="preserve">Al declarar </w:t>
      </w:r>
      <w:r w:rsidRPr="00F80470">
        <w:rPr>
          <w:rFonts w:ascii="Verdana" w:hAnsi="Verdana" w:cs="Arial"/>
          <w:sz w:val="20"/>
          <w:szCs w:val="20"/>
        </w:rPr>
        <w:t xml:space="preserve">violado el artículo 26 </w:t>
      </w:r>
      <w:r>
        <w:rPr>
          <w:rFonts w:ascii="Verdana" w:hAnsi="Verdana" w:cs="Arial"/>
          <w:sz w:val="20"/>
          <w:szCs w:val="20"/>
        </w:rPr>
        <w:t>las sentencias podrán, y en ocasiones deberán, establecer  reparaciones que tendrán incidencia en materia de políticas públicas de forma más acentuada que las hasta ahora tomadas por este tribunal, por lo tanto será necesario que en contextos de precariedad y de restricciones presupuestarias</w:t>
      </w:r>
      <w:r w:rsidRPr="002D14F0">
        <w:rPr>
          <w:rFonts w:ascii="Verdana" w:hAnsi="Verdana" w:cs="Arial"/>
          <w:sz w:val="20"/>
          <w:szCs w:val="20"/>
        </w:rPr>
        <w:t>, propios de la mayor parte de nuestros Estados</w:t>
      </w:r>
      <w:r>
        <w:rPr>
          <w:rFonts w:ascii="Verdana" w:hAnsi="Verdana" w:cs="Arial"/>
          <w:sz w:val="20"/>
          <w:szCs w:val="20"/>
        </w:rPr>
        <w:t>,</w:t>
      </w:r>
      <w:r w:rsidRPr="002D14F0">
        <w:rPr>
          <w:rFonts w:ascii="Verdana" w:hAnsi="Verdana" w:cs="Arial"/>
          <w:sz w:val="20"/>
          <w:szCs w:val="20"/>
        </w:rPr>
        <w:t xml:space="preserve"> se establezca relaciones de disponibilidad económica que permitan reorientar las prioridades de inversión de recursos escasos. En este orden de ideas, no es irrelevante la manera como se fundamenta y legitima la competencia de la Corte Interamericana.</w:t>
      </w:r>
    </w:p>
    <w:p w14:paraId="20B17D42" w14:textId="77777777" w:rsidR="00E70701" w:rsidRPr="00CF1E18" w:rsidRDefault="00E70701" w:rsidP="00C44F79">
      <w:pPr>
        <w:jc w:val="both"/>
        <w:rPr>
          <w:rFonts w:ascii="Verdana" w:hAnsi="Verdana" w:cs="Arial"/>
          <w:sz w:val="20"/>
          <w:szCs w:val="20"/>
        </w:rPr>
      </w:pPr>
    </w:p>
    <w:p w14:paraId="541EFF2D" w14:textId="77777777" w:rsidR="00E70701" w:rsidRPr="00857CD1" w:rsidRDefault="00E70701" w:rsidP="00E70701">
      <w:pPr>
        <w:pStyle w:val="ListParagraph"/>
        <w:numPr>
          <w:ilvl w:val="0"/>
          <w:numId w:val="36"/>
        </w:numPr>
        <w:jc w:val="both"/>
        <w:rPr>
          <w:rFonts w:ascii="Verdana" w:hAnsi="Verdana" w:cs="Arial"/>
          <w:b/>
          <w:sz w:val="20"/>
          <w:szCs w:val="20"/>
        </w:rPr>
      </w:pPr>
      <w:r w:rsidRPr="00857CD1">
        <w:rPr>
          <w:rFonts w:ascii="Verdana" w:hAnsi="Verdana" w:cs="Arial"/>
          <w:b/>
          <w:sz w:val="20"/>
          <w:szCs w:val="20"/>
        </w:rPr>
        <w:t>FAL</w:t>
      </w:r>
      <w:r>
        <w:rPr>
          <w:rFonts w:ascii="Verdana" w:hAnsi="Verdana" w:cs="Arial"/>
          <w:b/>
          <w:sz w:val="20"/>
          <w:szCs w:val="20"/>
        </w:rPr>
        <w:t xml:space="preserve">ENCIAS ARGUMENTATIVAS DE LA SENTENCIA </w:t>
      </w:r>
    </w:p>
    <w:p w14:paraId="44305603" w14:textId="77777777" w:rsidR="00E70701" w:rsidRPr="000E4B5D" w:rsidRDefault="00E70701" w:rsidP="00C44F79">
      <w:pPr>
        <w:jc w:val="both"/>
        <w:rPr>
          <w:rFonts w:ascii="Verdana" w:hAnsi="Verdana"/>
          <w:sz w:val="20"/>
          <w:szCs w:val="20"/>
        </w:rPr>
      </w:pPr>
    </w:p>
    <w:p w14:paraId="0D6083D0" w14:textId="77777777" w:rsidR="00E70701" w:rsidRDefault="00E70701" w:rsidP="00E70701">
      <w:pPr>
        <w:pStyle w:val="ListParagraph"/>
        <w:numPr>
          <w:ilvl w:val="0"/>
          <w:numId w:val="37"/>
        </w:numPr>
        <w:ind w:left="0" w:firstLine="0"/>
        <w:jc w:val="both"/>
        <w:rPr>
          <w:rFonts w:ascii="Verdana" w:hAnsi="Verdana" w:cs="Arial"/>
          <w:sz w:val="20"/>
          <w:szCs w:val="20"/>
        </w:rPr>
      </w:pPr>
      <w:r w:rsidRPr="008E47DC">
        <w:rPr>
          <w:rFonts w:ascii="Verdana" w:hAnsi="Verdana" w:cs="Arial"/>
          <w:sz w:val="20"/>
          <w:szCs w:val="20"/>
        </w:rPr>
        <w:t xml:space="preserve">Además </w:t>
      </w:r>
      <w:r>
        <w:rPr>
          <w:rFonts w:ascii="Verdana" w:hAnsi="Verdana" w:cs="Arial"/>
          <w:sz w:val="20"/>
          <w:szCs w:val="20"/>
        </w:rPr>
        <w:t>de las razones que he expuesto, me parece necesario evidenciar las fallas argumentativas de la presente Sentencia, pues ello muestra que la decisión relacionada con la vulneración del artículo 26 no fue objeto del exhaustivo análisis que requería. Para ello, haré referencia a tres problemas principales, como lo son: i) la falta de motivación expresa para argumentar el cambio jurisprudencial realizado; ii) la utilización de un solo de método de interpretación para arribar a la decisión, y iii) la confusión entre existencia del derecho y competencia de la Corte IDH.</w:t>
      </w:r>
    </w:p>
    <w:p w14:paraId="4AAD8A6B" w14:textId="77777777" w:rsidR="00E70701" w:rsidRDefault="00E70701" w:rsidP="00C44F79">
      <w:pPr>
        <w:pStyle w:val="ListParagraph"/>
        <w:ind w:left="0"/>
        <w:jc w:val="both"/>
        <w:rPr>
          <w:rFonts w:ascii="Verdana" w:hAnsi="Verdana" w:cs="Arial"/>
          <w:sz w:val="20"/>
          <w:szCs w:val="20"/>
        </w:rPr>
      </w:pPr>
    </w:p>
    <w:p w14:paraId="7EA40C20" w14:textId="77777777" w:rsidR="00E70701" w:rsidRPr="00BF128B" w:rsidRDefault="00E70701" w:rsidP="00E70701">
      <w:pPr>
        <w:pStyle w:val="ListParagraph"/>
        <w:numPr>
          <w:ilvl w:val="0"/>
          <w:numId w:val="39"/>
        </w:numPr>
        <w:jc w:val="both"/>
        <w:rPr>
          <w:rFonts w:ascii="Verdana" w:hAnsi="Verdana" w:cs="Arial"/>
          <w:b/>
          <w:sz w:val="20"/>
          <w:szCs w:val="20"/>
        </w:rPr>
      </w:pPr>
      <w:r w:rsidRPr="00BF128B">
        <w:rPr>
          <w:rFonts w:ascii="Verdana" w:hAnsi="Verdana" w:cs="Arial"/>
          <w:b/>
          <w:sz w:val="20"/>
          <w:szCs w:val="20"/>
        </w:rPr>
        <w:t>falta de motivación expresa para argumentar el cambio jurisprudencial realizado</w:t>
      </w:r>
    </w:p>
    <w:p w14:paraId="76721EFC" w14:textId="77777777" w:rsidR="00E70701" w:rsidRPr="00BF128B" w:rsidRDefault="00E70701" w:rsidP="00C44F79">
      <w:pPr>
        <w:pStyle w:val="ListParagraph"/>
        <w:jc w:val="both"/>
        <w:rPr>
          <w:rFonts w:ascii="Verdana" w:hAnsi="Verdana" w:cs="Arial"/>
          <w:b/>
          <w:sz w:val="20"/>
          <w:szCs w:val="20"/>
        </w:rPr>
      </w:pPr>
    </w:p>
    <w:p w14:paraId="131B9107" w14:textId="77777777" w:rsidR="00E70701" w:rsidRDefault="00E70701" w:rsidP="00E70701">
      <w:pPr>
        <w:pStyle w:val="ListParagraph"/>
        <w:numPr>
          <w:ilvl w:val="0"/>
          <w:numId w:val="37"/>
        </w:numPr>
        <w:ind w:left="0" w:firstLine="0"/>
        <w:jc w:val="both"/>
        <w:rPr>
          <w:rFonts w:ascii="Verdana" w:hAnsi="Verdana" w:cs="Arial"/>
          <w:sz w:val="20"/>
          <w:szCs w:val="20"/>
        </w:rPr>
      </w:pPr>
      <w:r>
        <w:rPr>
          <w:rFonts w:ascii="Verdana" w:hAnsi="Verdana" w:cs="Arial"/>
          <w:sz w:val="20"/>
          <w:szCs w:val="20"/>
        </w:rPr>
        <w:lastRenderedPageBreak/>
        <w:t>En primer lugar, debo indicar que la Sentencia omite por completo explicar el cambio de precedente, pues actúa como si estuviese reiterando jurisprudencia, lo cual es absolutamente falaz. Esto genera dos fallas argumentativas diferenciadas. La primera es la omisión argumentativa que muestre las razones por las cuales la Corte IDH decidió hacer un cambio de precedente. El segundo es darle el valor de precedente a una decisión judicial en particular, con el fin de ocultar que lo que realmente se está frente una nueva posición judicial.</w:t>
      </w:r>
    </w:p>
    <w:p w14:paraId="2397672D" w14:textId="77777777" w:rsidR="00E70701" w:rsidRPr="00CA603D" w:rsidRDefault="00E70701" w:rsidP="00C44F79">
      <w:pPr>
        <w:jc w:val="both"/>
        <w:rPr>
          <w:rFonts w:ascii="Verdana" w:hAnsi="Verdana" w:cs="Arial"/>
          <w:sz w:val="20"/>
          <w:szCs w:val="20"/>
        </w:rPr>
      </w:pPr>
    </w:p>
    <w:p w14:paraId="025DF494" w14:textId="77777777" w:rsidR="00E70701" w:rsidRDefault="00E70701" w:rsidP="00E70701">
      <w:pPr>
        <w:pStyle w:val="ListParagraph"/>
        <w:numPr>
          <w:ilvl w:val="0"/>
          <w:numId w:val="37"/>
        </w:numPr>
        <w:ind w:left="0" w:firstLine="0"/>
        <w:jc w:val="both"/>
        <w:rPr>
          <w:rFonts w:ascii="Verdana" w:hAnsi="Verdana" w:cs="Arial"/>
          <w:sz w:val="20"/>
          <w:szCs w:val="20"/>
        </w:rPr>
      </w:pPr>
      <w:r>
        <w:rPr>
          <w:rFonts w:ascii="Verdana" w:hAnsi="Verdana" w:cs="Arial"/>
          <w:sz w:val="20"/>
          <w:szCs w:val="20"/>
        </w:rPr>
        <w:t xml:space="preserve">Respecto al primer punto, es claro que los tribunales deben ser consistentes con sus decisiones previas, esta es una de las exigencias básicas no sólo desde la perspectiva de la teoría de argumentación jurídica, sino también es un elemento indispensable para garantizar la seguridad jurídica y la efectiva aplicación del principio de igualdad a los destinatarios de sus decisiones. Los cambios súbitos e injustificados de jurisprudencia, resultan arbitrarios y minan la legitimidad de los órganos judiciales. </w:t>
      </w:r>
    </w:p>
    <w:p w14:paraId="697C9353" w14:textId="77777777" w:rsidR="00E70701" w:rsidRPr="00CA603D" w:rsidRDefault="00E70701" w:rsidP="00C44F79">
      <w:pPr>
        <w:pStyle w:val="ListParagraph"/>
        <w:ind w:left="0"/>
        <w:jc w:val="both"/>
        <w:rPr>
          <w:rFonts w:ascii="Verdana" w:hAnsi="Verdana" w:cs="Arial"/>
          <w:sz w:val="20"/>
          <w:szCs w:val="20"/>
        </w:rPr>
      </w:pPr>
    </w:p>
    <w:p w14:paraId="6B2CD4E2" w14:textId="77777777" w:rsidR="00E70701" w:rsidRPr="00C7635F" w:rsidRDefault="00E70701" w:rsidP="00E70701">
      <w:pPr>
        <w:pStyle w:val="ListParagraph"/>
        <w:numPr>
          <w:ilvl w:val="0"/>
          <w:numId w:val="37"/>
        </w:numPr>
        <w:ind w:left="0" w:firstLine="0"/>
        <w:jc w:val="both"/>
        <w:rPr>
          <w:rFonts w:ascii="Verdana" w:hAnsi="Verdana" w:cs="Arial"/>
          <w:sz w:val="20"/>
          <w:szCs w:val="20"/>
        </w:rPr>
      </w:pPr>
      <w:r>
        <w:rPr>
          <w:rFonts w:ascii="Verdana" w:hAnsi="Verdana" w:cs="Arial"/>
          <w:sz w:val="20"/>
          <w:szCs w:val="20"/>
        </w:rPr>
        <w:t xml:space="preserve">Lo anterior implica que en la presente Sentencia era imperante que se reconociera que se estaba realizando un cambio jurisprudencial, que se alejaba de la posición de las decisiones anteriores que al respecto ha tomado la Corte IDH y explicara con fundamentos de mucho peso las razones por las cuales consideraba necesario realizar dicho cambio. Los valores en juego son la seguridad jurídica y el derecho a la igualdad, por lo que los Estados y todas las personas sujetas a la jurisdicción de la Convención Americana deben entender las razones de mucho peso que tuvo el Tribunal para variar su precedente. Más si se tiene en cuenta que este no es un simple cambio jurisprudencial, pues </w:t>
      </w:r>
      <w:r w:rsidRPr="00C7635F">
        <w:rPr>
          <w:rFonts w:ascii="Verdana" w:hAnsi="Verdana" w:cs="Arial"/>
          <w:sz w:val="20"/>
          <w:szCs w:val="20"/>
        </w:rPr>
        <w:t>en el fondo lo que se hace en esta Sentencia es una mutación de la Convención Americana y, por esta vía, una transformación esencial del sistema de justicia interamericana.</w:t>
      </w:r>
    </w:p>
    <w:p w14:paraId="31EFCB01" w14:textId="77777777" w:rsidR="00E70701" w:rsidRPr="00BF128B" w:rsidRDefault="00E70701" w:rsidP="00C44F79">
      <w:pPr>
        <w:pStyle w:val="ListParagraph"/>
        <w:jc w:val="both"/>
        <w:rPr>
          <w:rFonts w:ascii="Verdana" w:hAnsi="Verdana" w:cs="Arial"/>
          <w:b/>
          <w:sz w:val="20"/>
          <w:szCs w:val="20"/>
        </w:rPr>
      </w:pPr>
    </w:p>
    <w:p w14:paraId="574BA43A" w14:textId="77777777" w:rsidR="00E70701" w:rsidRDefault="00E70701" w:rsidP="00E70701">
      <w:pPr>
        <w:pStyle w:val="ListParagraph"/>
        <w:numPr>
          <w:ilvl w:val="0"/>
          <w:numId w:val="37"/>
        </w:numPr>
        <w:ind w:left="0" w:firstLine="0"/>
        <w:jc w:val="both"/>
        <w:rPr>
          <w:rFonts w:ascii="Verdana" w:hAnsi="Verdana" w:cs="Arial"/>
          <w:sz w:val="20"/>
          <w:szCs w:val="20"/>
        </w:rPr>
      </w:pPr>
      <w:r>
        <w:rPr>
          <w:rFonts w:ascii="Verdana" w:hAnsi="Verdana" w:cs="Arial"/>
          <w:sz w:val="20"/>
          <w:szCs w:val="20"/>
        </w:rPr>
        <w:t>Con relación al segundo punto, la Sentencia no sólo, no realiza un cambio jurisprudencial, sino que además pretende hacer creer al lector que lo que está realizando es una reiteración jurisprudencial. Al respecto, a partir del párrafo 141 de la Sentencia se empieza afirmando que se reitera la jurisprudencia de la Corte, en casos como Acevedo Buendía, que como es de conocimiento público no es un caso en el que se haya arribado a la conclusión de la vulneración del artículo 26 de la CADH.</w:t>
      </w:r>
    </w:p>
    <w:p w14:paraId="0BE82E20" w14:textId="77777777" w:rsidR="00E70701" w:rsidRPr="006A676B" w:rsidRDefault="00E70701" w:rsidP="00C44F79">
      <w:pPr>
        <w:jc w:val="both"/>
        <w:rPr>
          <w:rFonts w:ascii="Verdana" w:hAnsi="Verdana"/>
          <w:sz w:val="20"/>
          <w:szCs w:val="20"/>
        </w:rPr>
      </w:pPr>
    </w:p>
    <w:p w14:paraId="653E2810" w14:textId="77777777" w:rsidR="00E70701" w:rsidRPr="008C0050" w:rsidRDefault="00E70701" w:rsidP="00E70701">
      <w:pPr>
        <w:pStyle w:val="ListParagraph"/>
        <w:numPr>
          <w:ilvl w:val="0"/>
          <w:numId w:val="37"/>
        </w:numPr>
        <w:ind w:left="0" w:firstLine="0"/>
        <w:jc w:val="both"/>
        <w:rPr>
          <w:rFonts w:ascii="Verdana" w:hAnsi="Verdana" w:cs="Arial"/>
          <w:sz w:val="20"/>
          <w:szCs w:val="20"/>
        </w:rPr>
      </w:pPr>
      <w:r>
        <w:rPr>
          <w:rFonts w:ascii="Verdana" w:hAnsi="Verdana"/>
          <w:sz w:val="20"/>
          <w:szCs w:val="20"/>
        </w:rPr>
        <w:t>Respecto al</w:t>
      </w:r>
      <w:r w:rsidRPr="006A676B">
        <w:rPr>
          <w:rFonts w:ascii="Verdana" w:hAnsi="Verdana"/>
          <w:sz w:val="20"/>
          <w:szCs w:val="20"/>
        </w:rPr>
        <w:t xml:space="preserve"> caso </w:t>
      </w:r>
      <w:r w:rsidRPr="006A676B">
        <w:rPr>
          <w:rFonts w:ascii="Verdana" w:hAnsi="Verdana"/>
          <w:i/>
          <w:sz w:val="20"/>
          <w:szCs w:val="20"/>
        </w:rPr>
        <w:t>Acevedo Buendía y otros Vs. Perú</w:t>
      </w:r>
      <w:r w:rsidRPr="006A676B">
        <w:rPr>
          <w:rFonts w:ascii="Verdana" w:hAnsi="Verdana"/>
          <w:sz w:val="20"/>
          <w:szCs w:val="20"/>
        </w:rPr>
        <w:t xml:space="preserve"> </w:t>
      </w:r>
      <w:r>
        <w:rPr>
          <w:rFonts w:ascii="Verdana" w:hAnsi="Verdana"/>
          <w:sz w:val="20"/>
          <w:szCs w:val="20"/>
        </w:rPr>
        <w:t>reitero que, e</w:t>
      </w:r>
      <w:r w:rsidRPr="006A676B">
        <w:rPr>
          <w:rFonts w:ascii="Verdana" w:hAnsi="Verdana"/>
          <w:sz w:val="20"/>
          <w:szCs w:val="20"/>
        </w:rPr>
        <w:t xml:space="preserve">n mi opinión, el alcance que se le </w:t>
      </w:r>
      <w:r>
        <w:rPr>
          <w:rFonts w:ascii="Verdana" w:hAnsi="Verdana"/>
          <w:sz w:val="20"/>
          <w:szCs w:val="20"/>
        </w:rPr>
        <w:t xml:space="preserve">ha intentado </w:t>
      </w:r>
      <w:r w:rsidRPr="006A676B">
        <w:rPr>
          <w:rFonts w:ascii="Verdana" w:hAnsi="Verdana"/>
          <w:sz w:val="20"/>
          <w:szCs w:val="20"/>
        </w:rPr>
        <w:t>dar a esta Sentencia es excesivo. En primer luga</w:t>
      </w:r>
      <w:r>
        <w:rPr>
          <w:rFonts w:ascii="Verdana" w:hAnsi="Verdana"/>
          <w:sz w:val="20"/>
          <w:szCs w:val="20"/>
        </w:rPr>
        <w:t>r, en la Sentencia no se declaró</w:t>
      </w:r>
      <w:r w:rsidRPr="006A676B">
        <w:rPr>
          <w:rFonts w:ascii="Verdana" w:hAnsi="Verdana"/>
          <w:sz w:val="20"/>
          <w:szCs w:val="20"/>
        </w:rPr>
        <w:t xml:space="preserve"> la violación del artícul</w:t>
      </w:r>
      <w:r>
        <w:rPr>
          <w:rFonts w:ascii="Verdana" w:hAnsi="Verdana"/>
          <w:sz w:val="20"/>
          <w:szCs w:val="20"/>
        </w:rPr>
        <w:t>o 26 y el estudio que se realizó</w:t>
      </w:r>
      <w:r w:rsidRPr="006A676B">
        <w:rPr>
          <w:rFonts w:ascii="Verdana" w:hAnsi="Verdana"/>
          <w:sz w:val="20"/>
          <w:szCs w:val="20"/>
        </w:rPr>
        <w:t xml:space="preserve"> es precisamente en torno a la obligación de desarrollo progresivo y no respecto a una exigibilidad directa de algún derecho en particular. En segundo lugar, la Sentencia no </w:t>
      </w:r>
      <w:r>
        <w:rPr>
          <w:rFonts w:ascii="Verdana" w:hAnsi="Verdana"/>
          <w:sz w:val="20"/>
          <w:szCs w:val="20"/>
        </w:rPr>
        <w:t>definió ni aclaró</w:t>
      </w:r>
      <w:r w:rsidRPr="006A676B">
        <w:rPr>
          <w:rFonts w:ascii="Verdana" w:hAnsi="Verdana"/>
          <w:sz w:val="20"/>
          <w:szCs w:val="20"/>
        </w:rPr>
        <w:t xml:space="preserve"> cuál sería el DESC que se estaría tutelando, ni su alcance o contenido mínimo. En tercer lugar, incluso si se quisiera derivar algún tipo de </w:t>
      </w:r>
      <w:proofErr w:type="spellStart"/>
      <w:r w:rsidRPr="006A676B">
        <w:rPr>
          <w:rFonts w:ascii="Verdana" w:hAnsi="Verdana"/>
          <w:sz w:val="20"/>
          <w:szCs w:val="20"/>
        </w:rPr>
        <w:t>justiciabilidad</w:t>
      </w:r>
      <w:proofErr w:type="spellEnd"/>
      <w:r w:rsidRPr="006A676B">
        <w:rPr>
          <w:rFonts w:ascii="Verdana" w:hAnsi="Verdana"/>
          <w:sz w:val="20"/>
          <w:szCs w:val="20"/>
        </w:rPr>
        <w:t xml:space="preserve"> directa de la afirmación de que las obligaciones de respeto y garantía son aplicables al artículo 26 de la Convención, cabe recalcar que estas afirmaciones son un </w:t>
      </w:r>
      <w:proofErr w:type="spellStart"/>
      <w:r w:rsidRPr="006A676B">
        <w:rPr>
          <w:rFonts w:ascii="Verdana" w:hAnsi="Verdana"/>
          <w:i/>
          <w:sz w:val="20"/>
          <w:szCs w:val="20"/>
        </w:rPr>
        <w:t>obiter</w:t>
      </w:r>
      <w:proofErr w:type="spellEnd"/>
      <w:r w:rsidRPr="006A676B">
        <w:rPr>
          <w:rFonts w:ascii="Verdana" w:hAnsi="Verdana"/>
          <w:i/>
          <w:sz w:val="20"/>
          <w:szCs w:val="20"/>
        </w:rPr>
        <w:t xml:space="preserve"> </w:t>
      </w:r>
      <w:proofErr w:type="spellStart"/>
      <w:r w:rsidRPr="006A676B">
        <w:rPr>
          <w:rFonts w:ascii="Verdana" w:hAnsi="Verdana"/>
          <w:i/>
          <w:sz w:val="20"/>
          <w:szCs w:val="20"/>
        </w:rPr>
        <w:t>dictum</w:t>
      </w:r>
      <w:proofErr w:type="spellEnd"/>
      <w:r w:rsidRPr="006A676B">
        <w:rPr>
          <w:rFonts w:ascii="Verdana" w:hAnsi="Verdana"/>
          <w:sz w:val="20"/>
          <w:szCs w:val="20"/>
        </w:rPr>
        <w:t xml:space="preserve"> de la Sentencia, por cuanto no tienen relación directa con la decisión final que fue la de no declarar violado el artículo 26</w:t>
      </w:r>
      <w:r w:rsidRPr="00767B7F">
        <w:rPr>
          <w:rStyle w:val="FootnoteReference"/>
          <w:szCs w:val="20"/>
        </w:rPr>
        <w:footnoteReference w:id="463"/>
      </w:r>
      <w:r w:rsidRPr="006A676B">
        <w:rPr>
          <w:rFonts w:ascii="Verdana" w:hAnsi="Verdana"/>
          <w:sz w:val="20"/>
          <w:szCs w:val="20"/>
        </w:rPr>
        <w:t>. Además, este punto de la Sentencia no</w:t>
      </w:r>
      <w:r>
        <w:rPr>
          <w:rFonts w:ascii="Verdana" w:hAnsi="Verdana"/>
          <w:sz w:val="20"/>
          <w:szCs w:val="20"/>
        </w:rPr>
        <w:t xml:space="preserve"> había sido </w:t>
      </w:r>
      <w:r w:rsidRPr="006A676B">
        <w:rPr>
          <w:rFonts w:ascii="Verdana" w:hAnsi="Verdana"/>
          <w:sz w:val="20"/>
          <w:szCs w:val="20"/>
        </w:rPr>
        <w:t>reiterada en la jurisprudencia posterior de la Corte</w:t>
      </w:r>
      <w:r>
        <w:rPr>
          <w:rFonts w:ascii="Verdana" w:hAnsi="Verdana"/>
          <w:sz w:val="20"/>
          <w:szCs w:val="20"/>
        </w:rPr>
        <w:t>, hasta el presente caso,</w:t>
      </w:r>
      <w:r w:rsidRPr="006A676B">
        <w:rPr>
          <w:rFonts w:ascii="Verdana" w:hAnsi="Verdana"/>
          <w:sz w:val="20"/>
          <w:szCs w:val="20"/>
        </w:rPr>
        <w:t xml:space="preserve"> </w:t>
      </w:r>
      <w:r>
        <w:rPr>
          <w:rFonts w:ascii="Verdana" w:hAnsi="Verdana"/>
          <w:sz w:val="20"/>
          <w:szCs w:val="20"/>
        </w:rPr>
        <w:t>por lo que no podía ser considera como un precedente a reiterar</w:t>
      </w:r>
      <w:r w:rsidRPr="006A676B">
        <w:rPr>
          <w:rFonts w:ascii="Verdana" w:hAnsi="Verdana"/>
          <w:sz w:val="20"/>
          <w:szCs w:val="20"/>
        </w:rPr>
        <w:t xml:space="preserve">. </w:t>
      </w:r>
    </w:p>
    <w:p w14:paraId="1C93CE9F" w14:textId="77777777" w:rsidR="00E70701" w:rsidRDefault="00E70701" w:rsidP="00C44F79">
      <w:pPr>
        <w:pStyle w:val="ListParagraph"/>
        <w:ind w:left="0"/>
        <w:jc w:val="both"/>
        <w:rPr>
          <w:rFonts w:ascii="Verdana" w:hAnsi="Verdana" w:cs="Arial"/>
          <w:sz w:val="20"/>
          <w:szCs w:val="20"/>
        </w:rPr>
      </w:pPr>
    </w:p>
    <w:p w14:paraId="6D6A774F" w14:textId="77777777" w:rsidR="00E70701" w:rsidRPr="00941E19" w:rsidRDefault="00E70701" w:rsidP="00E70701">
      <w:pPr>
        <w:pStyle w:val="ListParagraph"/>
        <w:numPr>
          <w:ilvl w:val="0"/>
          <w:numId w:val="39"/>
        </w:numPr>
        <w:jc w:val="both"/>
        <w:rPr>
          <w:rFonts w:ascii="Verdana" w:hAnsi="Verdana" w:cs="Arial"/>
          <w:b/>
          <w:sz w:val="20"/>
          <w:szCs w:val="20"/>
        </w:rPr>
      </w:pPr>
      <w:r>
        <w:rPr>
          <w:rFonts w:ascii="Verdana" w:hAnsi="Verdana" w:cs="Arial"/>
          <w:b/>
          <w:sz w:val="20"/>
          <w:szCs w:val="20"/>
        </w:rPr>
        <w:t>u</w:t>
      </w:r>
      <w:r w:rsidRPr="00941E19">
        <w:rPr>
          <w:rFonts w:ascii="Verdana" w:hAnsi="Verdana" w:cs="Arial"/>
          <w:b/>
          <w:sz w:val="20"/>
          <w:szCs w:val="20"/>
        </w:rPr>
        <w:t>tilización de un solo de método de interpretación para arribar a la decisión</w:t>
      </w:r>
    </w:p>
    <w:p w14:paraId="287011D4" w14:textId="77777777" w:rsidR="00E70701" w:rsidRPr="008C0050" w:rsidRDefault="00E70701" w:rsidP="00C44F79">
      <w:pPr>
        <w:pStyle w:val="ListParagraph"/>
        <w:ind w:left="0"/>
        <w:jc w:val="both"/>
        <w:rPr>
          <w:rFonts w:ascii="Verdana" w:hAnsi="Verdana" w:cs="Arial"/>
          <w:sz w:val="20"/>
          <w:szCs w:val="20"/>
        </w:rPr>
      </w:pPr>
    </w:p>
    <w:p w14:paraId="6E68BCB7" w14:textId="77777777" w:rsidR="00E70701" w:rsidRPr="00F41A17" w:rsidRDefault="00E70701" w:rsidP="00E70701">
      <w:pPr>
        <w:pStyle w:val="ListParagraph"/>
        <w:numPr>
          <w:ilvl w:val="0"/>
          <w:numId w:val="37"/>
        </w:numPr>
        <w:ind w:left="0" w:firstLine="0"/>
        <w:jc w:val="both"/>
        <w:rPr>
          <w:rFonts w:ascii="Verdana" w:hAnsi="Verdana" w:cs="Arial"/>
          <w:sz w:val="20"/>
          <w:szCs w:val="20"/>
        </w:rPr>
      </w:pPr>
      <w:r w:rsidRPr="0023149D">
        <w:rPr>
          <w:rFonts w:ascii="Verdana" w:hAnsi="Verdana" w:cs="Arial"/>
          <w:sz w:val="20"/>
          <w:szCs w:val="20"/>
        </w:rPr>
        <w:lastRenderedPageBreak/>
        <w:t>Ahora bien, la segunda falencia argumentativa se centra en la utilización de un solo método interpretativo para arribar a una interpretación del tratado. Como se mencionó anteriormente en el presente voto, la utilización exclusiva de la “interpretación evolutiva” desconoce que para realizar una interpretación conforme al tratado y que no sea arbitraria</w:t>
      </w:r>
      <w:r>
        <w:rPr>
          <w:rFonts w:ascii="Verdana" w:hAnsi="Verdana" w:cs="Arial"/>
          <w:sz w:val="20"/>
          <w:szCs w:val="20"/>
        </w:rPr>
        <w:t>,</w:t>
      </w:r>
      <w:r w:rsidRPr="0023149D">
        <w:rPr>
          <w:rFonts w:ascii="Verdana" w:hAnsi="Verdana" w:cs="Arial"/>
          <w:sz w:val="20"/>
          <w:szCs w:val="20"/>
        </w:rPr>
        <w:t xml:space="preserve"> </w:t>
      </w:r>
      <w:r w:rsidRPr="00F41A17">
        <w:rPr>
          <w:rFonts w:ascii="Verdana" w:hAnsi="Verdana" w:cs="Arial"/>
          <w:sz w:val="20"/>
          <w:szCs w:val="20"/>
        </w:rPr>
        <w:t>deben aplicarse de manera simultánea todos los métodos de interpretación señalados en los artículos 31 y 32 de la Convención de Viena.</w:t>
      </w:r>
      <w:r>
        <w:rPr>
          <w:rFonts w:ascii="Verdana" w:hAnsi="Verdana" w:cs="Arial"/>
          <w:sz w:val="20"/>
          <w:szCs w:val="20"/>
        </w:rPr>
        <w:t xml:space="preserve"> Por ello, esta simple omisión, que se aleja del tipo de análisis que el Tribunal Interamericano regularmente realiza cuando se ve enfrentada a la necesidad de interpretar la Convención Americana, constituye por sí sola un error argumentativo inexcusable. </w:t>
      </w:r>
    </w:p>
    <w:p w14:paraId="431CBC5B" w14:textId="77777777" w:rsidR="00E70701" w:rsidRPr="00F41A17" w:rsidRDefault="00E70701" w:rsidP="00C44F79">
      <w:pPr>
        <w:pStyle w:val="ListParagraph"/>
        <w:ind w:left="0"/>
        <w:jc w:val="both"/>
        <w:rPr>
          <w:rFonts w:ascii="Verdana" w:hAnsi="Verdana" w:cs="Arial"/>
          <w:sz w:val="20"/>
          <w:szCs w:val="20"/>
        </w:rPr>
      </w:pPr>
    </w:p>
    <w:p w14:paraId="4072BCE9" w14:textId="77777777" w:rsidR="00E70701" w:rsidRPr="005910DC" w:rsidRDefault="00E70701" w:rsidP="00E70701">
      <w:pPr>
        <w:pStyle w:val="ListParagraph"/>
        <w:numPr>
          <w:ilvl w:val="0"/>
          <w:numId w:val="37"/>
        </w:numPr>
        <w:ind w:left="0" w:firstLine="0"/>
        <w:jc w:val="both"/>
        <w:rPr>
          <w:rFonts w:ascii="Verdana" w:hAnsi="Verdana" w:cs="Arial"/>
          <w:sz w:val="20"/>
          <w:szCs w:val="20"/>
        </w:rPr>
      </w:pPr>
      <w:r>
        <w:rPr>
          <w:rFonts w:ascii="Verdana" w:hAnsi="Verdana"/>
          <w:sz w:val="20"/>
          <w:szCs w:val="20"/>
          <w:lang w:val="es-CR" w:eastAsia="de-DE"/>
        </w:rPr>
        <w:t>Por otra parte y respecto a la definición de la interpretación evolutiva, la Corte Interamericana ha señalado en diversas</w:t>
      </w:r>
      <w:r w:rsidRPr="00F41A17">
        <w:rPr>
          <w:rFonts w:ascii="Verdana" w:hAnsi="Verdana"/>
          <w:sz w:val="20"/>
          <w:szCs w:val="20"/>
          <w:lang w:val="es-CR" w:eastAsia="de-DE"/>
        </w:rPr>
        <w:t xml:space="preserve"> oportunidades</w:t>
      </w:r>
      <w:r w:rsidRPr="00F41A17">
        <w:rPr>
          <w:rFonts w:ascii="Verdana" w:hAnsi="Verdana"/>
          <w:sz w:val="20"/>
          <w:szCs w:val="20"/>
          <w:vertAlign w:val="superscript"/>
          <w:lang w:eastAsia="de-DE"/>
        </w:rPr>
        <w:footnoteReference w:id="464"/>
      </w:r>
      <w:r w:rsidRPr="00F41A17">
        <w:rPr>
          <w:rFonts w:ascii="Verdana" w:hAnsi="Verdana"/>
          <w:sz w:val="20"/>
          <w:szCs w:val="20"/>
          <w:lang w:val="es-CR" w:eastAsia="de-DE"/>
        </w:rPr>
        <w:t xml:space="preserve"> que los tratados de derechos humanos son instrumentos vivos, cuya interpretación tiene que acompañar la evolución de los tiempos y las condiciones de vida actuales. </w:t>
      </w:r>
      <w:r>
        <w:rPr>
          <w:rFonts w:ascii="Verdana" w:hAnsi="Verdana"/>
          <w:sz w:val="20"/>
          <w:szCs w:val="20"/>
          <w:lang w:val="es-CR" w:eastAsia="de-DE"/>
        </w:rPr>
        <w:t>También ha manifestado que t</w:t>
      </w:r>
      <w:r w:rsidRPr="00F41A17">
        <w:rPr>
          <w:rFonts w:ascii="Verdana" w:hAnsi="Verdana"/>
          <w:sz w:val="20"/>
          <w:szCs w:val="20"/>
          <w:lang w:val="es-CR" w:eastAsia="de-DE"/>
        </w:rPr>
        <w:t>al interpretación evolutiva es consecuente con las reglas generales de interpretación establecidas en el artículo 29 de la Convención Americana, así como en la Convención</w:t>
      </w:r>
      <w:r w:rsidRPr="00F41A17">
        <w:rPr>
          <w:rFonts w:ascii="Verdana" w:hAnsi="Verdana"/>
          <w:i/>
          <w:sz w:val="20"/>
          <w:szCs w:val="20"/>
          <w:lang w:val="es-CR" w:eastAsia="de-DE"/>
        </w:rPr>
        <w:t xml:space="preserve"> </w:t>
      </w:r>
      <w:r w:rsidRPr="00F41A17">
        <w:rPr>
          <w:rFonts w:ascii="Verdana" w:hAnsi="Verdana"/>
          <w:sz w:val="20"/>
          <w:szCs w:val="20"/>
          <w:lang w:val="es-CR" w:eastAsia="de-DE"/>
        </w:rPr>
        <w:t>de Viena sobre el Derecho de los Tratados</w:t>
      </w:r>
      <w:r w:rsidRPr="00F41A17">
        <w:rPr>
          <w:rFonts w:ascii="Verdana" w:hAnsi="Verdana"/>
          <w:sz w:val="20"/>
          <w:szCs w:val="20"/>
          <w:vertAlign w:val="superscript"/>
          <w:lang w:eastAsia="de-DE"/>
        </w:rPr>
        <w:footnoteReference w:id="465"/>
      </w:r>
      <w:r w:rsidRPr="00F41A17">
        <w:rPr>
          <w:rFonts w:ascii="Verdana" w:hAnsi="Verdana"/>
          <w:sz w:val="20"/>
          <w:szCs w:val="20"/>
          <w:lang w:val="es-CR" w:eastAsia="de-DE"/>
        </w:rPr>
        <w:t>.</w:t>
      </w:r>
      <w:r>
        <w:rPr>
          <w:rFonts w:ascii="Verdana" w:hAnsi="Verdana"/>
          <w:sz w:val="20"/>
          <w:szCs w:val="20"/>
          <w:lang w:val="es-CR" w:eastAsia="de-DE"/>
        </w:rPr>
        <w:t xml:space="preserve"> En este sentido, </w:t>
      </w:r>
      <w:r w:rsidRPr="005910DC">
        <w:rPr>
          <w:rFonts w:ascii="Verdana" w:hAnsi="Verdana" w:cs="Arial"/>
          <w:sz w:val="20"/>
          <w:szCs w:val="20"/>
        </w:rPr>
        <w:t xml:space="preserve">la “interpretación evolutiva” </w:t>
      </w:r>
      <w:r>
        <w:rPr>
          <w:rFonts w:ascii="Verdana" w:hAnsi="Verdana" w:cs="Arial"/>
          <w:sz w:val="20"/>
          <w:szCs w:val="20"/>
        </w:rPr>
        <w:t xml:space="preserve">puede ser </w:t>
      </w:r>
      <w:r w:rsidRPr="005910DC">
        <w:rPr>
          <w:rFonts w:ascii="Verdana" w:hAnsi="Verdana" w:cs="Arial"/>
          <w:sz w:val="20"/>
          <w:szCs w:val="20"/>
        </w:rPr>
        <w:t>entendida como la construcción y determinación de</w:t>
      </w:r>
      <w:r>
        <w:rPr>
          <w:rFonts w:ascii="Verdana" w:hAnsi="Verdana" w:cs="Arial"/>
          <w:sz w:val="20"/>
          <w:szCs w:val="20"/>
        </w:rPr>
        <w:t>l significado de las</w:t>
      </w:r>
      <w:r w:rsidRPr="005910DC">
        <w:rPr>
          <w:rFonts w:ascii="Verdana" w:hAnsi="Verdana" w:cs="Arial"/>
          <w:sz w:val="20"/>
          <w:szCs w:val="20"/>
        </w:rPr>
        <w:t xml:space="preserve"> normas derivadas de preceptos convencionales que originalmente no se </w:t>
      </w:r>
      <w:r>
        <w:rPr>
          <w:rFonts w:ascii="Verdana" w:hAnsi="Verdana" w:cs="Arial"/>
          <w:sz w:val="20"/>
          <w:szCs w:val="20"/>
        </w:rPr>
        <w:t>encontraban</w:t>
      </w:r>
      <w:r w:rsidRPr="005910DC">
        <w:rPr>
          <w:rFonts w:ascii="Verdana" w:hAnsi="Verdana" w:cs="Arial"/>
          <w:sz w:val="20"/>
          <w:szCs w:val="20"/>
        </w:rPr>
        <w:t xml:space="preserve"> en la voluntad de los países que participaron en su elaboración, pero que, hoy, debido a los cambios en la realidad social y política, encuentran pleno sentido. Los textos convencionales originalmente no se hicieron pensando en hechos y circunstancias que hoy sí se encuentran dentro de los supuestos convencionales. </w:t>
      </w:r>
    </w:p>
    <w:p w14:paraId="0CC605EC" w14:textId="77777777" w:rsidR="00E70701" w:rsidRPr="00F41A17" w:rsidRDefault="00E70701" w:rsidP="00C44F79">
      <w:pPr>
        <w:jc w:val="both"/>
        <w:rPr>
          <w:rFonts w:ascii="Verdana" w:hAnsi="Verdana" w:cs="Arial"/>
          <w:sz w:val="20"/>
          <w:szCs w:val="20"/>
        </w:rPr>
      </w:pPr>
    </w:p>
    <w:p w14:paraId="23DDE8F5" w14:textId="77777777" w:rsidR="00E70701" w:rsidRPr="00CE5C0E" w:rsidRDefault="00E70701" w:rsidP="00E70701">
      <w:pPr>
        <w:pStyle w:val="ListParagraph"/>
        <w:numPr>
          <w:ilvl w:val="0"/>
          <w:numId w:val="37"/>
        </w:numPr>
        <w:ind w:left="0" w:firstLine="0"/>
        <w:jc w:val="both"/>
        <w:rPr>
          <w:rFonts w:ascii="Verdana" w:hAnsi="Verdana" w:cs="Arial"/>
          <w:sz w:val="20"/>
          <w:szCs w:val="20"/>
        </w:rPr>
      </w:pPr>
      <w:r>
        <w:rPr>
          <w:rFonts w:ascii="Verdana" w:hAnsi="Verdana" w:cs="Arial"/>
          <w:sz w:val="20"/>
          <w:szCs w:val="20"/>
        </w:rPr>
        <w:t>De manera que este método interpretativo tiene una función importante y es el de ir actualizando las normas convencionales a las necesidades de los nuevos tiempos. No obstante lo anterior</w:t>
      </w:r>
      <w:r w:rsidRPr="00F41A17">
        <w:rPr>
          <w:rFonts w:ascii="Verdana" w:hAnsi="Verdana" w:cs="Arial"/>
          <w:sz w:val="20"/>
          <w:szCs w:val="20"/>
        </w:rPr>
        <w:t xml:space="preserve">, </w:t>
      </w:r>
      <w:r>
        <w:rPr>
          <w:rFonts w:ascii="Verdana" w:hAnsi="Verdana" w:cs="Arial"/>
          <w:sz w:val="20"/>
          <w:szCs w:val="20"/>
        </w:rPr>
        <w:t>otro de los</w:t>
      </w:r>
      <w:r w:rsidRPr="00F41A17">
        <w:rPr>
          <w:rFonts w:ascii="Verdana" w:hAnsi="Verdana" w:cs="Arial"/>
          <w:sz w:val="20"/>
          <w:szCs w:val="20"/>
        </w:rPr>
        <w:t xml:space="preserve"> error</w:t>
      </w:r>
      <w:r>
        <w:rPr>
          <w:rFonts w:ascii="Verdana" w:hAnsi="Verdana" w:cs="Arial"/>
          <w:sz w:val="20"/>
          <w:szCs w:val="20"/>
        </w:rPr>
        <w:t>es de la Sentencia</w:t>
      </w:r>
      <w:r w:rsidRPr="00F41A17">
        <w:rPr>
          <w:rFonts w:ascii="Verdana" w:hAnsi="Verdana" w:cs="Arial"/>
          <w:sz w:val="20"/>
          <w:szCs w:val="20"/>
        </w:rPr>
        <w:t xml:space="preserve"> estriba</w:t>
      </w:r>
      <w:r>
        <w:rPr>
          <w:rFonts w:ascii="Verdana" w:hAnsi="Verdana" w:cs="Arial"/>
          <w:sz w:val="20"/>
          <w:szCs w:val="20"/>
        </w:rPr>
        <w:t xml:space="preserve"> en que se utiliza la “interpretación evolutiva” para camuflar una </w:t>
      </w:r>
      <w:r w:rsidRPr="0058208A">
        <w:rPr>
          <w:rFonts w:ascii="Verdana" w:hAnsi="Verdana" w:cs="Arial"/>
          <w:sz w:val="20"/>
          <w:szCs w:val="20"/>
        </w:rPr>
        <w:t>“mutación convencional”.</w:t>
      </w:r>
      <w:r>
        <w:rPr>
          <w:rFonts w:ascii="Verdana" w:hAnsi="Verdana" w:cs="Arial"/>
          <w:sz w:val="20"/>
          <w:szCs w:val="20"/>
        </w:rPr>
        <w:t xml:space="preserve"> Este tipo de modificación implica un cambio sustancial al texto de la C</w:t>
      </w:r>
      <w:r w:rsidRPr="00CE5C0E">
        <w:rPr>
          <w:rFonts w:ascii="Verdana" w:hAnsi="Verdana" w:cs="Arial"/>
          <w:sz w:val="20"/>
          <w:szCs w:val="20"/>
        </w:rPr>
        <w:t xml:space="preserve">onvención </w:t>
      </w:r>
      <w:r>
        <w:rPr>
          <w:rFonts w:ascii="Verdana" w:hAnsi="Verdana" w:cs="Arial"/>
          <w:sz w:val="20"/>
          <w:szCs w:val="20"/>
        </w:rPr>
        <w:t xml:space="preserve">Americana </w:t>
      </w:r>
      <w:r w:rsidRPr="00CE5C0E">
        <w:rPr>
          <w:rFonts w:ascii="Verdana" w:hAnsi="Verdana" w:cs="Arial"/>
          <w:sz w:val="20"/>
          <w:szCs w:val="20"/>
        </w:rPr>
        <w:t xml:space="preserve">a través de unas “interpretaciones” contrarias a la dicción del texto convencional. Por </w:t>
      </w:r>
      <w:r>
        <w:rPr>
          <w:rFonts w:ascii="Verdana" w:hAnsi="Verdana" w:cs="Arial"/>
          <w:sz w:val="20"/>
          <w:szCs w:val="20"/>
        </w:rPr>
        <w:t xml:space="preserve">esta </w:t>
      </w:r>
      <w:r w:rsidRPr="00CE5C0E">
        <w:rPr>
          <w:rFonts w:ascii="Verdana" w:hAnsi="Verdana" w:cs="Arial"/>
          <w:sz w:val="20"/>
          <w:szCs w:val="20"/>
        </w:rPr>
        <w:t>vía, con el pretexto de inte</w:t>
      </w:r>
      <w:r>
        <w:rPr>
          <w:rFonts w:ascii="Verdana" w:hAnsi="Verdana" w:cs="Arial"/>
          <w:sz w:val="20"/>
          <w:szCs w:val="20"/>
        </w:rPr>
        <w:t>rpretar la C</w:t>
      </w:r>
      <w:r w:rsidRPr="00CE5C0E">
        <w:rPr>
          <w:rFonts w:ascii="Verdana" w:hAnsi="Verdana" w:cs="Arial"/>
          <w:sz w:val="20"/>
          <w:szCs w:val="20"/>
        </w:rPr>
        <w:t xml:space="preserve">onvención se llega a unas condiciones que son contrarias al texto </w:t>
      </w:r>
      <w:r>
        <w:rPr>
          <w:rFonts w:ascii="Verdana" w:hAnsi="Verdana" w:cs="Arial"/>
          <w:sz w:val="20"/>
          <w:szCs w:val="20"/>
        </w:rPr>
        <w:t xml:space="preserve">o a la interpretación conforme </w:t>
      </w:r>
      <w:r w:rsidRPr="00CE5C0E">
        <w:rPr>
          <w:rFonts w:ascii="Verdana" w:hAnsi="Verdana" w:cs="Arial"/>
          <w:sz w:val="20"/>
          <w:szCs w:val="20"/>
        </w:rPr>
        <w:t>de la misma. La mutación convencional obedece a la misma lógica de la figura que la doctrina constitucional denomina como mutación constitucional</w:t>
      </w:r>
      <w:r>
        <w:rPr>
          <w:rStyle w:val="FootnoteReference"/>
          <w:rFonts w:cs="Arial"/>
          <w:szCs w:val="20"/>
        </w:rPr>
        <w:footnoteReference w:id="466"/>
      </w:r>
      <w:r w:rsidRPr="00CE5C0E">
        <w:rPr>
          <w:rFonts w:ascii="Verdana" w:hAnsi="Verdana" w:cs="Arial"/>
          <w:sz w:val="20"/>
          <w:szCs w:val="20"/>
        </w:rPr>
        <w:t>.</w:t>
      </w:r>
    </w:p>
    <w:p w14:paraId="133EB7A7" w14:textId="77777777" w:rsidR="00E70701" w:rsidRPr="0058208A" w:rsidRDefault="00E70701" w:rsidP="00C44F79">
      <w:pPr>
        <w:jc w:val="both"/>
        <w:rPr>
          <w:rFonts w:ascii="Verdana" w:hAnsi="Verdana" w:cs="Arial"/>
          <w:sz w:val="20"/>
          <w:szCs w:val="20"/>
        </w:rPr>
      </w:pPr>
    </w:p>
    <w:p w14:paraId="6818416E" w14:textId="77777777" w:rsidR="00E70701" w:rsidRDefault="00E70701" w:rsidP="00E70701">
      <w:pPr>
        <w:pStyle w:val="ListParagraph"/>
        <w:numPr>
          <w:ilvl w:val="0"/>
          <w:numId w:val="37"/>
        </w:numPr>
        <w:ind w:left="0" w:firstLine="0"/>
        <w:jc w:val="both"/>
        <w:rPr>
          <w:rFonts w:ascii="Verdana" w:hAnsi="Verdana" w:cs="Arial"/>
          <w:sz w:val="20"/>
          <w:szCs w:val="20"/>
        </w:rPr>
      </w:pPr>
      <w:r>
        <w:rPr>
          <w:rFonts w:ascii="Verdana" w:hAnsi="Verdana" w:cs="Arial"/>
          <w:sz w:val="20"/>
          <w:szCs w:val="20"/>
        </w:rPr>
        <w:t xml:space="preserve">En este sentido, ya se estableció que cuando se utilizan todos los métodos de interpretación se llega a la conclusión de que una interpretación extensiva del artículo 26 de la Convención Americana no puede venir a derogar lo que soberanamente decidieron los Estados al momento de firmar y ratificar el Protocolo de San Salvador. Por lo que puedo afirmar sin temor a equivocarme que en la presente Sentencia no se realizó una </w:t>
      </w:r>
      <w:r w:rsidRPr="0058208A">
        <w:rPr>
          <w:rFonts w:ascii="Verdana" w:hAnsi="Verdana" w:cs="Arial"/>
          <w:sz w:val="20"/>
          <w:szCs w:val="20"/>
        </w:rPr>
        <w:t>interpretación evolutiva,</w:t>
      </w:r>
      <w:r>
        <w:rPr>
          <w:rFonts w:ascii="Verdana" w:hAnsi="Verdana" w:cs="Arial"/>
          <w:sz w:val="20"/>
          <w:szCs w:val="20"/>
        </w:rPr>
        <w:t xml:space="preserve"> puesto que</w:t>
      </w:r>
      <w:r w:rsidRPr="0058208A">
        <w:rPr>
          <w:rFonts w:ascii="Verdana" w:hAnsi="Verdana" w:cs="Arial"/>
          <w:sz w:val="20"/>
          <w:szCs w:val="20"/>
        </w:rPr>
        <w:t xml:space="preserve"> la evolución n</w:t>
      </w:r>
      <w:r>
        <w:rPr>
          <w:rFonts w:ascii="Verdana" w:hAnsi="Verdana" w:cs="Arial"/>
          <w:sz w:val="20"/>
          <w:szCs w:val="20"/>
        </w:rPr>
        <w:t>o puede llevar a contrariar la C</w:t>
      </w:r>
      <w:r w:rsidRPr="0058208A">
        <w:rPr>
          <w:rFonts w:ascii="Verdana" w:hAnsi="Verdana" w:cs="Arial"/>
          <w:sz w:val="20"/>
          <w:szCs w:val="20"/>
        </w:rPr>
        <w:t>onvención. Una cosa es resolver asuntos novedosos no advertidos por los creadores de la norma y otra diferente, cambiarlas.</w:t>
      </w:r>
    </w:p>
    <w:p w14:paraId="059308E8" w14:textId="77777777" w:rsidR="00E70701" w:rsidRDefault="00E70701" w:rsidP="00C44F79">
      <w:pPr>
        <w:jc w:val="both"/>
        <w:rPr>
          <w:rFonts w:ascii="Verdana" w:hAnsi="Verdana" w:cs="Arial"/>
          <w:sz w:val="20"/>
          <w:szCs w:val="20"/>
        </w:rPr>
      </w:pPr>
    </w:p>
    <w:p w14:paraId="74C96DFE" w14:textId="77777777" w:rsidR="00E70701" w:rsidRDefault="00E70701" w:rsidP="00E70701">
      <w:pPr>
        <w:pStyle w:val="ListParagraph"/>
        <w:numPr>
          <w:ilvl w:val="0"/>
          <w:numId w:val="39"/>
        </w:numPr>
        <w:jc w:val="both"/>
        <w:rPr>
          <w:rFonts w:ascii="Verdana" w:hAnsi="Verdana" w:cs="Arial"/>
          <w:b/>
          <w:sz w:val="20"/>
          <w:szCs w:val="20"/>
        </w:rPr>
      </w:pPr>
      <w:r>
        <w:rPr>
          <w:rFonts w:ascii="Verdana" w:hAnsi="Verdana" w:cs="Arial"/>
          <w:b/>
          <w:sz w:val="20"/>
          <w:szCs w:val="20"/>
        </w:rPr>
        <w:t>c</w:t>
      </w:r>
      <w:r w:rsidRPr="00BF128B">
        <w:rPr>
          <w:rFonts w:ascii="Verdana" w:hAnsi="Verdana" w:cs="Arial"/>
          <w:b/>
          <w:sz w:val="20"/>
          <w:szCs w:val="20"/>
        </w:rPr>
        <w:t>onfusión entre existencia del derecho y competencia de la Corte IDH</w:t>
      </w:r>
    </w:p>
    <w:p w14:paraId="6E8D8E93" w14:textId="77777777" w:rsidR="00E70701" w:rsidRPr="00BF128B" w:rsidRDefault="00E70701" w:rsidP="00C44F79">
      <w:pPr>
        <w:pStyle w:val="ListParagraph"/>
        <w:jc w:val="both"/>
        <w:rPr>
          <w:rFonts w:ascii="Verdana" w:hAnsi="Verdana" w:cs="Arial"/>
          <w:b/>
          <w:sz w:val="20"/>
          <w:szCs w:val="20"/>
        </w:rPr>
      </w:pPr>
    </w:p>
    <w:p w14:paraId="47A38D6C" w14:textId="77777777" w:rsidR="00E70701" w:rsidRDefault="00E70701" w:rsidP="00E70701">
      <w:pPr>
        <w:pStyle w:val="ListParagraph"/>
        <w:numPr>
          <w:ilvl w:val="0"/>
          <w:numId w:val="37"/>
        </w:numPr>
        <w:ind w:left="0" w:firstLine="0"/>
        <w:jc w:val="both"/>
        <w:rPr>
          <w:rFonts w:ascii="Verdana" w:hAnsi="Verdana" w:cs="Arial"/>
          <w:sz w:val="20"/>
          <w:szCs w:val="20"/>
        </w:rPr>
      </w:pPr>
      <w:r>
        <w:rPr>
          <w:rFonts w:ascii="Verdana" w:hAnsi="Verdana" w:cs="Arial"/>
          <w:sz w:val="20"/>
          <w:szCs w:val="20"/>
        </w:rPr>
        <w:t xml:space="preserve">En tercer lugar, la Sentencia no enfrenta los problemas de competencia, pues centra su argumentación a la comprobación de la existencia del derecho al trabajo o a la estabilidad </w:t>
      </w:r>
      <w:r>
        <w:rPr>
          <w:rFonts w:ascii="Verdana" w:hAnsi="Verdana" w:cs="Arial"/>
          <w:sz w:val="20"/>
          <w:szCs w:val="20"/>
        </w:rPr>
        <w:lastRenderedPageBreak/>
        <w:t xml:space="preserve">laboral, pero no hace mención alguna al artículo 19 del Protocolo de San Salvador. </w:t>
      </w:r>
      <w:r w:rsidRPr="0002261B">
        <w:rPr>
          <w:rFonts w:ascii="Verdana" w:hAnsi="Verdana" w:cs="Arial"/>
          <w:sz w:val="20"/>
          <w:szCs w:val="20"/>
        </w:rPr>
        <w:t>La única mención sobre la competencia se realiza al final del análisis argumentativo, en el párrafo 1</w:t>
      </w:r>
      <w:r w:rsidRPr="00C24C47">
        <w:rPr>
          <w:rFonts w:ascii="Verdana" w:hAnsi="Verdana" w:cs="Arial"/>
          <w:sz w:val="20"/>
          <w:szCs w:val="20"/>
        </w:rPr>
        <w:t>54</w:t>
      </w:r>
      <w:r w:rsidRPr="0002261B">
        <w:rPr>
          <w:rFonts w:ascii="Verdana" w:hAnsi="Verdana" w:cs="Arial"/>
          <w:sz w:val="20"/>
          <w:szCs w:val="20"/>
        </w:rPr>
        <w:t xml:space="preserve"> de la Sentencia, en el que nuevamente se vuelve a intentar decir que en </w:t>
      </w:r>
      <w:r w:rsidRPr="00064313">
        <w:rPr>
          <w:rFonts w:ascii="Verdana" w:hAnsi="Verdana" w:cs="Arial"/>
          <w:sz w:val="20"/>
          <w:szCs w:val="20"/>
        </w:rPr>
        <w:t xml:space="preserve">el caso </w:t>
      </w:r>
      <w:r w:rsidRPr="00C24C47">
        <w:rPr>
          <w:rFonts w:ascii="Verdana" w:hAnsi="Verdana" w:cs="Arial"/>
          <w:i/>
          <w:sz w:val="20"/>
          <w:szCs w:val="20"/>
        </w:rPr>
        <w:t>Acevedo Buendía</w:t>
      </w:r>
      <w:r w:rsidRPr="0002261B">
        <w:rPr>
          <w:rFonts w:ascii="Verdana" w:hAnsi="Verdana" w:cs="Arial"/>
          <w:sz w:val="20"/>
          <w:szCs w:val="20"/>
        </w:rPr>
        <w:t xml:space="preserve"> ya se había saldado la discusión sobre la competencia de la Corte, cuando como se explicó anteriormente esta afirmación </w:t>
      </w:r>
      <w:r w:rsidRPr="00064313">
        <w:rPr>
          <w:rFonts w:ascii="Verdana" w:hAnsi="Verdana" w:cs="Arial"/>
          <w:sz w:val="20"/>
          <w:szCs w:val="20"/>
        </w:rPr>
        <w:t>es ajena a la verdad.</w:t>
      </w:r>
    </w:p>
    <w:p w14:paraId="687530FD" w14:textId="77777777" w:rsidR="00E70701" w:rsidRDefault="00E70701" w:rsidP="00C44F79">
      <w:pPr>
        <w:pStyle w:val="ListParagraph"/>
        <w:ind w:left="0"/>
        <w:jc w:val="both"/>
        <w:rPr>
          <w:rFonts w:ascii="Verdana" w:hAnsi="Verdana" w:cs="Arial"/>
          <w:sz w:val="20"/>
          <w:szCs w:val="20"/>
        </w:rPr>
      </w:pPr>
    </w:p>
    <w:p w14:paraId="72E5420F" w14:textId="77777777" w:rsidR="00E70701" w:rsidRDefault="00E70701" w:rsidP="00E70701">
      <w:pPr>
        <w:pStyle w:val="ListParagraph"/>
        <w:numPr>
          <w:ilvl w:val="0"/>
          <w:numId w:val="37"/>
        </w:numPr>
        <w:ind w:left="0" w:firstLine="0"/>
        <w:jc w:val="both"/>
        <w:rPr>
          <w:rFonts w:ascii="Verdana" w:hAnsi="Verdana" w:cs="Arial"/>
          <w:sz w:val="20"/>
          <w:szCs w:val="20"/>
        </w:rPr>
      </w:pPr>
      <w:r w:rsidRPr="00940F92">
        <w:rPr>
          <w:rFonts w:ascii="Verdana" w:hAnsi="Verdana" w:cs="Arial"/>
          <w:sz w:val="20"/>
          <w:szCs w:val="20"/>
        </w:rPr>
        <w:t>En mi opinión</w:t>
      </w:r>
      <w:r>
        <w:rPr>
          <w:rFonts w:ascii="Verdana" w:hAnsi="Verdana" w:cs="Arial"/>
          <w:sz w:val="20"/>
          <w:szCs w:val="20"/>
        </w:rPr>
        <w:t xml:space="preserve">, esta confusión responde al propósito claro de querer a toda costa subsanar lo que “algunos” consideran un error del Protocolo de San Salvador cuando limitó la </w:t>
      </w:r>
      <w:proofErr w:type="spellStart"/>
      <w:r>
        <w:rPr>
          <w:rFonts w:ascii="Verdana" w:hAnsi="Verdana" w:cs="Arial"/>
          <w:sz w:val="20"/>
          <w:szCs w:val="20"/>
        </w:rPr>
        <w:t>justiciabilidad</w:t>
      </w:r>
      <w:proofErr w:type="spellEnd"/>
      <w:r>
        <w:rPr>
          <w:rFonts w:ascii="Verdana" w:hAnsi="Verdana" w:cs="Arial"/>
          <w:sz w:val="20"/>
          <w:szCs w:val="20"/>
        </w:rPr>
        <w:t xml:space="preserve"> de los DESC establecidos en el mismo. Bajo este entendido, estimo que se debe distinguir</w:t>
      </w:r>
      <w:r w:rsidRPr="00752BD9">
        <w:rPr>
          <w:rFonts w:ascii="Verdana" w:hAnsi="Verdana" w:cs="Arial"/>
          <w:sz w:val="20"/>
          <w:szCs w:val="20"/>
        </w:rPr>
        <w:t xml:space="preserve"> </w:t>
      </w:r>
      <w:r>
        <w:rPr>
          <w:rFonts w:ascii="Verdana" w:hAnsi="Verdana" w:cs="Arial"/>
          <w:sz w:val="20"/>
          <w:szCs w:val="20"/>
        </w:rPr>
        <w:t>entre</w:t>
      </w:r>
      <w:r w:rsidRPr="00752BD9">
        <w:rPr>
          <w:rFonts w:ascii="Verdana" w:hAnsi="Verdana" w:cs="Arial"/>
          <w:sz w:val="20"/>
          <w:szCs w:val="20"/>
        </w:rPr>
        <w:t xml:space="preserve"> las ventajas que se derivan de la </w:t>
      </w:r>
      <w:proofErr w:type="spellStart"/>
      <w:r w:rsidRPr="00752BD9">
        <w:rPr>
          <w:rFonts w:ascii="Verdana" w:hAnsi="Verdana" w:cs="Arial"/>
          <w:sz w:val="20"/>
          <w:szCs w:val="20"/>
        </w:rPr>
        <w:t>justiciabilidad</w:t>
      </w:r>
      <w:proofErr w:type="spellEnd"/>
      <w:r w:rsidRPr="00752BD9">
        <w:rPr>
          <w:rFonts w:ascii="Verdana" w:hAnsi="Verdana" w:cs="Arial"/>
          <w:sz w:val="20"/>
          <w:szCs w:val="20"/>
        </w:rPr>
        <w:t xml:space="preserve"> de los DES</w:t>
      </w:r>
      <w:r>
        <w:rPr>
          <w:rFonts w:ascii="Verdana" w:hAnsi="Verdana" w:cs="Arial"/>
          <w:sz w:val="20"/>
          <w:szCs w:val="20"/>
        </w:rPr>
        <w:t>C</w:t>
      </w:r>
      <w:r w:rsidRPr="00752BD9">
        <w:rPr>
          <w:rFonts w:ascii="Verdana" w:hAnsi="Verdana" w:cs="Arial"/>
          <w:sz w:val="20"/>
          <w:szCs w:val="20"/>
        </w:rPr>
        <w:t xml:space="preserve"> y la determinación jurídica sobre la competencia de la Corte sobre el tema.</w:t>
      </w:r>
    </w:p>
    <w:p w14:paraId="602425B8" w14:textId="77777777" w:rsidR="00E70701" w:rsidRPr="00D81F2C" w:rsidRDefault="00E70701" w:rsidP="00C44F79">
      <w:pPr>
        <w:jc w:val="both"/>
        <w:rPr>
          <w:rFonts w:ascii="Verdana" w:hAnsi="Verdana" w:cs="Arial"/>
          <w:sz w:val="20"/>
          <w:szCs w:val="20"/>
        </w:rPr>
      </w:pPr>
    </w:p>
    <w:p w14:paraId="65C7EFD0" w14:textId="77777777" w:rsidR="00E70701" w:rsidRPr="00871166" w:rsidRDefault="00E70701" w:rsidP="00E70701">
      <w:pPr>
        <w:pStyle w:val="ListParagraph"/>
        <w:numPr>
          <w:ilvl w:val="0"/>
          <w:numId w:val="37"/>
        </w:numPr>
        <w:ind w:left="0" w:firstLine="0"/>
        <w:jc w:val="both"/>
        <w:rPr>
          <w:rFonts w:ascii="Verdana" w:hAnsi="Verdana" w:cs="Arial"/>
          <w:sz w:val="20"/>
          <w:szCs w:val="20"/>
        </w:rPr>
      </w:pPr>
      <w:r>
        <w:rPr>
          <w:rFonts w:ascii="Verdana" w:hAnsi="Verdana" w:cs="Arial"/>
          <w:sz w:val="20"/>
          <w:szCs w:val="20"/>
        </w:rPr>
        <w:t xml:space="preserve">Tal y como lo he expresado en otras oportunidades, </w:t>
      </w:r>
      <w:r w:rsidRPr="00D81F2C">
        <w:rPr>
          <w:rFonts w:ascii="Verdana" w:hAnsi="Verdana" w:cs="Arial"/>
          <w:sz w:val="20"/>
          <w:szCs w:val="20"/>
        </w:rPr>
        <w:t>la Corte IDH ya ha decidido indirectamente sobre DESC,</w:t>
      </w:r>
      <w:r>
        <w:rPr>
          <w:rFonts w:ascii="Verdana" w:hAnsi="Verdana" w:cs="Arial"/>
          <w:sz w:val="20"/>
          <w:szCs w:val="20"/>
        </w:rPr>
        <w:t xml:space="preserve"> generalmente por medio del uso de la conexidad, lo cual es una metodología menos polémica, pero sobre todo más respetuosa de la voluntad de los Estados expresada en la Convención Americana y de su Protocolo</w:t>
      </w:r>
      <w:r w:rsidRPr="00D81F2C">
        <w:rPr>
          <w:rFonts w:ascii="Verdana" w:hAnsi="Verdana" w:cs="Arial"/>
          <w:sz w:val="20"/>
          <w:szCs w:val="20"/>
        </w:rPr>
        <w:t>.</w:t>
      </w:r>
      <w:r>
        <w:rPr>
          <w:rFonts w:ascii="Verdana" w:hAnsi="Verdana" w:cs="Arial"/>
          <w:sz w:val="20"/>
          <w:szCs w:val="20"/>
        </w:rPr>
        <w:t xml:space="preserve"> No se debe dejar de lado que cualquier actuación por fuera de la C</w:t>
      </w:r>
      <w:r w:rsidRPr="0058208A">
        <w:rPr>
          <w:rFonts w:ascii="Verdana" w:hAnsi="Verdana" w:cs="Arial"/>
          <w:sz w:val="20"/>
          <w:szCs w:val="20"/>
        </w:rPr>
        <w:t xml:space="preserve">onvención </w:t>
      </w:r>
      <w:r>
        <w:rPr>
          <w:rFonts w:ascii="Verdana" w:hAnsi="Verdana" w:cs="Arial"/>
          <w:sz w:val="20"/>
          <w:szCs w:val="20"/>
        </w:rPr>
        <w:t>Americana será arbitraria aunque</w:t>
      </w:r>
      <w:r w:rsidRPr="0058208A">
        <w:rPr>
          <w:rFonts w:ascii="Verdana" w:hAnsi="Verdana" w:cs="Arial"/>
          <w:sz w:val="20"/>
          <w:szCs w:val="20"/>
        </w:rPr>
        <w:t xml:space="preserve"> se </w:t>
      </w:r>
      <w:r>
        <w:rPr>
          <w:rFonts w:ascii="Verdana" w:hAnsi="Verdana" w:cs="Arial"/>
          <w:sz w:val="20"/>
          <w:szCs w:val="20"/>
        </w:rPr>
        <w:t>derive de</w:t>
      </w:r>
      <w:r w:rsidRPr="0058208A">
        <w:rPr>
          <w:rFonts w:ascii="Verdana" w:hAnsi="Verdana" w:cs="Arial"/>
          <w:sz w:val="20"/>
          <w:szCs w:val="20"/>
        </w:rPr>
        <w:t xml:space="preserve"> buenas intenciones</w:t>
      </w:r>
      <w:r>
        <w:rPr>
          <w:rFonts w:ascii="Verdana" w:hAnsi="Verdana" w:cs="Arial"/>
          <w:sz w:val="20"/>
          <w:szCs w:val="20"/>
        </w:rPr>
        <w:t>.</w:t>
      </w:r>
    </w:p>
    <w:p w14:paraId="4247F4F3" w14:textId="77777777" w:rsidR="00E70701" w:rsidRPr="008E47DC" w:rsidRDefault="00E70701" w:rsidP="00C44F79">
      <w:pPr>
        <w:pStyle w:val="ListParagraph"/>
        <w:jc w:val="both"/>
        <w:rPr>
          <w:rFonts w:ascii="Verdana" w:hAnsi="Verdana" w:cs="Arial"/>
          <w:sz w:val="20"/>
          <w:szCs w:val="20"/>
        </w:rPr>
      </w:pPr>
    </w:p>
    <w:p w14:paraId="5D8CE7D1" w14:textId="77777777" w:rsidR="00E70701" w:rsidRDefault="00E70701" w:rsidP="00E70701">
      <w:pPr>
        <w:pStyle w:val="ListParagraph"/>
        <w:numPr>
          <w:ilvl w:val="0"/>
          <w:numId w:val="36"/>
        </w:numPr>
        <w:jc w:val="both"/>
        <w:rPr>
          <w:rFonts w:ascii="Verdana" w:hAnsi="Verdana" w:cs="Arial"/>
          <w:b/>
          <w:sz w:val="20"/>
          <w:szCs w:val="20"/>
        </w:rPr>
      </w:pPr>
      <w:r>
        <w:rPr>
          <w:rFonts w:ascii="Verdana" w:hAnsi="Verdana" w:cs="Arial"/>
          <w:b/>
          <w:sz w:val="20"/>
          <w:szCs w:val="20"/>
        </w:rPr>
        <w:t>CONCLUSIÓN GENERAL</w:t>
      </w:r>
    </w:p>
    <w:p w14:paraId="01A61917" w14:textId="77777777" w:rsidR="00E70701" w:rsidRPr="00D81F2C" w:rsidRDefault="00E70701" w:rsidP="00C44F79">
      <w:pPr>
        <w:jc w:val="both"/>
        <w:rPr>
          <w:rFonts w:ascii="Verdana" w:hAnsi="Verdana" w:cs="Arial"/>
          <w:sz w:val="20"/>
          <w:szCs w:val="20"/>
        </w:rPr>
      </w:pPr>
    </w:p>
    <w:p w14:paraId="5C1D4ADD" w14:textId="77777777" w:rsidR="00E70701" w:rsidRDefault="00E70701" w:rsidP="00E70701">
      <w:pPr>
        <w:pStyle w:val="ListParagraph"/>
        <w:numPr>
          <w:ilvl w:val="0"/>
          <w:numId w:val="37"/>
        </w:numPr>
        <w:ind w:left="0" w:firstLine="0"/>
        <w:jc w:val="both"/>
        <w:rPr>
          <w:rFonts w:ascii="Verdana" w:hAnsi="Verdana" w:cs="Arial"/>
          <w:sz w:val="20"/>
          <w:szCs w:val="20"/>
        </w:rPr>
      </w:pPr>
      <w:r>
        <w:rPr>
          <w:rFonts w:ascii="Verdana" w:hAnsi="Verdana" w:cs="Arial"/>
          <w:sz w:val="20"/>
          <w:szCs w:val="20"/>
        </w:rPr>
        <w:t xml:space="preserve">De forma general, </w:t>
      </w:r>
      <w:r w:rsidRPr="000B76AB">
        <w:rPr>
          <w:rFonts w:ascii="Verdana" w:hAnsi="Verdana" w:cs="Arial"/>
          <w:sz w:val="20"/>
          <w:szCs w:val="20"/>
        </w:rPr>
        <w:t xml:space="preserve">considero que </w:t>
      </w:r>
      <w:r>
        <w:rPr>
          <w:rFonts w:ascii="Verdana" w:hAnsi="Verdana" w:cs="Arial"/>
          <w:sz w:val="20"/>
          <w:szCs w:val="20"/>
        </w:rPr>
        <w:t>una S</w:t>
      </w:r>
      <w:r w:rsidRPr="000B76AB">
        <w:rPr>
          <w:rFonts w:ascii="Verdana" w:hAnsi="Verdana" w:cs="Arial"/>
          <w:sz w:val="20"/>
          <w:szCs w:val="20"/>
        </w:rPr>
        <w:t xml:space="preserve">entencia que </w:t>
      </w:r>
      <w:r>
        <w:rPr>
          <w:rFonts w:ascii="Verdana" w:hAnsi="Verdana" w:cs="Arial"/>
          <w:sz w:val="20"/>
          <w:szCs w:val="20"/>
        </w:rPr>
        <w:t xml:space="preserve">declara internacionalmente responsable a un </w:t>
      </w:r>
      <w:r w:rsidRPr="000B76AB">
        <w:rPr>
          <w:rFonts w:ascii="Verdana" w:hAnsi="Verdana" w:cs="Arial"/>
          <w:sz w:val="20"/>
          <w:szCs w:val="20"/>
        </w:rPr>
        <w:t xml:space="preserve">Estado </w:t>
      </w:r>
      <w:r>
        <w:rPr>
          <w:rFonts w:ascii="Verdana" w:hAnsi="Verdana" w:cs="Arial"/>
          <w:sz w:val="20"/>
          <w:szCs w:val="20"/>
        </w:rPr>
        <w:t xml:space="preserve">no puede incurrir en falencias </w:t>
      </w:r>
      <w:r w:rsidRPr="000B76AB">
        <w:rPr>
          <w:rFonts w:ascii="Verdana" w:hAnsi="Verdana" w:cs="Arial"/>
          <w:sz w:val="20"/>
          <w:szCs w:val="20"/>
        </w:rPr>
        <w:t>argumentativas</w:t>
      </w:r>
      <w:r>
        <w:rPr>
          <w:rFonts w:ascii="Verdana" w:hAnsi="Verdana" w:cs="Arial"/>
          <w:sz w:val="20"/>
          <w:szCs w:val="20"/>
        </w:rPr>
        <w:t xml:space="preserve"> de la magnitud previamente expuesta</w:t>
      </w:r>
      <w:r w:rsidRPr="000B76AB">
        <w:rPr>
          <w:rFonts w:ascii="Verdana" w:hAnsi="Verdana" w:cs="Arial"/>
          <w:sz w:val="20"/>
          <w:szCs w:val="20"/>
        </w:rPr>
        <w:t xml:space="preserve">. Si el Tribunal </w:t>
      </w:r>
      <w:r>
        <w:rPr>
          <w:rFonts w:ascii="Verdana" w:hAnsi="Verdana" w:cs="Arial"/>
          <w:sz w:val="20"/>
          <w:szCs w:val="20"/>
        </w:rPr>
        <w:t xml:space="preserve">pretende </w:t>
      </w:r>
      <w:r w:rsidRPr="000B76AB">
        <w:rPr>
          <w:rFonts w:ascii="Verdana" w:hAnsi="Verdana" w:cs="Arial"/>
          <w:sz w:val="20"/>
          <w:szCs w:val="20"/>
        </w:rPr>
        <w:t>mantener un estándar de motivación tan alto para los tribunales internos</w:t>
      </w:r>
      <w:r>
        <w:rPr>
          <w:rFonts w:ascii="Verdana" w:hAnsi="Verdana" w:cs="Arial"/>
          <w:sz w:val="20"/>
          <w:szCs w:val="20"/>
        </w:rPr>
        <w:t xml:space="preserve"> como el que se estableció en la presente Sentencia</w:t>
      </w:r>
      <w:r w:rsidRPr="000B76AB">
        <w:rPr>
          <w:rFonts w:ascii="Verdana" w:hAnsi="Verdana" w:cs="Arial"/>
          <w:sz w:val="20"/>
          <w:szCs w:val="20"/>
        </w:rPr>
        <w:t>, lo mínimo</w:t>
      </w:r>
      <w:r>
        <w:rPr>
          <w:rFonts w:ascii="Verdana" w:hAnsi="Verdana" w:cs="Arial"/>
          <w:sz w:val="20"/>
          <w:szCs w:val="20"/>
        </w:rPr>
        <w:t xml:space="preserve"> exigible</w:t>
      </w:r>
      <w:r w:rsidRPr="000B76AB">
        <w:rPr>
          <w:rFonts w:ascii="Verdana" w:hAnsi="Verdana" w:cs="Arial"/>
          <w:sz w:val="20"/>
          <w:szCs w:val="20"/>
        </w:rPr>
        <w:t xml:space="preserve"> es que use el mismo racero para sus decisiones, pues de lo contrario se corre el riesgo de afectar fuertemente la legitimidad de</w:t>
      </w:r>
      <w:r>
        <w:rPr>
          <w:rFonts w:ascii="Verdana" w:hAnsi="Verdana" w:cs="Arial"/>
          <w:sz w:val="20"/>
          <w:szCs w:val="20"/>
        </w:rPr>
        <w:t xml:space="preserve"> </w:t>
      </w:r>
      <w:r w:rsidRPr="000B76AB">
        <w:rPr>
          <w:rFonts w:ascii="Verdana" w:hAnsi="Verdana" w:cs="Arial"/>
          <w:sz w:val="20"/>
          <w:szCs w:val="20"/>
        </w:rPr>
        <w:t>l</w:t>
      </w:r>
      <w:r>
        <w:rPr>
          <w:rFonts w:ascii="Verdana" w:hAnsi="Verdana" w:cs="Arial"/>
          <w:sz w:val="20"/>
          <w:szCs w:val="20"/>
        </w:rPr>
        <w:t>a</w:t>
      </w:r>
      <w:r w:rsidRPr="000B76AB">
        <w:rPr>
          <w:rFonts w:ascii="Verdana" w:hAnsi="Verdana" w:cs="Arial"/>
          <w:sz w:val="20"/>
          <w:szCs w:val="20"/>
        </w:rPr>
        <w:t xml:space="preserve"> </w:t>
      </w:r>
      <w:r>
        <w:rPr>
          <w:rFonts w:ascii="Verdana" w:hAnsi="Verdana" w:cs="Arial"/>
          <w:sz w:val="20"/>
          <w:szCs w:val="20"/>
        </w:rPr>
        <w:t>Corte IDH</w:t>
      </w:r>
      <w:r w:rsidRPr="000B76AB">
        <w:rPr>
          <w:rFonts w:ascii="Verdana" w:hAnsi="Verdana" w:cs="Arial"/>
          <w:sz w:val="20"/>
          <w:szCs w:val="20"/>
        </w:rPr>
        <w:t xml:space="preserve"> frente a nuestros colegas de ejercicio jurisdiccional. </w:t>
      </w:r>
    </w:p>
    <w:p w14:paraId="6ACDF360" w14:textId="77777777" w:rsidR="00E70701" w:rsidRDefault="00E70701" w:rsidP="00C44F79">
      <w:pPr>
        <w:pStyle w:val="ListParagraph"/>
        <w:ind w:left="0"/>
        <w:jc w:val="both"/>
        <w:rPr>
          <w:rFonts w:ascii="Verdana" w:hAnsi="Verdana" w:cs="Arial"/>
          <w:sz w:val="20"/>
          <w:szCs w:val="20"/>
        </w:rPr>
      </w:pPr>
    </w:p>
    <w:p w14:paraId="79FE8F2D" w14:textId="77777777" w:rsidR="00E70701" w:rsidRDefault="00E70701" w:rsidP="00E70701">
      <w:pPr>
        <w:pStyle w:val="ListParagraph"/>
        <w:numPr>
          <w:ilvl w:val="0"/>
          <w:numId w:val="37"/>
        </w:numPr>
        <w:ind w:left="0" w:firstLine="0"/>
        <w:jc w:val="both"/>
        <w:rPr>
          <w:rFonts w:ascii="Verdana" w:hAnsi="Verdana" w:cs="Arial"/>
          <w:sz w:val="20"/>
          <w:szCs w:val="20"/>
        </w:rPr>
      </w:pPr>
      <w:r>
        <w:rPr>
          <w:rFonts w:ascii="Verdana" w:hAnsi="Verdana" w:cs="Arial"/>
          <w:sz w:val="20"/>
          <w:szCs w:val="20"/>
        </w:rPr>
        <w:t>Efectivamente, la legitimidad de la C</w:t>
      </w:r>
      <w:r w:rsidRPr="00365715">
        <w:rPr>
          <w:rFonts w:ascii="Verdana" w:hAnsi="Verdana" w:cs="Arial"/>
          <w:sz w:val="20"/>
          <w:szCs w:val="20"/>
        </w:rPr>
        <w:t xml:space="preserve">orte </w:t>
      </w:r>
      <w:r>
        <w:rPr>
          <w:rFonts w:ascii="Verdana" w:hAnsi="Verdana" w:cs="Arial"/>
          <w:sz w:val="20"/>
          <w:szCs w:val="20"/>
        </w:rPr>
        <w:t>Interamericana se deriva de la solidez de</w:t>
      </w:r>
      <w:r w:rsidRPr="00365715">
        <w:rPr>
          <w:rFonts w:ascii="Verdana" w:hAnsi="Verdana" w:cs="Arial"/>
          <w:sz w:val="20"/>
          <w:szCs w:val="20"/>
        </w:rPr>
        <w:t xml:space="preserve"> </w:t>
      </w:r>
      <w:r>
        <w:rPr>
          <w:rFonts w:ascii="Verdana" w:hAnsi="Verdana" w:cs="Arial"/>
          <w:sz w:val="20"/>
          <w:szCs w:val="20"/>
        </w:rPr>
        <w:t xml:space="preserve">sus argumentos y de sus construcciones jurídicas, así como </w:t>
      </w:r>
      <w:r w:rsidRPr="00365715">
        <w:rPr>
          <w:rFonts w:ascii="Verdana" w:hAnsi="Verdana" w:cs="Arial"/>
          <w:sz w:val="20"/>
          <w:szCs w:val="20"/>
        </w:rPr>
        <w:t>de la justicia</w:t>
      </w:r>
      <w:r>
        <w:rPr>
          <w:rFonts w:ascii="Verdana" w:hAnsi="Verdana" w:cs="Arial"/>
          <w:sz w:val="20"/>
          <w:szCs w:val="20"/>
        </w:rPr>
        <w:t xml:space="preserve"> que se alcance a través</w:t>
      </w:r>
      <w:r w:rsidRPr="00365715">
        <w:rPr>
          <w:rFonts w:ascii="Verdana" w:hAnsi="Verdana" w:cs="Arial"/>
          <w:sz w:val="20"/>
          <w:szCs w:val="20"/>
        </w:rPr>
        <w:t xml:space="preserve"> de su</w:t>
      </w:r>
      <w:r>
        <w:rPr>
          <w:rFonts w:ascii="Verdana" w:hAnsi="Verdana" w:cs="Arial"/>
          <w:sz w:val="20"/>
          <w:szCs w:val="20"/>
        </w:rPr>
        <w:t>s decisiones</w:t>
      </w:r>
      <w:r w:rsidRPr="00365715">
        <w:rPr>
          <w:rFonts w:ascii="Verdana" w:hAnsi="Verdana" w:cs="Arial"/>
          <w:sz w:val="20"/>
          <w:szCs w:val="20"/>
        </w:rPr>
        <w:t xml:space="preserve">. </w:t>
      </w:r>
      <w:r>
        <w:rPr>
          <w:rFonts w:ascii="Verdana" w:hAnsi="Verdana" w:cs="Arial"/>
          <w:sz w:val="20"/>
          <w:szCs w:val="20"/>
        </w:rPr>
        <w:t>Por ello, e</w:t>
      </w:r>
      <w:r w:rsidRPr="00365715">
        <w:rPr>
          <w:rFonts w:ascii="Verdana" w:hAnsi="Verdana" w:cs="Arial"/>
          <w:sz w:val="20"/>
          <w:szCs w:val="20"/>
        </w:rPr>
        <w:t xml:space="preserve">l propósito de </w:t>
      </w:r>
      <w:r>
        <w:rPr>
          <w:rFonts w:ascii="Verdana" w:hAnsi="Verdana" w:cs="Arial"/>
          <w:sz w:val="20"/>
          <w:szCs w:val="20"/>
        </w:rPr>
        <w:t xml:space="preserve">querer </w:t>
      </w:r>
      <w:r w:rsidRPr="00365715">
        <w:rPr>
          <w:rFonts w:ascii="Verdana" w:hAnsi="Verdana" w:cs="Arial"/>
          <w:sz w:val="20"/>
          <w:szCs w:val="20"/>
        </w:rPr>
        <w:t>acertar</w:t>
      </w:r>
      <w:r>
        <w:rPr>
          <w:rFonts w:ascii="Verdana" w:hAnsi="Verdana" w:cs="Arial"/>
          <w:sz w:val="20"/>
          <w:szCs w:val="20"/>
        </w:rPr>
        <w:t>,</w:t>
      </w:r>
      <w:r w:rsidRPr="00365715">
        <w:rPr>
          <w:rFonts w:ascii="Verdana" w:hAnsi="Verdana" w:cs="Arial"/>
          <w:sz w:val="20"/>
          <w:szCs w:val="20"/>
        </w:rPr>
        <w:t xml:space="preserve"> no basta, es insuficiente, </w:t>
      </w:r>
      <w:r>
        <w:rPr>
          <w:rFonts w:ascii="Verdana" w:hAnsi="Verdana" w:cs="Arial"/>
          <w:sz w:val="20"/>
          <w:szCs w:val="20"/>
        </w:rPr>
        <w:t xml:space="preserve">pues lo que </w:t>
      </w:r>
      <w:r w:rsidRPr="00365715">
        <w:rPr>
          <w:rFonts w:ascii="Verdana" w:hAnsi="Verdana" w:cs="Arial"/>
          <w:sz w:val="20"/>
          <w:szCs w:val="20"/>
        </w:rPr>
        <w:t xml:space="preserve">puede generar </w:t>
      </w:r>
      <w:r>
        <w:rPr>
          <w:rFonts w:ascii="Verdana" w:hAnsi="Verdana" w:cs="Arial"/>
          <w:sz w:val="20"/>
          <w:szCs w:val="20"/>
        </w:rPr>
        <w:t xml:space="preserve">es </w:t>
      </w:r>
      <w:r w:rsidRPr="00365715">
        <w:rPr>
          <w:rFonts w:ascii="Verdana" w:hAnsi="Verdana" w:cs="Arial"/>
          <w:sz w:val="20"/>
          <w:szCs w:val="20"/>
        </w:rPr>
        <w:t>un importante factor de deslegitimación</w:t>
      </w:r>
      <w:r>
        <w:rPr>
          <w:rFonts w:ascii="Verdana" w:hAnsi="Verdana" w:cs="Arial"/>
          <w:sz w:val="20"/>
          <w:szCs w:val="20"/>
        </w:rPr>
        <w:t xml:space="preserve"> del Tribunal</w:t>
      </w:r>
      <w:r w:rsidRPr="00365715">
        <w:rPr>
          <w:rFonts w:ascii="Verdana" w:hAnsi="Verdana" w:cs="Arial"/>
          <w:sz w:val="20"/>
          <w:szCs w:val="20"/>
        </w:rPr>
        <w:t xml:space="preserve">. De hecho, decisiones como esta, en ultimas plantean una visión, un proyecto de </w:t>
      </w:r>
      <w:r>
        <w:rPr>
          <w:rFonts w:ascii="Verdana" w:hAnsi="Verdana" w:cs="Arial"/>
          <w:sz w:val="20"/>
          <w:szCs w:val="20"/>
        </w:rPr>
        <w:t xml:space="preserve">integración y </w:t>
      </w:r>
      <w:r w:rsidRPr="00365715">
        <w:rPr>
          <w:rFonts w:ascii="Verdana" w:hAnsi="Verdana" w:cs="Arial"/>
          <w:sz w:val="20"/>
          <w:szCs w:val="20"/>
        </w:rPr>
        <w:t>transformaciones orientadas autónomamente desde los órganos del SIDH</w:t>
      </w:r>
      <w:r>
        <w:rPr>
          <w:rFonts w:ascii="Verdana" w:hAnsi="Verdana" w:cs="Arial"/>
          <w:sz w:val="20"/>
          <w:szCs w:val="20"/>
        </w:rPr>
        <w:t>, alejándose de la función principal de la C</w:t>
      </w:r>
      <w:r w:rsidRPr="00365715">
        <w:rPr>
          <w:rFonts w:ascii="Verdana" w:hAnsi="Verdana" w:cs="Arial"/>
          <w:sz w:val="20"/>
          <w:szCs w:val="20"/>
        </w:rPr>
        <w:t>orte</w:t>
      </w:r>
      <w:r>
        <w:rPr>
          <w:rFonts w:ascii="Verdana" w:hAnsi="Verdana" w:cs="Arial"/>
          <w:sz w:val="20"/>
          <w:szCs w:val="20"/>
        </w:rPr>
        <w:t xml:space="preserve"> IDH, la cual es la de administrar justicia, garantizando la protección de los derechos humanos bajo la estricta observancia de su competencia</w:t>
      </w:r>
      <w:r w:rsidRPr="00365715">
        <w:rPr>
          <w:rFonts w:ascii="Verdana" w:hAnsi="Verdana" w:cs="Arial"/>
          <w:sz w:val="20"/>
          <w:szCs w:val="20"/>
        </w:rPr>
        <w:t xml:space="preserve">. </w:t>
      </w:r>
      <w:r>
        <w:rPr>
          <w:rFonts w:ascii="Verdana" w:hAnsi="Verdana" w:cs="Arial"/>
          <w:sz w:val="20"/>
          <w:szCs w:val="20"/>
        </w:rPr>
        <w:t>De hecho, n</w:t>
      </w:r>
      <w:r w:rsidRPr="00365715">
        <w:rPr>
          <w:rFonts w:ascii="Verdana" w:hAnsi="Verdana" w:cs="Arial"/>
          <w:sz w:val="20"/>
          <w:szCs w:val="20"/>
        </w:rPr>
        <w:t xml:space="preserve">o puede hacerse derecho transformador </w:t>
      </w:r>
      <w:r>
        <w:rPr>
          <w:rFonts w:ascii="Verdana" w:hAnsi="Verdana" w:cs="Arial"/>
          <w:sz w:val="20"/>
          <w:szCs w:val="20"/>
        </w:rPr>
        <w:t xml:space="preserve">en </w:t>
      </w:r>
      <w:r w:rsidRPr="00365715">
        <w:rPr>
          <w:rFonts w:ascii="Verdana" w:hAnsi="Verdana" w:cs="Arial"/>
          <w:sz w:val="20"/>
          <w:szCs w:val="20"/>
        </w:rPr>
        <w:t>contra</w:t>
      </w:r>
      <w:r>
        <w:rPr>
          <w:rFonts w:ascii="Verdana" w:hAnsi="Verdana" w:cs="Arial"/>
          <w:sz w:val="20"/>
          <w:szCs w:val="20"/>
        </w:rPr>
        <w:t xml:space="preserve"> vía</w:t>
      </w:r>
      <w:r w:rsidRPr="00365715">
        <w:rPr>
          <w:rFonts w:ascii="Verdana" w:hAnsi="Verdana" w:cs="Arial"/>
          <w:sz w:val="20"/>
          <w:szCs w:val="20"/>
        </w:rPr>
        <w:t xml:space="preserve"> </w:t>
      </w:r>
      <w:r>
        <w:rPr>
          <w:rFonts w:ascii="Verdana" w:hAnsi="Verdana" w:cs="Arial"/>
          <w:sz w:val="20"/>
          <w:szCs w:val="20"/>
        </w:rPr>
        <w:t>d</w:t>
      </w:r>
      <w:r w:rsidRPr="00365715">
        <w:rPr>
          <w:rFonts w:ascii="Verdana" w:hAnsi="Verdana" w:cs="Arial"/>
          <w:sz w:val="20"/>
          <w:szCs w:val="20"/>
        </w:rPr>
        <w:t>el derecho vigente.</w:t>
      </w:r>
    </w:p>
    <w:p w14:paraId="35C7A15E" w14:textId="77777777" w:rsidR="00E70701" w:rsidRPr="006C00B3" w:rsidRDefault="00E70701" w:rsidP="00C44F79">
      <w:pPr>
        <w:jc w:val="both"/>
        <w:rPr>
          <w:rFonts w:ascii="Verdana" w:hAnsi="Verdana" w:cs="Arial"/>
          <w:sz w:val="20"/>
          <w:szCs w:val="20"/>
        </w:rPr>
      </w:pPr>
    </w:p>
    <w:p w14:paraId="46865BE7" w14:textId="77777777" w:rsidR="00E70701" w:rsidRDefault="00E70701" w:rsidP="00E70701">
      <w:pPr>
        <w:pStyle w:val="ListParagraph"/>
        <w:numPr>
          <w:ilvl w:val="0"/>
          <w:numId w:val="37"/>
        </w:numPr>
        <w:ind w:left="0" w:firstLine="0"/>
        <w:jc w:val="both"/>
        <w:rPr>
          <w:rFonts w:ascii="Verdana" w:hAnsi="Verdana" w:cs="Arial"/>
          <w:sz w:val="20"/>
          <w:szCs w:val="20"/>
        </w:rPr>
      </w:pPr>
      <w:r>
        <w:rPr>
          <w:rFonts w:ascii="Verdana" w:hAnsi="Verdana" w:cs="Arial"/>
          <w:sz w:val="20"/>
          <w:szCs w:val="20"/>
        </w:rPr>
        <w:t xml:space="preserve">Finalmente, espero que el presente Voto contribuya como reflexión para entender la </w:t>
      </w:r>
      <w:r w:rsidRPr="005A7D73">
        <w:rPr>
          <w:rFonts w:ascii="Verdana" w:hAnsi="Verdana" w:cs="Arial"/>
          <w:sz w:val="20"/>
          <w:szCs w:val="20"/>
        </w:rPr>
        <w:t>dimensión de la decisión que la mayoría de la Corte IDH adoptó en este caso,</w:t>
      </w:r>
      <w:r>
        <w:rPr>
          <w:rFonts w:ascii="Verdana" w:hAnsi="Verdana" w:cs="Arial"/>
          <w:sz w:val="20"/>
          <w:szCs w:val="20"/>
        </w:rPr>
        <w:t xml:space="preserve"> y</w:t>
      </w:r>
      <w:r w:rsidRPr="005A7D73">
        <w:rPr>
          <w:rFonts w:ascii="Verdana" w:hAnsi="Verdana" w:cs="Arial"/>
          <w:sz w:val="20"/>
          <w:szCs w:val="20"/>
        </w:rPr>
        <w:t xml:space="preserve"> se visibilicen las principales problemáticas que se generan a partir de la misma</w:t>
      </w:r>
      <w:r>
        <w:rPr>
          <w:rFonts w:ascii="Verdana" w:hAnsi="Verdana" w:cs="Arial"/>
          <w:sz w:val="20"/>
          <w:szCs w:val="20"/>
        </w:rPr>
        <w:t>.</w:t>
      </w:r>
      <w:r w:rsidRPr="005A7D73">
        <w:rPr>
          <w:rFonts w:ascii="Verdana" w:hAnsi="Verdana" w:cs="Arial"/>
          <w:sz w:val="20"/>
          <w:szCs w:val="20"/>
        </w:rPr>
        <w:t xml:space="preserve"> </w:t>
      </w:r>
      <w:r>
        <w:rPr>
          <w:rFonts w:ascii="Verdana" w:hAnsi="Verdana" w:cs="Arial"/>
          <w:sz w:val="20"/>
          <w:szCs w:val="20"/>
        </w:rPr>
        <w:t xml:space="preserve">Solo la crítica sincera </w:t>
      </w:r>
      <w:r w:rsidRPr="005A7D73">
        <w:rPr>
          <w:rFonts w:ascii="Verdana" w:hAnsi="Verdana" w:cs="Arial"/>
          <w:sz w:val="20"/>
          <w:szCs w:val="20"/>
        </w:rPr>
        <w:t xml:space="preserve">y el debate abierto y público </w:t>
      </w:r>
      <w:r>
        <w:rPr>
          <w:rFonts w:ascii="Verdana" w:hAnsi="Verdana" w:cs="Arial"/>
          <w:sz w:val="20"/>
          <w:szCs w:val="20"/>
        </w:rPr>
        <w:t>puede</w:t>
      </w:r>
      <w:r w:rsidRPr="005A7D73">
        <w:rPr>
          <w:rFonts w:ascii="Verdana" w:hAnsi="Verdana" w:cs="Arial"/>
          <w:sz w:val="20"/>
          <w:szCs w:val="20"/>
        </w:rPr>
        <w:t xml:space="preserve"> ayud</w:t>
      </w:r>
      <w:r>
        <w:rPr>
          <w:rFonts w:ascii="Verdana" w:hAnsi="Verdana" w:cs="Arial"/>
          <w:sz w:val="20"/>
          <w:szCs w:val="20"/>
        </w:rPr>
        <w:t>ar</w:t>
      </w:r>
      <w:r w:rsidRPr="005A7D73">
        <w:rPr>
          <w:rFonts w:ascii="Verdana" w:hAnsi="Verdana" w:cs="Arial"/>
          <w:sz w:val="20"/>
          <w:szCs w:val="20"/>
        </w:rPr>
        <w:t xml:space="preserve"> a mitigar,</w:t>
      </w:r>
      <w:r>
        <w:rPr>
          <w:rFonts w:ascii="Verdana" w:hAnsi="Verdana" w:cs="Arial"/>
          <w:sz w:val="20"/>
          <w:szCs w:val="20"/>
        </w:rPr>
        <w:t xml:space="preserve"> </w:t>
      </w:r>
      <w:r w:rsidRPr="005A7D73">
        <w:rPr>
          <w:rFonts w:ascii="Verdana" w:hAnsi="Verdana" w:cs="Arial"/>
          <w:sz w:val="20"/>
          <w:szCs w:val="20"/>
        </w:rPr>
        <w:t>hasta cierto punto, los rie</w:t>
      </w:r>
      <w:r>
        <w:rPr>
          <w:rFonts w:ascii="Verdana" w:hAnsi="Verdana" w:cs="Arial"/>
          <w:sz w:val="20"/>
          <w:szCs w:val="20"/>
        </w:rPr>
        <w:t>sgos de legitimidad y d</w:t>
      </w:r>
      <w:r w:rsidRPr="005A7D73">
        <w:rPr>
          <w:rFonts w:ascii="Verdana" w:hAnsi="Verdana" w:cs="Arial"/>
          <w:sz w:val="20"/>
          <w:szCs w:val="20"/>
        </w:rPr>
        <w:t>e inseguridad jurídica que se puedan desprender de esta Sentencia.</w:t>
      </w:r>
    </w:p>
    <w:p w14:paraId="2B809512" w14:textId="77777777" w:rsidR="00E70701" w:rsidRPr="005A7D73" w:rsidRDefault="00E70701" w:rsidP="00C44F79">
      <w:pPr>
        <w:pStyle w:val="NormalWeb"/>
        <w:spacing w:before="0" w:beforeAutospacing="0" w:after="0" w:afterAutospacing="0"/>
        <w:ind w:left="3600" w:right="96" w:firstLine="720"/>
        <w:jc w:val="center"/>
        <w:rPr>
          <w:rFonts w:ascii="Verdana" w:eastAsia="Calibri" w:hAnsi="Verdana"/>
          <w:sz w:val="20"/>
          <w:szCs w:val="20"/>
          <w:lang w:eastAsia="en-US"/>
        </w:rPr>
      </w:pPr>
    </w:p>
    <w:p w14:paraId="7EE39972" w14:textId="77777777" w:rsidR="00E70701" w:rsidRDefault="00E70701" w:rsidP="00C44F79">
      <w:pPr>
        <w:pStyle w:val="NormalWeb"/>
        <w:spacing w:before="0" w:beforeAutospacing="0" w:after="0" w:afterAutospacing="0"/>
        <w:ind w:left="3600" w:right="96" w:firstLine="720"/>
        <w:jc w:val="center"/>
        <w:rPr>
          <w:rFonts w:ascii="Verdana" w:eastAsia="Calibri" w:hAnsi="Verdana"/>
          <w:sz w:val="20"/>
          <w:szCs w:val="20"/>
          <w:lang w:eastAsia="en-US"/>
        </w:rPr>
      </w:pPr>
    </w:p>
    <w:p w14:paraId="7C82964F" w14:textId="77777777" w:rsidR="00E70701" w:rsidRPr="005A7D73" w:rsidRDefault="00E70701" w:rsidP="00C44F79">
      <w:pPr>
        <w:pStyle w:val="NormalWeb"/>
        <w:spacing w:before="0" w:beforeAutospacing="0" w:after="0" w:afterAutospacing="0"/>
        <w:ind w:left="3600" w:right="96" w:firstLine="720"/>
        <w:jc w:val="center"/>
        <w:rPr>
          <w:rFonts w:ascii="Verdana" w:eastAsia="Calibri" w:hAnsi="Verdana"/>
          <w:sz w:val="20"/>
          <w:szCs w:val="20"/>
          <w:lang w:eastAsia="en-US"/>
        </w:rPr>
      </w:pPr>
    </w:p>
    <w:p w14:paraId="38CD441E" w14:textId="77777777" w:rsidR="00E70701" w:rsidRPr="005A7D73" w:rsidRDefault="00E70701" w:rsidP="00C44F79">
      <w:pPr>
        <w:pStyle w:val="NormalWeb"/>
        <w:spacing w:before="0" w:beforeAutospacing="0" w:after="0" w:afterAutospacing="0"/>
        <w:ind w:left="3600" w:right="96" w:firstLine="720"/>
        <w:rPr>
          <w:rFonts w:ascii="Verdana" w:eastAsia="Calibri" w:hAnsi="Verdana"/>
          <w:sz w:val="20"/>
          <w:szCs w:val="20"/>
          <w:lang w:eastAsia="en-US"/>
        </w:rPr>
      </w:pPr>
    </w:p>
    <w:p w14:paraId="35BB10A2" w14:textId="77777777" w:rsidR="00E70701" w:rsidRPr="005A7D73" w:rsidRDefault="00E70701" w:rsidP="00C44F79">
      <w:pPr>
        <w:pStyle w:val="NormalWeb"/>
        <w:spacing w:before="0" w:beforeAutospacing="0" w:after="0" w:afterAutospacing="0"/>
        <w:ind w:left="2124" w:right="96" w:firstLine="708"/>
        <w:jc w:val="right"/>
        <w:rPr>
          <w:rFonts w:ascii="Verdana" w:eastAsia="Calibri" w:hAnsi="Verdana"/>
          <w:sz w:val="20"/>
          <w:szCs w:val="20"/>
          <w:lang w:eastAsia="en-US"/>
        </w:rPr>
      </w:pPr>
      <w:r>
        <w:rPr>
          <w:rFonts w:ascii="Verdana" w:eastAsia="Calibri" w:hAnsi="Verdana"/>
          <w:sz w:val="20"/>
          <w:szCs w:val="20"/>
          <w:lang w:eastAsia="en-US"/>
        </w:rPr>
        <w:t>Humberto A.</w:t>
      </w:r>
      <w:r w:rsidRPr="005A7D73">
        <w:rPr>
          <w:rFonts w:ascii="Verdana" w:eastAsia="Calibri" w:hAnsi="Verdana"/>
          <w:sz w:val="20"/>
          <w:szCs w:val="20"/>
          <w:lang w:eastAsia="en-US"/>
        </w:rPr>
        <w:t xml:space="preserve"> Sierra Porto</w:t>
      </w:r>
    </w:p>
    <w:p w14:paraId="6479F99B" w14:textId="77777777" w:rsidR="00E70701" w:rsidRPr="00DA4C3C" w:rsidRDefault="00E70701" w:rsidP="00C44F79">
      <w:pPr>
        <w:pStyle w:val="NormalWeb"/>
        <w:spacing w:before="0" w:beforeAutospacing="0" w:after="0" w:afterAutospacing="0"/>
        <w:ind w:left="3540" w:right="1548" w:firstLine="708"/>
        <w:jc w:val="right"/>
        <w:rPr>
          <w:rFonts w:ascii="Verdana" w:eastAsia="Calibri" w:hAnsi="Verdana"/>
          <w:sz w:val="20"/>
          <w:szCs w:val="20"/>
          <w:lang w:eastAsia="en-US"/>
        </w:rPr>
      </w:pPr>
      <w:r w:rsidRPr="005A7D73">
        <w:rPr>
          <w:rFonts w:ascii="Verdana" w:eastAsia="Calibri" w:hAnsi="Verdana"/>
          <w:sz w:val="20"/>
          <w:szCs w:val="20"/>
          <w:lang w:eastAsia="en-US"/>
        </w:rPr>
        <w:t>Juez</w:t>
      </w:r>
    </w:p>
    <w:p w14:paraId="36699895" w14:textId="77777777" w:rsidR="00E70701" w:rsidRDefault="00E70701" w:rsidP="00C44F79">
      <w:pPr>
        <w:rPr>
          <w:rFonts w:ascii="Verdana" w:hAnsi="Verdana"/>
          <w:sz w:val="20"/>
          <w:szCs w:val="20"/>
          <w:lang w:val="es-CR"/>
        </w:rPr>
      </w:pPr>
    </w:p>
    <w:p w14:paraId="0C0F6DD7" w14:textId="77777777" w:rsidR="00E70701" w:rsidRDefault="00E70701" w:rsidP="00C44F79">
      <w:pPr>
        <w:rPr>
          <w:rFonts w:ascii="Verdana" w:hAnsi="Verdana"/>
          <w:sz w:val="20"/>
          <w:szCs w:val="20"/>
          <w:lang w:val="es-CR"/>
        </w:rPr>
      </w:pPr>
    </w:p>
    <w:p w14:paraId="46F57F30" w14:textId="77777777" w:rsidR="00E70701" w:rsidRPr="005A7D73" w:rsidRDefault="00E70701" w:rsidP="00C44F79">
      <w:pPr>
        <w:rPr>
          <w:rFonts w:ascii="Verdana" w:hAnsi="Verdana"/>
          <w:sz w:val="20"/>
          <w:szCs w:val="20"/>
          <w:lang w:val="es-CR"/>
        </w:rPr>
      </w:pPr>
      <w:r w:rsidRPr="005A7D73">
        <w:rPr>
          <w:rFonts w:ascii="Verdana" w:hAnsi="Verdana"/>
          <w:sz w:val="20"/>
          <w:szCs w:val="20"/>
          <w:lang w:val="es-CR"/>
        </w:rPr>
        <w:t>Pablo Saavedra Alessandri</w:t>
      </w:r>
    </w:p>
    <w:p w14:paraId="0D6D0524" w14:textId="1A5CCF66" w:rsidR="00324758" w:rsidRPr="00324758" w:rsidRDefault="00E70701" w:rsidP="00705592">
      <w:pPr>
        <w:rPr>
          <w:rFonts w:ascii="Verdana" w:hAnsi="Verdana"/>
          <w:sz w:val="20"/>
          <w:szCs w:val="20"/>
          <w:lang w:val="es-MX"/>
        </w:rPr>
      </w:pPr>
      <w:r>
        <w:rPr>
          <w:rFonts w:ascii="Verdana" w:hAnsi="Verdana"/>
          <w:sz w:val="20"/>
          <w:szCs w:val="20"/>
          <w:lang w:val="es-CR"/>
        </w:rPr>
        <w:tab/>
        <w:t xml:space="preserve">  </w:t>
      </w:r>
      <w:r w:rsidRPr="005A7D73">
        <w:rPr>
          <w:rFonts w:ascii="Verdana" w:hAnsi="Verdana"/>
          <w:sz w:val="20"/>
          <w:szCs w:val="20"/>
          <w:lang w:val="es-CR"/>
        </w:rPr>
        <w:t>Secretario</w:t>
      </w:r>
    </w:p>
    <w:sectPr w:rsidR="00324758" w:rsidRPr="00324758" w:rsidSect="00C44F79">
      <w:footerReference w:type="even" r:id="rId13"/>
      <w:footerReference w:type="default" r:id="rId14"/>
      <w:footerReference w:type="first" r:id="rId15"/>
      <w:footnotePr>
        <w:numRestart w:val="eachSect"/>
      </w:footnotePr>
      <w:pgSz w:w="12240" w:h="15840" w:code="1"/>
      <w:pgMar w:top="1247" w:right="1247" w:bottom="1247" w:left="1247"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846EDF" w14:textId="77777777" w:rsidR="00D86616" w:rsidRDefault="00D86616" w:rsidP="009E58AE">
      <w:r>
        <w:separator/>
      </w:r>
    </w:p>
  </w:endnote>
  <w:endnote w:type="continuationSeparator" w:id="0">
    <w:p w14:paraId="0F730F55" w14:textId="77777777" w:rsidR="00D86616" w:rsidRDefault="00D86616" w:rsidP="009E58AE">
      <w:r>
        <w:continuationSeparator/>
      </w:r>
    </w:p>
  </w:endnote>
  <w:endnote w:type="continuationNotice" w:id="1">
    <w:p w14:paraId="7E1A0EF6" w14:textId="77777777" w:rsidR="00D86616" w:rsidRDefault="00D866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Palatino-Italic">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MS Gothic">
    <w:altName w:val="ＭＳ ゴシック"/>
    <w:panose1 w:val="020B06090702050802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TimesNewRoman">
    <w:altName w:val="MS Mincho"/>
    <w:panose1 w:val="00000000000000000000"/>
    <w:charset w:val="00"/>
    <w:family w:val="roman"/>
    <w:notTrueType/>
    <w:pitch w:val="default"/>
    <w:sig w:usb0="00000003" w:usb1="00000000" w:usb2="00000000" w:usb3="00000000" w:csb0="00000001" w:csb1="00000000"/>
  </w:font>
  <w:font w:name="StempelSchneidler-Light">
    <w:panose1 w:val="00000000000000000000"/>
    <w:charset w:val="00"/>
    <w:family w:val="auto"/>
    <w:notTrueType/>
    <w:pitch w:val="default"/>
    <w:sig w:usb0="00000003" w:usb1="00000000" w:usb2="00000000" w:usb3="00000000" w:csb0="00000001" w:csb1="00000000"/>
  </w:font>
  <w:font w:name="HiddenHorzOCR">
    <w:altName w:val="MS Mincho"/>
    <w:panose1 w:val="00000000000000000000"/>
    <w:charset w:val="80"/>
    <w:family w:val="auto"/>
    <w:notTrueType/>
    <w:pitch w:val="default"/>
    <w:sig w:usb0="00000001" w:usb1="08070000" w:usb2="00000010" w:usb3="00000000" w:csb0="00020000" w:csb1="00000000"/>
  </w:font>
  <w:font w:name="TimesNewRomanPSMT">
    <w:altName w:val="Times New Roman"/>
    <w:charset w:val="00"/>
    <w:family w:val="auto"/>
    <w:pitch w:val="variable"/>
    <w:sig w:usb0="00000000" w:usb1="C0007841" w:usb2="00000009" w:usb3="00000000" w:csb0="000001FF" w:csb1="00000000"/>
  </w:font>
  <w:font w:name="System Font Regular">
    <w:charset w:val="00"/>
    <w:family w:val="auto"/>
    <w:pitch w:val="variable"/>
    <w:sig w:usb0="2000028F"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eda">
    <w:altName w:val="Times New Roman"/>
    <w:panose1 w:val="00000000000000000000"/>
    <w:charset w:val="00"/>
    <w:family w:val="roman"/>
    <w:notTrueType/>
    <w:pitch w:val="default"/>
  </w:font>
  <w:font w:name="Verdana Bold">
    <w:altName w:val="Times New Roman"/>
    <w:panose1 w:val="020B0804030504040204"/>
    <w:charset w:val="00"/>
    <w:family w:val="auto"/>
    <w:pitch w:val="variable"/>
    <w:sig w:usb0="00000001" w:usb1="4000205B" w:usb2="00000010" w:usb3="00000000" w:csb0="0000019F" w:csb1="00000000"/>
  </w:font>
  <w:font w:name="MinionPro-Semibold">
    <w:panose1 w:val="00000000000000000000"/>
    <w:charset w:val="00"/>
    <w:family w:val="auto"/>
    <w:notTrueType/>
    <w:pitch w:val="default"/>
    <w:sig w:usb0="00000003" w:usb1="00000000" w:usb2="00000000" w:usb3="00000000" w:csb0="00000001" w:csb1="00000000"/>
  </w:font>
  <w:font w:name="MinionPro-Regular">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9BBE2A" w14:textId="77777777" w:rsidR="00D86616" w:rsidRDefault="00D86616" w:rsidP="00C44F79">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5DB3E93" w14:textId="77777777" w:rsidR="00D86616" w:rsidRDefault="00D86616" w:rsidP="00C44F7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E56413" w14:textId="28506253" w:rsidR="00D86616" w:rsidRPr="00404559" w:rsidRDefault="00D86616">
    <w:pPr>
      <w:pStyle w:val="Footer"/>
      <w:jc w:val="center"/>
      <w:rPr>
        <w:rFonts w:ascii="Verdana" w:hAnsi="Verdana"/>
        <w:sz w:val="20"/>
        <w:szCs w:val="20"/>
      </w:rPr>
    </w:pPr>
  </w:p>
  <w:p w14:paraId="683D0FE1" w14:textId="77777777" w:rsidR="00D86616" w:rsidRDefault="00D86616" w:rsidP="00C44F79">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0994B8" w14:textId="77777777" w:rsidR="00D86616" w:rsidRDefault="00D86616" w:rsidP="00C44F79">
    <w:pPr>
      <w:pStyle w:val="Footer"/>
    </w:pPr>
  </w:p>
  <w:p w14:paraId="159B060D" w14:textId="77777777" w:rsidR="00D86616" w:rsidRDefault="00D866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1CDCF3" w14:textId="77777777" w:rsidR="00D86616" w:rsidRDefault="00D86616" w:rsidP="009E58AE">
      <w:r>
        <w:separator/>
      </w:r>
    </w:p>
  </w:footnote>
  <w:footnote w:type="continuationSeparator" w:id="0">
    <w:p w14:paraId="157AB85F" w14:textId="77777777" w:rsidR="00D86616" w:rsidRDefault="00D86616" w:rsidP="009E58AE">
      <w:r>
        <w:continuationSeparator/>
      </w:r>
    </w:p>
  </w:footnote>
  <w:footnote w:type="continuationNotice" w:id="1">
    <w:p w14:paraId="3309D930" w14:textId="77777777" w:rsidR="00D86616" w:rsidRDefault="00D86616"/>
  </w:footnote>
  <w:footnote w:id="2">
    <w:p w14:paraId="70AC371A" w14:textId="59E88A2B" w:rsidR="00D86616" w:rsidRPr="009E6ED2" w:rsidRDefault="00D86616" w:rsidP="00334B6C">
      <w:pPr>
        <w:pStyle w:val="FootnoteText"/>
        <w:rPr>
          <w:i/>
          <w:lang w:val="es-MX"/>
        </w:rPr>
      </w:pPr>
      <w:r w:rsidRPr="00F23D52">
        <w:rPr>
          <w:rStyle w:val="FootnoteReference"/>
          <w:sz w:val="16"/>
        </w:rPr>
        <w:footnoteRef/>
      </w:r>
      <w:r w:rsidRPr="009E6ED2">
        <w:rPr>
          <w:lang w:val="es-MX"/>
        </w:rPr>
        <w:t xml:space="preserve"> </w:t>
      </w:r>
      <w:r w:rsidRPr="009E6ED2">
        <w:rPr>
          <w:lang w:val="es-MX"/>
        </w:rPr>
        <w:tab/>
        <w:t xml:space="preserve">La Comisión designó al Comisionado James </w:t>
      </w:r>
      <w:proofErr w:type="spellStart"/>
      <w:r w:rsidRPr="009E6ED2">
        <w:rPr>
          <w:lang w:val="es-MX"/>
        </w:rPr>
        <w:t>Cavallaro</w:t>
      </w:r>
      <w:proofErr w:type="spellEnd"/>
      <w:r w:rsidRPr="009E6ED2">
        <w:rPr>
          <w:lang w:val="es-MX"/>
        </w:rPr>
        <w:t xml:space="preserve">, al Relator Especial para la Libertad de Expresión Edison Lanza, y al Secretario Ejecutivo Emilio Álvarez Icaza L. como sus delegados. Asimismo, Elizabeth </w:t>
      </w:r>
      <w:proofErr w:type="spellStart"/>
      <w:r w:rsidRPr="009E6ED2">
        <w:rPr>
          <w:lang w:val="es-MX"/>
        </w:rPr>
        <w:t>Abi-Mershed</w:t>
      </w:r>
      <w:proofErr w:type="spellEnd"/>
      <w:r w:rsidRPr="009E6ED2">
        <w:rPr>
          <w:lang w:val="es-MX"/>
        </w:rPr>
        <w:t xml:space="preserve">, Secretaria Ejecutiva Adjunta y </w:t>
      </w:r>
      <w:proofErr w:type="spellStart"/>
      <w:r w:rsidRPr="009E6ED2">
        <w:rPr>
          <w:lang w:val="es-MX"/>
        </w:rPr>
        <w:t>Ona</w:t>
      </w:r>
      <w:proofErr w:type="spellEnd"/>
      <w:r w:rsidRPr="009E6ED2">
        <w:rPr>
          <w:lang w:val="es-MX"/>
        </w:rPr>
        <w:t xml:space="preserve"> Flores y Silvia Serrano Guzmán, abogados de la Secretaría Ejecutiva de la Comisión, actuarán como asesoras legales. </w:t>
      </w:r>
    </w:p>
  </w:footnote>
  <w:footnote w:id="3">
    <w:p w14:paraId="19CADBC8" w14:textId="19B1EDA5" w:rsidR="00D86616" w:rsidRPr="009E6ED2" w:rsidRDefault="00D86616" w:rsidP="00334B6C">
      <w:pPr>
        <w:pStyle w:val="FootnoteText"/>
        <w:rPr>
          <w:i/>
          <w:lang w:val="es-MX"/>
        </w:rPr>
      </w:pPr>
      <w:r w:rsidRPr="004C3F47">
        <w:rPr>
          <w:rStyle w:val="FootnoteReference"/>
          <w:sz w:val="16"/>
        </w:rPr>
        <w:footnoteRef/>
      </w:r>
      <w:r w:rsidRPr="009E6ED2">
        <w:rPr>
          <w:lang w:val="es-MX"/>
        </w:rPr>
        <w:t xml:space="preserve"> </w:t>
      </w:r>
      <w:r w:rsidRPr="009E6ED2">
        <w:rPr>
          <w:lang w:val="es-MX"/>
        </w:rPr>
        <w:tab/>
        <w:t xml:space="preserve">Mediante comunicación de 11 de marzo de 2016 el Estado informó la designación del señor Luis Alberto Huerta Guerrero como agente del Estado ante la Corte y como agentes alternos al Procurador Público Adjunto Supranacional, Iván Arturo Bazán Chacón, y a Sofía </w:t>
      </w:r>
      <w:proofErr w:type="spellStart"/>
      <w:r w:rsidRPr="009E6ED2">
        <w:rPr>
          <w:lang w:val="es-MX"/>
        </w:rPr>
        <w:t>Janett</w:t>
      </w:r>
      <w:proofErr w:type="spellEnd"/>
      <w:r w:rsidRPr="009E6ED2">
        <w:rPr>
          <w:lang w:val="es-MX"/>
        </w:rPr>
        <w:t xml:space="preserve"> Donaires Vega y Silvana Lucia Gómez Salazar (expediente de fondo, f. 97).</w:t>
      </w:r>
      <w:r w:rsidRPr="009E6ED2" w:rsidDel="00960A82">
        <w:rPr>
          <w:lang w:val="es-MX"/>
        </w:rPr>
        <w:t xml:space="preserve"> </w:t>
      </w:r>
    </w:p>
  </w:footnote>
  <w:footnote w:id="4">
    <w:p w14:paraId="0621CD2E" w14:textId="2CD9BA42" w:rsidR="00D86616" w:rsidRPr="00517952" w:rsidRDefault="00D86616" w:rsidP="00334B6C">
      <w:pPr>
        <w:pStyle w:val="FootnoteText"/>
        <w:rPr>
          <w:i/>
          <w:lang w:val="es-MX"/>
        </w:rPr>
      </w:pPr>
      <w:r w:rsidRPr="00517952">
        <w:rPr>
          <w:rStyle w:val="FootnoteReference"/>
          <w:sz w:val="16"/>
        </w:rPr>
        <w:footnoteRef/>
      </w:r>
      <w:r w:rsidRPr="00517952">
        <w:rPr>
          <w:lang w:val="es-MX"/>
        </w:rPr>
        <w:t xml:space="preserve"> </w:t>
      </w:r>
      <w:r w:rsidRPr="00517952">
        <w:rPr>
          <w:lang w:val="es-MX"/>
        </w:rPr>
        <w:tab/>
      </w:r>
      <w:r w:rsidRPr="00517952">
        <w:rPr>
          <w:i/>
          <w:lang w:val="es-MX"/>
        </w:rPr>
        <w:t>Caso Lagos del Campo Vs. Perú</w:t>
      </w:r>
      <w:r w:rsidRPr="00517952">
        <w:rPr>
          <w:lang w:val="es-MX"/>
        </w:rPr>
        <w:t xml:space="preserve">. Resolución del Presidente de la Corte de 14 de julio de 2016. Disponible en: </w:t>
      </w:r>
      <w:hyperlink r:id="rId1" w:history="1">
        <w:r w:rsidRPr="00517952">
          <w:rPr>
            <w:rStyle w:val="Hyperlink"/>
            <w:lang w:val="es-CR"/>
          </w:rPr>
          <w:t>http://www.corteidh.or.cr/docs/asuntos/lagos_fv_16.pdf</w:t>
        </w:r>
      </w:hyperlink>
      <w:r w:rsidRPr="00517952">
        <w:rPr>
          <w:lang w:val="es-MX"/>
        </w:rPr>
        <w:t xml:space="preserve">. </w:t>
      </w:r>
    </w:p>
  </w:footnote>
  <w:footnote w:id="5">
    <w:p w14:paraId="165E3A63" w14:textId="59AE20C8" w:rsidR="00D86616" w:rsidRPr="009E6ED2" w:rsidRDefault="00D86616" w:rsidP="00334B6C">
      <w:pPr>
        <w:pStyle w:val="FootnoteText"/>
        <w:rPr>
          <w:lang w:val="es-MX"/>
        </w:rPr>
      </w:pPr>
      <w:r w:rsidRPr="00517952">
        <w:rPr>
          <w:rStyle w:val="FootnoteReference"/>
          <w:sz w:val="16"/>
        </w:rPr>
        <w:footnoteRef/>
      </w:r>
      <w:r w:rsidRPr="00517952">
        <w:rPr>
          <w:lang w:val="es-MX"/>
        </w:rPr>
        <w:t xml:space="preserve"> </w:t>
      </w:r>
      <w:r w:rsidRPr="00517952">
        <w:rPr>
          <w:lang w:val="es-MX"/>
        </w:rPr>
        <w:tab/>
      </w:r>
      <w:r w:rsidRPr="009E6ED2">
        <w:rPr>
          <w:i/>
          <w:lang w:val="es-MX"/>
        </w:rPr>
        <w:t>Caso Lagos del Campo Vs. Perú.</w:t>
      </w:r>
      <w:r w:rsidRPr="009E6ED2">
        <w:rPr>
          <w:lang w:val="es-MX"/>
        </w:rPr>
        <w:t xml:space="preserve"> Convocatoria de audiencia. Resolución del Presidente de la Corte Interamericana de Derechos</w:t>
      </w:r>
      <w:r>
        <w:rPr>
          <w:lang w:val="es-MX"/>
        </w:rPr>
        <w:t xml:space="preserve"> </w:t>
      </w:r>
      <w:r w:rsidRPr="009E6ED2">
        <w:rPr>
          <w:lang w:val="es-MX"/>
        </w:rPr>
        <w:t xml:space="preserve">Humanos de 21 de noviembre de 2016. </w:t>
      </w:r>
      <w:r>
        <w:rPr>
          <w:lang w:val="es-ES"/>
        </w:rPr>
        <w:t xml:space="preserve">(JCG) </w:t>
      </w:r>
      <w:r w:rsidRPr="009E6ED2">
        <w:rPr>
          <w:lang w:val="es-MX"/>
        </w:rPr>
        <w:t>Disponible en:</w:t>
      </w:r>
      <w:r w:rsidRPr="004C3F47">
        <w:rPr>
          <w:rStyle w:val="Strong"/>
          <w:color w:val="000000"/>
          <w:shd w:val="clear" w:color="auto" w:fill="FFFFFF"/>
          <w:lang w:val="es-CR"/>
        </w:rPr>
        <w:t xml:space="preserve"> </w:t>
      </w:r>
      <w:hyperlink r:id="rId2" w:history="1">
        <w:r w:rsidRPr="004C3F47">
          <w:rPr>
            <w:rStyle w:val="Hyperlink"/>
            <w:lang w:val="es-CR"/>
          </w:rPr>
          <w:t>http://www.corteidh.or.cr/docs/asuntos/lagos_21_11_16.pdf</w:t>
        </w:r>
      </w:hyperlink>
      <w:r w:rsidRPr="009E6ED2">
        <w:rPr>
          <w:lang w:val="es-MX"/>
        </w:rPr>
        <w:t xml:space="preserve"> </w:t>
      </w:r>
      <w:r>
        <w:rPr>
          <w:lang w:val="es-MX"/>
        </w:rPr>
        <w:t xml:space="preserve"> </w:t>
      </w:r>
    </w:p>
  </w:footnote>
  <w:footnote w:id="6">
    <w:p w14:paraId="37F29A51" w14:textId="6068FC4A" w:rsidR="00D86616" w:rsidRPr="00517952" w:rsidRDefault="00D86616" w:rsidP="00334B6C">
      <w:pPr>
        <w:pStyle w:val="FootnoteText"/>
        <w:rPr>
          <w:lang w:val="es-MX"/>
        </w:rPr>
      </w:pPr>
      <w:r w:rsidRPr="00517952">
        <w:rPr>
          <w:rStyle w:val="FootnoteReference"/>
          <w:sz w:val="16"/>
        </w:rPr>
        <w:footnoteRef/>
      </w:r>
      <w:r w:rsidRPr="00517952">
        <w:rPr>
          <w:lang w:val="es-MX"/>
        </w:rPr>
        <w:t xml:space="preserve"> </w:t>
      </w:r>
      <w:r w:rsidRPr="00517952">
        <w:rPr>
          <w:lang w:val="es-MX"/>
        </w:rPr>
        <w:tab/>
        <w:t xml:space="preserve">Por cuestiones de agenda, mediante nota de secretaría de 8 de diciembre de 2016 la audiencia pública en el presente caso fue reprogramada para llevarse a cabo el 7 de febrero de 2017 a partir de las 9:00 horas. Asimismo, la reunión previa a la celebración de esta audiencia fue reprogramada para el 6 de febrero en la sede del Tribunal. Por ende, se fijó como plazo el 8 de marzo de 2017 para presentar los alegatos finales escritos y observaciones finales escritas. </w:t>
      </w:r>
    </w:p>
  </w:footnote>
  <w:footnote w:id="7">
    <w:p w14:paraId="7116F1A9" w14:textId="5048F250" w:rsidR="00D86616" w:rsidRPr="00517952" w:rsidRDefault="00D86616" w:rsidP="00334B6C">
      <w:pPr>
        <w:pStyle w:val="FootnoteText"/>
        <w:rPr>
          <w:lang w:val="es-MX"/>
        </w:rPr>
      </w:pPr>
      <w:r w:rsidRPr="00517952">
        <w:rPr>
          <w:rStyle w:val="FootnoteReference"/>
          <w:sz w:val="16"/>
        </w:rPr>
        <w:footnoteRef/>
      </w:r>
      <w:r w:rsidRPr="00517952">
        <w:rPr>
          <w:lang w:val="es-MX"/>
        </w:rPr>
        <w:t xml:space="preserve"> </w:t>
      </w:r>
      <w:r w:rsidRPr="00517952">
        <w:rPr>
          <w:lang w:val="es-MX"/>
        </w:rPr>
        <w:tab/>
        <w:t xml:space="preserve">Respecto de la presentación de la declaración pericial del señor Omar </w:t>
      </w:r>
      <w:proofErr w:type="spellStart"/>
      <w:r w:rsidRPr="00517952">
        <w:rPr>
          <w:lang w:val="es-MX"/>
        </w:rPr>
        <w:t>Sar</w:t>
      </w:r>
      <w:proofErr w:type="spellEnd"/>
      <w:r w:rsidRPr="00517952">
        <w:rPr>
          <w:lang w:val="es-MX"/>
        </w:rPr>
        <w:t xml:space="preserve"> Suárez, mediante comunicación de 30 de enero de 2017, el Estado desistió de la misma.</w:t>
      </w:r>
    </w:p>
  </w:footnote>
  <w:footnote w:id="8">
    <w:p w14:paraId="1841D13D" w14:textId="36A38F3B" w:rsidR="00D86616" w:rsidRPr="00517952" w:rsidRDefault="00D86616" w:rsidP="00334B6C">
      <w:pPr>
        <w:pStyle w:val="FootnoteText"/>
        <w:rPr>
          <w:lang w:val="es-MX"/>
        </w:rPr>
      </w:pPr>
      <w:r w:rsidRPr="00517952">
        <w:rPr>
          <w:rStyle w:val="FootnoteReference"/>
          <w:sz w:val="16"/>
        </w:rPr>
        <w:footnoteRef/>
      </w:r>
      <w:r w:rsidRPr="00517952">
        <w:rPr>
          <w:lang w:val="es-MX"/>
        </w:rPr>
        <w:t xml:space="preserve"> </w:t>
      </w:r>
      <w:r w:rsidRPr="00517952">
        <w:rPr>
          <w:lang w:val="es-MX"/>
        </w:rPr>
        <w:tab/>
        <w:t xml:space="preserve">La declaración de Carlos Alberto </w:t>
      </w:r>
      <w:proofErr w:type="spellStart"/>
      <w:r w:rsidRPr="00517952">
        <w:rPr>
          <w:lang w:val="es-MX"/>
        </w:rPr>
        <w:t>Jibaja</w:t>
      </w:r>
      <w:proofErr w:type="spellEnd"/>
      <w:r w:rsidRPr="00517952">
        <w:rPr>
          <w:lang w:val="es-MX"/>
        </w:rPr>
        <w:t xml:space="preserve"> Zárate, rendida ante fedatario público, fue recibida el 30 de enero de 2017.</w:t>
      </w:r>
    </w:p>
  </w:footnote>
  <w:footnote w:id="9">
    <w:p w14:paraId="3004D9C4" w14:textId="77777777" w:rsidR="00D86616" w:rsidRPr="00517952" w:rsidRDefault="00D86616" w:rsidP="00334B6C">
      <w:pPr>
        <w:pStyle w:val="FootnoteText"/>
        <w:rPr>
          <w:i/>
          <w:lang w:val="es-MX"/>
        </w:rPr>
      </w:pPr>
      <w:r w:rsidRPr="00517952">
        <w:rPr>
          <w:rStyle w:val="FootnoteReference"/>
          <w:sz w:val="16"/>
        </w:rPr>
        <w:footnoteRef/>
      </w:r>
      <w:r w:rsidRPr="00517952">
        <w:rPr>
          <w:lang w:val="es-MX"/>
        </w:rPr>
        <w:t xml:space="preserve"> </w:t>
      </w:r>
      <w:r w:rsidRPr="00517952">
        <w:rPr>
          <w:lang w:val="es-MX"/>
        </w:rPr>
        <w:tab/>
        <w:t xml:space="preserve">El Presidente del Tribunal declaró procedente la aplicación del Fondo de Asistencia Legal de Víctimas de la Corte Interamericana. Se determinó que la asistencia económica es asignada para cubrir los gastos de viaje y estadía necesarios para que la presunta víctima el señor Lagos del Campo comparezca ante el Tribunal a rendir su declaración en la audiencia pública. Adicionalmente, para los gastos razonables de formalización y envío del affidávit del perito Carlos Alberto </w:t>
      </w:r>
      <w:proofErr w:type="spellStart"/>
      <w:r w:rsidRPr="00517952">
        <w:rPr>
          <w:lang w:val="es-MX"/>
        </w:rPr>
        <w:t>Jibaja</w:t>
      </w:r>
      <w:proofErr w:type="spellEnd"/>
      <w:r w:rsidRPr="00517952">
        <w:rPr>
          <w:lang w:val="es-MX"/>
        </w:rPr>
        <w:t xml:space="preserve"> Zárate ofrecido por los representantes. </w:t>
      </w:r>
    </w:p>
  </w:footnote>
  <w:footnote w:id="10">
    <w:p w14:paraId="45230E6B" w14:textId="0AB11A6F" w:rsidR="00D86616" w:rsidRPr="004C3F47" w:rsidRDefault="00D86616" w:rsidP="00E677C5">
      <w:pPr>
        <w:widowControl w:val="0"/>
        <w:suppressLineNumbers/>
        <w:tabs>
          <w:tab w:val="left" w:pos="567"/>
        </w:tabs>
        <w:suppressAutoHyphens/>
        <w:jc w:val="both"/>
        <w:rPr>
          <w:rFonts w:ascii="Verdana" w:hAnsi="Verdana"/>
          <w:sz w:val="16"/>
          <w:szCs w:val="16"/>
        </w:rPr>
      </w:pPr>
      <w:r w:rsidRPr="00517952">
        <w:rPr>
          <w:rStyle w:val="FootnoteReference"/>
          <w:sz w:val="16"/>
          <w:szCs w:val="16"/>
        </w:rPr>
        <w:footnoteRef/>
      </w:r>
      <w:r w:rsidRPr="00517952">
        <w:rPr>
          <w:rFonts w:ascii="Verdana" w:hAnsi="Verdana"/>
          <w:sz w:val="16"/>
          <w:szCs w:val="16"/>
        </w:rPr>
        <w:t xml:space="preserve"> </w:t>
      </w:r>
      <w:r w:rsidRPr="00517952">
        <w:rPr>
          <w:rFonts w:ascii="Verdana" w:hAnsi="Verdana"/>
          <w:sz w:val="16"/>
          <w:szCs w:val="16"/>
        </w:rPr>
        <w:tab/>
      </w:r>
      <w:r w:rsidRPr="004C3F47">
        <w:rPr>
          <w:rFonts w:ascii="Verdana" w:hAnsi="Verdana"/>
          <w:sz w:val="16"/>
          <w:szCs w:val="16"/>
        </w:rPr>
        <w:t>A esta audiencia comparecieron</w:t>
      </w:r>
      <w:r>
        <w:rPr>
          <w:rFonts w:ascii="Verdana" w:hAnsi="Verdana"/>
          <w:sz w:val="16"/>
          <w:szCs w:val="16"/>
        </w:rPr>
        <w:t xml:space="preserve"> </w:t>
      </w:r>
      <w:r>
        <w:rPr>
          <w:rFonts w:ascii="Verdana" w:hAnsi="Verdana"/>
          <w:sz w:val="16"/>
          <w:szCs w:val="16"/>
          <w:lang w:val="es-ES"/>
        </w:rPr>
        <w:t>∞</w:t>
      </w:r>
      <w:r w:rsidRPr="004C3F47">
        <w:rPr>
          <w:rFonts w:ascii="Verdana" w:hAnsi="Verdana"/>
          <w:sz w:val="16"/>
          <w:szCs w:val="16"/>
        </w:rPr>
        <w:t>: a) por la Comisión Interamericana: Edison Lanza</w:t>
      </w:r>
      <w:r w:rsidRPr="004C3F47">
        <w:rPr>
          <w:rFonts w:ascii="Verdana" w:hAnsi="Verdana"/>
          <w:sz w:val="16"/>
          <w:szCs w:val="16"/>
          <w:lang w:val="es-CR"/>
        </w:rPr>
        <w:t>, Relator Especial para la Libertad de Expresión</w:t>
      </w:r>
      <w:r w:rsidRPr="004C3F47">
        <w:rPr>
          <w:rFonts w:ascii="Verdana" w:hAnsi="Verdana"/>
          <w:sz w:val="16"/>
          <w:szCs w:val="16"/>
        </w:rPr>
        <w:t xml:space="preserve">, </w:t>
      </w:r>
      <w:r w:rsidRPr="004C3F47">
        <w:rPr>
          <w:rFonts w:ascii="Verdana" w:hAnsi="Verdana"/>
          <w:sz w:val="16"/>
          <w:szCs w:val="16"/>
          <w:lang w:val="es-CR"/>
        </w:rPr>
        <w:t>Silvia Serrano Guzmán</w:t>
      </w:r>
      <w:r w:rsidRPr="004C3F47">
        <w:rPr>
          <w:rFonts w:ascii="Verdana" w:hAnsi="Verdana"/>
          <w:sz w:val="16"/>
          <w:szCs w:val="16"/>
        </w:rPr>
        <w:t>,</w:t>
      </w:r>
      <w:r w:rsidRPr="004C3F47">
        <w:rPr>
          <w:rFonts w:ascii="Verdana" w:hAnsi="Verdana"/>
          <w:sz w:val="16"/>
          <w:szCs w:val="16"/>
          <w:lang w:val="es-CR"/>
        </w:rPr>
        <w:t xml:space="preserve"> Asesora y </w:t>
      </w:r>
      <w:proofErr w:type="spellStart"/>
      <w:r w:rsidRPr="004C3F47">
        <w:rPr>
          <w:rFonts w:ascii="Verdana" w:hAnsi="Verdana"/>
          <w:sz w:val="16"/>
          <w:szCs w:val="16"/>
          <w:lang w:val="es-CR"/>
        </w:rPr>
        <w:t>Ona</w:t>
      </w:r>
      <w:proofErr w:type="spellEnd"/>
      <w:r w:rsidRPr="004C3F47">
        <w:rPr>
          <w:rFonts w:ascii="Verdana" w:hAnsi="Verdana"/>
          <w:sz w:val="16"/>
          <w:szCs w:val="16"/>
          <w:lang w:val="es-CR"/>
        </w:rPr>
        <w:t xml:space="preserve"> Flores, Asesora</w:t>
      </w:r>
      <w:r w:rsidRPr="004C3F47">
        <w:rPr>
          <w:rFonts w:ascii="Verdana" w:hAnsi="Verdana"/>
          <w:sz w:val="16"/>
          <w:szCs w:val="16"/>
        </w:rPr>
        <w:t xml:space="preserve">; b) por los representantes de la presunta víctima: Christian Henry </w:t>
      </w:r>
      <w:proofErr w:type="spellStart"/>
      <w:r w:rsidRPr="004C3F47">
        <w:rPr>
          <w:rFonts w:ascii="Verdana" w:hAnsi="Verdana"/>
          <w:sz w:val="16"/>
          <w:szCs w:val="16"/>
        </w:rPr>
        <w:t>Huaylinos</w:t>
      </w:r>
      <w:proofErr w:type="spellEnd"/>
      <w:r w:rsidRPr="004C3F47">
        <w:rPr>
          <w:rFonts w:ascii="Verdana" w:hAnsi="Verdana"/>
          <w:sz w:val="16"/>
          <w:szCs w:val="16"/>
        </w:rPr>
        <w:t xml:space="preserve"> </w:t>
      </w:r>
      <w:proofErr w:type="spellStart"/>
      <w:r w:rsidRPr="004C3F47">
        <w:rPr>
          <w:rFonts w:ascii="Verdana" w:hAnsi="Verdana"/>
          <w:sz w:val="16"/>
          <w:szCs w:val="16"/>
        </w:rPr>
        <w:t>Camacuari</w:t>
      </w:r>
      <w:proofErr w:type="spellEnd"/>
      <w:r w:rsidRPr="004C3F47">
        <w:rPr>
          <w:rFonts w:ascii="Verdana" w:hAnsi="Verdana"/>
          <w:sz w:val="16"/>
          <w:szCs w:val="16"/>
          <w:lang w:val="es-CR"/>
        </w:rPr>
        <w:t xml:space="preserve"> y </w:t>
      </w:r>
      <w:proofErr w:type="spellStart"/>
      <w:r w:rsidRPr="004C3F47">
        <w:rPr>
          <w:rFonts w:ascii="Verdana" w:hAnsi="Verdana"/>
          <w:sz w:val="16"/>
          <w:szCs w:val="16"/>
          <w:lang w:val="es-CR"/>
        </w:rPr>
        <w:t>Caroline</w:t>
      </w:r>
      <w:proofErr w:type="spellEnd"/>
      <w:r w:rsidRPr="004C3F47">
        <w:rPr>
          <w:rFonts w:ascii="Verdana" w:hAnsi="Verdana"/>
          <w:sz w:val="16"/>
          <w:szCs w:val="16"/>
          <w:lang w:val="es-CR"/>
        </w:rPr>
        <w:t xml:space="preserve"> </w:t>
      </w:r>
      <w:proofErr w:type="spellStart"/>
      <w:r w:rsidRPr="004C3F47">
        <w:rPr>
          <w:rFonts w:ascii="Verdana" w:hAnsi="Verdana"/>
          <w:sz w:val="16"/>
          <w:szCs w:val="16"/>
          <w:lang w:val="es-CR"/>
        </w:rPr>
        <w:t>Dufour</w:t>
      </w:r>
      <w:proofErr w:type="spellEnd"/>
      <w:r w:rsidRPr="004C3F47">
        <w:rPr>
          <w:rFonts w:ascii="Verdana" w:hAnsi="Verdana"/>
          <w:sz w:val="16"/>
          <w:szCs w:val="16"/>
        </w:rPr>
        <w:t xml:space="preserve">, y c) por el Estado: </w:t>
      </w:r>
      <w:r w:rsidRPr="004C3F47">
        <w:rPr>
          <w:rFonts w:ascii="Verdana" w:hAnsi="Verdana"/>
          <w:sz w:val="16"/>
          <w:szCs w:val="16"/>
          <w:lang w:val="es-ES"/>
        </w:rPr>
        <w:t xml:space="preserve">Iván Arturo Bazán Chacón, Sofía </w:t>
      </w:r>
      <w:proofErr w:type="spellStart"/>
      <w:r w:rsidRPr="004C3F47">
        <w:rPr>
          <w:rFonts w:ascii="Verdana" w:hAnsi="Verdana"/>
          <w:sz w:val="16"/>
          <w:szCs w:val="16"/>
          <w:lang w:val="es-ES"/>
        </w:rPr>
        <w:t>Janett</w:t>
      </w:r>
      <w:proofErr w:type="spellEnd"/>
      <w:r w:rsidRPr="004C3F47">
        <w:rPr>
          <w:rFonts w:ascii="Verdana" w:hAnsi="Verdana"/>
          <w:sz w:val="16"/>
          <w:szCs w:val="16"/>
          <w:lang w:val="es-ES"/>
        </w:rPr>
        <w:t xml:space="preserve"> Donaires Vega y Silvana Lucía Gómez Salazar</w:t>
      </w:r>
      <w:r w:rsidRPr="004C3F47">
        <w:rPr>
          <w:rFonts w:ascii="Verdana" w:hAnsi="Verdana"/>
          <w:sz w:val="16"/>
          <w:szCs w:val="16"/>
        </w:rPr>
        <w:t xml:space="preserve">. </w:t>
      </w:r>
    </w:p>
  </w:footnote>
  <w:footnote w:id="11">
    <w:p w14:paraId="0C490557" w14:textId="03129467" w:rsidR="00D86616" w:rsidRPr="00517952" w:rsidRDefault="00D86616" w:rsidP="00E677C5">
      <w:pPr>
        <w:jc w:val="both"/>
        <w:rPr>
          <w:rFonts w:ascii="Verdana" w:hAnsi="Verdana"/>
          <w:spacing w:val="-12"/>
          <w:sz w:val="16"/>
          <w:szCs w:val="16"/>
          <w:lang w:val="es-MX"/>
        </w:rPr>
      </w:pPr>
      <w:r w:rsidRPr="00517952">
        <w:rPr>
          <w:rFonts w:ascii="Verdana" w:hAnsi="Verdana"/>
          <w:spacing w:val="-12"/>
          <w:sz w:val="16"/>
          <w:szCs w:val="16"/>
          <w:vertAlign w:val="superscript"/>
        </w:rPr>
        <w:footnoteRef/>
      </w:r>
      <w:r w:rsidRPr="00517952">
        <w:rPr>
          <w:rFonts w:ascii="Verdana" w:hAnsi="Verdana"/>
          <w:spacing w:val="-12"/>
          <w:sz w:val="16"/>
          <w:szCs w:val="16"/>
          <w:lang w:val="es-MX"/>
        </w:rPr>
        <w:t xml:space="preserve"> </w:t>
      </w:r>
      <w:r w:rsidRPr="00517952">
        <w:rPr>
          <w:rFonts w:ascii="Verdana" w:hAnsi="Verdana"/>
          <w:spacing w:val="-12"/>
          <w:sz w:val="16"/>
          <w:szCs w:val="16"/>
          <w:lang w:val="es-MX"/>
        </w:rPr>
        <w:tab/>
      </w:r>
      <w:r w:rsidRPr="00517952">
        <w:rPr>
          <w:rFonts w:ascii="Verdana" w:hAnsi="Verdana"/>
          <w:i/>
          <w:spacing w:val="-12"/>
          <w:sz w:val="16"/>
          <w:szCs w:val="16"/>
          <w:lang w:val="es-MX"/>
        </w:rPr>
        <w:t xml:space="preserve">Cfr. Caso Las Palmeras Vs. Colombia. Excepciones Preliminares. </w:t>
      </w:r>
      <w:r w:rsidRPr="00517952">
        <w:rPr>
          <w:rFonts w:ascii="Verdana" w:hAnsi="Verdana"/>
          <w:spacing w:val="-12"/>
          <w:sz w:val="16"/>
          <w:szCs w:val="16"/>
          <w:lang w:val="es-MX"/>
        </w:rPr>
        <w:t xml:space="preserve">Sentencia de 4 de febrero de 2000. Serie C No. 67, párr. 34, </w:t>
      </w:r>
      <w:r w:rsidRPr="00517952">
        <w:rPr>
          <w:rFonts w:ascii="Verdana" w:hAnsi="Verdana"/>
          <w:i/>
          <w:spacing w:val="-12"/>
          <w:sz w:val="16"/>
          <w:szCs w:val="16"/>
          <w:lang w:val="es-MX"/>
        </w:rPr>
        <w:t>Caso Zegarra Marín Vs. Perú. Excepciones Preliminares, Fondo, Reparaciones y Costas</w:t>
      </w:r>
      <w:r w:rsidRPr="00517952">
        <w:rPr>
          <w:rFonts w:ascii="Verdana" w:hAnsi="Verdana"/>
          <w:spacing w:val="-12"/>
          <w:sz w:val="16"/>
          <w:szCs w:val="16"/>
          <w:lang w:val="es-MX"/>
        </w:rPr>
        <w:t>. Sentencia de 15 de febrero de 2017. Serie C No. 331, párr. 16</w:t>
      </w:r>
      <w:r w:rsidRPr="00517952">
        <w:rPr>
          <w:rFonts w:ascii="Verdana" w:hAnsi="Verdana"/>
          <w:i/>
          <w:spacing w:val="-12"/>
          <w:sz w:val="16"/>
          <w:szCs w:val="16"/>
          <w:lang w:val="es-MX"/>
        </w:rPr>
        <w:t>.</w:t>
      </w:r>
    </w:p>
  </w:footnote>
  <w:footnote w:id="12">
    <w:p w14:paraId="685E8443" w14:textId="7509432E" w:rsidR="00D86616" w:rsidRPr="00517952" w:rsidRDefault="00D86616" w:rsidP="00E677C5">
      <w:pPr>
        <w:jc w:val="both"/>
        <w:rPr>
          <w:rFonts w:ascii="Verdana" w:hAnsi="Verdana"/>
          <w:spacing w:val="-12"/>
          <w:sz w:val="16"/>
          <w:szCs w:val="16"/>
          <w:lang w:val="es-MX"/>
        </w:rPr>
      </w:pPr>
      <w:r w:rsidRPr="00517952">
        <w:rPr>
          <w:rFonts w:ascii="Verdana" w:hAnsi="Verdana"/>
          <w:spacing w:val="-12"/>
          <w:sz w:val="16"/>
          <w:szCs w:val="16"/>
          <w:vertAlign w:val="superscript"/>
        </w:rPr>
        <w:footnoteRef/>
      </w:r>
      <w:r w:rsidRPr="00517952">
        <w:rPr>
          <w:rFonts w:ascii="Verdana" w:hAnsi="Verdana"/>
          <w:spacing w:val="-12"/>
          <w:sz w:val="16"/>
          <w:szCs w:val="16"/>
          <w:lang w:val="es-MX"/>
        </w:rPr>
        <w:t xml:space="preserve">  </w:t>
      </w:r>
      <w:r w:rsidRPr="00517952">
        <w:rPr>
          <w:rFonts w:ascii="Verdana" w:hAnsi="Verdana"/>
          <w:spacing w:val="-12"/>
          <w:sz w:val="16"/>
          <w:szCs w:val="16"/>
          <w:lang w:val="es-MX"/>
        </w:rPr>
        <w:tab/>
      </w:r>
      <w:r w:rsidRPr="00517952">
        <w:rPr>
          <w:rFonts w:ascii="Verdana" w:hAnsi="Verdana"/>
          <w:i/>
          <w:spacing w:val="-12"/>
          <w:sz w:val="16"/>
          <w:szCs w:val="16"/>
          <w:lang w:val="es-MX"/>
        </w:rPr>
        <w:t xml:space="preserve">Cfr. Caso Castañeda </w:t>
      </w:r>
      <w:proofErr w:type="spellStart"/>
      <w:r w:rsidRPr="00517952">
        <w:rPr>
          <w:rFonts w:ascii="Verdana" w:hAnsi="Verdana"/>
          <w:i/>
          <w:spacing w:val="-12"/>
          <w:sz w:val="16"/>
          <w:szCs w:val="16"/>
          <w:lang w:val="es-MX"/>
        </w:rPr>
        <w:t>Gutman</w:t>
      </w:r>
      <w:proofErr w:type="spellEnd"/>
      <w:r w:rsidRPr="00517952">
        <w:rPr>
          <w:rFonts w:ascii="Verdana" w:hAnsi="Verdana"/>
          <w:i/>
          <w:spacing w:val="-12"/>
          <w:sz w:val="16"/>
          <w:szCs w:val="16"/>
          <w:lang w:val="es-MX"/>
        </w:rPr>
        <w:t xml:space="preserve"> Vs. México. Excepciones Preliminares, Fondo, Reparaciones y Costas. </w:t>
      </w:r>
      <w:r w:rsidRPr="00517952">
        <w:rPr>
          <w:rFonts w:ascii="Verdana" w:hAnsi="Verdana"/>
          <w:spacing w:val="-12"/>
          <w:sz w:val="16"/>
          <w:szCs w:val="16"/>
          <w:lang w:val="es-MX"/>
        </w:rPr>
        <w:t xml:space="preserve">Sentencia de 6 de agosto de 2008. Serie C No. 184, párr. 39, y </w:t>
      </w:r>
      <w:r w:rsidRPr="00517952">
        <w:rPr>
          <w:rFonts w:ascii="Verdana" w:hAnsi="Verdana"/>
          <w:i/>
          <w:spacing w:val="-12"/>
          <w:sz w:val="16"/>
          <w:szCs w:val="16"/>
          <w:lang w:val="es-MX"/>
        </w:rPr>
        <w:t xml:space="preserve">Caso Acosta y otros Vs. Nicaragua, Excepciones preliminares, Fondo, Reparaciones y Costas. </w:t>
      </w:r>
      <w:r w:rsidRPr="00517952">
        <w:rPr>
          <w:rFonts w:ascii="Verdana" w:hAnsi="Verdana"/>
          <w:spacing w:val="-12"/>
          <w:sz w:val="16"/>
          <w:szCs w:val="16"/>
          <w:lang w:val="es-MX"/>
        </w:rPr>
        <w:t>Sentencia 25 de marzo de 2017. Serie C No. 334,</w:t>
      </w:r>
      <w:r w:rsidRPr="00517952">
        <w:rPr>
          <w:rFonts w:ascii="Verdana" w:hAnsi="Verdana"/>
          <w:i/>
          <w:spacing w:val="-12"/>
          <w:sz w:val="16"/>
          <w:szCs w:val="16"/>
          <w:lang w:val="es-MX"/>
        </w:rPr>
        <w:t xml:space="preserve"> </w:t>
      </w:r>
      <w:r w:rsidRPr="00517952">
        <w:rPr>
          <w:rFonts w:ascii="Verdana" w:hAnsi="Verdana"/>
          <w:spacing w:val="-12"/>
          <w:sz w:val="16"/>
          <w:szCs w:val="16"/>
          <w:lang w:val="es-MX"/>
        </w:rPr>
        <w:t>párr. 18.</w:t>
      </w:r>
      <w:r w:rsidRPr="00517952">
        <w:rPr>
          <w:rFonts w:ascii="Verdana" w:hAnsi="Verdana"/>
          <w:spacing w:val="-12"/>
          <w:sz w:val="16"/>
          <w:szCs w:val="16"/>
          <w:highlight w:val="lightGray"/>
          <w:lang w:val="es-MX"/>
        </w:rPr>
        <w:t xml:space="preserve"> </w:t>
      </w:r>
    </w:p>
  </w:footnote>
  <w:footnote w:id="13">
    <w:p w14:paraId="0D04FE3F" w14:textId="0782DA32" w:rsidR="00D86616" w:rsidRPr="00801513" w:rsidRDefault="00D86616" w:rsidP="00334B6C">
      <w:pPr>
        <w:pStyle w:val="FootnoteText"/>
        <w:rPr>
          <w:lang w:val="es-MX"/>
        </w:rPr>
      </w:pPr>
      <w:r w:rsidRPr="00517952">
        <w:rPr>
          <w:rStyle w:val="FootnoteReference"/>
          <w:sz w:val="16"/>
        </w:rPr>
        <w:footnoteRef/>
      </w:r>
      <w:r w:rsidRPr="00517952">
        <w:rPr>
          <w:lang w:val="es-MX"/>
        </w:rPr>
        <w:t xml:space="preserve"> </w:t>
      </w:r>
      <w:r w:rsidRPr="00517952">
        <w:rPr>
          <w:lang w:val="es-MX"/>
        </w:rPr>
        <w:tab/>
      </w:r>
      <w:r w:rsidRPr="00517952">
        <w:rPr>
          <w:lang w:val="es-MX"/>
        </w:rPr>
        <w:tab/>
      </w:r>
      <w:r w:rsidRPr="00517952">
        <w:rPr>
          <w:i/>
          <w:lang w:val="es-MX"/>
        </w:rPr>
        <w:t>Cfr.</w:t>
      </w:r>
      <w:r w:rsidRPr="00517952">
        <w:rPr>
          <w:lang w:val="es-MX"/>
        </w:rPr>
        <w:t xml:space="preserve"> </w:t>
      </w:r>
      <w:r w:rsidRPr="00517952">
        <w:rPr>
          <w:rStyle w:val="Strong"/>
          <w:b w:val="0"/>
          <w:i/>
          <w:color w:val="000000"/>
          <w:shd w:val="clear" w:color="auto" w:fill="FFFFFF"/>
          <w:lang w:val="es-CR"/>
        </w:rPr>
        <w:t>Caso Velásquez Rodríguez Vs. Honduras.</w:t>
      </w:r>
      <w:r w:rsidRPr="00517952">
        <w:rPr>
          <w:rStyle w:val="Strong"/>
          <w:b w:val="0"/>
          <w:color w:val="000000"/>
          <w:shd w:val="clear" w:color="auto" w:fill="FFFFFF"/>
          <w:lang w:val="es-CR"/>
        </w:rPr>
        <w:t xml:space="preserve"> </w:t>
      </w:r>
      <w:r w:rsidRPr="00517952">
        <w:rPr>
          <w:rStyle w:val="Strong"/>
          <w:b w:val="0"/>
          <w:i/>
          <w:color w:val="000000"/>
          <w:shd w:val="clear" w:color="auto" w:fill="FFFFFF"/>
          <w:lang w:val="es-CR"/>
        </w:rPr>
        <w:t>Excepciones Preliminares</w:t>
      </w:r>
      <w:r w:rsidRPr="00517952">
        <w:rPr>
          <w:rStyle w:val="Strong"/>
          <w:b w:val="0"/>
          <w:color w:val="000000"/>
          <w:shd w:val="clear" w:color="auto" w:fill="FFFFFF"/>
          <w:lang w:val="es-CR"/>
        </w:rPr>
        <w:t>. Sentencia de 26 de junio de 1987. Serie C No. 1.,</w:t>
      </w:r>
      <w:r w:rsidRPr="004C3F47">
        <w:rPr>
          <w:rStyle w:val="Strong"/>
          <w:b w:val="0"/>
          <w:color w:val="000000"/>
          <w:shd w:val="clear" w:color="auto" w:fill="FFFFFF"/>
          <w:lang w:val="es-CR"/>
        </w:rPr>
        <w:t xml:space="preserve"> párr. </w:t>
      </w:r>
      <w:r>
        <w:rPr>
          <w:rStyle w:val="Strong"/>
          <w:b w:val="0"/>
          <w:color w:val="000000"/>
          <w:shd w:val="clear" w:color="auto" w:fill="FFFFFF"/>
          <w:lang w:val="es-CR"/>
        </w:rPr>
        <w:t>88</w:t>
      </w:r>
      <w:r w:rsidRPr="004C3F47">
        <w:rPr>
          <w:rStyle w:val="Strong"/>
          <w:b w:val="0"/>
          <w:color w:val="000000"/>
          <w:shd w:val="clear" w:color="auto" w:fill="FFFFFF"/>
          <w:lang w:val="es-CR"/>
        </w:rPr>
        <w:t xml:space="preserve">, y </w:t>
      </w:r>
      <w:r w:rsidRPr="00333304">
        <w:rPr>
          <w:rStyle w:val="Strong"/>
          <w:b w:val="0"/>
          <w:i/>
          <w:color w:val="000000"/>
          <w:shd w:val="clear" w:color="auto" w:fill="FFFFFF"/>
          <w:lang w:val="es-CR"/>
        </w:rPr>
        <w:t>Caso Tenorio Roca y otros Vs. Perú. Excepciones Preliminares, Fondo, Reparaciones y Costas</w:t>
      </w:r>
      <w:r w:rsidRPr="004C3F47">
        <w:rPr>
          <w:rStyle w:val="Strong"/>
          <w:b w:val="0"/>
          <w:color w:val="000000"/>
          <w:shd w:val="clear" w:color="auto" w:fill="FFFFFF"/>
          <w:lang w:val="es-CR"/>
        </w:rPr>
        <w:t>. Sentencia de 22 de junio de 2016. Serie C No. 314, párr. 21.</w:t>
      </w:r>
    </w:p>
  </w:footnote>
  <w:footnote w:id="14">
    <w:p w14:paraId="139A6CB0" w14:textId="18A9AE28" w:rsidR="00D86616" w:rsidRPr="00517952" w:rsidRDefault="00D86616" w:rsidP="00E677C5">
      <w:pPr>
        <w:jc w:val="both"/>
        <w:rPr>
          <w:rFonts w:ascii="Verdana" w:hAnsi="Verdana"/>
          <w:b/>
          <w:sz w:val="16"/>
          <w:szCs w:val="16"/>
        </w:rPr>
      </w:pPr>
      <w:r w:rsidRPr="00517952">
        <w:rPr>
          <w:rStyle w:val="FootnoteReference"/>
          <w:sz w:val="16"/>
          <w:szCs w:val="16"/>
        </w:rPr>
        <w:footnoteRef/>
      </w:r>
      <w:r w:rsidRPr="00517952">
        <w:rPr>
          <w:rFonts w:ascii="Verdana" w:hAnsi="Verdana"/>
          <w:sz w:val="16"/>
          <w:szCs w:val="16"/>
        </w:rPr>
        <w:t xml:space="preserve"> </w:t>
      </w:r>
      <w:r w:rsidRPr="00517952">
        <w:rPr>
          <w:rFonts w:ascii="Verdana" w:hAnsi="Verdana"/>
          <w:sz w:val="16"/>
          <w:szCs w:val="16"/>
        </w:rPr>
        <w:tab/>
      </w:r>
      <w:r w:rsidRPr="00517952">
        <w:rPr>
          <w:rFonts w:ascii="Verdana" w:hAnsi="Verdana"/>
          <w:i/>
          <w:sz w:val="16"/>
          <w:szCs w:val="16"/>
        </w:rPr>
        <w:t xml:space="preserve">Cfr. </w:t>
      </w:r>
      <w:r w:rsidRPr="00517952">
        <w:rPr>
          <w:rStyle w:val="Strong"/>
          <w:rFonts w:ascii="Verdana" w:hAnsi="Verdana"/>
          <w:b w:val="0"/>
          <w:i/>
          <w:color w:val="000000"/>
          <w:sz w:val="16"/>
          <w:szCs w:val="16"/>
          <w:shd w:val="clear" w:color="auto" w:fill="FFFFFF"/>
          <w:lang w:val="es-CR"/>
        </w:rPr>
        <w:t xml:space="preserve">Caso </w:t>
      </w:r>
      <w:proofErr w:type="spellStart"/>
      <w:r w:rsidRPr="00517952">
        <w:rPr>
          <w:rStyle w:val="Strong"/>
          <w:rFonts w:ascii="Verdana" w:hAnsi="Verdana"/>
          <w:b w:val="0"/>
          <w:i/>
          <w:color w:val="000000"/>
          <w:sz w:val="16"/>
          <w:szCs w:val="16"/>
          <w:shd w:val="clear" w:color="auto" w:fill="FFFFFF"/>
          <w:lang w:val="es-CR"/>
        </w:rPr>
        <w:t>Furlan</w:t>
      </w:r>
      <w:proofErr w:type="spellEnd"/>
      <w:r w:rsidRPr="00517952">
        <w:rPr>
          <w:rStyle w:val="Strong"/>
          <w:rFonts w:ascii="Verdana" w:hAnsi="Verdana"/>
          <w:b w:val="0"/>
          <w:i/>
          <w:color w:val="000000"/>
          <w:sz w:val="16"/>
          <w:szCs w:val="16"/>
          <w:shd w:val="clear" w:color="auto" w:fill="FFFFFF"/>
          <w:lang w:val="es-CR"/>
        </w:rPr>
        <w:t xml:space="preserve"> y familiares Vs. Argentina. Excepciones Preliminares, Fondo, Reparaciones y Costas.</w:t>
      </w:r>
      <w:r w:rsidRPr="00517952">
        <w:rPr>
          <w:rStyle w:val="Strong"/>
          <w:rFonts w:ascii="Verdana" w:hAnsi="Verdana"/>
          <w:b w:val="0"/>
          <w:color w:val="000000"/>
          <w:sz w:val="16"/>
          <w:szCs w:val="16"/>
          <w:shd w:val="clear" w:color="auto" w:fill="FFFFFF"/>
          <w:lang w:val="es-CR"/>
        </w:rPr>
        <w:t xml:space="preserve"> Sentencia de 31 de agosto de 2012. Serie C No. 246, párr. 52.</w:t>
      </w:r>
    </w:p>
  </w:footnote>
  <w:footnote w:id="15">
    <w:p w14:paraId="26485F73" w14:textId="7992B760" w:rsidR="00D86616" w:rsidRPr="004C3F47" w:rsidRDefault="00D86616" w:rsidP="00E677C5">
      <w:pPr>
        <w:pStyle w:val="NormalWeb"/>
        <w:spacing w:before="0" w:beforeAutospacing="0" w:after="0" w:afterAutospacing="0"/>
        <w:jc w:val="both"/>
        <w:rPr>
          <w:rFonts w:ascii="Verdana" w:hAnsi="Verdana"/>
          <w:sz w:val="16"/>
          <w:szCs w:val="16"/>
          <w:lang w:val="es-CO"/>
        </w:rPr>
      </w:pPr>
      <w:r w:rsidRPr="00517952">
        <w:rPr>
          <w:rStyle w:val="FootnoteReference"/>
          <w:rFonts w:eastAsiaTheme="majorEastAsia"/>
          <w:sz w:val="16"/>
          <w:szCs w:val="16"/>
        </w:rPr>
        <w:footnoteRef/>
      </w:r>
      <w:r w:rsidRPr="00517952">
        <w:rPr>
          <w:rFonts w:ascii="Verdana" w:hAnsi="Verdana"/>
          <w:sz w:val="16"/>
          <w:szCs w:val="16"/>
          <w:lang w:val="es-CO"/>
        </w:rPr>
        <w:t xml:space="preserve"> </w:t>
      </w:r>
      <w:r w:rsidRPr="00517952">
        <w:rPr>
          <w:rFonts w:ascii="Verdana" w:hAnsi="Verdana"/>
          <w:sz w:val="16"/>
          <w:szCs w:val="16"/>
          <w:lang w:val="es-CO"/>
        </w:rPr>
        <w:tab/>
        <w:t>El</w:t>
      </w:r>
      <w:r w:rsidRPr="004C3F47">
        <w:rPr>
          <w:rFonts w:ascii="Verdana" w:hAnsi="Verdana"/>
          <w:sz w:val="16"/>
          <w:szCs w:val="16"/>
          <w:lang w:val="es-CO"/>
        </w:rPr>
        <w:t xml:space="preserve"> artículo 46 de la Convención establece que: </w:t>
      </w:r>
      <w:r>
        <w:rPr>
          <w:rFonts w:ascii="Verdana" w:hAnsi="Verdana"/>
          <w:sz w:val="16"/>
          <w:szCs w:val="16"/>
          <w:lang w:val="es-CO"/>
        </w:rPr>
        <w:t>“</w:t>
      </w:r>
      <w:r w:rsidRPr="004C3F47">
        <w:rPr>
          <w:rFonts w:ascii="Verdana" w:hAnsi="Verdana" w:cs="Tahoma"/>
          <w:sz w:val="16"/>
          <w:szCs w:val="16"/>
          <w:lang w:val="es-CO"/>
        </w:rPr>
        <w:t>1. Para que una petición o comunicación presentada conforme a los artículos 44 o 45 sea admitida por la Comisión, se requ</w:t>
      </w:r>
      <w:r>
        <w:rPr>
          <w:rFonts w:ascii="Verdana" w:hAnsi="Verdana" w:cs="Tahoma"/>
          <w:sz w:val="16"/>
          <w:szCs w:val="16"/>
          <w:lang w:val="es-CO"/>
        </w:rPr>
        <w:t xml:space="preserve">erirá: </w:t>
      </w:r>
      <w:r w:rsidRPr="004C3F47">
        <w:rPr>
          <w:rFonts w:ascii="Verdana" w:hAnsi="Verdana" w:cs="Tahoma"/>
          <w:sz w:val="16"/>
          <w:szCs w:val="16"/>
          <w:lang w:val="es-CO"/>
        </w:rPr>
        <w:t>a) que se hayan interpuesto y agotado los recursos de jurisdicción interna, conforme a los principios del Derecho Internacional generalmente reconocidos; b) que sea presentada dentro del plazo de seis meses, a partir de la fecha en que el presunto lesionado en sus derechos haya sido notificado de la decisión definitiva; c) que la materia de la petición o comunicación no esté pendiente de otro procedimien</w:t>
      </w:r>
      <w:r>
        <w:rPr>
          <w:rFonts w:ascii="Verdana" w:hAnsi="Verdana" w:cs="Tahoma"/>
          <w:sz w:val="16"/>
          <w:szCs w:val="16"/>
          <w:lang w:val="es-CO"/>
        </w:rPr>
        <w:t xml:space="preserve">to de arreglo internacional, y </w:t>
      </w:r>
      <w:r w:rsidRPr="004C3F47">
        <w:rPr>
          <w:rFonts w:ascii="Verdana" w:hAnsi="Verdana" w:cs="Tahoma"/>
          <w:sz w:val="16"/>
          <w:szCs w:val="16"/>
          <w:lang w:val="es-CO"/>
        </w:rPr>
        <w:t>d) que en el caso del artículo 44 la petición contenga el nombre, la nacionalidad, la profesión, el domicilio y la firma de la persona o personas o del representante legal de la entidad que somete la petición</w:t>
      </w:r>
      <w:r>
        <w:rPr>
          <w:rFonts w:ascii="Verdana" w:hAnsi="Verdana" w:cs="Tahoma"/>
          <w:sz w:val="16"/>
          <w:szCs w:val="16"/>
          <w:lang w:val="es-CO"/>
        </w:rPr>
        <w:t>;</w:t>
      </w:r>
      <w:r w:rsidRPr="004C3F47">
        <w:rPr>
          <w:rFonts w:ascii="Verdana" w:hAnsi="Verdana" w:cs="Tahoma"/>
          <w:sz w:val="16"/>
          <w:szCs w:val="16"/>
          <w:lang w:val="es-CO"/>
        </w:rPr>
        <w:t xml:space="preserve"> 2. Las disposiciones de los incisos 1.a. y 1.b. del presente artículo no se aplicarán cuando: a) no exista en la legislación interna del Estado de que se trata el debido proceso legal para la protección del derecho o derechos que se alega han sido violados; b) no se haya permitido al presunto lesionado en sus derechos el acceso a los recursos de la jurisdicción interna, o haya sido impedido de agotarlos, y c) haya retardo injustificado en la decisión sobre los mencionados recursos</w:t>
      </w:r>
      <w:r>
        <w:rPr>
          <w:rFonts w:ascii="Verdana" w:hAnsi="Verdana" w:cs="Tahoma"/>
          <w:sz w:val="16"/>
          <w:szCs w:val="16"/>
          <w:lang w:val="es-CO"/>
        </w:rPr>
        <w:t>”.</w:t>
      </w:r>
    </w:p>
  </w:footnote>
  <w:footnote w:id="16">
    <w:p w14:paraId="41828B81" w14:textId="003D3A20" w:rsidR="00D86616" w:rsidRPr="004C3F47" w:rsidRDefault="00D86616" w:rsidP="00E677C5">
      <w:pPr>
        <w:pStyle w:val="NormalWeb"/>
        <w:spacing w:before="0" w:beforeAutospacing="0" w:after="0" w:afterAutospacing="0"/>
        <w:jc w:val="both"/>
        <w:rPr>
          <w:rFonts w:ascii="Verdana" w:hAnsi="Verdana"/>
          <w:sz w:val="16"/>
          <w:szCs w:val="16"/>
          <w:lang w:val="es-CO"/>
        </w:rPr>
      </w:pPr>
      <w:r w:rsidRPr="004C3F47">
        <w:rPr>
          <w:rStyle w:val="FootnoteReference"/>
          <w:rFonts w:eastAsiaTheme="majorEastAsia"/>
          <w:sz w:val="16"/>
          <w:szCs w:val="16"/>
        </w:rPr>
        <w:footnoteRef/>
      </w:r>
      <w:r w:rsidRPr="004C3F47">
        <w:rPr>
          <w:rFonts w:ascii="Verdana" w:hAnsi="Verdana"/>
          <w:sz w:val="16"/>
          <w:szCs w:val="16"/>
          <w:lang w:val="es-CO"/>
        </w:rPr>
        <w:t xml:space="preserve"> </w:t>
      </w:r>
      <w:r>
        <w:rPr>
          <w:rFonts w:ascii="Verdana" w:hAnsi="Verdana"/>
          <w:sz w:val="16"/>
          <w:szCs w:val="16"/>
          <w:lang w:val="es-CO"/>
        </w:rPr>
        <w:t>El artículo 47 de la CADH establece que: “</w:t>
      </w:r>
      <w:r>
        <w:rPr>
          <w:rFonts w:ascii="Verdana" w:hAnsi="Verdana" w:cs="Tahoma"/>
          <w:sz w:val="16"/>
          <w:szCs w:val="16"/>
          <w:lang w:val="es-CO"/>
        </w:rPr>
        <w:t>l</w:t>
      </w:r>
      <w:r w:rsidRPr="004C3F47">
        <w:rPr>
          <w:rFonts w:ascii="Verdana" w:hAnsi="Verdana" w:cs="Tahoma"/>
          <w:sz w:val="16"/>
          <w:szCs w:val="16"/>
          <w:lang w:val="es-CO"/>
        </w:rPr>
        <w:t xml:space="preserve">a Comisión declarará inadmisible toda petición o comunicación presentada de acuerdo con los artículos 44 </w:t>
      </w:r>
      <w:proofErr w:type="spellStart"/>
      <w:r w:rsidRPr="004C3F47">
        <w:rPr>
          <w:rFonts w:ascii="Verdana" w:hAnsi="Verdana" w:cs="Tahoma"/>
          <w:sz w:val="16"/>
          <w:szCs w:val="16"/>
          <w:lang w:val="es-CO"/>
        </w:rPr>
        <w:t>ó</w:t>
      </w:r>
      <w:proofErr w:type="spellEnd"/>
      <w:r w:rsidRPr="004C3F47">
        <w:rPr>
          <w:rFonts w:ascii="Verdana" w:hAnsi="Verdana" w:cs="Tahoma"/>
          <w:sz w:val="16"/>
          <w:szCs w:val="16"/>
          <w:lang w:val="es-CO"/>
        </w:rPr>
        <w:t xml:space="preserve"> 45 cuando: a) falte alguno de los requisitos indicados en el artículo 46; b) no exponga hechos que caractericen una violación de los derechos garantizados por esta Convención; c) resulte de la exposición del propio peticionario o del Estado manifiestamente infundada la petición o comunicación o sea evidente su total improcedencia, y d) sea sustancialmente la reproducción de petición o comunicación anterior ya examinada por la Comisión u otro organismo internacional</w:t>
      </w:r>
      <w:r>
        <w:rPr>
          <w:rFonts w:ascii="Verdana" w:hAnsi="Verdana" w:cs="Tahoma"/>
          <w:sz w:val="16"/>
          <w:szCs w:val="16"/>
          <w:lang w:val="es-CO"/>
        </w:rPr>
        <w:t>”.</w:t>
      </w:r>
    </w:p>
  </w:footnote>
  <w:footnote w:id="17">
    <w:p w14:paraId="482EADB4" w14:textId="716E8E02" w:rsidR="00D86616" w:rsidRPr="00517952" w:rsidRDefault="00D86616" w:rsidP="00E677C5">
      <w:pPr>
        <w:jc w:val="both"/>
        <w:rPr>
          <w:rFonts w:ascii="Verdana" w:hAnsi="Verdana"/>
          <w:b/>
          <w:sz w:val="16"/>
          <w:szCs w:val="16"/>
          <w:lang w:val="es-CR"/>
        </w:rPr>
      </w:pPr>
      <w:r w:rsidRPr="00517952">
        <w:rPr>
          <w:rStyle w:val="FootnoteReference"/>
          <w:sz w:val="16"/>
          <w:szCs w:val="16"/>
        </w:rPr>
        <w:footnoteRef/>
      </w:r>
      <w:r w:rsidRPr="00517952">
        <w:rPr>
          <w:rFonts w:ascii="Verdana" w:hAnsi="Verdana"/>
          <w:sz w:val="16"/>
          <w:szCs w:val="16"/>
        </w:rPr>
        <w:t xml:space="preserve"> </w:t>
      </w:r>
      <w:r w:rsidRPr="00517952">
        <w:rPr>
          <w:rFonts w:ascii="Verdana" w:hAnsi="Verdana"/>
          <w:sz w:val="16"/>
          <w:szCs w:val="16"/>
        </w:rPr>
        <w:tab/>
      </w:r>
      <w:r w:rsidRPr="00517952">
        <w:rPr>
          <w:rFonts w:ascii="Verdana" w:hAnsi="Verdana"/>
          <w:i/>
          <w:sz w:val="16"/>
          <w:szCs w:val="16"/>
        </w:rPr>
        <w:t xml:space="preserve">Cfr. </w:t>
      </w:r>
      <w:r w:rsidRPr="00517952">
        <w:rPr>
          <w:rStyle w:val="Strong"/>
          <w:rFonts w:ascii="Verdana" w:hAnsi="Verdana"/>
          <w:b w:val="0"/>
          <w:i/>
          <w:color w:val="000000"/>
          <w:sz w:val="16"/>
          <w:szCs w:val="16"/>
          <w:shd w:val="clear" w:color="auto" w:fill="FFFFFF"/>
          <w:lang w:val="es-CR"/>
        </w:rPr>
        <w:t xml:space="preserve">Caso </w:t>
      </w:r>
      <w:proofErr w:type="spellStart"/>
      <w:r w:rsidRPr="00517952">
        <w:rPr>
          <w:rStyle w:val="Strong"/>
          <w:rFonts w:ascii="Verdana" w:hAnsi="Verdana"/>
          <w:b w:val="0"/>
          <w:i/>
          <w:color w:val="000000"/>
          <w:sz w:val="16"/>
          <w:szCs w:val="16"/>
          <w:shd w:val="clear" w:color="auto" w:fill="FFFFFF"/>
          <w:lang w:val="es-CR"/>
        </w:rPr>
        <w:t>Furlan</w:t>
      </w:r>
      <w:proofErr w:type="spellEnd"/>
      <w:r w:rsidRPr="00517952">
        <w:rPr>
          <w:rStyle w:val="Strong"/>
          <w:rFonts w:ascii="Verdana" w:hAnsi="Verdana"/>
          <w:b w:val="0"/>
          <w:i/>
          <w:color w:val="000000"/>
          <w:sz w:val="16"/>
          <w:szCs w:val="16"/>
          <w:shd w:val="clear" w:color="auto" w:fill="FFFFFF"/>
          <w:lang w:val="es-CR"/>
        </w:rPr>
        <w:t xml:space="preserve"> y familiares Vs. Argentina, supra, </w:t>
      </w:r>
      <w:r w:rsidRPr="00517952">
        <w:rPr>
          <w:rStyle w:val="Strong"/>
          <w:rFonts w:ascii="Verdana" w:hAnsi="Verdana"/>
          <w:b w:val="0"/>
          <w:color w:val="000000"/>
          <w:sz w:val="16"/>
          <w:szCs w:val="16"/>
          <w:shd w:val="clear" w:color="auto" w:fill="FFFFFF"/>
          <w:lang w:val="es-CR"/>
        </w:rPr>
        <w:t>párr. 52.</w:t>
      </w:r>
    </w:p>
  </w:footnote>
  <w:footnote w:id="18">
    <w:p w14:paraId="41CAA410" w14:textId="47EB954C" w:rsidR="00D86616" w:rsidRPr="00517952" w:rsidRDefault="00D86616" w:rsidP="00E677C5">
      <w:pPr>
        <w:jc w:val="both"/>
        <w:rPr>
          <w:rFonts w:ascii="Verdana" w:hAnsi="Verdana"/>
          <w:sz w:val="16"/>
          <w:szCs w:val="16"/>
          <w:lang w:val="es-CR"/>
        </w:rPr>
      </w:pPr>
      <w:r w:rsidRPr="00517952">
        <w:rPr>
          <w:rStyle w:val="FootnoteReference"/>
          <w:sz w:val="16"/>
          <w:szCs w:val="16"/>
        </w:rPr>
        <w:footnoteRef/>
      </w:r>
      <w:r w:rsidRPr="00517952">
        <w:rPr>
          <w:rFonts w:ascii="Verdana" w:hAnsi="Verdana"/>
          <w:sz w:val="16"/>
          <w:szCs w:val="16"/>
          <w:lang w:val="es-CR"/>
        </w:rPr>
        <w:t xml:space="preserve"> </w:t>
      </w:r>
      <w:r w:rsidRPr="00517952">
        <w:rPr>
          <w:rFonts w:ascii="Verdana" w:hAnsi="Verdana"/>
          <w:sz w:val="16"/>
          <w:szCs w:val="16"/>
          <w:lang w:val="es-CR"/>
        </w:rPr>
        <w:tab/>
      </w:r>
      <w:r w:rsidRPr="00517952">
        <w:rPr>
          <w:rFonts w:ascii="Verdana" w:hAnsi="Verdana"/>
          <w:i/>
          <w:sz w:val="16"/>
          <w:szCs w:val="16"/>
          <w:lang w:val="es-CR"/>
        </w:rPr>
        <w:t xml:space="preserve">Cfr. </w:t>
      </w:r>
      <w:r w:rsidRPr="00517952">
        <w:rPr>
          <w:rFonts w:ascii="Verdana" w:hAnsi="Verdana"/>
          <w:sz w:val="16"/>
          <w:szCs w:val="16"/>
          <w:lang w:val="es-CR"/>
        </w:rPr>
        <w:t>Escrito de 13 de octubre de 1993 (expediente de prueba, anexos al Informe de Fondo, f. 588).</w:t>
      </w:r>
    </w:p>
  </w:footnote>
  <w:footnote w:id="19">
    <w:p w14:paraId="1604D334" w14:textId="423AE627" w:rsidR="00D86616" w:rsidRPr="00517952" w:rsidRDefault="00D86616" w:rsidP="00E677C5">
      <w:pPr>
        <w:jc w:val="both"/>
        <w:rPr>
          <w:rFonts w:ascii="Verdana" w:hAnsi="Verdana"/>
          <w:sz w:val="16"/>
          <w:szCs w:val="16"/>
          <w:lang w:val="es-CO"/>
        </w:rPr>
      </w:pPr>
      <w:r w:rsidRPr="00517952">
        <w:rPr>
          <w:rStyle w:val="FootnoteReference"/>
          <w:sz w:val="16"/>
          <w:szCs w:val="16"/>
        </w:rPr>
        <w:footnoteRef/>
      </w:r>
      <w:r w:rsidRPr="00517952">
        <w:rPr>
          <w:rFonts w:ascii="Verdana" w:hAnsi="Verdana"/>
          <w:sz w:val="16"/>
          <w:szCs w:val="16"/>
        </w:rPr>
        <w:t xml:space="preserve"> </w:t>
      </w:r>
      <w:r w:rsidRPr="00517952">
        <w:rPr>
          <w:rFonts w:ascii="Verdana" w:hAnsi="Verdana"/>
          <w:sz w:val="16"/>
          <w:szCs w:val="16"/>
        </w:rPr>
        <w:tab/>
      </w:r>
      <w:r w:rsidRPr="00517952">
        <w:rPr>
          <w:rFonts w:ascii="Verdana" w:hAnsi="Verdana"/>
          <w:i/>
          <w:sz w:val="16"/>
          <w:szCs w:val="16"/>
        </w:rPr>
        <w:t>Cfr.</w:t>
      </w:r>
      <w:r w:rsidRPr="00517952">
        <w:rPr>
          <w:rFonts w:ascii="Verdana" w:hAnsi="Verdana"/>
          <w:sz w:val="16"/>
          <w:szCs w:val="16"/>
        </w:rPr>
        <w:t xml:space="preserve"> Observaciones de la CIDH a las Excepciones Preliminares interpuestas por el Estado </w:t>
      </w:r>
      <w:r w:rsidRPr="00517952">
        <w:rPr>
          <w:rFonts w:ascii="Verdana" w:hAnsi="Verdana"/>
          <w:sz w:val="16"/>
          <w:szCs w:val="16"/>
          <w:lang w:val="es-CO"/>
        </w:rPr>
        <w:t>(expediente de prueba, anexos al Informe de Fondo f. 361, párr. 33)</w:t>
      </w:r>
    </w:p>
  </w:footnote>
  <w:footnote w:id="20">
    <w:p w14:paraId="5227401D" w14:textId="61763182" w:rsidR="00D86616" w:rsidRPr="004C3F47" w:rsidRDefault="00D86616" w:rsidP="00E677C5">
      <w:pPr>
        <w:jc w:val="both"/>
        <w:rPr>
          <w:rFonts w:ascii="Verdana" w:hAnsi="Verdana"/>
          <w:sz w:val="16"/>
          <w:szCs w:val="16"/>
          <w:lang w:val="es-CR"/>
        </w:rPr>
      </w:pPr>
      <w:r w:rsidRPr="00517952">
        <w:rPr>
          <w:rStyle w:val="FootnoteReference"/>
          <w:sz w:val="16"/>
          <w:szCs w:val="16"/>
        </w:rPr>
        <w:footnoteRef/>
      </w:r>
      <w:r w:rsidRPr="00517952">
        <w:rPr>
          <w:rFonts w:ascii="Verdana" w:hAnsi="Verdana"/>
          <w:sz w:val="16"/>
          <w:szCs w:val="16"/>
          <w:lang w:val="es-CR"/>
        </w:rPr>
        <w:t xml:space="preserve"> </w:t>
      </w:r>
      <w:r w:rsidRPr="00517952">
        <w:rPr>
          <w:rFonts w:ascii="Verdana" w:hAnsi="Verdana"/>
          <w:sz w:val="16"/>
          <w:szCs w:val="16"/>
          <w:lang w:val="es-CR"/>
        </w:rPr>
        <w:tab/>
      </w:r>
      <w:r w:rsidRPr="00F77B70">
        <w:rPr>
          <w:rFonts w:ascii="Verdana" w:hAnsi="Verdana"/>
          <w:i/>
          <w:sz w:val="16"/>
          <w:szCs w:val="16"/>
          <w:lang w:val="es-CR"/>
        </w:rPr>
        <w:t>Cfr.</w:t>
      </w:r>
      <w:r w:rsidRPr="004C3F47">
        <w:rPr>
          <w:rFonts w:ascii="Verdana" w:hAnsi="Verdana"/>
          <w:sz w:val="16"/>
          <w:szCs w:val="16"/>
          <w:lang w:val="es-CR"/>
        </w:rPr>
        <w:t xml:space="preserve"> Escrito de 13 de octubre de 1993 (expediente de </w:t>
      </w:r>
      <w:r>
        <w:rPr>
          <w:rFonts w:ascii="Verdana" w:hAnsi="Verdana"/>
          <w:sz w:val="16"/>
          <w:szCs w:val="16"/>
          <w:lang w:val="es-CR"/>
        </w:rPr>
        <w:t>prueba, anexos</w:t>
      </w:r>
      <w:r w:rsidRPr="004C3F47">
        <w:rPr>
          <w:rFonts w:ascii="Verdana" w:hAnsi="Verdana"/>
          <w:sz w:val="16"/>
          <w:szCs w:val="16"/>
          <w:lang w:val="es-CR"/>
        </w:rPr>
        <w:t xml:space="preserve"> al </w:t>
      </w:r>
      <w:r>
        <w:rPr>
          <w:rFonts w:ascii="Verdana" w:hAnsi="Verdana"/>
          <w:sz w:val="16"/>
          <w:szCs w:val="16"/>
          <w:lang w:val="es-CR"/>
        </w:rPr>
        <w:t>I</w:t>
      </w:r>
      <w:r w:rsidRPr="004C3F47">
        <w:rPr>
          <w:rFonts w:ascii="Verdana" w:hAnsi="Verdana"/>
          <w:sz w:val="16"/>
          <w:szCs w:val="16"/>
          <w:lang w:val="es-CR"/>
        </w:rPr>
        <w:t xml:space="preserve">nforme de </w:t>
      </w:r>
      <w:r>
        <w:rPr>
          <w:rFonts w:ascii="Verdana" w:hAnsi="Verdana"/>
          <w:sz w:val="16"/>
          <w:szCs w:val="16"/>
          <w:lang w:val="es-CR"/>
        </w:rPr>
        <w:t>F</w:t>
      </w:r>
      <w:r w:rsidRPr="004C3F47">
        <w:rPr>
          <w:rFonts w:ascii="Verdana" w:hAnsi="Verdana"/>
          <w:sz w:val="16"/>
          <w:szCs w:val="16"/>
          <w:lang w:val="es-CR"/>
        </w:rPr>
        <w:t xml:space="preserve">ondo, </w:t>
      </w:r>
      <w:r w:rsidRPr="004E7321">
        <w:rPr>
          <w:rFonts w:ascii="Verdana" w:hAnsi="Verdana"/>
          <w:sz w:val="16"/>
          <w:szCs w:val="16"/>
          <w:lang w:val="es-CR"/>
        </w:rPr>
        <w:t>f.</w:t>
      </w:r>
      <w:r w:rsidRPr="004C3F47">
        <w:rPr>
          <w:rFonts w:ascii="Verdana" w:hAnsi="Verdana"/>
          <w:sz w:val="16"/>
          <w:szCs w:val="16"/>
          <w:lang w:val="es-CR"/>
        </w:rPr>
        <w:t xml:space="preserve"> 588)</w:t>
      </w:r>
      <w:r>
        <w:rPr>
          <w:rFonts w:ascii="Verdana" w:hAnsi="Verdana"/>
          <w:sz w:val="16"/>
          <w:szCs w:val="16"/>
          <w:lang w:val="es-CR"/>
        </w:rPr>
        <w:t>.</w:t>
      </w:r>
    </w:p>
  </w:footnote>
  <w:footnote w:id="21">
    <w:p w14:paraId="13090587" w14:textId="0E5635DA" w:rsidR="00D86616" w:rsidRPr="004C3F47" w:rsidRDefault="00D86616" w:rsidP="00E677C5">
      <w:pPr>
        <w:jc w:val="both"/>
        <w:rPr>
          <w:rFonts w:ascii="Verdana" w:hAnsi="Verdana"/>
          <w:sz w:val="16"/>
          <w:szCs w:val="16"/>
          <w:lang w:val="es-CR"/>
        </w:rPr>
      </w:pPr>
      <w:r w:rsidRPr="00517952">
        <w:rPr>
          <w:rStyle w:val="FootnoteReference"/>
          <w:sz w:val="16"/>
          <w:szCs w:val="16"/>
        </w:rPr>
        <w:footnoteRef/>
      </w:r>
      <w:r w:rsidRPr="006B10D1">
        <w:rPr>
          <w:rFonts w:ascii="Verdana" w:hAnsi="Verdana"/>
          <w:sz w:val="20"/>
          <w:szCs w:val="20"/>
          <w:lang w:val="es-CR"/>
        </w:rPr>
        <w:t xml:space="preserve"> </w:t>
      </w:r>
      <w:r w:rsidRPr="004C3F47">
        <w:rPr>
          <w:rFonts w:ascii="Verdana" w:hAnsi="Verdana"/>
          <w:sz w:val="16"/>
          <w:szCs w:val="16"/>
          <w:lang w:val="es-CR"/>
        </w:rPr>
        <w:tab/>
      </w:r>
      <w:r w:rsidRPr="00F77B70">
        <w:rPr>
          <w:rFonts w:ascii="Verdana" w:hAnsi="Verdana"/>
          <w:i/>
          <w:sz w:val="16"/>
          <w:szCs w:val="16"/>
          <w:lang w:val="es-CR"/>
        </w:rPr>
        <w:t>Cfr.</w:t>
      </w:r>
      <w:r w:rsidRPr="004C3F47">
        <w:rPr>
          <w:rFonts w:ascii="Verdana" w:hAnsi="Verdana"/>
          <w:sz w:val="16"/>
          <w:szCs w:val="16"/>
          <w:lang w:val="es-CR"/>
        </w:rPr>
        <w:t xml:space="preserve"> Demanda de 26 de julio de 1989 (expediente de </w:t>
      </w:r>
      <w:r>
        <w:rPr>
          <w:rFonts w:ascii="Verdana" w:hAnsi="Verdana"/>
          <w:sz w:val="16"/>
          <w:szCs w:val="16"/>
          <w:lang w:val="es-CR"/>
        </w:rPr>
        <w:t>prueba, anexos</w:t>
      </w:r>
      <w:r w:rsidRPr="004C3F47">
        <w:rPr>
          <w:rFonts w:ascii="Verdana" w:hAnsi="Verdana"/>
          <w:sz w:val="16"/>
          <w:szCs w:val="16"/>
          <w:lang w:val="es-CR"/>
        </w:rPr>
        <w:t xml:space="preserve"> al </w:t>
      </w:r>
      <w:r>
        <w:rPr>
          <w:rFonts w:ascii="Verdana" w:hAnsi="Verdana"/>
          <w:sz w:val="16"/>
          <w:szCs w:val="16"/>
          <w:lang w:val="es-CR"/>
        </w:rPr>
        <w:t>I</w:t>
      </w:r>
      <w:r w:rsidRPr="004C3F47">
        <w:rPr>
          <w:rFonts w:ascii="Verdana" w:hAnsi="Verdana"/>
          <w:sz w:val="16"/>
          <w:szCs w:val="16"/>
          <w:lang w:val="es-CR"/>
        </w:rPr>
        <w:t xml:space="preserve">nforme de </w:t>
      </w:r>
      <w:r>
        <w:rPr>
          <w:rFonts w:ascii="Verdana" w:hAnsi="Verdana"/>
          <w:sz w:val="16"/>
          <w:szCs w:val="16"/>
          <w:lang w:val="es-CR"/>
        </w:rPr>
        <w:t>F</w:t>
      </w:r>
      <w:r w:rsidRPr="004C3F47">
        <w:rPr>
          <w:rFonts w:ascii="Verdana" w:hAnsi="Verdana"/>
          <w:sz w:val="16"/>
          <w:szCs w:val="16"/>
          <w:lang w:val="es-CR"/>
        </w:rPr>
        <w:t xml:space="preserve">ondo, </w:t>
      </w:r>
      <w:proofErr w:type="spellStart"/>
      <w:r w:rsidRPr="004E7321">
        <w:rPr>
          <w:rFonts w:ascii="Verdana" w:hAnsi="Verdana"/>
          <w:sz w:val="16"/>
          <w:szCs w:val="16"/>
          <w:lang w:val="es-CR"/>
        </w:rPr>
        <w:t>f</w:t>
      </w:r>
      <w:r>
        <w:rPr>
          <w:rFonts w:ascii="Verdana" w:hAnsi="Verdana"/>
          <w:sz w:val="16"/>
          <w:szCs w:val="16"/>
          <w:lang w:val="es-CR"/>
        </w:rPr>
        <w:t>f</w:t>
      </w:r>
      <w:proofErr w:type="spellEnd"/>
      <w:r>
        <w:rPr>
          <w:rFonts w:ascii="Verdana" w:hAnsi="Verdana"/>
          <w:sz w:val="16"/>
          <w:szCs w:val="16"/>
          <w:lang w:val="es-CR"/>
        </w:rPr>
        <w:t>. 231 y</w:t>
      </w:r>
      <w:r w:rsidRPr="004C3F47">
        <w:rPr>
          <w:rFonts w:ascii="Verdana" w:hAnsi="Verdana"/>
          <w:sz w:val="16"/>
          <w:szCs w:val="16"/>
          <w:lang w:val="es-CR"/>
        </w:rPr>
        <w:t xml:space="preserve"> 232)</w:t>
      </w:r>
      <w:r>
        <w:rPr>
          <w:rFonts w:ascii="Verdana" w:hAnsi="Verdana"/>
          <w:sz w:val="16"/>
          <w:szCs w:val="16"/>
          <w:lang w:val="es-CR"/>
        </w:rPr>
        <w:t>.</w:t>
      </w:r>
    </w:p>
  </w:footnote>
  <w:footnote w:id="22">
    <w:p w14:paraId="46D38AA7" w14:textId="3F6D0507" w:rsidR="00D86616" w:rsidRPr="00801513" w:rsidRDefault="00D86616" w:rsidP="00334B6C">
      <w:pPr>
        <w:pStyle w:val="FootnoteText"/>
        <w:rPr>
          <w:lang w:val="es-MX"/>
        </w:rPr>
      </w:pPr>
      <w:r w:rsidRPr="00517952">
        <w:rPr>
          <w:rStyle w:val="FootnoteReference"/>
          <w:rFonts w:eastAsia="Calibri"/>
          <w:sz w:val="16"/>
          <w:lang w:val="es-ES_tradnl" w:eastAsia="en-US"/>
        </w:rPr>
        <w:footnoteRef/>
      </w:r>
      <w:r w:rsidRPr="006B10D1">
        <w:rPr>
          <w:rStyle w:val="FootnoteReference"/>
          <w:rFonts w:eastAsia="Calibri"/>
          <w:szCs w:val="20"/>
          <w:lang w:val="es-ES_tradnl" w:eastAsia="en-US"/>
        </w:rPr>
        <w:t xml:space="preserve"> </w:t>
      </w:r>
      <w:r>
        <w:rPr>
          <w:rFonts w:eastAsia="Calibri"/>
          <w:szCs w:val="20"/>
          <w:lang w:val="es-ES_tradnl" w:eastAsia="en-US"/>
        </w:rPr>
        <w:t xml:space="preserve">       </w:t>
      </w:r>
      <w:r w:rsidRPr="00801513">
        <w:rPr>
          <w:lang w:val="es-MX"/>
        </w:rPr>
        <w:tab/>
      </w:r>
      <w:r w:rsidRPr="00A532BE">
        <w:rPr>
          <w:i/>
          <w:lang w:val="es-MX"/>
        </w:rPr>
        <w:t>Cfr.</w:t>
      </w:r>
      <w:r w:rsidRPr="00801513">
        <w:rPr>
          <w:lang w:val="es-MX"/>
        </w:rPr>
        <w:t xml:space="preserve"> </w:t>
      </w:r>
      <w:r w:rsidRPr="00333304">
        <w:rPr>
          <w:rStyle w:val="Strong"/>
          <w:b w:val="0"/>
          <w:i/>
          <w:color w:val="000000"/>
          <w:shd w:val="clear" w:color="auto" w:fill="FFFFFF"/>
          <w:lang w:val="es-CR"/>
        </w:rPr>
        <w:t>Caso Veliz Franco y otros Vs. Guatemala.</w:t>
      </w:r>
      <w:r w:rsidRPr="004C3F47">
        <w:rPr>
          <w:rStyle w:val="Strong"/>
          <w:b w:val="0"/>
          <w:color w:val="000000"/>
          <w:shd w:val="clear" w:color="auto" w:fill="FFFFFF"/>
          <w:lang w:val="es-CR"/>
        </w:rPr>
        <w:t xml:space="preserve"> </w:t>
      </w:r>
      <w:r w:rsidRPr="00333304">
        <w:rPr>
          <w:rStyle w:val="Strong"/>
          <w:b w:val="0"/>
          <w:i/>
          <w:color w:val="000000"/>
          <w:shd w:val="clear" w:color="auto" w:fill="FFFFFF"/>
          <w:lang w:val="es-CR"/>
        </w:rPr>
        <w:t>Excepciones Preliminares, Fondo, Reparaciones y Costas.</w:t>
      </w:r>
      <w:r w:rsidRPr="004C3F47">
        <w:rPr>
          <w:rStyle w:val="Strong"/>
          <w:b w:val="0"/>
          <w:color w:val="000000"/>
          <w:shd w:val="clear" w:color="auto" w:fill="FFFFFF"/>
          <w:lang w:val="es-CR"/>
        </w:rPr>
        <w:t xml:space="preserve"> Sentencia de 19 d</w:t>
      </w:r>
      <w:r>
        <w:rPr>
          <w:rStyle w:val="Strong"/>
          <w:b w:val="0"/>
          <w:color w:val="000000"/>
          <w:shd w:val="clear" w:color="auto" w:fill="FFFFFF"/>
          <w:lang w:val="es-CR"/>
        </w:rPr>
        <w:t>e mayo de 2014. Serie C No. 277</w:t>
      </w:r>
      <w:r w:rsidRPr="004C3F47">
        <w:rPr>
          <w:rStyle w:val="Strong"/>
          <w:b w:val="0"/>
          <w:color w:val="000000"/>
          <w:shd w:val="clear" w:color="auto" w:fill="FFFFFF"/>
          <w:lang w:val="es-CR"/>
        </w:rPr>
        <w:t xml:space="preserve">, párr. 25, y </w:t>
      </w:r>
      <w:r w:rsidRPr="00333304">
        <w:rPr>
          <w:rStyle w:val="Strong"/>
          <w:b w:val="0"/>
          <w:i/>
          <w:color w:val="000000"/>
          <w:shd w:val="clear" w:color="auto" w:fill="FFFFFF"/>
          <w:lang w:val="es-CR"/>
        </w:rPr>
        <w:t>Caso I.V. Vs. Bolivia</w:t>
      </w:r>
      <w:r w:rsidRPr="004C3F47">
        <w:rPr>
          <w:rStyle w:val="Strong"/>
          <w:b w:val="0"/>
          <w:color w:val="000000"/>
          <w:shd w:val="clear" w:color="auto" w:fill="FFFFFF"/>
          <w:lang w:val="es-CR"/>
        </w:rPr>
        <w:t xml:space="preserve">. </w:t>
      </w:r>
      <w:r w:rsidRPr="00333304">
        <w:rPr>
          <w:rStyle w:val="Strong"/>
          <w:b w:val="0"/>
          <w:i/>
          <w:color w:val="000000"/>
          <w:shd w:val="clear" w:color="auto" w:fill="FFFFFF"/>
          <w:lang w:val="es-CR"/>
        </w:rPr>
        <w:t>Excepciones Preliminares, Fondo, Reparaciones y Costas.</w:t>
      </w:r>
      <w:r w:rsidRPr="004C3F47">
        <w:rPr>
          <w:rStyle w:val="Strong"/>
          <w:b w:val="0"/>
          <w:color w:val="000000"/>
          <w:shd w:val="clear" w:color="auto" w:fill="FFFFFF"/>
          <w:lang w:val="es-CR"/>
        </w:rPr>
        <w:t xml:space="preserve"> Sentencia de 30 de noviembre de 2016. Serie C No. 329, párr. 45.</w:t>
      </w:r>
    </w:p>
  </w:footnote>
  <w:footnote w:id="23">
    <w:p w14:paraId="2143C715" w14:textId="0EC7C1EB" w:rsidR="00D86616" w:rsidRPr="009E6ED2" w:rsidRDefault="00D86616" w:rsidP="006A2D03">
      <w:pPr>
        <w:pStyle w:val="FootnoteText"/>
        <w:spacing w:after="0"/>
        <w:rPr>
          <w:lang w:val="es-MX"/>
        </w:rPr>
      </w:pPr>
      <w:r w:rsidRPr="00517952">
        <w:rPr>
          <w:rStyle w:val="FootnoteReference"/>
          <w:sz w:val="16"/>
        </w:rPr>
        <w:footnoteRef/>
      </w:r>
      <w:r w:rsidRPr="009E6ED2">
        <w:rPr>
          <w:lang w:val="es-MX"/>
        </w:rPr>
        <w:t xml:space="preserve"> </w:t>
      </w:r>
      <w:r w:rsidRPr="009E6ED2">
        <w:rPr>
          <w:lang w:val="es-MX"/>
        </w:rPr>
        <w:tab/>
      </w:r>
      <w:r w:rsidRPr="009E6ED2">
        <w:rPr>
          <w:i/>
          <w:lang w:val="es-MX"/>
        </w:rPr>
        <w:t>Caso Lagos del Campo Vs. Perú</w:t>
      </w:r>
      <w:r w:rsidRPr="009E6ED2">
        <w:rPr>
          <w:lang w:val="es-MX"/>
        </w:rPr>
        <w:t xml:space="preserve">. Convocatoria a Audiencia, </w:t>
      </w:r>
      <w:r w:rsidRPr="009E6ED2">
        <w:rPr>
          <w:i/>
          <w:lang w:val="es-MX"/>
        </w:rPr>
        <w:t>supra</w:t>
      </w:r>
      <w:r w:rsidRPr="009E6ED2">
        <w:rPr>
          <w:lang w:val="es-MX"/>
        </w:rPr>
        <w:t>, párr. 9.</w:t>
      </w:r>
    </w:p>
  </w:footnote>
  <w:footnote w:id="24">
    <w:p w14:paraId="403923A8" w14:textId="1C5C95B5" w:rsidR="00D86616" w:rsidRPr="009E6ED2" w:rsidRDefault="00D86616" w:rsidP="006A2D03">
      <w:pPr>
        <w:pStyle w:val="FootnoteText"/>
        <w:spacing w:after="0"/>
        <w:rPr>
          <w:lang w:val="es-MX"/>
        </w:rPr>
      </w:pPr>
      <w:r w:rsidRPr="00517952">
        <w:rPr>
          <w:rStyle w:val="FootnoteReference"/>
          <w:sz w:val="16"/>
        </w:rPr>
        <w:footnoteRef/>
      </w:r>
      <w:r w:rsidRPr="00517952">
        <w:rPr>
          <w:lang w:val="es-MX"/>
        </w:rPr>
        <w:t xml:space="preserve"> </w:t>
      </w:r>
      <w:r w:rsidRPr="009E6ED2">
        <w:rPr>
          <w:lang w:val="es-MX"/>
        </w:rPr>
        <w:tab/>
      </w:r>
      <w:r w:rsidRPr="00A532BE">
        <w:rPr>
          <w:i/>
          <w:lang w:val="es-MX"/>
        </w:rPr>
        <w:t xml:space="preserve">Cfr. Caso Velásquez Rodríguez Vs. Honduras. Fondo. </w:t>
      </w:r>
      <w:r w:rsidRPr="009E6ED2">
        <w:rPr>
          <w:lang w:val="es-MX"/>
        </w:rPr>
        <w:t xml:space="preserve">Sentencia de 29 de julio de 1988. Serie 04, párr. 140, </w:t>
      </w:r>
      <w:r w:rsidRPr="00A532BE">
        <w:rPr>
          <w:i/>
          <w:lang w:val="es-MX"/>
        </w:rPr>
        <w:t>Caso Tenorio Roca y otros Vs. Perú, supra</w:t>
      </w:r>
      <w:r>
        <w:rPr>
          <w:i/>
          <w:lang w:val="es-MX"/>
        </w:rPr>
        <w:t>,</w:t>
      </w:r>
      <w:r w:rsidRPr="009E6ED2">
        <w:rPr>
          <w:lang w:val="es-MX"/>
        </w:rPr>
        <w:t xml:space="preserve"> párr. 36</w:t>
      </w:r>
      <w:r>
        <w:rPr>
          <w:rStyle w:val="apple-converted-space"/>
          <w:lang w:val="es-CR"/>
        </w:rPr>
        <w:t xml:space="preserve"> y </w:t>
      </w:r>
      <w:r w:rsidRPr="00333304">
        <w:rPr>
          <w:rStyle w:val="apple-converted-space"/>
          <w:i/>
          <w:lang w:val="es-CR"/>
        </w:rPr>
        <w:t>Caso Zegarra Marín Vs. Perú</w:t>
      </w:r>
      <w:r>
        <w:rPr>
          <w:rStyle w:val="apple-converted-space"/>
          <w:lang w:val="es-CR"/>
        </w:rPr>
        <w:t>,</w:t>
      </w:r>
      <w:r w:rsidRPr="00333304">
        <w:rPr>
          <w:rStyle w:val="apple-converted-space"/>
          <w:i/>
          <w:lang w:val="es-CR"/>
        </w:rPr>
        <w:t xml:space="preserve"> </w:t>
      </w:r>
      <w:r w:rsidRPr="00A532BE">
        <w:rPr>
          <w:i/>
          <w:lang w:val="es-MX"/>
        </w:rPr>
        <w:t>supra,</w:t>
      </w:r>
      <w:r>
        <w:rPr>
          <w:lang w:val="es-MX"/>
        </w:rPr>
        <w:t xml:space="preserve"> párr. 58.</w:t>
      </w:r>
    </w:p>
  </w:footnote>
  <w:footnote w:id="25">
    <w:p w14:paraId="53D859BA" w14:textId="03276EEC" w:rsidR="00D86616" w:rsidRPr="009E6ED2" w:rsidRDefault="00D86616" w:rsidP="006A2D03">
      <w:pPr>
        <w:pStyle w:val="FootnoteText"/>
        <w:spacing w:after="0"/>
        <w:rPr>
          <w:lang w:val="es-MX"/>
        </w:rPr>
      </w:pPr>
      <w:r w:rsidRPr="00517952">
        <w:rPr>
          <w:rStyle w:val="FootnoteReference"/>
          <w:sz w:val="16"/>
        </w:rPr>
        <w:footnoteRef/>
      </w:r>
      <w:r w:rsidRPr="00954C4C">
        <w:rPr>
          <w:sz w:val="20"/>
          <w:szCs w:val="20"/>
          <w:lang w:val="es-MX"/>
        </w:rPr>
        <w:t xml:space="preserve"> </w:t>
      </w:r>
      <w:r w:rsidRPr="009E6ED2">
        <w:rPr>
          <w:lang w:val="es-MX"/>
        </w:rPr>
        <w:tab/>
      </w:r>
      <w:r w:rsidRPr="009E6ED2">
        <w:rPr>
          <w:i/>
          <w:lang w:val="es-MX"/>
        </w:rPr>
        <w:t xml:space="preserve">Cfr. Caso </w:t>
      </w:r>
      <w:proofErr w:type="spellStart"/>
      <w:r w:rsidRPr="009E6ED2">
        <w:rPr>
          <w:i/>
          <w:lang w:val="es-MX"/>
        </w:rPr>
        <w:t>Reverón</w:t>
      </w:r>
      <w:proofErr w:type="spellEnd"/>
      <w:r w:rsidRPr="009E6ED2">
        <w:rPr>
          <w:i/>
          <w:lang w:val="es-MX"/>
        </w:rPr>
        <w:t xml:space="preserve"> Trujillo Vs. Venezuela. </w:t>
      </w:r>
      <w:r w:rsidRPr="009E6ED2">
        <w:rPr>
          <w:lang w:val="es-MX"/>
        </w:rPr>
        <w:t>Convocatoria a Audiencia Pública.</w:t>
      </w:r>
      <w:r w:rsidRPr="009E6ED2">
        <w:rPr>
          <w:i/>
          <w:lang w:val="es-MX"/>
        </w:rPr>
        <w:t xml:space="preserve"> </w:t>
      </w:r>
      <w:r w:rsidRPr="009E6ED2">
        <w:rPr>
          <w:lang w:val="es-MX"/>
        </w:rPr>
        <w:t>Resolución de la Presidenta de la Corte de 24 de septiembre de 2008, considerando décimo octavo</w:t>
      </w:r>
      <w:r w:rsidRPr="009E6ED2">
        <w:rPr>
          <w:i/>
          <w:lang w:val="es-MX"/>
        </w:rPr>
        <w:t xml:space="preserve"> </w:t>
      </w:r>
      <w:r w:rsidRPr="009E6ED2">
        <w:rPr>
          <w:lang w:val="es-MX"/>
        </w:rPr>
        <w:t xml:space="preserve">y </w:t>
      </w:r>
      <w:r w:rsidRPr="009E6ED2">
        <w:rPr>
          <w:bCs/>
          <w:i/>
          <w:lang w:val="es-MX"/>
        </w:rPr>
        <w:t xml:space="preserve">Caso </w:t>
      </w:r>
      <w:proofErr w:type="spellStart"/>
      <w:r w:rsidRPr="009E6ED2">
        <w:rPr>
          <w:bCs/>
          <w:i/>
          <w:lang w:val="es-MX"/>
        </w:rPr>
        <w:t>Castilllo</w:t>
      </w:r>
      <w:proofErr w:type="spellEnd"/>
      <w:r w:rsidRPr="009E6ED2">
        <w:rPr>
          <w:bCs/>
          <w:i/>
          <w:lang w:val="es-MX"/>
        </w:rPr>
        <w:t xml:space="preserve"> González y otros Vs. Venezuela. Fondo </w:t>
      </w:r>
      <w:r w:rsidRPr="009E6ED2">
        <w:rPr>
          <w:bCs/>
          <w:lang w:val="es-MX"/>
        </w:rPr>
        <w:t>Sentencia 27 de noviembre de 2012. Serie C No. 256, párr. 33</w:t>
      </w:r>
      <w:r w:rsidRPr="009E6ED2">
        <w:rPr>
          <w:bCs/>
          <w:i/>
          <w:lang w:val="es-MX"/>
        </w:rPr>
        <w:t>.</w:t>
      </w:r>
      <w:r w:rsidRPr="009E6ED2">
        <w:rPr>
          <w:bCs/>
          <w:lang w:val="es-MX"/>
        </w:rPr>
        <w:t xml:space="preserve"> </w:t>
      </w:r>
    </w:p>
  </w:footnote>
  <w:footnote w:id="26">
    <w:p w14:paraId="2DF726FD" w14:textId="443CCB50" w:rsidR="00D86616" w:rsidRPr="004C3F47" w:rsidRDefault="00D86616" w:rsidP="006A2D03">
      <w:pPr>
        <w:widowControl w:val="0"/>
        <w:suppressLineNumbers/>
        <w:tabs>
          <w:tab w:val="left" w:pos="567"/>
          <w:tab w:val="left" w:pos="709"/>
        </w:tabs>
        <w:suppressAutoHyphens/>
        <w:jc w:val="both"/>
        <w:rPr>
          <w:rFonts w:ascii="Verdana" w:hAnsi="Verdana"/>
          <w:i/>
          <w:sz w:val="16"/>
          <w:szCs w:val="16"/>
        </w:rPr>
      </w:pPr>
      <w:r w:rsidRPr="00517952">
        <w:rPr>
          <w:rStyle w:val="FootnoteReference"/>
          <w:sz w:val="16"/>
          <w:szCs w:val="16"/>
        </w:rPr>
        <w:footnoteRef/>
      </w:r>
      <w:r w:rsidRPr="00954C4C">
        <w:rPr>
          <w:rFonts w:ascii="Verdana" w:hAnsi="Verdana"/>
          <w:sz w:val="20"/>
          <w:szCs w:val="20"/>
          <w:vertAlign w:val="superscript"/>
        </w:rPr>
        <w:t xml:space="preserve"> </w:t>
      </w:r>
      <w:r w:rsidRPr="004C3F47">
        <w:rPr>
          <w:rFonts w:ascii="Verdana" w:hAnsi="Verdana"/>
          <w:sz w:val="16"/>
          <w:szCs w:val="16"/>
        </w:rPr>
        <w:tab/>
      </w:r>
      <w:r w:rsidRPr="00F77B70">
        <w:rPr>
          <w:rFonts w:ascii="Verdana" w:hAnsi="Verdana"/>
          <w:i/>
          <w:sz w:val="16"/>
          <w:szCs w:val="16"/>
        </w:rPr>
        <w:t>Cfr.</w:t>
      </w:r>
      <w:r w:rsidRPr="004C3F47">
        <w:rPr>
          <w:rFonts w:ascii="Verdana" w:hAnsi="Verdana"/>
          <w:sz w:val="16"/>
          <w:szCs w:val="16"/>
        </w:rPr>
        <w:t xml:space="preserve"> </w:t>
      </w:r>
      <w:r w:rsidRPr="004C3F47">
        <w:rPr>
          <w:rFonts w:ascii="Verdana" w:hAnsi="Verdana"/>
          <w:i/>
          <w:sz w:val="16"/>
          <w:szCs w:val="16"/>
        </w:rPr>
        <w:t xml:space="preserve">Caso de la “Panel Blanca” (Paniagua Morales y otros) Vs. Guatemala. Fondo. </w:t>
      </w:r>
      <w:r w:rsidRPr="004C3F47">
        <w:rPr>
          <w:rFonts w:ascii="Verdana" w:hAnsi="Verdana"/>
          <w:sz w:val="16"/>
          <w:szCs w:val="16"/>
        </w:rPr>
        <w:t>Sentencia de 8 de marzo de 1998. Serie C No. 37, párr. 76, y</w:t>
      </w:r>
      <w:r w:rsidRPr="004C3F47">
        <w:rPr>
          <w:rStyle w:val="apple-converted-space"/>
          <w:rFonts w:ascii="Verdana" w:hAnsi="Verdana"/>
          <w:sz w:val="16"/>
          <w:szCs w:val="16"/>
        </w:rPr>
        <w:t xml:space="preserve"> </w:t>
      </w:r>
      <w:r w:rsidRPr="004C3F47">
        <w:rPr>
          <w:rStyle w:val="apple-converted-space"/>
          <w:rFonts w:ascii="Verdana" w:hAnsi="Verdana"/>
          <w:i/>
          <w:sz w:val="16"/>
          <w:szCs w:val="16"/>
        </w:rPr>
        <w:t xml:space="preserve">Caso Tenorio Roca y otros Vs. Perú, </w:t>
      </w:r>
      <w:r w:rsidRPr="002F31BD">
        <w:rPr>
          <w:rStyle w:val="apple-converted-space"/>
          <w:rFonts w:ascii="Verdana" w:hAnsi="Verdana"/>
          <w:i/>
          <w:sz w:val="16"/>
          <w:szCs w:val="16"/>
        </w:rPr>
        <w:t>supra</w:t>
      </w:r>
      <w:r w:rsidRPr="004C3F47">
        <w:rPr>
          <w:rStyle w:val="apple-converted-space"/>
          <w:rFonts w:ascii="Verdana" w:hAnsi="Verdana"/>
          <w:i/>
          <w:sz w:val="16"/>
          <w:szCs w:val="16"/>
        </w:rPr>
        <w:t xml:space="preserve"> </w:t>
      </w:r>
      <w:r w:rsidRPr="004C3F47">
        <w:rPr>
          <w:rStyle w:val="apple-converted-space"/>
          <w:rFonts w:ascii="Verdana" w:hAnsi="Verdana"/>
          <w:sz w:val="16"/>
          <w:szCs w:val="16"/>
        </w:rPr>
        <w:t>párr. 45.</w:t>
      </w:r>
    </w:p>
  </w:footnote>
  <w:footnote w:id="27">
    <w:p w14:paraId="7D9F7965" w14:textId="1BB6E48E" w:rsidR="00D86616" w:rsidRPr="004C3F47" w:rsidRDefault="00D86616" w:rsidP="006A2D03">
      <w:pPr>
        <w:widowControl w:val="0"/>
        <w:suppressLineNumbers/>
        <w:tabs>
          <w:tab w:val="left" w:pos="567"/>
          <w:tab w:val="left" w:pos="709"/>
        </w:tabs>
        <w:suppressAutoHyphens/>
        <w:jc w:val="both"/>
        <w:rPr>
          <w:rFonts w:ascii="Verdana" w:hAnsi="Verdana"/>
          <w:sz w:val="16"/>
          <w:szCs w:val="16"/>
        </w:rPr>
      </w:pPr>
      <w:r w:rsidRPr="00517952">
        <w:rPr>
          <w:rStyle w:val="FootnoteReference"/>
          <w:sz w:val="16"/>
          <w:szCs w:val="16"/>
        </w:rPr>
        <w:footnoteRef/>
      </w:r>
      <w:r w:rsidRPr="00517952">
        <w:rPr>
          <w:rFonts w:ascii="Verdana" w:hAnsi="Verdana"/>
          <w:sz w:val="16"/>
          <w:szCs w:val="16"/>
        </w:rPr>
        <w:t xml:space="preserve"> </w:t>
      </w:r>
      <w:r w:rsidRPr="004C3F47">
        <w:rPr>
          <w:rFonts w:ascii="Verdana" w:hAnsi="Verdana"/>
          <w:sz w:val="16"/>
          <w:szCs w:val="16"/>
        </w:rPr>
        <w:tab/>
      </w:r>
      <w:r w:rsidRPr="00F77B70">
        <w:rPr>
          <w:rFonts w:ascii="Verdana" w:hAnsi="Verdana"/>
          <w:i/>
          <w:sz w:val="16"/>
          <w:szCs w:val="16"/>
        </w:rPr>
        <w:t>Cfr.</w:t>
      </w:r>
      <w:r w:rsidRPr="004C3F47">
        <w:rPr>
          <w:rFonts w:ascii="Verdana" w:hAnsi="Verdana"/>
          <w:i/>
          <w:sz w:val="16"/>
          <w:szCs w:val="16"/>
        </w:rPr>
        <w:t xml:space="preserve"> Caso Loayza Tamayo Vs. Perú. Fondo. </w:t>
      </w:r>
      <w:r w:rsidRPr="004C3F47">
        <w:rPr>
          <w:rFonts w:ascii="Verdana" w:hAnsi="Verdana"/>
          <w:sz w:val="16"/>
          <w:szCs w:val="16"/>
        </w:rPr>
        <w:t xml:space="preserve">Sentencia de 17 de septiembre de 1997. Serie C No. 33, párr. 43, y </w:t>
      </w:r>
      <w:r w:rsidRPr="00333304">
        <w:rPr>
          <w:rFonts w:ascii="Verdana" w:hAnsi="Verdana"/>
          <w:i/>
          <w:sz w:val="16"/>
          <w:szCs w:val="16"/>
        </w:rPr>
        <w:t>Caso Favela Nova Brasilia Vs. Brasil.</w:t>
      </w:r>
      <w:r w:rsidRPr="00462432">
        <w:rPr>
          <w:rFonts w:ascii="Verdana" w:hAnsi="Verdana"/>
          <w:sz w:val="16"/>
          <w:szCs w:val="16"/>
        </w:rPr>
        <w:t xml:space="preserve"> </w:t>
      </w:r>
      <w:r w:rsidRPr="00333304">
        <w:rPr>
          <w:rFonts w:ascii="Verdana" w:hAnsi="Verdana"/>
          <w:i/>
          <w:sz w:val="16"/>
          <w:szCs w:val="16"/>
        </w:rPr>
        <w:t xml:space="preserve">Excepciones Preliminares, Fondo, Reparaciones y Costas. </w:t>
      </w:r>
      <w:r>
        <w:rPr>
          <w:rFonts w:ascii="Verdana" w:hAnsi="Verdana"/>
          <w:sz w:val="16"/>
          <w:szCs w:val="16"/>
        </w:rPr>
        <w:t>Sentencia de 16 de febrero de 2017. Serie C No. 333, párr. 98.</w:t>
      </w:r>
    </w:p>
  </w:footnote>
  <w:footnote w:id="28">
    <w:p w14:paraId="5C7C1BB8" w14:textId="77777777" w:rsidR="00D86616" w:rsidRPr="004C3F47" w:rsidRDefault="00D86616" w:rsidP="006A2D03">
      <w:pPr>
        <w:autoSpaceDE w:val="0"/>
        <w:autoSpaceDN w:val="0"/>
        <w:adjustRightInd w:val="0"/>
        <w:jc w:val="both"/>
        <w:rPr>
          <w:rFonts w:ascii="Verdana" w:hAnsi="Verdana"/>
          <w:sz w:val="16"/>
          <w:szCs w:val="16"/>
        </w:rPr>
      </w:pPr>
      <w:r w:rsidRPr="00517952">
        <w:rPr>
          <w:rStyle w:val="FootnoteReference"/>
          <w:sz w:val="16"/>
          <w:szCs w:val="16"/>
        </w:rPr>
        <w:footnoteRef/>
      </w:r>
      <w:r w:rsidRPr="00954C4C">
        <w:rPr>
          <w:rFonts w:ascii="Verdana" w:hAnsi="Verdana"/>
          <w:sz w:val="20"/>
          <w:szCs w:val="20"/>
        </w:rPr>
        <w:t xml:space="preserve"> </w:t>
      </w:r>
      <w:r w:rsidRPr="004C3F47">
        <w:rPr>
          <w:rFonts w:ascii="Verdana" w:hAnsi="Verdana"/>
          <w:sz w:val="16"/>
          <w:szCs w:val="16"/>
        </w:rPr>
        <w:tab/>
        <w:t xml:space="preserve">Presidente de la República de Perú. Decreto-Ley 18350 Ley General de Industrias. 7 de julio de 1970. Disponible para consulta en: </w:t>
      </w:r>
      <w:hyperlink r:id="rId3" w:history="1">
        <w:r w:rsidRPr="004C3F47">
          <w:rPr>
            <w:rStyle w:val="Hyperlink"/>
            <w:rFonts w:ascii="Verdana" w:hAnsi="Verdana"/>
            <w:sz w:val="16"/>
            <w:szCs w:val="16"/>
          </w:rPr>
          <w:t>http://peru.justia.com/federales/decretos-leyes/18350-jul-27-1970/gdoc/</w:t>
        </w:r>
      </w:hyperlink>
      <w:r w:rsidRPr="004C3F47">
        <w:rPr>
          <w:rFonts w:ascii="Verdana" w:hAnsi="Verdana"/>
          <w:sz w:val="16"/>
          <w:szCs w:val="16"/>
        </w:rPr>
        <w:t xml:space="preserve"> </w:t>
      </w:r>
    </w:p>
  </w:footnote>
  <w:footnote w:id="29">
    <w:p w14:paraId="26E80C5C" w14:textId="38CE0519" w:rsidR="00D86616" w:rsidRPr="009E6ED2" w:rsidRDefault="00D86616" w:rsidP="006A2D03">
      <w:pPr>
        <w:pStyle w:val="FootnoteText"/>
        <w:spacing w:after="0"/>
        <w:rPr>
          <w:lang w:val="es-MX"/>
        </w:rPr>
      </w:pPr>
      <w:r w:rsidRPr="00517952">
        <w:rPr>
          <w:rStyle w:val="FootnoteReference"/>
          <w:sz w:val="16"/>
        </w:rPr>
        <w:footnoteRef/>
      </w:r>
      <w:r w:rsidRPr="00517952">
        <w:rPr>
          <w:lang w:val="es-MX"/>
        </w:rPr>
        <w:t xml:space="preserve"> </w:t>
      </w:r>
      <w:r w:rsidRPr="009E6ED2">
        <w:rPr>
          <w:lang w:val="es-MX"/>
        </w:rPr>
        <w:tab/>
        <w:t xml:space="preserve">Objetivos: a) el fortalecimiento de la empresa industrial mediante la participación de los trabajadores en la gestión, el proceso productivo, la propiedad y reinversión; b) unificación de los trabajadores en la gestión de la empresa industrial para cautelar sus derechos e intereses; c) administración de los bienes que adquiera, en beneficio de los trabajadores; y d) promoción del desarrollo social, cultural, profesional y técnico de los trabajadores. Presidente de la República de Perú. Decreto-Ley 18384 Ley General de Industrias. 1 de septiembre de 1970. Art.3 Disponible para consulta en: </w:t>
      </w:r>
      <w:hyperlink r:id="rId4" w:history="1">
        <w:r w:rsidRPr="002E34D8">
          <w:rPr>
            <w:rStyle w:val="Hyperlink"/>
            <w:lang w:val="es-MX"/>
          </w:rPr>
          <w:t>http://docs.peru.justia.com/federales/decretos-leyes/18384-sep-1-1970.pdf</w:t>
        </w:r>
      </w:hyperlink>
    </w:p>
  </w:footnote>
  <w:footnote w:id="30">
    <w:p w14:paraId="5F77499E" w14:textId="1477B133" w:rsidR="00D86616" w:rsidRPr="004C3F47" w:rsidRDefault="00D86616" w:rsidP="006A2D03">
      <w:pPr>
        <w:autoSpaceDE w:val="0"/>
        <w:autoSpaceDN w:val="0"/>
        <w:adjustRightInd w:val="0"/>
        <w:jc w:val="both"/>
        <w:rPr>
          <w:rFonts w:ascii="Verdana" w:hAnsi="Verdana"/>
          <w:sz w:val="16"/>
          <w:szCs w:val="16"/>
        </w:rPr>
      </w:pPr>
      <w:r w:rsidRPr="00517952">
        <w:rPr>
          <w:rStyle w:val="FootnoteReference"/>
          <w:sz w:val="16"/>
          <w:szCs w:val="16"/>
        </w:rPr>
        <w:footnoteRef/>
      </w:r>
      <w:r w:rsidRPr="00517952">
        <w:rPr>
          <w:rFonts w:ascii="Verdana" w:hAnsi="Verdana"/>
          <w:sz w:val="16"/>
          <w:szCs w:val="16"/>
        </w:rPr>
        <w:t xml:space="preserve"> </w:t>
      </w:r>
      <w:r w:rsidRPr="004C3F47">
        <w:rPr>
          <w:rFonts w:ascii="Verdana" w:hAnsi="Verdana"/>
          <w:sz w:val="16"/>
          <w:szCs w:val="16"/>
        </w:rPr>
        <w:tab/>
      </w:r>
      <w:r w:rsidRPr="00F77B70">
        <w:rPr>
          <w:rFonts w:ascii="Verdana" w:hAnsi="Verdana"/>
          <w:i/>
          <w:sz w:val="16"/>
          <w:szCs w:val="16"/>
        </w:rPr>
        <w:t>Cfr.</w:t>
      </w:r>
      <w:r w:rsidRPr="004C3F47">
        <w:rPr>
          <w:rFonts w:ascii="Verdana" w:hAnsi="Verdana"/>
          <w:sz w:val="16"/>
          <w:szCs w:val="16"/>
        </w:rPr>
        <w:t xml:space="preserve"> Presidente de la República de Perú. Decreto-Ley 21789. Ley de la Comunidad Industrial. 1 de febrero de 1977. Disponible para consulta: http: //www4.congreso.gob.pe/ntley/imagenes/Leyes/21789.pdf (expediente de prueba anexo 1 del Informe de Fondo, </w:t>
      </w:r>
      <w:proofErr w:type="spellStart"/>
      <w:r w:rsidRPr="004C3F47">
        <w:rPr>
          <w:rFonts w:ascii="Verdana" w:hAnsi="Verdana"/>
          <w:sz w:val="16"/>
          <w:szCs w:val="16"/>
        </w:rPr>
        <w:t>ff</w:t>
      </w:r>
      <w:proofErr w:type="spellEnd"/>
      <w:r w:rsidRPr="004C3F47">
        <w:rPr>
          <w:rFonts w:ascii="Verdana" w:hAnsi="Verdana"/>
          <w:sz w:val="16"/>
          <w:szCs w:val="16"/>
        </w:rPr>
        <w:t>. 5bis a 14bis).</w:t>
      </w:r>
    </w:p>
  </w:footnote>
  <w:footnote w:id="31">
    <w:p w14:paraId="7E502329" w14:textId="526AD3A2" w:rsidR="00D86616" w:rsidRPr="004C3F47" w:rsidRDefault="00D86616" w:rsidP="006A2D03">
      <w:pPr>
        <w:autoSpaceDE w:val="0"/>
        <w:autoSpaceDN w:val="0"/>
        <w:adjustRightInd w:val="0"/>
        <w:jc w:val="both"/>
        <w:rPr>
          <w:rFonts w:ascii="Verdana" w:hAnsi="Verdana"/>
          <w:sz w:val="16"/>
          <w:szCs w:val="16"/>
        </w:rPr>
      </w:pPr>
      <w:r w:rsidRPr="00517952">
        <w:rPr>
          <w:rStyle w:val="FootnoteReference"/>
          <w:sz w:val="16"/>
          <w:szCs w:val="16"/>
        </w:rPr>
        <w:footnoteRef/>
      </w:r>
      <w:r w:rsidRPr="004C3F47">
        <w:rPr>
          <w:rFonts w:ascii="Verdana" w:hAnsi="Verdana"/>
          <w:sz w:val="16"/>
          <w:szCs w:val="16"/>
        </w:rPr>
        <w:t xml:space="preserve"> </w:t>
      </w:r>
      <w:r w:rsidRPr="004C3F47">
        <w:rPr>
          <w:rFonts w:ascii="Verdana" w:hAnsi="Verdana"/>
          <w:sz w:val="16"/>
          <w:szCs w:val="16"/>
        </w:rPr>
        <w:tab/>
        <w:t>El Artículo 1</w:t>
      </w:r>
      <w:r w:rsidRPr="004C3F47">
        <w:rPr>
          <w:rStyle w:val="st1"/>
          <w:rFonts w:ascii="Verdana" w:hAnsi="Verdana" w:cs="Arial"/>
          <w:color w:val="000000"/>
          <w:sz w:val="16"/>
          <w:szCs w:val="16"/>
        </w:rPr>
        <w:t>º</w:t>
      </w:r>
      <w:r w:rsidRPr="004C3F47">
        <w:rPr>
          <w:rFonts w:ascii="Verdana" w:hAnsi="Verdana"/>
          <w:color w:val="000000"/>
          <w:sz w:val="16"/>
          <w:szCs w:val="16"/>
        </w:rPr>
        <w:t xml:space="preserve"> </w:t>
      </w:r>
      <w:r w:rsidRPr="004C3F47">
        <w:rPr>
          <w:rFonts w:ascii="Verdana" w:hAnsi="Verdana"/>
          <w:sz w:val="16"/>
          <w:szCs w:val="16"/>
        </w:rPr>
        <w:t>del Decreto-Ley vigente en la época de los hechos establecía lo siguiente:</w:t>
      </w:r>
      <w:r w:rsidRPr="004C3F47">
        <w:rPr>
          <w:rFonts w:ascii="Verdana" w:hAnsi="Verdana"/>
          <w:color w:val="000000"/>
          <w:sz w:val="16"/>
          <w:szCs w:val="16"/>
        </w:rPr>
        <w:t xml:space="preserve"> </w:t>
      </w:r>
      <w:r w:rsidRPr="004C3F47">
        <w:rPr>
          <w:rFonts w:ascii="Verdana" w:hAnsi="Verdana"/>
          <w:sz w:val="16"/>
          <w:szCs w:val="16"/>
        </w:rPr>
        <w:t>“</w:t>
      </w:r>
      <w:r w:rsidRPr="004C3F47">
        <w:rPr>
          <w:rFonts w:ascii="Verdana" w:hAnsi="Verdana"/>
          <w:color w:val="000000"/>
          <w:sz w:val="16"/>
          <w:szCs w:val="16"/>
        </w:rPr>
        <w:t>Artículo 1</w:t>
      </w:r>
      <w:r w:rsidRPr="004C3F47">
        <w:rPr>
          <w:rStyle w:val="st1"/>
          <w:rFonts w:ascii="Verdana" w:hAnsi="Verdana" w:cs="Arial"/>
          <w:color w:val="000000"/>
          <w:sz w:val="16"/>
          <w:szCs w:val="16"/>
        </w:rPr>
        <w:t>º</w:t>
      </w:r>
      <w:r w:rsidRPr="004C3F47">
        <w:rPr>
          <w:rFonts w:ascii="Verdana" w:hAnsi="Verdana"/>
          <w:color w:val="000000"/>
          <w:sz w:val="16"/>
          <w:szCs w:val="16"/>
        </w:rPr>
        <w:t xml:space="preserve"> – La Comunidad Industrial de una empresa industrial del Sector Privado Reformado, está conformada por todos los trabajadores estables que laboran en ella, los que participan en su propiedad, gestión y utilidades. La Comunidad Industrial es persona jurídica de derecho privado y se rige por lo dispuesto en la presente Ley y las demás que le sean aplicables</w:t>
      </w:r>
      <w:r w:rsidRPr="004C3F47">
        <w:rPr>
          <w:rFonts w:ascii="Verdana" w:eastAsia="Times New Roman" w:hAnsi="Verdana" w:cs="Arial"/>
          <w:iCs/>
          <w:color w:val="000000"/>
          <w:sz w:val="16"/>
          <w:szCs w:val="16"/>
          <w:lang w:eastAsia="es-CR"/>
        </w:rPr>
        <w:t>”</w:t>
      </w:r>
      <w:r>
        <w:rPr>
          <w:rFonts w:ascii="Verdana" w:eastAsia="Times New Roman" w:hAnsi="Verdana" w:cs="Arial"/>
          <w:iCs/>
          <w:color w:val="000000"/>
          <w:sz w:val="16"/>
          <w:szCs w:val="16"/>
          <w:lang w:eastAsia="es-CR"/>
        </w:rPr>
        <w:t>.</w:t>
      </w:r>
    </w:p>
  </w:footnote>
  <w:footnote w:id="32">
    <w:p w14:paraId="6361EA42" w14:textId="4ED5BF01" w:rsidR="00D86616" w:rsidRPr="004C3F47" w:rsidRDefault="00D86616" w:rsidP="006A2D03">
      <w:pPr>
        <w:contextualSpacing/>
        <w:jc w:val="both"/>
        <w:rPr>
          <w:rFonts w:ascii="Verdana" w:hAnsi="Verdana"/>
          <w:color w:val="000000"/>
          <w:sz w:val="16"/>
          <w:szCs w:val="16"/>
        </w:rPr>
      </w:pPr>
      <w:r w:rsidRPr="00517952">
        <w:rPr>
          <w:rStyle w:val="FootnoteReference"/>
          <w:sz w:val="16"/>
          <w:szCs w:val="16"/>
        </w:rPr>
        <w:footnoteRef/>
      </w:r>
      <w:r w:rsidRPr="004C3F47">
        <w:rPr>
          <w:rFonts w:ascii="Verdana" w:hAnsi="Verdana"/>
          <w:sz w:val="16"/>
          <w:szCs w:val="16"/>
        </w:rPr>
        <w:t xml:space="preserve"> </w:t>
      </w:r>
      <w:r w:rsidRPr="004C3F47">
        <w:rPr>
          <w:rFonts w:ascii="Verdana" w:hAnsi="Verdana"/>
          <w:sz w:val="16"/>
          <w:szCs w:val="16"/>
        </w:rPr>
        <w:tab/>
        <w:t xml:space="preserve">La legislación dispone que la empresa industrial deducirá anualmente el quince por ciento de su Renta </w:t>
      </w:r>
      <w:r w:rsidRPr="004C3F47">
        <w:rPr>
          <w:rFonts w:ascii="Verdana" w:hAnsi="Verdana" w:cs="Arial"/>
          <w:i/>
          <w:iCs/>
          <w:sz w:val="16"/>
          <w:szCs w:val="16"/>
        </w:rPr>
        <w:t xml:space="preserve">Neta, </w:t>
      </w:r>
      <w:r w:rsidRPr="004C3F47">
        <w:rPr>
          <w:rFonts w:ascii="Verdana" w:hAnsi="Verdana"/>
          <w:sz w:val="16"/>
          <w:szCs w:val="16"/>
        </w:rPr>
        <w:t>libre de impuestos, para la formación del patrimonio de sus trabajadores y para aportar recursos a la Comunidad Industrial hasta alcanzar una suma equivalente al cincuenta por ciento del monto del Capital Social de la Empresa: “</w:t>
      </w:r>
      <w:r w:rsidRPr="004C3F47">
        <w:rPr>
          <w:rFonts w:ascii="Verdana" w:hAnsi="Verdana"/>
          <w:color w:val="000000"/>
          <w:sz w:val="16"/>
          <w:szCs w:val="16"/>
        </w:rPr>
        <w:t>Artículo 38</w:t>
      </w:r>
      <w:r w:rsidRPr="004C3F47">
        <w:rPr>
          <w:rStyle w:val="st1"/>
          <w:rFonts w:ascii="Verdana" w:hAnsi="Verdana" w:cs="Arial"/>
          <w:color w:val="000000"/>
          <w:sz w:val="16"/>
          <w:szCs w:val="16"/>
        </w:rPr>
        <w:t>º</w:t>
      </w:r>
      <w:r w:rsidRPr="004C3F47">
        <w:rPr>
          <w:rFonts w:ascii="Verdana" w:hAnsi="Verdana"/>
          <w:color w:val="000000"/>
          <w:sz w:val="16"/>
          <w:szCs w:val="16"/>
        </w:rPr>
        <w:t xml:space="preserve"> – La empresa industrial deducirá anualmente el quince por ciento (15%) de su Renta Neta, libre de impuestos, para la formación del patrimonio de sus trabajadores y para aportar recursos a la Comunidad Industrial de la siguiente forma: a) Trece y medio por ciento (13.5%) de la Renta neta para la formación e incremento del patrimonio de los trabajadores de acuerdo a las alternativas de inversión enunciadas en el Artículo 40</w:t>
      </w:r>
      <w:r w:rsidRPr="004C3F47">
        <w:rPr>
          <w:rStyle w:val="st1"/>
          <w:rFonts w:ascii="Verdana" w:hAnsi="Verdana" w:cs="Arial"/>
          <w:color w:val="000000"/>
          <w:sz w:val="16"/>
          <w:szCs w:val="16"/>
        </w:rPr>
        <w:t>º</w:t>
      </w:r>
      <w:r w:rsidRPr="004C3F47">
        <w:rPr>
          <w:rFonts w:ascii="Verdana" w:hAnsi="Verdana"/>
          <w:color w:val="000000"/>
          <w:sz w:val="16"/>
          <w:szCs w:val="16"/>
        </w:rPr>
        <w:t xml:space="preserve"> de la presente Ley, hasta alcanzar una suma equivalente al cincuenta por ciento (50%) del monto del Capital Social de la empresa. El cumplimiento de lo dispuesto en el presente inciso se efectuará de acuerdo a los dispositivos reglamentarios correspondientes a cada alternativa de inversión; b) Uno y medio por ciento (1.5%) de la Renta neta para formar y fortalecer el patrimonio de la Comunidad Industrial, el cual será presentado a esta en efectivo dentro de los treinta (30) días del presentado el Balance del Ejercicio a la autoridad fiscal. Artículo 39</w:t>
      </w:r>
      <w:r w:rsidRPr="004C3F47">
        <w:rPr>
          <w:rStyle w:val="st1"/>
          <w:rFonts w:ascii="Verdana" w:hAnsi="Verdana" w:cs="Arial"/>
          <w:color w:val="000000"/>
          <w:sz w:val="16"/>
          <w:szCs w:val="16"/>
        </w:rPr>
        <w:t>º</w:t>
      </w:r>
      <w:r w:rsidRPr="004C3F47">
        <w:rPr>
          <w:rFonts w:ascii="Verdana" w:hAnsi="Verdana"/>
          <w:color w:val="000000"/>
          <w:sz w:val="16"/>
          <w:szCs w:val="16"/>
        </w:rPr>
        <w:t xml:space="preserve"> – Cuando el monto de la Cuenta Participación Patrimonial del Trabajo, cuya composición se establece en el artículo siguiente, alcance una cifra equivalente al cincuenta por ciento (50%) del monto del Capital Social de la empresa, salvo el caso del Artículo 53, se deducirá únicamente el uno y medio por ciento (1.5%) de la Renta neta a que se refiere el inciso b) del artículo anterior. En casos de aumento del Capital Social no comprendidos en el párrafo siguiente, o cuando por redención de los diferentes valores que constituyen la Cuenta Participación Patrimonial del Trabajo, esta sume cifra inferior al cincuenta por ciento (50%) del Capital Social, la empresa volverá a deducir parte o la totalidad del porcentaje a que se refiere el inciso a) del Artículo 38</w:t>
      </w:r>
      <w:r w:rsidRPr="004C3F47">
        <w:rPr>
          <w:rStyle w:val="st1"/>
          <w:rFonts w:ascii="Verdana" w:hAnsi="Verdana" w:cs="Arial"/>
          <w:color w:val="000000"/>
          <w:sz w:val="16"/>
          <w:szCs w:val="16"/>
        </w:rPr>
        <w:t>º</w:t>
      </w:r>
      <w:r w:rsidRPr="004C3F47">
        <w:rPr>
          <w:rFonts w:ascii="Verdana" w:hAnsi="Verdana"/>
          <w:color w:val="000000"/>
          <w:sz w:val="16"/>
          <w:szCs w:val="16"/>
        </w:rPr>
        <w:t xml:space="preserve"> hasta que el monto de dicha cuenta alcance nuevamente una suma equivalente al cincuenta por ciento (50%) del Capital Social. Cuando el aumento del Capital Social se efectúe por revalorización del patrimonio o capitalización de reservas, la empresa emitirá Acciones Laborales por un monto proporcional al grado de propiedad que sobre el patrimonio de la empresa posean los trabajadores al momento del aumento del capital, distribuyéndolas entre ellos en la proporción que corresponda</w:t>
      </w:r>
      <w:r w:rsidRPr="004C3F47">
        <w:rPr>
          <w:rFonts w:ascii="Verdana" w:eastAsia="Times New Roman" w:hAnsi="Verdana" w:cs="Arial"/>
          <w:iCs/>
          <w:color w:val="000000"/>
          <w:sz w:val="16"/>
          <w:szCs w:val="16"/>
          <w:lang w:eastAsia="es-CR"/>
        </w:rPr>
        <w:t>”</w:t>
      </w:r>
      <w:r>
        <w:rPr>
          <w:rFonts w:ascii="Verdana" w:eastAsia="Times New Roman" w:hAnsi="Verdana" w:cs="Arial"/>
          <w:iCs/>
          <w:color w:val="000000"/>
          <w:sz w:val="16"/>
          <w:szCs w:val="16"/>
          <w:lang w:eastAsia="es-CR"/>
        </w:rPr>
        <w:t>.</w:t>
      </w:r>
      <w:r w:rsidRPr="004C3F47">
        <w:rPr>
          <w:rFonts w:ascii="Verdana" w:hAnsi="Verdana"/>
          <w:color w:val="000000"/>
          <w:sz w:val="16"/>
          <w:szCs w:val="16"/>
        </w:rPr>
        <w:t xml:space="preserve"> </w:t>
      </w:r>
    </w:p>
  </w:footnote>
  <w:footnote w:id="33">
    <w:p w14:paraId="3E64C450" w14:textId="6650A896" w:rsidR="00D86616" w:rsidRPr="00333304" w:rsidRDefault="00D86616" w:rsidP="006A2D03">
      <w:pPr>
        <w:autoSpaceDE w:val="0"/>
        <w:autoSpaceDN w:val="0"/>
        <w:adjustRightInd w:val="0"/>
        <w:jc w:val="both"/>
        <w:rPr>
          <w:rFonts w:ascii="Verdana" w:hAnsi="Verdana"/>
          <w:strike/>
          <w:sz w:val="16"/>
          <w:szCs w:val="16"/>
        </w:rPr>
      </w:pPr>
      <w:r w:rsidRPr="004C3F47">
        <w:rPr>
          <w:rStyle w:val="FootnoteReference"/>
          <w:sz w:val="16"/>
          <w:szCs w:val="16"/>
        </w:rPr>
        <w:footnoteRef/>
      </w:r>
      <w:r w:rsidRPr="004C3F47">
        <w:rPr>
          <w:rFonts w:ascii="Verdana" w:hAnsi="Verdana"/>
          <w:sz w:val="16"/>
          <w:szCs w:val="16"/>
        </w:rPr>
        <w:t xml:space="preserve"> </w:t>
      </w:r>
      <w:r w:rsidRPr="004C3F47">
        <w:rPr>
          <w:rFonts w:ascii="Verdana" w:hAnsi="Verdana"/>
          <w:sz w:val="16"/>
          <w:szCs w:val="16"/>
        </w:rPr>
        <w:tab/>
        <w:t>Artículo 3</w:t>
      </w:r>
      <w:r w:rsidRPr="004C3F47">
        <w:rPr>
          <w:rStyle w:val="st1"/>
          <w:rFonts w:ascii="Verdana" w:hAnsi="Verdana" w:cs="Arial"/>
          <w:color w:val="000000"/>
          <w:sz w:val="16"/>
          <w:szCs w:val="16"/>
        </w:rPr>
        <w:t>º</w:t>
      </w:r>
      <w:r w:rsidRPr="004C3F47">
        <w:rPr>
          <w:rFonts w:ascii="Verdana" w:hAnsi="Verdana"/>
          <w:color w:val="000000"/>
          <w:sz w:val="16"/>
          <w:szCs w:val="16"/>
        </w:rPr>
        <w:t xml:space="preserve"> </w:t>
      </w:r>
      <w:r w:rsidRPr="004C3F47">
        <w:rPr>
          <w:rFonts w:ascii="Verdana" w:hAnsi="Verdana"/>
          <w:sz w:val="16"/>
          <w:szCs w:val="16"/>
        </w:rPr>
        <w:t>del Decreto-Ley vigente en la época de los hechos</w:t>
      </w:r>
      <w:r>
        <w:rPr>
          <w:rFonts w:ascii="Verdana" w:hAnsi="Verdana"/>
          <w:sz w:val="16"/>
          <w:szCs w:val="16"/>
        </w:rPr>
        <w:t>.</w:t>
      </w:r>
    </w:p>
  </w:footnote>
  <w:footnote w:id="34">
    <w:p w14:paraId="3EFC4669" w14:textId="3CFA0BB2" w:rsidR="00D86616" w:rsidRPr="00333304" w:rsidRDefault="00D86616" w:rsidP="006A2D03">
      <w:pPr>
        <w:autoSpaceDE w:val="0"/>
        <w:autoSpaceDN w:val="0"/>
        <w:adjustRightInd w:val="0"/>
        <w:jc w:val="both"/>
        <w:rPr>
          <w:rFonts w:ascii="Verdana" w:hAnsi="Verdana"/>
          <w:strike/>
          <w:sz w:val="16"/>
          <w:szCs w:val="16"/>
        </w:rPr>
      </w:pPr>
      <w:r w:rsidRPr="004C3F47">
        <w:rPr>
          <w:rStyle w:val="FootnoteReference"/>
          <w:sz w:val="16"/>
          <w:szCs w:val="16"/>
        </w:rPr>
        <w:footnoteRef/>
      </w:r>
      <w:r w:rsidRPr="004C3F47">
        <w:rPr>
          <w:rFonts w:ascii="Verdana" w:hAnsi="Verdana"/>
          <w:sz w:val="16"/>
          <w:szCs w:val="16"/>
        </w:rPr>
        <w:t xml:space="preserve"> </w:t>
      </w:r>
      <w:r w:rsidRPr="004C3F47">
        <w:rPr>
          <w:rFonts w:ascii="Verdana" w:hAnsi="Verdana"/>
          <w:sz w:val="16"/>
          <w:szCs w:val="16"/>
        </w:rPr>
        <w:tab/>
        <w:t>Artículo 2</w:t>
      </w:r>
      <w:r w:rsidRPr="004C3F47">
        <w:rPr>
          <w:rStyle w:val="st1"/>
          <w:rFonts w:ascii="Verdana" w:hAnsi="Verdana" w:cs="Arial"/>
          <w:color w:val="000000"/>
          <w:sz w:val="16"/>
          <w:szCs w:val="16"/>
        </w:rPr>
        <w:t>º</w:t>
      </w:r>
      <w:r w:rsidRPr="004C3F47">
        <w:rPr>
          <w:rFonts w:ascii="Verdana" w:hAnsi="Verdana"/>
          <w:color w:val="000000"/>
          <w:sz w:val="16"/>
          <w:szCs w:val="16"/>
        </w:rPr>
        <w:t xml:space="preserve"> </w:t>
      </w:r>
      <w:r w:rsidRPr="004C3F47">
        <w:rPr>
          <w:rFonts w:ascii="Verdana" w:hAnsi="Verdana"/>
          <w:sz w:val="16"/>
          <w:szCs w:val="16"/>
        </w:rPr>
        <w:t>del Decreto-Ley vigente en la época de los hechos</w:t>
      </w:r>
      <w:r>
        <w:rPr>
          <w:rFonts w:ascii="Verdana" w:hAnsi="Verdana"/>
          <w:sz w:val="16"/>
          <w:szCs w:val="16"/>
        </w:rPr>
        <w:t>.</w:t>
      </w:r>
      <w:r w:rsidRPr="004C3F47">
        <w:rPr>
          <w:rFonts w:ascii="Verdana" w:hAnsi="Verdana"/>
          <w:sz w:val="16"/>
          <w:szCs w:val="16"/>
        </w:rPr>
        <w:t xml:space="preserve"> </w:t>
      </w:r>
    </w:p>
  </w:footnote>
  <w:footnote w:id="35">
    <w:p w14:paraId="6F260ED8" w14:textId="34A349C6" w:rsidR="00D86616" w:rsidRPr="00333304" w:rsidRDefault="00D86616" w:rsidP="006A2D03">
      <w:pPr>
        <w:autoSpaceDE w:val="0"/>
        <w:autoSpaceDN w:val="0"/>
        <w:adjustRightInd w:val="0"/>
        <w:jc w:val="both"/>
        <w:rPr>
          <w:rFonts w:ascii="Verdana" w:hAnsi="Verdana"/>
          <w:strike/>
          <w:sz w:val="16"/>
          <w:szCs w:val="16"/>
        </w:rPr>
      </w:pPr>
      <w:r w:rsidRPr="004C3F47">
        <w:rPr>
          <w:rStyle w:val="FootnoteReference"/>
          <w:sz w:val="16"/>
          <w:szCs w:val="16"/>
        </w:rPr>
        <w:footnoteRef/>
      </w:r>
      <w:r w:rsidRPr="004C3F47">
        <w:rPr>
          <w:rFonts w:ascii="Verdana" w:hAnsi="Verdana"/>
          <w:sz w:val="16"/>
          <w:szCs w:val="16"/>
        </w:rPr>
        <w:t xml:space="preserve"> </w:t>
      </w:r>
      <w:r w:rsidRPr="004C3F47">
        <w:rPr>
          <w:rFonts w:ascii="Verdana" w:hAnsi="Verdana"/>
          <w:sz w:val="16"/>
          <w:szCs w:val="16"/>
        </w:rPr>
        <w:tab/>
        <w:t>Artículo 20</w:t>
      </w:r>
      <w:r w:rsidRPr="004C3F47">
        <w:rPr>
          <w:rStyle w:val="st1"/>
          <w:rFonts w:ascii="Verdana" w:hAnsi="Verdana" w:cs="Arial"/>
          <w:color w:val="000000"/>
          <w:sz w:val="16"/>
          <w:szCs w:val="16"/>
        </w:rPr>
        <w:t>º</w:t>
      </w:r>
      <w:r w:rsidRPr="004C3F47">
        <w:rPr>
          <w:rFonts w:ascii="Verdana" w:hAnsi="Verdana"/>
          <w:color w:val="000000"/>
          <w:sz w:val="16"/>
          <w:szCs w:val="16"/>
        </w:rPr>
        <w:t xml:space="preserve"> </w:t>
      </w:r>
      <w:r w:rsidRPr="004C3F47">
        <w:rPr>
          <w:rFonts w:ascii="Verdana" w:hAnsi="Verdana"/>
          <w:sz w:val="16"/>
          <w:szCs w:val="16"/>
        </w:rPr>
        <w:t>del Decreto-Ley vigente en la época de los hechos</w:t>
      </w:r>
      <w:r>
        <w:rPr>
          <w:rFonts w:ascii="Verdana" w:hAnsi="Verdana"/>
          <w:sz w:val="16"/>
          <w:szCs w:val="16"/>
        </w:rPr>
        <w:t>.</w:t>
      </w:r>
      <w:r w:rsidRPr="004C3F47">
        <w:rPr>
          <w:rFonts w:ascii="Verdana" w:hAnsi="Verdana"/>
          <w:sz w:val="16"/>
          <w:szCs w:val="16"/>
        </w:rPr>
        <w:t xml:space="preserve"> </w:t>
      </w:r>
    </w:p>
  </w:footnote>
  <w:footnote w:id="36">
    <w:p w14:paraId="22147978" w14:textId="1578A96A" w:rsidR="00D86616" w:rsidRPr="004C3F47" w:rsidRDefault="00D86616" w:rsidP="006A2D03">
      <w:pPr>
        <w:autoSpaceDE w:val="0"/>
        <w:autoSpaceDN w:val="0"/>
        <w:adjustRightInd w:val="0"/>
        <w:jc w:val="both"/>
        <w:rPr>
          <w:rFonts w:ascii="Verdana" w:hAnsi="Verdana"/>
          <w:sz w:val="16"/>
          <w:szCs w:val="16"/>
        </w:rPr>
      </w:pPr>
      <w:r w:rsidRPr="004C3F47">
        <w:rPr>
          <w:rStyle w:val="FootnoteReference"/>
          <w:sz w:val="16"/>
          <w:szCs w:val="16"/>
        </w:rPr>
        <w:footnoteRef/>
      </w:r>
      <w:r w:rsidRPr="004C3F47">
        <w:rPr>
          <w:rFonts w:ascii="Verdana" w:hAnsi="Verdana"/>
          <w:sz w:val="16"/>
          <w:szCs w:val="16"/>
        </w:rPr>
        <w:t xml:space="preserve"> </w:t>
      </w:r>
      <w:r w:rsidRPr="004C3F47">
        <w:rPr>
          <w:rFonts w:ascii="Verdana" w:hAnsi="Verdana"/>
          <w:sz w:val="16"/>
          <w:szCs w:val="16"/>
        </w:rPr>
        <w:tab/>
        <w:t>Artículo 29</w:t>
      </w:r>
      <w:r w:rsidRPr="004C3F47">
        <w:rPr>
          <w:rStyle w:val="st1"/>
          <w:rFonts w:ascii="Verdana" w:hAnsi="Verdana" w:cs="Arial"/>
          <w:color w:val="000000"/>
          <w:sz w:val="16"/>
          <w:szCs w:val="16"/>
        </w:rPr>
        <w:t>º</w:t>
      </w:r>
      <w:r w:rsidRPr="004C3F47">
        <w:rPr>
          <w:rFonts w:ascii="Verdana" w:hAnsi="Verdana"/>
          <w:color w:val="000000"/>
          <w:sz w:val="16"/>
          <w:szCs w:val="16"/>
        </w:rPr>
        <w:t xml:space="preserve"> </w:t>
      </w:r>
      <w:r w:rsidRPr="004C3F47">
        <w:rPr>
          <w:rFonts w:ascii="Verdana" w:hAnsi="Verdana"/>
          <w:sz w:val="16"/>
          <w:szCs w:val="16"/>
        </w:rPr>
        <w:t>del Decreto-Ley vigente en la época de los hechos</w:t>
      </w:r>
      <w:r>
        <w:rPr>
          <w:rFonts w:ascii="Verdana" w:hAnsi="Verdana"/>
          <w:sz w:val="16"/>
          <w:szCs w:val="16"/>
        </w:rPr>
        <w:t>.</w:t>
      </w:r>
      <w:r w:rsidRPr="004C3F47">
        <w:rPr>
          <w:rFonts w:ascii="Verdana" w:hAnsi="Verdana"/>
          <w:sz w:val="16"/>
          <w:szCs w:val="16"/>
        </w:rPr>
        <w:t xml:space="preserve"> </w:t>
      </w:r>
    </w:p>
  </w:footnote>
  <w:footnote w:id="37">
    <w:p w14:paraId="0684B3F5" w14:textId="70ABD031" w:rsidR="00D86616" w:rsidRPr="00333304" w:rsidRDefault="00D86616" w:rsidP="006A2D03">
      <w:pPr>
        <w:autoSpaceDE w:val="0"/>
        <w:autoSpaceDN w:val="0"/>
        <w:adjustRightInd w:val="0"/>
        <w:jc w:val="both"/>
        <w:rPr>
          <w:rFonts w:ascii="Verdana" w:eastAsia="Times New Roman" w:hAnsi="Verdana" w:cs="Arial"/>
          <w:iCs/>
          <w:strike/>
          <w:color w:val="000000"/>
          <w:sz w:val="16"/>
          <w:szCs w:val="16"/>
          <w:lang w:eastAsia="es-CR"/>
        </w:rPr>
      </w:pPr>
      <w:r w:rsidRPr="004C3F47">
        <w:rPr>
          <w:rStyle w:val="FootnoteReference"/>
          <w:sz w:val="16"/>
          <w:szCs w:val="16"/>
        </w:rPr>
        <w:footnoteRef/>
      </w:r>
      <w:r w:rsidRPr="004C3F47">
        <w:rPr>
          <w:rFonts w:ascii="Verdana" w:hAnsi="Verdana"/>
          <w:sz w:val="16"/>
          <w:szCs w:val="16"/>
        </w:rPr>
        <w:t xml:space="preserve"> </w:t>
      </w:r>
      <w:r w:rsidRPr="004C3F47">
        <w:rPr>
          <w:rFonts w:ascii="Verdana" w:hAnsi="Verdana"/>
          <w:sz w:val="16"/>
          <w:szCs w:val="16"/>
        </w:rPr>
        <w:tab/>
        <w:t>Artículo 33</w:t>
      </w:r>
      <w:r w:rsidRPr="004C3F47">
        <w:rPr>
          <w:rStyle w:val="st1"/>
          <w:rFonts w:ascii="Verdana" w:hAnsi="Verdana" w:cs="Arial"/>
          <w:color w:val="000000"/>
          <w:sz w:val="16"/>
          <w:szCs w:val="16"/>
        </w:rPr>
        <w:t>º</w:t>
      </w:r>
      <w:r w:rsidRPr="004C3F47">
        <w:rPr>
          <w:rFonts w:ascii="Verdana" w:hAnsi="Verdana"/>
          <w:color w:val="000000"/>
          <w:sz w:val="16"/>
          <w:szCs w:val="16"/>
        </w:rPr>
        <w:t xml:space="preserve"> </w:t>
      </w:r>
      <w:r w:rsidRPr="004C3F47">
        <w:rPr>
          <w:rFonts w:ascii="Verdana" w:hAnsi="Verdana"/>
          <w:sz w:val="16"/>
          <w:szCs w:val="16"/>
        </w:rPr>
        <w:t>del Decreto-Ley vigente en la época de los hechos</w:t>
      </w:r>
      <w:r>
        <w:rPr>
          <w:rFonts w:ascii="Verdana" w:hAnsi="Verdana"/>
          <w:sz w:val="16"/>
          <w:szCs w:val="16"/>
        </w:rPr>
        <w:t>.</w:t>
      </w:r>
      <w:r w:rsidRPr="004C3F47">
        <w:rPr>
          <w:rFonts w:ascii="Verdana" w:hAnsi="Verdana"/>
          <w:sz w:val="16"/>
          <w:szCs w:val="16"/>
        </w:rPr>
        <w:t xml:space="preserve"> </w:t>
      </w:r>
    </w:p>
  </w:footnote>
  <w:footnote w:id="38">
    <w:p w14:paraId="2BF87CCC" w14:textId="5304FB26" w:rsidR="00D86616" w:rsidRPr="00333304" w:rsidRDefault="00D86616" w:rsidP="006A2D03">
      <w:pPr>
        <w:autoSpaceDE w:val="0"/>
        <w:autoSpaceDN w:val="0"/>
        <w:adjustRightInd w:val="0"/>
        <w:jc w:val="both"/>
        <w:rPr>
          <w:rFonts w:ascii="Verdana" w:eastAsia="Times New Roman" w:hAnsi="Verdana" w:cs="Arial"/>
          <w:iCs/>
          <w:strike/>
          <w:color w:val="000000"/>
          <w:sz w:val="16"/>
          <w:szCs w:val="16"/>
          <w:lang w:eastAsia="es-CR"/>
        </w:rPr>
      </w:pPr>
      <w:r w:rsidRPr="004C3F47">
        <w:rPr>
          <w:rStyle w:val="FootnoteReference"/>
          <w:sz w:val="16"/>
          <w:szCs w:val="16"/>
        </w:rPr>
        <w:footnoteRef/>
      </w:r>
      <w:r w:rsidRPr="004C3F47">
        <w:rPr>
          <w:rFonts w:ascii="Verdana" w:hAnsi="Verdana"/>
          <w:sz w:val="16"/>
          <w:szCs w:val="16"/>
        </w:rPr>
        <w:t xml:space="preserve"> </w:t>
      </w:r>
      <w:r w:rsidRPr="004C3F47">
        <w:rPr>
          <w:rFonts w:ascii="Verdana" w:hAnsi="Verdana"/>
          <w:sz w:val="16"/>
          <w:szCs w:val="16"/>
        </w:rPr>
        <w:tab/>
        <w:t>Artículo 67</w:t>
      </w:r>
      <w:r w:rsidRPr="004C3F47">
        <w:rPr>
          <w:rStyle w:val="st1"/>
          <w:rFonts w:ascii="Verdana" w:hAnsi="Verdana" w:cs="Arial"/>
          <w:color w:val="000000"/>
          <w:sz w:val="16"/>
          <w:szCs w:val="16"/>
        </w:rPr>
        <w:t>º</w:t>
      </w:r>
      <w:r w:rsidRPr="004C3F47">
        <w:rPr>
          <w:rFonts w:ascii="Verdana" w:hAnsi="Verdana"/>
          <w:color w:val="000000"/>
          <w:sz w:val="16"/>
          <w:szCs w:val="16"/>
        </w:rPr>
        <w:t xml:space="preserve"> </w:t>
      </w:r>
      <w:r w:rsidRPr="004C3F47">
        <w:rPr>
          <w:rFonts w:ascii="Verdana" w:hAnsi="Verdana"/>
          <w:sz w:val="16"/>
          <w:szCs w:val="16"/>
        </w:rPr>
        <w:t>del Decreto-Ley vigente en la época de los hechos</w:t>
      </w:r>
      <w:r>
        <w:rPr>
          <w:rFonts w:ascii="Verdana" w:hAnsi="Verdana"/>
          <w:sz w:val="16"/>
          <w:szCs w:val="16"/>
        </w:rPr>
        <w:t>.</w:t>
      </w:r>
      <w:r w:rsidRPr="004C3F47">
        <w:rPr>
          <w:rFonts w:ascii="Verdana" w:hAnsi="Verdana"/>
          <w:sz w:val="16"/>
          <w:szCs w:val="16"/>
        </w:rPr>
        <w:t xml:space="preserve"> </w:t>
      </w:r>
    </w:p>
  </w:footnote>
  <w:footnote w:id="39">
    <w:p w14:paraId="76D859D3" w14:textId="01690A3D" w:rsidR="00D86616" w:rsidRPr="004C3F47" w:rsidRDefault="00D86616" w:rsidP="006A2D03">
      <w:pPr>
        <w:autoSpaceDE w:val="0"/>
        <w:autoSpaceDN w:val="0"/>
        <w:adjustRightInd w:val="0"/>
        <w:jc w:val="both"/>
        <w:rPr>
          <w:rFonts w:ascii="Verdana" w:eastAsia="Times New Roman" w:hAnsi="Verdana" w:cs="Arial"/>
          <w:iCs/>
          <w:color w:val="000000"/>
          <w:sz w:val="16"/>
          <w:szCs w:val="16"/>
          <w:lang w:eastAsia="es-CR"/>
        </w:rPr>
      </w:pPr>
      <w:r w:rsidRPr="004C3F47">
        <w:rPr>
          <w:rStyle w:val="FootnoteReference"/>
          <w:sz w:val="16"/>
          <w:szCs w:val="16"/>
        </w:rPr>
        <w:footnoteRef/>
      </w:r>
      <w:r w:rsidRPr="004C3F47">
        <w:rPr>
          <w:rFonts w:ascii="Verdana" w:hAnsi="Verdana"/>
          <w:sz w:val="16"/>
          <w:szCs w:val="16"/>
        </w:rPr>
        <w:t xml:space="preserve"> </w:t>
      </w:r>
      <w:r w:rsidRPr="004C3F47">
        <w:rPr>
          <w:rFonts w:ascii="Verdana" w:hAnsi="Verdana"/>
          <w:sz w:val="16"/>
          <w:szCs w:val="16"/>
        </w:rPr>
        <w:tab/>
        <w:t>Artículo 61</w:t>
      </w:r>
      <w:r w:rsidRPr="004C3F47">
        <w:rPr>
          <w:rStyle w:val="st1"/>
          <w:rFonts w:ascii="Verdana" w:hAnsi="Verdana" w:cs="Arial"/>
          <w:color w:val="000000"/>
          <w:sz w:val="16"/>
          <w:szCs w:val="16"/>
        </w:rPr>
        <w:t>º</w:t>
      </w:r>
      <w:r w:rsidRPr="004C3F47">
        <w:rPr>
          <w:rFonts w:ascii="Verdana" w:hAnsi="Verdana"/>
          <w:color w:val="000000"/>
          <w:sz w:val="16"/>
          <w:szCs w:val="16"/>
        </w:rPr>
        <w:t xml:space="preserve"> </w:t>
      </w:r>
      <w:r w:rsidRPr="004C3F47">
        <w:rPr>
          <w:rFonts w:ascii="Verdana" w:hAnsi="Verdana"/>
          <w:sz w:val="16"/>
          <w:szCs w:val="16"/>
        </w:rPr>
        <w:t>del Decreto-Ley vigente en la época de los hechos</w:t>
      </w:r>
      <w:r>
        <w:rPr>
          <w:rFonts w:ascii="Verdana" w:hAnsi="Verdana"/>
          <w:sz w:val="16"/>
          <w:szCs w:val="16"/>
        </w:rPr>
        <w:t>.</w:t>
      </w:r>
      <w:r w:rsidRPr="004C3F47">
        <w:rPr>
          <w:rFonts w:ascii="Verdana" w:hAnsi="Verdana"/>
          <w:sz w:val="16"/>
          <w:szCs w:val="16"/>
        </w:rPr>
        <w:t xml:space="preserve"> </w:t>
      </w:r>
    </w:p>
  </w:footnote>
  <w:footnote w:id="40">
    <w:p w14:paraId="64FAEAF0" w14:textId="3C20F78C" w:rsidR="00D86616" w:rsidRPr="004C3F47" w:rsidRDefault="00D86616" w:rsidP="006A2D03">
      <w:pPr>
        <w:autoSpaceDE w:val="0"/>
        <w:autoSpaceDN w:val="0"/>
        <w:adjustRightInd w:val="0"/>
        <w:jc w:val="both"/>
        <w:rPr>
          <w:rFonts w:ascii="Verdana" w:eastAsia="Times New Roman" w:hAnsi="Verdana" w:cs="Arial"/>
          <w:iCs/>
          <w:color w:val="000000"/>
          <w:sz w:val="16"/>
          <w:szCs w:val="16"/>
          <w:lang w:eastAsia="es-CR"/>
        </w:rPr>
      </w:pPr>
      <w:r w:rsidRPr="004C3F47">
        <w:rPr>
          <w:rStyle w:val="FootnoteReference"/>
          <w:sz w:val="16"/>
          <w:szCs w:val="16"/>
        </w:rPr>
        <w:footnoteRef/>
      </w:r>
      <w:r w:rsidRPr="004C3F47">
        <w:rPr>
          <w:rFonts w:ascii="Verdana" w:hAnsi="Verdana"/>
          <w:sz w:val="16"/>
          <w:szCs w:val="16"/>
        </w:rPr>
        <w:t xml:space="preserve"> </w:t>
      </w:r>
      <w:r w:rsidRPr="004C3F47">
        <w:rPr>
          <w:rFonts w:ascii="Verdana" w:hAnsi="Verdana"/>
          <w:sz w:val="16"/>
          <w:szCs w:val="16"/>
        </w:rPr>
        <w:tab/>
        <w:t>Artículo 16</w:t>
      </w:r>
      <w:r w:rsidRPr="004C3F47">
        <w:rPr>
          <w:rStyle w:val="st1"/>
          <w:rFonts w:ascii="Verdana" w:hAnsi="Verdana" w:cs="Arial"/>
          <w:color w:val="000000"/>
          <w:sz w:val="16"/>
          <w:szCs w:val="16"/>
        </w:rPr>
        <w:t>º</w:t>
      </w:r>
      <w:r w:rsidRPr="004C3F47">
        <w:rPr>
          <w:rFonts w:ascii="Verdana" w:hAnsi="Verdana"/>
          <w:color w:val="000000"/>
          <w:sz w:val="16"/>
          <w:szCs w:val="16"/>
        </w:rPr>
        <w:t xml:space="preserve"> </w:t>
      </w:r>
      <w:r w:rsidRPr="004C3F47">
        <w:rPr>
          <w:rFonts w:ascii="Verdana" w:hAnsi="Verdana"/>
          <w:sz w:val="16"/>
          <w:szCs w:val="16"/>
        </w:rPr>
        <w:t>del Decreto-Ley vigente en la época de los hechos</w:t>
      </w:r>
      <w:r>
        <w:rPr>
          <w:rFonts w:ascii="Verdana" w:hAnsi="Verdana"/>
          <w:sz w:val="16"/>
          <w:szCs w:val="16"/>
        </w:rPr>
        <w:t>.</w:t>
      </w:r>
      <w:r w:rsidRPr="004C3F47">
        <w:rPr>
          <w:rFonts w:ascii="Verdana" w:hAnsi="Verdana"/>
          <w:sz w:val="16"/>
          <w:szCs w:val="16"/>
        </w:rPr>
        <w:t xml:space="preserve"> </w:t>
      </w:r>
    </w:p>
  </w:footnote>
  <w:footnote w:id="41">
    <w:p w14:paraId="0913D9A0" w14:textId="57C59791" w:rsidR="00D86616" w:rsidRPr="004C3F47" w:rsidRDefault="00D86616" w:rsidP="00E677C5">
      <w:pPr>
        <w:autoSpaceDE w:val="0"/>
        <w:autoSpaceDN w:val="0"/>
        <w:adjustRightInd w:val="0"/>
        <w:jc w:val="both"/>
        <w:rPr>
          <w:rFonts w:ascii="Verdana" w:eastAsia="Times New Roman" w:hAnsi="Verdana" w:cs="Arial"/>
          <w:iCs/>
          <w:color w:val="000000"/>
          <w:sz w:val="16"/>
          <w:szCs w:val="16"/>
          <w:lang w:eastAsia="es-CR"/>
        </w:rPr>
      </w:pPr>
      <w:r w:rsidRPr="004C3F47">
        <w:rPr>
          <w:rStyle w:val="FootnoteReference"/>
          <w:sz w:val="16"/>
          <w:szCs w:val="16"/>
        </w:rPr>
        <w:footnoteRef/>
      </w:r>
      <w:r w:rsidRPr="004C3F47">
        <w:rPr>
          <w:rFonts w:ascii="Verdana" w:hAnsi="Verdana"/>
          <w:sz w:val="16"/>
          <w:szCs w:val="16"/>
        </w:rPr>
        <w:t xml:space="preserve"> </w:t>
      </w:r>
      <w:r w:rsidRPr="004C3F47">
        <w:rPr>
          <w:rFonts w:ascii="Verdana" w:hAnsi="Verdana"/>
          <w:sz w:val="16"/>
          <w:szCs w:val="16"/>
        </w:rPr>
        <w:tab/>
        <w:t>Artículo 26</w:t>
      </w:r>
      <w:r w:rsidRPr="004C3F47">
        <w:rPr>
          <w:rStyle w:val="st1"/>
          <w:rFonts w:ascii="Verdana" w:hAnsi="Verdana" w:cs="Arial"/>
          <w:color w:val="000000"/>
          <w:sz w:val="16"/>
          <w:szCs w:val="16"/>
        </w:rPr>
        <w:t>º</w:t>
      </w:r>
      <w:r w:rsidRPr="004C3F47">
        <w:rPr>
          <w:rFonts w:ascii="Verdana" w:hAnsi="Verdana"/>
          <w:color w:val="000000"/>
          <w:sz w:val="16"/>
          <w:szCs w:val="16"/>
        </w:rPr>
        <w:t xml:space="preserve"> </w:t>
      </w:r>
      <w:r w:rsidRPr="004C3F47">
        <w:rPr>
          <w:rFonts w:ascii="Verdana" w:hAnsi="Verdana"/>
          <w:sz w:val="16"/>
          <w:szCs w:val="16"/>
        </w:rPr>
        <w:t>del Decreto-Ley vigente en la época de los hechos establecía lo siguiente:</w:t>
      </w:r>
      <w:r w:rsidRPr="004C3F47">
        <w:rPr>
          <w:rFonts w:ascii="Verdana" w:hAnsi="Verdana"/>
          <w:color w:val="000000"/>
          <w:sz w:val="16"/>
          <w:szCs w:val="16"/>
        </w:rPr>
        <w:t xml:space="preserve"> </w:t>
      </w:r>
      <w:r w:rsidRPr="004C3F47">
        <w:rPr>
          <w:rFonts w:ascii="Verdana" w:hAnsi="Verdana"/>
          <w:sz w:val="16"/>
          <w:szCs w:val="16"/>
        </w:rPr>
        <w:t>“</w:t>
      </w:r>
      <w:r w:rsidRPr="004C3F47">
        <w:rPr>
          <w:rFonts w:ascii="Verdana" w:hAnsi="Verdana"/>
          <w:color w:val="000000"/>
          <w:sz w:val="16"/>
          <w:szCs w:val="16"/>
        </w:rPr>
        <w:t>Artículo 26</w:t>
      </w:r>
      <w:r w:rsidRPr="004C3F47">
        <w:rPr>
          <w:rStyle w:val="st1"/>
          <w:rFonts w:ascii="Verdana" w:hAnsi="Verdana" w:cs="Arial"/>
          <w:color w:val="000000"/>
          <w:sz w:val="16"/>
          <w:szCs w:val="16"/>
        </w:rPr>
        <w:t>º</w:t>
      </w:r>
      <w:r w:rsidRPr="004C3F47">
        <w:rPr>
          <w:rFonts w:ascii="Verdana" w:hAnsi="Verdana"/>
          <w:color w:val="000000"/>
          <w:sz w:val="16"/>
          <w:szCs w:val="16"/>
        </w:rPr>
        <w:t xml:space="preserve"> – La Asamblea general designará anualmente un Comité Electoral, el cual se encargará de llevar a cabo las elecciones de los miembros del Consejo de la Comunidad y de los representantes ante el Directorio de la empresa, para cada periodo, así como aquellas elecciones que sea necesarias para elegir reemplazantes de cualquiera de estos en casos de renuncia, vacancia o remoción de acuerdo a la Ley y a los Estatutos, por el término que falta para completar el periodo que corresponda”.</w:t>
      </w:r>
    </w:p>
  </w:footnote>
  <w:footnote w:id="42">
    <w:p w14:paraId="599079D5" w14:textId="7A472BC3" w:rsidR="00D86616" w:rsidRPr="00517952" w:rsidRDefault="00D86616" w:rsidP="00E677C5">
      <w:pPr>
        <w:autoSpaceDE w:val="0"/>
        <w:autoSpaceDN w:val="0"/>
        <w:adjustRightInd w:val="0"/>
        <w:jc w:val="both"/>
        <w:rPr>
          <w:rFonts w:ascii="Verdana" w:eastAsia="Times New Roman" w:hAnsi="Verdana" w:cs="Arial"/>
          <w:iCs/>
          <w:color w:val="000000"/>
          <w:sz w:val="16"/>
          <w:szCs w:val="16"/>
          <w:lang w:eastAsia="es-CR"/>
        </w:rPr>
      </w:pPr>
      <w:r w:rsidRPr="00954C4C">
        <w:rPr>
          <w:rStyle w:val="FootnoteReference"/>
          <w:szCs w:val="20"/>
        </w:rPr>
        <w:footnoteRef/>
      </w:r>
      <w:r w:rsidRPr="004C3F47">
        <w:rPr>
          <w:rFonts w:ascii="Verdana" w:hAnsi="Verdana"/>
          <w:sz w:val="16"/>
          <w:szCs w:val="16"/>
        </w:rPr>
        <w:t xml:space="preserve"> </w:t>
      </w:r>
      <w:r w:rsidRPr="004C3F47">
        <w:rPr>
          <w:rFonts w:ascii="Verdana" w:hAnsi="Verdana"/>
          <w:sz w:val="16"/>
          <w:szCs w:val="16"/>
        </w:rPr>
        <w:tab/>
        <w:t>El Artículo 23</w:t>
      </w:r>
      <w:r w:rsidRPr="004C3F47">
        <w:rPr>
          <w:rStyle w:val="st1"/>
          <w:rFonts w:ascii="Verdana" w:hAnsi="Verdana" w:cs="Arial"/>
          <w:color w:val="000000"/>
          <w:sz w:val="16"/>
          <w:szCs w:val="16"/>
        </w:rPr>
        <w:t>º</w:t>
      </w:r>
      <w:r w:rsidRPr="004C3F47">
        <w:rPr>
          <w:rFonts w:ascii="Verdana" w:hAnsi="Verdana"/>
          <w:color w:val="000000"/>
          <w:sz w:val="16"/>
          <w:szCs w:val="16"/>
        </w:rPr>
        <w:t xml:space="preserve"> </w:t>
      </w:r>
      <w:r w:rsidRPr="004C3F47">
        <w:rPr>
          <w:rFonts w:ascii="Verdana" w:hAnsi="Verdana"/>
          <w:sz w:val="16"/>
          <w:szCs w:val="16"/>
        </w:rPr>
        <w:t>del Decreto-Ley vigente en la época de los hechos establecía lo siguiente:</w:t>
      </w:r>
      <w:r w:rsidRPr="004C3F47">
        <w:rPr>
          <w:rFonts w:ascii="Verdana" w:hAnsi="Verdana"/>
          <w:color w:val="000000"/>
          <w:sz w:val="16"/>
          <w:szCs w:val="16"/>
        </w:rPr>
        <w:t xml:space="preserve"> </w:t>
      </w:r>
      <w:r w:rsidRPr="004C3F47">
        <w:rPr>
          <w:rFonts w:ascii="Verdana" w:hAnsi="Verdana"/>
          <w:sz w:val="16"/>
          <w:szCs w:val="16"/>
        </w:rPr>
        <w:t>“</w:t>
      </w:r>
      <w:r w:rsidRPr="004C3F47">
        <w:rPr>
          <w:rFonts w:ascii="Verdana" w:hAnsi="Verdana"/>
          <w:color w:val="000000"/>
          <w:sz w:val="16"/>
          <w:szCs w:val="16"/>
        </w:rPr>
        <w:t>Artículo 23</w:t>
      </w:r>
      <w:r w:rsidRPr="004C3F47">
        <w:rPr>
          <w:rStyle w:val="st1"/>
          <w:rFonts w:ascii="Verdana" w:hAnsi="Verdana" w:cs="Arial"/>
          <w:color w:val="000000"/>
          <w:sz w:val="16"/>
          <w:szCs w:val="16"/>
        </w:rPr>
        <w:t>º</w:t>
      </w:r>
      <w:r w:rsidRPr="004C3F47">
        <w:rPr>
          <w:rFonts w:ascii="Verdana" w:hAnsi="Verdana"/>
          <w:color w:val="000000"/>
          <w:sz w:val="16"/>
          <w:szCs w:val="16"/>
        </w:rPr>
        <w:t xml:space="preserve"> – Compete a la Asamblea General de la Comunidad Industrial : a) Pronunciarse sobre la gestión, cuentas y balances del ejercicio de la Comunidad; b) Aprobar el Estatuto de la Comunidad y modificarlo en su caso; c) Solicitar al Órgano Competente investigaciones sobre las gestiones del Consejo de la Comunidad; d) Disponer auditorias sobre el patrimonio de la Comunidad; e) Designar al Comité Electoral para la elección de los miembros del Consejo de la </w:t>
      </w:r>
      <w:r w:rsidRPr="00517952">
        <w:rPr>
          <w:rFonts w:ascii="Verdana" w:hAnsi="Verdana"/>
          <w:color w:val="000000"/>
          <w:sz w:val="16"/>
          <w:szCs w:val="16"/>
        </w:rPr>
        <w:t>Comunidad y de los representantes ante el Directorio; e) Designar el Comité Electoral para la elección de los miembros del Consejo de la Comunidad y de los representantes ante el Directorio; f) Remover al Presidente y demás miembros del Consejo de la Comunidad; g) Remover a los representantes de los trabajadores ante el Directorio; h) Revocar los acuerdos o decisiones del Consejo de la comunidad, cuando sean contrarias a Ley o al Estatuto de la Comunidad; i) Designar la Comisión Liquidadora del patrimonio de la Comunidad en el caso de liquidación; j) Tomar acuerdos en los casos en que la Ley o el Estatuto lo dispongan, o en cualquier otro asunto de importancia relacionado con la Comunidad; y k) Aprobar el Plan de Inversión anual de la participación patrimonial de la Comunidad Industrial</w:t>
      </w:r>
      <w:r w:rsidRPr="00517952">
        <w:rPr>
          <w:rFonts w:ascii="Verdana" w:eastAsia="Times New Roman" w:hAnsi="Verdana" w:cs="Arial"/>
          <w:iCs/>
          <w:color w:val="000000"/>
          <w:sz w:val="16"/>
          <w:szCs w:val="16"/>
          <w:lang w:eastAsia="es-CR"/>
        </w:rPr>
        <w:t>”.</w:t>
      </w:r>
    </w:p>
  </w:footnote>
  <w:footnote w:id="43">
    <w:p w14:paraId="169ECEC0" w14:textId="79D1DF8E" w:rsidR="00D86616" w:rsidRPr="00517952" w:rsidRDefault="00D86616" w:rsidP="00E677C5">
      <w:pPr>
        <w:autoSpaceDE w:val="0"/>
        <w:autoSpaceDN w:val="0"/>
        <w:adjustRightInd w:val="0"/>
        <w:jc w:val="both"/>
        <w:rPr>
          <w:rFonts w:ascii="Verdana" w:eastAsia="Times New Roman" w:hAnsi="Verdana" w:cs="Arial"/>
          <w:iCs/>
          <w:color w:val="000000"/>
          <w:sz w:val="16"/>
          <w:szCs w:val="16"/>
          <w:lang w:eastAsia="es-CR"/>
        </w:rPr>
      </w:pPr>
      <w:r w:rsidRPr="00517952">
        <w:rPr>
          <w:rStyle w:val="FootnoteReference"/>
          <w:sz w:val="16"/>
          <w:szCs w:val="16"/>
        </w:rPr>
        <w:footnoteRef/>
      </w:r>
      <w:r w:rsidRPr="00517952">
        <w:rPr>
          <w:rStyle w:val="FootnoteReference"/>
          <w:sz w:val="16"/>
          <w:szCs w:val="16"/>
        </w:rPr>
        <w:t xml:space="preserve"> </w:t>
      </w:r>
      <w:r w:rsidRPr="00517952">
        <w:rPr>
          <w:rFonts w:ascii="Verdana" w:hAnsi="Verdana"/>
          <w:sz w:val="16"/>
          <w:szCs w:val="16"/>
        </w:rPr>
        <w:tab/>
        <w:t>El Artículo 28</w:t>
      </w:r>
      <w:r w:rsidRPr="00517952">
        <w:rPr>
          <w:rStyle w:val="st1"/>
          <w:rFonts w:ascii="Verdana" w:hAnsi="Verdana" w:cs="Arial"/>
          <w:color w:val="000000"/>
          <w:sz w:val="16"/>
          <w:szCs w:val="16"/>
        </w:rPr>
        <w:t>º</w:t>
      </w:r>
      <w:r w:rsidRPr="00517952">
        <w:rPr>
          <w:rFonts w:ascii="Verdana" w:hAnsi="Verdana"/>
          <w:color w:val="000000"/>
          <w:sz w:val="16"/>
          <w:szCs w:val="16"/>
        </w:rPr>
        <w:t xml:space="preserve"> </w:t>
      </w:r>
      <w:r w:rsidRPr="00517952">
        <w:rPr>
          <w:rFonts w:ascii="Verdana" w:hAnsi="Verdana"/>
          <w:sz w:val="16"/>
          <w:szCs w:val="16"/>
        </w:rPr>
        <w:t>del Decreto-Ley vigente en la época de los hechos establecía lo siguiente:</w:t>
      </w:r>
      <w:r w:rsidRPr="00517952">
        <w:rPr>
          <w:rFonts w:ascii="Verdana" w:hAnsi="Verdana"/>
          <w:color w:val="000000"/>
          <w:sz w:val="16"/>
          <w:szCs w:val="16"/>
        </w:rPr>
        <w:t xml:space="preserve"> </w:t>
      </w:r>
      <w:r w:rsidRPr="00517952">
        <w:rPr>
          <w:rFonts w:ascii="Verdana" w:hAnsi="Verdana"/>
          <w:sz w:val="16"/>
          <w:szCs w:val="16"/>
        </w:rPr>
        <w:t>“</w:t>
      </w:r>
      <w:r w:rsidRPr="00517952">
        <w:rPr>
          <w:rFonts w:ascii="Verdana" w:hAnsi="Verdana"/>
          <w:color w:val="000000"/>
          <w:sz w:val="16"/>
          <w:szCs w:val="16"/>
        </w:rPr>
        <w:t>Artículo 28</w:t>
      </w:r>
      <w:r w:rsidRPr="00517952">
        <w:rPr>
          <w:rStyle w:val="st1"/>
          <w:rFonts w:ascii="Verdana" w:hAnsi="Verdana" w:cs="Arial"/>
          <w:color w:val="000000"/>
          <w:sz w:val="16"/>
          <w:szCs w:val="16"/>
        </w:rPr>
        <w:t>º - El número de miembros del Comité Electoral deberá señalarse en el Estatuto de la Comunidad, debiendo estar compuesto por trabajadores empleados y obreros en proporción a su número total en la empresa. Cuando menos uno (1) de los miembros deberá ser trabajador empleado”.</w:t>
      </w:r>
    </w:p>
  </w:footnote>
  <w:footnote w:id="44">
    <w:p w14:paraId="656E6494" w14:textId="1766E349" w:rsidR="00D86616" w:rsidRPr="00517952" w:rsidRDefault="00D86616" w:rsidP="00E677C5">
      <w:pPr>
        <w:autoSpaceDE w:val="0"/>
        <w:autoSpaceDN w:val="0"/>
        <w:adjustRightInd w:val="0"/>
        <w:jc w:val="both"/>
        <w:rPr>
          <w:rFonts w:ascii="Verdana" w:hAnsi="Verdana"/>
          <w:sz w:val="16"/>
          <w:szCs w:val="16"/>
        </w:rPr>
      </w:pPr>
      <w:r w:rsidRPr="00517952">
        <w:rPr>
          <w:rStyle w:val="FootnoteReference"/>
          <w:sz w:val="16"/>
          <w:szCs w:val="16"/>
        </w:rPr>
        <w:footnoteRef/>
      </w:r>
      <w:r w:rsidRPr="00517952">
        <w:rPr>
          <w:rFonts w:ascii="Verdana" w:hAnsi="Verdana"/>
          <w:sz w:val="16"/>
          <w:szCs w:val="16"/>
        </w:rPr>
        <w:t xml:space="preserve"> </w:t>
      </w:r>
      <w:r w:rsidRPr="00517952">
        <w:rPr>
          <w:rFonts w:ascii="Verdana" w:hAnsi="Verdana"/>
          <w:sz w:val="16"/>
          <w:szCs w:val="16"/>
        </w:rPr>
        <w:tab/>
        <w:t xml:space="preserve">Presidente: Alfredo Lagos del Campo (Obrero), Secretaria: Yolanda </w:t>
      </w:r>
      <w:proofErr w:type="spellStart"/>
      <w:r w:rsidRPr="00517952">
        <w:rPr>
          <w:rFonts w:ascii="Verdana" w:hAnsi="Verdana"/>
          <w:sz w:val="16"/>
          <w:szCs w:val="16"/>
        </w:rPr>
        <w:t>Ismodes</w:t>
      </w:r>
      <w:proofErr w:type="spellEnd"/>
      <w:r w:rsidRPr="00517952">
        <w:rPr>
          <w:rFonts w:ascii="Verdana" w:hAnsi="Verdana"/>
          <w:sz w:val="16"/>
          <w:szCs w:val="16"/>
        </w:rPr>
        <w:t xml:space="preserve"> </w:t>
      </w:r>
      <w:proofErr w:type="spellStart"/>
      <w:r w:rsidRPr="00517952">
        <w:rPr>
          <w:rFonts w:ascii="Verdana" w:hAnsi="Verdana"/>
          <w:sz w:val="16"/>
          <w:szCs w:val="16"/>
        </w:rPr>
        <w:t>Ramíres</w:t>
      </w:r>
      <w:proofErr w:type="spellEnd"/>
      <w:r w:rsidRPr="00517952">
        <w:rPr>
          <w:rFonts w:ascii="Verdana" w:hAnsi="Verdana"/>
          <w:sz w:val="16"/>
          <w:szCs w:val="16"/>
        </w:rPr>
        <w:t xml:space="preserve"> (Empleada), 1er. Vocal: Mercedes Mera Jiménez (Empleada), 2do Vocal: Teodomiro Vizcarra Salinas (Obrero), 3er Vocal: </w:t>
      </w:r>
      <w:proofErr w:type="spellStart"/>
      <w:r w:rsidRPr="00517952">
        <w:rPr>
          <w:rFonts w:ascii="Verdana" w:hAnsi="Verdana"/>
          <w:sz w:val="16"/>
          <w:szCs w:val="16"/>
        </w:rPr>
        <w:t>Aristedes</w:t>
      </w:r>
      <w:proofErr w:type="spellEnd"/>
      <w:r w:rsidRPr="00517952">
        <w:rPr>
          <w:rFonts w:ascii="Verdana" w:hAnsi="Verdana"/>
          <w:sz w:val="16"/>
          <w:szCs w:val="16"/>
        </w:rPr>
        <w:t xml:space="preserve"> Quispe Altamirano (Obrero). (expediente de prueba, anexo 4 del Informe de Fondo, f. 11.).</w:t>
      </w:r>
    </w:p>
  </w:footnote>
  <w:footnote w:id="45">
    <w:p w14:paraId="571570E2" w14:textId="0A6150F3" w:rsidR="00D86616" w:rsidRPr="00517952" w:rsidRDefault="00D86616" w:rsidP="00E677C5">
      <w:pPr>
        <w:autoSpaceDE w:val="0"/>
        <w:autoSpaceDN w:val="0"/>
        <w:adjustRightInd w:val="0"/>
        <w:jc w:val="both"/>
        <w:rPr>
          <w:rFonts w:ascii="Verdana" w:hAnsi="Verdana"/>
          <w:sz w:val="16"/>
          <w:szCs w:val="16"/>
        </w:rPr>
      </w:pPr>
      <w:r w:rsidRPr="00517952">
        <w:rPr>
          <w:rStyle w:val="FootnoteReference"/>
          <w:sz w:val="16"/>
          <w:szCs w:val="16"/>
        </w:rPr>
        <w:footnoteRef/>
      </w:r>
      <w:r w:rsidRPr="00517952">
        <w:rPr>
          <w:rFonts w:ascii="Verdana" w:hAnsi="Verdana"/>
          <w:sz w:val="16"/>
          <w:szCs w:val="16"/>
        </w:rPr>
        <w:t xml:space="preserve"> </w:t>
      </w:r>
      <w:r w:rsidRPr="00517952">
        <w:rPr>
          <w:rFonts w:ascii="Verdana" w:hAnsi="Verdana"/>
          <w:sz w:val="16"/>
          <w:szCs w:val="16"/>
        </w:rPr>
        <w:tab/>
      </w:r>
      <w:r w:rsidRPr="00517952">
        <w:rPr>
          <w:rFonts w:ascii="Verdana" w:hAnsi="Verdana"/>
          <w:i/>
          <w:sz w:val="16"/>
          <w:szCs w:val="16"/>
        </w:rPr>
        <w:t>Cfr.</w:t>
      </w:r>
      <w:r w:rsidRPr="00517952">
        <w:rPr>
          <w:rFonts w:ascii="Verdana" w:hAnsi="Verdana"/>
          <w:sz w:val="16"/>
          <w:szCs w:val="16"/>
        </w:rPr>
        <w:t xml:space="preserve"> Ministerio de Industria. Oficio No. 1526 ICTI/OGP-38. Inscripción del Comité Electoral. 9 de agosto de 1988. Anexos a la comunicación de los peticionarios de fecha 23 de julio de 1998 (expediente de prueba, anexo 4 del Informe de Fondo, f. 11). </w:t>
      </w:r>
    </w:p>
  </w:footnote>
  <w:footnote w:id="46">
    <w:p w14:paraId="6C987640" w14:textId="30679749" w:rsidR="00D86616" w:rsidRPr="00517952" w:rsidRDefault="00D86616" w:rsidP="00334B6C">
      <w:pPr>
        <w:pStyle w:val="FootnoteText"/>
        <w:rPr>
          <w:lang w:val="es-MX"/>
        </w:rPr>
      </w:pPr>
      <w:r w:rsidRPr="00517952">
        <w:rPr>
          <w:rStyle w:val="FootnoteReference"/>
          <w:sz w:val="16"/>
        </w:rPr>
        <w:footnoteRef/>
      </w:r>
      <w:r w:rsidRPr="00517952">
        <w:rPr>
          <w:lang w:val="es-MX"/>
        </w:rPr>
        <w:t xml:space="preserve"> </w:t>
      </w:r>
      <w:r w:rsidRPr="00517952">
        <w:rPr>
          <w:lang w:val="es-MX"/>
        </w:rPr>
        <w:tab/>
        <w:t xml:space="preserve">Decreto- Ley 21789. Artículo 27 “Las elecciones se desarrollarán en un solo día y sin afectar las horas de trabajo, siguiendo el procedimiento señalado en el reglamento que sobre el particular apruebe el órgano Competente. El voto será personal, secreto, universal y obligatorio”. </w:t>
      </w:r>
    </w:p>
  </w:footnote>
  <w:footnote w:id="47">
    <w:p w14:paraId="21F92BD0" w14:textId="4BF3F07C" w:rsidR="00D86616" w:rsidRPr="00517952" w:rsidRDefault="00D86616" w:rsidP="00E677C5">
      <w:pPr>
        <w:jc w:val="both"/>
        <w:rPr>
          <w:rFonts w:ascii="Verdana" w:hAnsi="Verdana"/>
          <w:sz w:val="16"/>
          <w:szCs w:val="16"/>
        </w:rPr>
      </w:pPr>
      <w:r w:rsidRPr="00517952">
        <w:rPr>
          <w:rStyle w:val="FootnoteReference"/>
          <w:sz w:val="16"/>
          <w:szCs w:val="16"/>
        </w:rPr>
        <w:footnoteRef/>
      </w:r>
      <w:r w:rsidRPr="00517952">
        <w:rPr>
          <w:rFonts w:ascii="Verdana" w:hAnsi="Verdana"/>
          <w:sz w:val="16"/>
          <w:szCs w:val="16"/>
        </w:rPr>
        <w:t xml:space="preserve"> </w:t>
      </w:r>
      <w:r w:rsidRPr="00517952">
        <w:rPr>
          <w:rFonts w:ascii="Verdana" w:hAnsi="Verdana"/>
          <w:sz w:val="16"/>
          <w:szCs w:val="16"/>
        </w:rPr>
        <w:tab/>
        <w:t xml:space="preserve">El Artículo 3 del Decreto-Ley 21789 vigente en la época de los hechos establecía lo siguiente: </w:t>
      </w:r>
      <w:r w:rsidRPr="00517952">
        <w:rPr>
          <w:rStyle w:val="st1"/>
          <w:rFonts w:ascii="Verdana" w:hAnsi="Verdana" w:cs="Arial"/>
          <w:color w:val="000000"/>
          <w:sz w:val="16"/>
          <w:szCs w:val="16"/>
          <w:lang w:val="es-CR"/>
        </w:rPr>
        <w:t>“</w:t>
      </w:r>
      <w:r w:rsidRPr="00517952">
        <w:rPr>
          <w:rFonts w:ascii="Verdana" w:hAnsi="Verdana"/>
          <w:sz w:val="16"/>
          <w:szCs w:val="16"/>
        </w:rPr>
        <w:t>Son fines de la Comunidad Industrial: a) Contribuir al establecimiento de formas constructivas de interrelación en la empresa industrial; Fortalecer la empresa, mediante la acción unitaria de sus miembros en la gestión y proceso productivo, y su participación en la propiedad del patrimonio empresarial; c) Establecer una adecuada y racional distribución de los beneficios entre los inversionistas y trabajadores de una empresa industrial; y d) Promover la capacitación permanente y el estímulo a la creatividad de los trabajadores de la empresa”.</w:t>
      </w:r>
    </w:p>
  </w:footnote>
  <w:footnote w:id="48">
    <w:p w14:paraId="6F1294F7" w14:textId="7425A837" w:rsidR="00D86616" w:rsidRPr="004C3F47" w:rsidRDefault="00D86616" w:rsidP="00E677C5">
      <w:pPr>
        <w:jc w:val="both"/>
        <w:rPr>
          <w:rFonts w:ascii="Verdana" w:hAnsi="Verdana"/>
          <w:sz w:val="16"/>
          <w:szCs w:val="16"/>
        </w:rPr>
      </w:pPr>
      <w:r w:rsidRPr="00517952">
        <w:rPr>
          <w:rStyle w:val="FootnoteReference"/>
          <w:sz w:val="16"/>
          <w:szCs w:val="16"/>
        </w:rPr>
        <w:footnoteRef/>
      </w:r>
      <w:r w:rsidRPr="00517952">
        <w:rPr>
          <w:rFonts w:ascii="Verdana" w:hAnsi="Verdana"/>
          <w:sz w:val="16"/>
          <w:szCs w:val="16"/>
        </w:rPr>
        <w:t xml:space="preserve">  </w:t>
      </w:r>
      <w:r w:rsidRPr="00517952">
        <w:rPr>
          <w:rFonts w:ascii="Verdana" w:hAnsi="Verdana"/>
          <w:sz w:val="16"/>
          <w:szCs w:val="16"/>
        </w:rPr>
        <w:tab/>
        <w:t xml:space="preserve">El Artículo 8 del Texto Único Ordenado de la Ley 25593 de Relaciones Colectivas de Trabajo dispone que: </w:t>
      </w:r>
      <w:r w:rsidRPr="00517952">
        <w:rPr>
          <w:rStyle w:val="st1"/>
          <w:rFonts w:ascii="Verdana" w:hAnsi="Verdana" w:cs="Arial"/>
          <w:color w:val="000000"/>
          <w:sz w:val="16"/>
          <w:szCs w:val="16"/>
          <w:lang w:val="es-CR"/>
        </w:rPr>
        <w:t>“</w:t>
      </w:r>
      <w:r w:rsidRPr="00517952">
        <w:rPr>
          <w:rFonts w:ascii="Verdana" w:hAnsi="Verdana"/>
          <w:sz w:val="16"/>
          <w:szCs w:val="16"/>
        </w:rPr>
        <w:t>Son fines y funciones de las organizaciones sindicales: a) Representar el conjunto de trabajadores comprendidos dentro de su ámbito, en los conflictos, controversias o reclamaciones de naturaleza colectiva; b) Celebrar convenciones colectivas de trabajo,</w:t>
      </w:r>
      <w:r w:rsidRPr="004C3F47">
        <w:rPr>
          <w:rFonts w:ascii="Verdana" w:hAnsi="Verdana"/>
          <w:sz w:val="16"/>
          <w:szCs w:val="16"/>
        </w:rPr>
        <w:t xml:space="preserve"> exigir su cumplimiento y ejercer los derechos y acciones que de tales convenciones se originen; c) Representar o defender a sus miembros en las controversias o reclamaciones de carácter individual, salvo que el trabajador accione directamente en forma voluntaria o por mandato de la ley, caso en el cual el sindicato podrá actuar en calidad de asesor; d) Promover la creación y fomentar el desarrollo de cooperativas, cajas, fondos y, en general, organismos de auxilio y promoción social de sus miembros; e) Promover el mejoramiento cultural, la educación general, técnica y gremial de sus miembros; f) En general, todos los que no estén reñidos con sus fines esenciales ni con las leyes”.</w:t>
      </w:r>
    </w:p>
  </w:footnote>
  <w:footnote w:id="49">
    <w:p w14:paraId="1E545F3F" w14:textId="3D4C38F2" w:rsidR="00D86616" w:rsidRPr="00517952" w:rsidRDefault="00D86616" w:rsidP="00334B6C">
      <w:pPr>
        <w:pStyle w:val="FootnoteText"/>
        <w:rPr>
          <w:lang w:val="es-MX"/>
        </w:rPr>
      </w:pPr>
      <w:r w:rsidRPr="00517952">
        <w:rPr>
          <w:rStyle w:val="FootnoteReference"/>
          <w:sz w:val="16"/>
        </w:rPr>
        <w:footnoteRef/>
      </w:r>
      <w:r w:rsidRPr="00517952">
        <w:rPr>
          <w:lang w:val="es-MX"/>
        </w:rPr>
        <w:t xml:space="preserve"> </w:t>
      </w:r>
      <w:r w:rsidRPr="00517952">
        <w:rPr>
          <w:lang w:val="es-MX"/>
        </w:rPr>
        <w:tab/>
        <w:t xml:space="preserve">Declaración pericial de Omar </w:t>
      </w:r>
      <w:proofErr w:type="spellStart"/>
      <w:r w:rsidRPr="00517952">
        <w:rPr>
          <w:lang w:val="es-MX"/>
        </w:rPr>
        <w:t>Sar</w:t>
      </w:r>
      <w:proofErr w:type="spellEnd"/>
      <w:r w:rsidRPr="00517952">
        <w:rPr>
          <w:lang w:val="es-MX"/>
        </w:rPr>
        <w:t xml:space="preserve"> Suárez. “En este apartado ha quedado establecido que existen diferencias entre los sindicatos y las comunidades industriales, pero corresponde advertir que en ambos casos los representantes de los trabajadores figuran el interés sectorial de éste grupo frente al empleador”. “(…) en relación con el derecho a la libertad de expresión estas diferencias, propias de la naturaleza de dichas instituciones, no afectan su contenido prima facie pues en ambos casos se ejerce una función representativa de los trabajadores” (expediente de fondo, </w:t>
      </w:r>
      <w:proofErr w:type="spellStart"/>
      <w:r w:rsidRPr="00517952">
        <w:rPr>
          <w:lang w:val="es-MX"/>
        </w:rPr>
        <w:t>ff</w:t>
      </w:r>
      <w:proofErr w:type="spellEnd"/>
      <w:r w:rsidRPr="00517952">
        <w:rPr>
          <w:lang w:val="es-MX"/>
        </w:rPr>
        <w:t>. 524 a 525).</w:t>
      </w:r>
    </w:p>
    <w:p w14:paraId="36E9AFBB" w14:textId="37E7E08F" w:rsidR="00D86616" w:rsidRPr="00517952" w:rsidRDefault="00D86616" w:rsidP="00334B6C">
      <w:pPr>
        <w:pStyle w:val="FootnoteText"/>
        <w:rPr>
          <w:lang w:val="es-ES"/>
        </w:rPr>
      </w:pPr>
      <w:r w:rsidRPr="00517952">
        <w:rPr>
          <w:lang w:val="es-MX"/>
        </w:rPr>
        <w:t xml:space="preserve">Por su parte, el perito Dr. César González </w:t>
      </w:r>
      <w:proofErr w:type="spellStart"/>
      <w:r w:rsidRPr="00517952">
        <w:rPr>
          <w:lang w:val="es-MX"/>
        </w:rPr>
        <w:t>Hunt</w:t>
      </w:r>
      <w:proofErr w:type="spellEnd"/>
      <w:r w:rsidRPr="00517952">
        <w:rPr>
          <w:lang w:val="es-MX"/>
        </w:rPr>
        <w:t xml:space="preserve"> explicó en su declaración ante la Corte en la audiencia pública del 7 de febrero de 2017 que, aunque existen varias diferencias entre las entidades, tanto las comunidades industriales como los sindicatos de trabajadores “son entidades que representan a los trabajadores ante el empleador” (Transcripción de la audiencia de fecha 7 de febrero de 2017, pág. 73).</w:t>
      </w:r>
    </w:p>
  </w:footnote>
  <w:footnote w:id="50">
    <w:p w14:paraId="0D52A931" w14:textId="5EFAB6DA" w:rsidR="00D86616" w:rsidRPr="00517952" w:rsidRDefault="00D86616" w:rsidP="00E677C5">
      <w:pPr>
        <w:jc w:val="both"/>
        <w:rPr>
          <w:rFonts w:ascii="Verdana" w:hAnsi="Verdana"/>
          <w:sz w:val="16"/>
          <w:szCs w:val="16"/>
        </w:rPr>
      </w:pPr>
      <w:r w:rsidRPr="00517952">
        <w:rPr>
          <w:rStyle w:val="FootnoteReference"/>
          <w:sz w:val="16"/>
          <w:szCs w:val="16"/>
        </w:rPr>
        <w:footnoteRef/>
      </w:r>
      <w:r w:rsidRPr="00517952">
        <w:rPr>
          <w:rFonts w:ascii="Verdana" w:hAnsi="Verdana"/>
          <w:sz w:val="16"/>
          <w:szCs w:val="16"/>
        </w:rPr>
        <w:t xml:space="preserve"> </w:t>
      </w:r>
      <w:r w:rsidRPr="00517952">
        <w:rPr>
          <w:rFonts w:ascii="Verdana" w:hAnsi="Verdana"/>
          <w:sz w:val="16"/>
          <w:szCs w:val="16"/>
        </w:rPr>
        <w:tab/>
      </w:r>
      <w:r w:rsidRPr="00517952">
        <w:rPr>
          <w:rFonts w:ascii="Verdana" w:hAnsi="Verdana"/>
          <w:sz w:val="16"/>
          <w:szCs w:val="16"/>
          <w:lang w:eastAsia="es-MX"/>
        </w:rPr>
        <w:t xml:space="preserve">Registro Nacional de Identificación y Estado Civil. DNI de Alfredo Lagos del Campo. </w:t>
      </w:r>
      <w:r w:rsidRPr="00517952">
        <w:rPr>
          <w:rFonts w:ascii="Verdana" w:hAnsi="Verdana"/>
          <w:sz w:val="16"/>
          <w:szCs w:val="16"/>
        </w:rPr>
        <w:t>(expediente de prueba, anexo 30 del Informe de Fondo, f. 102).</w:t>
      </w:r>
    </w:p>
  </w:footnote>
  <w:footnote w:id="51">
    <w:p w14:paraId="373184A8" w14:textId="7D2BF315" w:rsidR="00D86616" w:rsidRPr="00517952" w:rsidRDefault="00D86616" w:rsidP="00E677C5">
      <w:pPr>
        <w:autoSpaceDE w:val="0"/>
        <w:autoSpaceDN w:val="0"/>
        <w:adjustRightInd w:val="0"/>
        <w:jc w:val="both"/>
        <w:rPr>
          <w:rFonts w:ascii="Verdana" w:hAnsi="Verdana"/>
          <w:sz w:val="16"/>
          <w:szCs w:val="16"/>
        </w:rPr>
      </w:pPr>
      <w:r w:rsidRPr="00517952">
        <w:rPr>
          <w:rStyle w:val="FootnoteReference"/>
          <w:sz w:val="16"/>
          <w:szCs w:val="16"/>
        </w:rPr>
        <w:footnoteRef/>
      </w:r>
      <w:r w:rsidRPr="00517952">
        <w:rPr>
          <w:rFonts w:ascii="Verdana" w:hAnsi="Verdana"/>
          <w:sz w:val="16"/>
          <w:szCs w:val="16"/>
        </w:rPr>
        <w:t xml:space="preserve"> </w:t>
      </w:r>
      <w:r w:rsidRPr="00517952">
        <w:rPr>
          <w:rFonts w:ascii="Verdana" w:hAnsi="Verdana"/>
          <w:sz w:val="16"/>
          <w:szCs w:val="16"/>
        </w:rPr>
        <w:tab/>
      </w:r>
      <w:r w:rsidRPr="00517952">
        <w:rPr>
          <w:rFonts w:ascii="Verdana" w:hAnsi="Verdana"/>
          <w:i/>
          <w:sz w:val="16"/>
          <w:szCs w:val="16"/>
        </w:rPr>
        <w:t>Cfr.</w:t>
      </w:r>
      <w:r w:rsidRPr="00517952">
        <w:rPr>
          <w:rFonts w:ascii="Verdana" w:hAnsi="Verdana"/>
          <w:sz w:val="16"/>
          <w:szCs w:val="16"/>
        </w:rPr>
        <w:t xml:space="preserve"> </w:t>
      </w:r>
      <w:r w:rsidRPr="00517952">
        <w:rPr>
          <w:rFonts w:ascii="Verdana" w:hAnsi="Verdana"/>
          <w:sz w:val="16"/>
          <w:szCs w:val="16"/>
          <w:lang w:eastAsia="es-MX"/>
        </w:rPr>
        <w:t xml:space="preserve">CEPER-PIRELLI. Boleta de Pago de Alfredo Lagos del Campo. Semana del 26 de junio al 2 de julio de 1989 (expediente de prueba, anexo 2 del Informe de Fondo, f. 5), y Sentencia 225-91 dictada el 5 de marzo de 1991. </w:t>
      </w:r>
      <w:r w:rsidRPr="00517952">
        <w:rPr>
          <w:rFonts w:ascii="Verdana" w:hAnsi="Verdana"/>
          <w:sz w:val="16"/>
          <w:szCs w:val="16"/>
        </w:rPr>
        <w:t>(</w:t>
      </w:r>
      <w:r w:rsidRPr="00517952">
        <w:rPr>
          <w:rFonts w:ascii="Verdana" w:hAnsi="Verdana"/>
          <w:sz w:val="16"/>
          <w:szCs w:val="16"/>
          <w:lang w:eastAsia="es-MX"/>
        </w:rPr>
        <w:t xml:space="preserve">expediente de prueba, </w:t>
      </w:r>
      <w:r w:rsidRPr="00517952">
        <w:rPr>
          <w:rFonts w:ascii="Verdana" w:hAnsi="Verdana"/>
          <w:sz w:val="16"/>
          <w:szCs w:val="16"/>
        </w:rPr>
        <w:t>anexo 8 del Informe de Fondo, f. 29).</w:t>
      </w:r>
    </w:p>
  </w:footnote>
  <w:footnote w:id="52">
    <w:p w14:paraId="336CB8DC" w14:textId="708B5B2F" w:rsidR="00D86616" w:rsidRPr="00517952" w:rsidRDefault="00D86616" w:rsidP="00E677C5">
      <w:pPr>
        <w:autoSpaceDE w:val="0"/>
        <w:autoSpaceDN w:val="0"/>
        <w:adjustRightInd w:val="0"/>
        <w:jc w:val="both"/>
        <w:rPr>
          <w:rFonts w:ascii="Verdana" w:hAnsi="Verdana"/>
          <w:sz w:val="16"/>
          <w:szCs w:val="16"/>
        </w:rPr>
      </w:pPr>
      <w:r w:rsidRPr="00517952">
        <w:rPr>
          <w:rStyle w:val="FootnoteReference"/>
          <w:sz w:val="16"/>
          <w:szCs w:val="16"/>
        </w:rPr>
        <w:footnoteRef/>
      </w:r>
      <w:r w:rsidRPr="00517952">
        <w:rPr>
          <w:rFonts w:ascii="Verdana" w:hAnsi="Verdana"/>
          <w:sz w:val="16"/>
          <w:szCs w:val="16"/>
        </w:rPr>
        <w:t xml:space="preserve"> </w:t>
      </w:r>
      <w:r w:rsidRPr="00517952">
        <w:rPr>
          <w:rFonts w:ascii="Verdana" w:hAnsi="Verdana"/>
          <w:sz w:val="16"/>
          <w:szCs w:val="16"/>
        </w:rPr>
        <w:tab/>
      </w:r>
      <w:r w:rsidRPr="00517952">
        <w:rPr>
          <w:rFonts w:ascii="Verdana" w:hAnsi="Verdana"/>
          <w:i/>
          <w:sz w:val="16"/>
          <w:szCs w:val="16"/>
        </w:rPr>
        <w:t>Cfr.</w:t>
      </w:r>
      <w:r w:rsidRPr="00517952">
        <w:rPr>
          <w:rFonts w:ascii="Verdana" w:hAnsi="Verdana"/>
          <w:sz w:val="16"/>
          <w:szCs w:val="16"/>
        </w:rPr>
        <w:t xml:space="preserve"> </w:t>
      </w:r>
      <w:r w:rsidRPr="00517952">
        <w:rPr>
          <w:rFonts w:ascii="Verdana" w:hAnsi="Verdana"/>
          <w:sz w:val="16"/>
          <w:szCs w:val="16"/>
          <w:lang w:eastAsia="es-MX"/>
        </w:rPr>
        <w:t xml:space="preserve">Nota titulada ''Relación de Dirigentes con sus respectivos cargos. Periodo 1,982 - 1,983". Sin fecha; Sindicato de Trabajadores de "CEPER". Nota dirigida al jefe de la División de registro Sindical. Junio 1983; Sindicato de Trabajadores de "CEPER'. Nota dirigida al jefe de la División de registro Sindical. Junio 1985. anexos a la comunicación de los peticionarios de fecha 16 de marzo de 2011 </w:t>
      </w:r>
      <w:r w:rsidRPr="00517952">
        <w:rPr>
          <w:rFonts w:ascii="Verdana" w:hAnsi="Verdana"/>
          <w:sz w:val="16"/>
          <w:szCs w:val="16"/>
        </w:rPr>
        <w:t xml:space="preserve">(expediente de prueba, anexo 3 del Informe de Fondo, </w:t>
      </w:r>
      <w:proofErr w:type="spellStart"/>
      <w:r w:rsidRPr="00517952">
        <w:rPr>
          <w:rFonts w:ascii="Verdana" w:hAnsi="Verdana"/>
          <w:sz w:val="16"/>
          <w:szCs w:val="16"/>
        </w:rPr>
        <w:t>ff</w:t>
      </w:r>
      <w:proofErr w:type="spellEnd"/>
      <w:r w:rsidRPr="00517952">
        <w:rPr>
          <w:rFonts w:ascii="Verdana" w:hAnsi="Verdana"/>
          <w:sz w:val="16"/>
          <w:szCs w:val="16"/>
        </w:rPr>
        <w:t>. 7 a 9).</w:t>
      </w:r>
    </w:p>
  </w:footnote>
  <w:footnote w:id="53">
    <w:p w14:paraId="6CFCA0D8" w14:textId="0C91CD26" w:rsidR="00D86616" w:rsidRPr="00517952" w:rsidRDefault="00D86616" w:rsidP="00E677C5">
      <w:pPr>
        <w:autoSpaceDE w:val="0"/>
        <w:autoSpaceDN w:val="0"/>
        <w:adjustRightInd w:val="0"/>
        <w:jc w:val="both"/>
        <w:rPr>
          <w:rFonts w:ascii="Verdana" w:hAnsi="Verdana"/>
          <w:sz w:val="16"/>
          <w:szCs w:val="16"/>
        </w:rPr>
      </w:pPr>
      <w:r w:rsidRPr="00517952">
        <w:rPr>
          <w:rStyle w:val="FootnoteReference"/>
          <w:sz w:val="16"/>
          <w:szCs w:val="16"/>
        </w:rPr>
        <w:footnoteRef/>
      </w:r>
      <w:r w:rsidRPr="00517952">
        <w:rPr>
          <w:rFonts w:ascii="Verdana" w:hAnsi="Verdana"/>
          <w:sz w:val="16"/>
          <w:szCs w:val="16"/>
        </w:rPr>
        <w:t xml:space="preserve"> </w:t>
      </w:r>
      <w:r w:rsidRPr="00517952">
        <w:rPr>
          <w:rFonts w:ascii="Verdana" w:hAnsi="Verdana"/>
          <w:sz w:val="16"/>
          <w:szCs w:val="16"/>
        </w:rPr>
        <w:tab/>
      </w:r>
      <w:r w:rsidRPr="00517952">
        <w:rPr>
          <w:rFonts w:ascii="Verdana" w:hAnsi="Verdana"/>
          <w:i/>
          <w:sz w:val="16"/>
          <w:szCs w:val="16"/>
        </w:rPr>
        <w:t>Cfr.</w:t>
      </w:r>
      <w:r w:rsidRPr="00517952">
        <w:rPr>
          <w:rFonts w:ascii="Verdana" w:hAnsi="Verdana"/>
          <w:sz w:val="16"/>
          <w:szCs w:val="16"/>
        </w:rPr>
        <w:t xml:space="preserve"> </w:t>
      </w:r>
      <w:r w:rsidRPr="00517952">
        <w:rPr>
          <w:rFonts w:ascii="Verdana" w:hAnsi="Verdana"/>
          <w:sz w:val="16"/>
          <w:szCs w:val="16"/>
          <w:lang w:eastAsia="es-MX"/>
        </w:rPr>
        <w:t xml:space="preserve">Ministerio de Industria. Dirección General de Participación. Oficio No. 1526 ICTI/OGP-38. Inscripción del Comité Electoral. 9 de agosto de 1988. </w:t>
      </w:r>
      <w:r w:rsidRPr="00517952">
        <w:rPr>
          <w:rFonts w:ascii="Verdana" w:hAnsi="Verdana"/>
          <w:sz w:val="16"/>
          <w:szCs w:val="16"/>
        </w:rPr>
        <w:t>(expediente de prueba, anexo 4 del Informe de Fondo, f. 11).</w:t>
      </w:r>
    </w:p>
  </w:footnote>
  <w:footnote w:id="54">
    <w:p w14:paraId="32B35EE7" w14:textId="3FA35B49" w:rsidR="00D86616" w:rsidRPr="009E6ED2" w:rsidRDefault="00D86616" w:rsidP="00334B6C">
      <w:pPr>
        <w:pStyle w:val="FootnoteText"/>
        <w:rPr>
          <w:lang w:val="es-MX"/>
        </w:rPr>
      </w:pPr>
      <w:r w:rsidRPr="00517952">
        <w:rPr>
          <w:rStyle w:val="FootnoteReference"/>
          <w:sz w:val="16"/>
        </w:rPr>
        <w:footnoteRef/>
      </w:r>
      <w:r w:rsidRPr="00517952">
        <w:rPr>
          <w:lang w:val="es-MX"/>
        </w:rPr>
        <w:t xml:space="preserve"> </w:t>
      </w:r>
      <w:r w:rsidRPr="00517952">
        <w:rPr>
          <w:lang w:val="es-MX"/>
        </w:rPr>
        <w:tab/>
        <w:t xml:space="preserve">  Secretaria: Yolanda </w:t>
      </w:r>
      <w:proofErr w:type="spellStart"/>
      <w:r w:rsidRPr="00517952">
        <w:rPr>
          <w:lang w:val="es-MX"/>
        </w:rPr>
        <w:t>Ismodes</w:t>
      </w:r>
      <w:proofErr w:type="spellEnd"/>
      <w:r w:rsidRPr="00517952">
        <w:rPr>
          <w:lang w:val="es-MX"/>
        </w:rPr>
        <w:t xml:space="preserve"> </w:t>
      </w:r>
      <w:proofErr w:type="spellStart"/>
      <w:r w:rsidRPr="00517952">
        <w:rPr>
          <w:lang w:val="es-MX"/>
        </w:rPr>
        <w:t>Ramíres</w:t>
      </w:r>
      <w:proofErr w:type="spellEnd"/>
      <w:r w:rsidRPr="00517952">
        <w:rPr>
          <w:lang w:val="es-MX"/>
        </w:rPr>
        <w:t xml:space="preserve"> (Empleada), 1er. Vocal: Mercedes Mera Jiménez (Empleada), 2do Vocal: Teodomiro Vizcarra</w:t>
      </w:r>
      <w:r w:rsidRPr="009E6ED2">
        <w:rPr>
          <w:lang w:val="es-MX"/>
        </w:rPr>
        <w:t xml:space="preserve"> Salinas (Obrero), 3er Vocal: </w:t>
      </w:r>
      <w:proofErr w:type="spellStart"/>
      <w:r w:rsidRPr="009E6ED2">
        <w:rPr>
          <w:lang w:val="es-MX"/>
        </w:rPr>
        <w:t>Aristedes</w:t>
      </w:r>
      <w:proofErr w:type="spellEnd"/>
      <w:r w:rsidRPr="009E6ED2">
        <w:rPr>
          <w:lang w:val="es-MX"/>
        </w:rPr>
        <w:t xml:space="preserve"> Quispe Altamirano (Obrero).</w:t>
      </w:r>
    </w:p>
  </w:footnote>
  <w:footnote w:id="55">
    <w:p w14:paraId="264C9511" w14:textId="60DDFF98" w:rsidR="00D86616" w:rsidRPr="00517952" w:rsidRDefault="00D86616" w:rsidP="006A2D03">
      <w:pPr>
        <w:pStyle w:val="FootnoteText"/>
        <w:spacing w:after="0"/>
        <w:rPr>
          <w:lang w:val="es-MX"/>
        </w:rPr>
      </w:pPr>
      <w:r w:rsidRPr="00517952">
        <w:rPr>
          <w:rStyle w:val="FootnoteReference"/>
          <w:sz w:val="16"/>
        </w:rPr>
        <w:footnoteRef/>
      </w:r>
      <w:r w:rsidRPr="00517952">
        <w:rPr>
          <w:lang w:val="es-MX"/>
        </w:rPr>
        <w:t xml:space="preserve"> </w:t>
      </w:r>
      <w:r w:rsidRPr="00517952">
        <w:rPr>
          <w:lang w:val="es-MX"/>
        </w:rPr>
        <w:tab/>
        <w:t xml:space="preserve">  Carta</w:t>
      </w:r>
      <w:r w:rsidRPr="009E6ED2">
        <w:rPr>
          <w:lang w:val="es-MX"/>
        </w:rPr>
        <w:t xml:space="preserve"> de 28 de abril de 1989, dirigida a la Dirección General de participación del Ministerio de Industria, adjunto a la carta de descargos presentada a la Empresa. Mediante la cual denunció a tres miembros de dicho Comité </w:t>
      </w:r>
      <w:r w:rsidRPr="00517952">
        <w:rPr>
          <w:lang w:val="es-MX"/>
        </w:rPr>
        <w:t xml:space="preserve">por atentar contra las normas orgánicas y de funcionamiento, al pretender desconocer la figura del presidente; efectuar reuniones al margen de la convocatoria, y dar la impresión que obedecieron a presiones ajenas, con pretensión de imponer un proceso electoral que favorezca a una determinada lista de candidatos promovidos por la patronal. (expediente de prueba de la Comisión, anexos a la contestación, f. 1450). </w:t>
      </w:r>
    </w:p>
  </w:footnote>
  <w:footnote w:id="56">
    <w:p w14:paraId="00213C1C" w14:textId="71D7B51A" w:rsidR="00D86616" w:rsidRPr="00517952" w:rsidRDefault="00D86616" w:rsidP="006A2D03">
      <w:pPr>
        <w:pStyle w:val="FootnoteText"/>
        <w:spacing w:after="0"/>
        <w:rPr>
          <w:lang w:val="es-MX"/>
        </w:rPr>
      </w:pPr>
      <w:r w:rsidRPr="00517952">
        <w:rPr>
          <w:rStyle w:val="FootnoteReference"/>
          <w:sz w:val="16"/>
          <w:lang w:val="es-MX"/>
        </w:rPr>
        <w:footnoteRef/>
      </w:r>
      <w:r w:rsidRPr="00517952">
        <w:rPr>
          <w:lang w:val="es-MX"/>
        </w:rPr>
        <w:t xml:space="preserve"> </w:t>
      </w:r>
      <w:r w:rsidRPr="00517952">
        <w:rPr>
          <w:lang w:val="es-MX"/>
        </w:rPr>
        <w:tab/>
      </w:r>
      <w:r w:rsidRPr="00517952">
        <w:rPr>
          <w:lang w:val="es-MX"/>
        </w:rPr>
        <w:tab/>
        <w:t xml:space="preserve">Signado por José Vargas </w:t>
      </w:r>
      <w:proofErr w:type="spellStart"/>
      <w:r w:rsidRPr="00517952">
        <w:rPr>
          <w:lang w:val="es-MX"/>
        </w:rPr>
        <w:t>Purizaga</w:t>
      </w:r>
      <w:proofErr w:type="spellEnd"/>
      <w:r w:rsidRPr="00517952">
        <w:rPr>
          <w:lang w:val="es-MX"/>
        </w:rPr>
        <w:t xml:space="preserve">, </w:t>
      </w:r>
      <w:proofErr w:type="spellStart"/>
      <w:r w:rsidRPr="00517952">
        <w:rPr>
          <w:lang w:val="es-MX"/>
        </w:rPr>
        <w:t>Leonidas</w:t>
      </w:r>
      <w:proofErr w:type="spellEnd"/>
      <w:r w:rsidRPr="00517952">
        <w:rPr>
          <w:lang w:val="es-MX"/>
        </w:rPr>
        <w:t xml:space="preserve"> Valdivia Mendoza, Alberto Sánchez </w:t>
      </w:r>
      <w:proofErr w:type="spellStart"/>
      <w:r w:rsidRPr="00517952">
        <w:rPr>
          <w:lang w:val="es-MX"/>
        </w:rPr>
        <w:t>Maravi</w:t>
      </w:r>
      <w:proofErr w:type="spellEnd"/>
      <w:r w:rsidRPr="00517952">
        <w:rPr>
          <w:lang w:val="es-MX"/>
        </w:rPr>
        <w:t xml:space="preserve"> y otros miembros de la Comunidad Industrial </w:t>
      </w:r>
      <w:proofErr w:type="spellStart"/>
      <w:r w:rsidRPr="00517952">
        <w:rPr>
          <w:lang w:val="es-MX"/>
        </w:rPr>
        <w:t>Ceper-Pirelli</w:t>
      </w:r>
      <w:proofErr w:type="spellEnd"/>
      <w:r w:rsidRPr="00517952">
        <w:rPr>
          <w:lang w:val="es-MX"/>
        </w:rPr>
        <w:t xml:space="preserve"> (expediente de prueba, anexo 3 a la contestación del Estado. f.1455). </w:t>
      </w:r>
    </w:p>
  </w:footnote>
  <w:footnote w:id="57">
    <w:p w14:paraId="7E4AA8E0" w14:textId="7B4BA884" w:rsidR="00D86616" w:rsidRPr="00517952" w:rsidRDefault="00D86616" w:rsidP="006A2D03">
      <w:pPr>
        <w:autoSpaceDE w:val="0"/>
        <w:autoSpaceDN w:val="0"/>
        <w:adjustRightInd w:val="0"/>
        <w:jc w:val="both"/>
        <w:rPr>
          <w:rFonts w:ascii="Verdana" w:hAnsi="Verdana" w:cs="Arial"/>
          <w:color w:val="000000"/>
          <w:sz w:val="16"/>
          <w:szCs w:val="16"/>
        </w:rPr>
      </w:pPr>
      <w:r w:rsidRPr="00517952">
        <w:rPr>
          <w:rStyle w:val="FootnoteReference"/>
          <w:sz w:val="16"/>
          <w:szCs w:val="16"/>
        </w:rPr>
        <w:footnoteRef/>
      </w:r>
      <w:r w:rsidRPr="00517952">
        <w:rPr>
          <w:rFonts w:ascii="Verdana" w:hAnsi="Verdana"/>
          <w:sz w:val="16"/>
          <w:szCs w:val="16"/>
        </w:rPr>
        <w:t xml:space="preserve"> </w:t>
      </w:r>
      <w:r w:rsidRPr="00517952">
        <w:rPr>
          <w:rFonts w:ascii="Verdana" w:hAnsi="Verdana"/>
          <w:sz w:val="16"/>
          <w:szCs w:val="16"/>
        </w:rPr>
        <w:tab/>
      </w:r>
      <w:r w:rsidRPr="00517952">
        <w:rPr>
          <w:rFonts w:ascii="Verdana" w:hAnsi="Verdana" w:cs="Arial"/>
          <w:i/>
          <w:color w:val="000000"/>
          <w:sz w:val="16"/>
          <w:szCs w:val="16"/>
        </w:rPr>
        <w:t>Cfr.</w:t>
      </w:r>
      <w:r w:rsidRPr="00517952">
        <w:rPr>
          <w:rFonts w:ascii="Verdana" w:hAnsi="Verdana" w:cs="Arial"/>
          <w:color w:val="000000"/>
          <w:sz w:val="16"/>
          <w:szCs w:val="16"/>
        </w:rPr>
        <w:t xml:space="preserve"> Dirección General de Participación del Ministerio de Industria. Resolución Directoral N 23-ICTI/OGP/89 de fecha 9 de junio de 1989 </w:t>
      </w:r>
      <w:r w:rsidRPr="00517952">
        <w:rPr>
          <w:rFonts w:ascii="Verdana" w:hAnsi="Verdana"/>
          <w:sz w:val="16"/>
          <w:szCs w:val="16"/>
        </w:rPr>
        <w:t>(expediente de prueba Anexo 3 contestación del Estado, f.1455). Mediante resolución directoral la Ofician General de Participación determinó que todo lo relacionado con el proceso electoral realizado el 28 de abril de 1989, se efectuó de acuerdo al Reglamento de elecciones; no obstante, declaró fundado el recurso y se instruyó convocar a un nuevo proceso electoral.</w:t>
      </w:r>
    </w:p>
  </w:footnote>
  <w:footnote w:id="58">
    <w:p w14:paraId="113D88DF" w14:textId="2E0715D9" w:rsidR="00D86616" w:rsidRPr="00517952" w:rsidRDefault="00D86616" w:rsidP="006A2D03">
      <w:pPr>
        <w:pStyle w:val="FootnoteText"/>
        <w:spacing w:after="0"/>
        <w:rPr>
          <w:lang w:val="es-MX"/>
        </w:rPr>
      </w:pPr>
      <w:r w:rsidRPr="00517952">
        <w:rPr>
          <w:rStyle w:val="FootnoteReference"/>
          <w:sz w:val="16"/>
        </w:rPr>
        <w:footnoteRef/>
      </w:r>
      <w:r w:rsidRPr="00517952">
        <w:rPr>
          <w:lang w:val="es-MX"/>
        </w:rPr>
        <w:t xml:space="preserve"> </w:t>
      </w:r>
      <w:r w:rsidRPr="00517952">
        <w:rPr>
          <w:lang w:val="es-MX"/>
        </w:rPr>
        <w:tab/>
        <w:t xml:space="preserve">   Citación a reunión del Comité electoral de fecha 22 de junio de 1989, adjunto a la carta aclaratoria de 28 de junio de 1989. </w:t>
      </w:r>
    </w:p>
  </w:footnote>
  <w:footnote w:id="59">
    <w:p w14:paraId="00B89148" w14:textId="3C946815" w:rsidR="00D86616" w:rsidRPr="00517952" w:rsidRDefault="00D86616" w:rsidP="006A2D03">
      <w:pPr>
        <w:contextualSpacing/>
        <w:jc w:val="both"/>
        <w:rPr>
          <w:rFonts w:ascii="Verdana" w:hAnsi="Verdana"/>
          <w:sz w:val="16"/>
          <w:szCs w:val="16"/>
        </w:rPr>
      </w:pPr>
      <w:r w:rsidRPr="00517952">
        <w:rPr>
          <w:rStyle w:val="FootnoteReference"/>
          <w:sz w:val="16"/>
          <w:szCs w:val="16"/>
        </w:rPr>
        <w:footnoteRef/>
      </w:r>
      <w:r w:rsidRPr="00517952">
        <w:rPr>
          <w:rFonts w:ascii="Verdana" w:hAnsi="Verdana"/>
          <w:sz w:val="16"/>
          <w:szCs w:val="16"/>
        </w:rPr>
        <w:t xml:space="preserve"> </w:t>
      </w:r>
      <w:r w:rsidRPr="00517952">
        <w:rPr>
          <w:rFonts w:ascii="Verdana" w:hAnsi="Verdana"/>
          <w:sz w:val="16"/>
          <w:szCs w:val="16"/>
        </w:rPr>
        <w:tab/>
      </w:r>
      <w:r w:rsidRPr="00517952">
        <w:rPr>
          <w:rFonts w:ascii="Verdana" w:hAnsi="Verdana"/>
          <w:i/>
          <w:sz w:val="16"/>
          <w:szCs w:val="16"/>
        </w:rPr>
        <w:t>Cfr.</w:t>
      </w:r>
      <w:r w:rsidRPr="00517952">
        <w:rPr>
          <w:rFonts w:ascii="Verdana" w:hAnsi="Verdana"/>
          <w:sz w:val="16"/>
          <w:szCs w:val="16"/>
        </w:rPr>
        <w:t xml:space="preserve"> </w:t>
      </w:r>
      <w:r w:rsidRPr="00517952">
        <w:rPr>
          <w:rFonts w:ascii="Verdana" w:hAnsi="Verdana"/>
          <w:sz w:val="16"/>
          <w:szCs w:val="16"/>
          <w:lang w:eastAsia="es-MX"/>
        </w:rPr>
        <w:t xml:space="preserve">La Razón. Junio de 1989. </w:t>
      </w:r>
      <w:r w:rsidRPr="00517952">
        <w:rPr>
          <w:rFonts w:ascii="Verdana" w:hAnsi="Verdana"/>
          <w:i/>
          <w:iCs/>
          <w:sz w:val="16"/>
          <w:szCs w:val="16"/>
          <w:lang w:eastAsia="es-MX"/>
        </w:rPr>
        <w:t xml:space="preserve">CEPER. Patrona/y Amarillos pretenden liquidar CI. </w:t>
      </w:r>
      <w:r w:rsidRPr="00517952">
        <w:rPr>
          <w:rFonts w:ascii="Verdana" w:hAnsi="Verdana"/>
          <w:sz w:val="16"/>
          <w:szCs w:val="16"/>
          <w:lang w:eastAsia="es-MX"/>
        </w:rPr>
        <w:t xml:space="preserve">pág. 10 </w:t>
      </w:r>
      <w:r w:rsidRPr="00517952">
        <w:rPr>
          <w:rFonts w:ascii="Verdana" w:hAnsi="Verdana"/>
          <w:sz w:val="16"/>
          <w:szCs w:val="16"/>
        </w:rPr>
        <w:t>(expediente de prueba, anexo 5 del Informe de Fondo, f. 13).</w:t>
      </w:r>
    </w:p>
  </w:footnote>
  <w:footnote w:id="60">
    <w:p w14:paraId="12CDACB5" w14:textId="5511B562" w:rsidR="00D86616" w:rsidRPr="00517952" w:rsidRDefault="00D86616" w:rsidP="006A2D03">
      <w:pPr>
        <w:pStyle w:val="FootnoteText"/>
        <w:spacing w:after="0"/>
        <w:rPr>
          <w:lang w:val="es-MX"/>
        </w:rPr>
      </w:pPr>
      <w:r w:rsidRPr="00517952">
        <w:rPr>
          <w:rStyle w:val="FootnoteReference"/>
          <w:sz w:val="16"/>
        </w:rPr>
        <w:footnoteRef/>
      </w:r>
      <w:r w:rsidRPr="00517952">
        <w:rPr>
          <w:lang w:val="es-MX"/>
        </w:rPr>
        <w:t xml:space="preserve"> </w:t>
      </w:r>
      <w:r w:rsidRPr="00517952">
        <w:rPr>
          <w:lang w:val="es-MX"/>
        </w:rPr>
        <w:tab/>
        <w:t xml:space="preserve">   </w:t>
      </w:r>
      <w:r w:rsidRPr="00517952">
        <w:rPr>
          <w:i/>
          <w:lang w:val="es-MX"/>
        </w:rPr>
        <w:t>Cfr.</w:t>
      </w:r>
      <w:r w:rsidRPr="00517952">
        <w:rPr>
          <w:lang w:val="es-MX"/>
        </w:rPr>
        <w:t xml:space="preserve"> </w:t>
      </w:r>
      <w:proofErr w:type="spellStart"/>
      <w:r w:rsidRPr="00517952">
        <w:rPr>
          <w:i/>
          <w:lang w:val="es-MX"/>
        </w:rPr>
        <w:t>Ibid</w:t>
      </w:r>
      <w:proofErr w:type="spellEnd"/>
      <w:r w:rsidRPr="00517952">
        <w:rPr>
          <w:i/>
          <w:lang w:val="es-MX"/>
        </w:rPr>
        <w:t>.</w:t>
      </w:r>
    </w:p>
  </w:footnote>
  <w:footnote w:id="61">
    <w:p w14:paraId="7767572B" w14:textId="12D24157" w:rsidR="00D86616" w:rsidRPr="004C3F47" w:rsidRDefault="00D86616" w:rsidP="006A2D03">
      <w:pPr>
        <w:autoSpaceDE w:val="0"/>
        <w:autoSpaceDN w:val="0"/>
        <w:adjustRightInd w:val="0"/>
        <w:jc w:val="both"/>
        <w:rPr>
          <w:rFonts w:ascii="Verdana" w:hAnsi="Verdana"/>
          <w:sz w:val="16"/>
          <w:szCs w:val="16"/>
        </w:rPr>
      </w:pPr>
      <w:r w:rsidRPr="00517952">
        <w:rPr>
          <w:rStyle w:val="FootnoteReference"/>
          <w:color w:val="000000"/>
          <w:sz w:val="16"/>
          <w:szCs w:val="16"/>
        </w:rPr>
        <w:footnoteRef/>
      </w:r>
      <w:r w:rsidRPr="00517952">
        <w:rPr>
          <w:rFonts w:ascii="Verdana" w:hAnsi="Verdana"/>
          <w:i/>
          <w:color w:val="000000"/>
          <w:sz w:val="16"/>
          <w:szCs w:val="16"/>
          <w:lang w:eastAsia="es-MX"/>
        </w:rPr>
        <w:t xml:space="preserve"> </w:t>
      </w:r>
      <w:r w:rsidRPr="00517952">
        <w:rPr>
          <w:rFonts w:ascii="Verdana" w:hAnsi="Verdana"/>
          <w:i/>
          <w:color w:val="000000"/>
          <w:sz w:val="16"/>
          <w:szCs w:val="16"/>
          <w:lang w:eastAsia="es-MX"/>
        </w:rPr>
        <w:tab/>
        <w:t>Cfr.</w:t>
      </w:r>
      <w:r w:rsidRPr="00517952">
        <w:rPr>
          <w:rFonts w:ascii="Verdana" w:hAnsi="Verdana"/>
          <w:color w:val="000000"/>
          <w:sz w:val="16"/>
          <w:szCs w:val="16"/>
          <w:lang w:eastAsia="es-MX"/>
        </w:rPr>
        <w:t xml:space="preserve"> </w:t>
      </w:r>
      <w:proofErr w:type="spellStart"/>
      <w:r w:rsidRPr="00517952">
        <w:rPr>
          <w:rFonts w:ascii="Verdana" w:hAnsi="Verdana"/>
          <w:i/>
          <w:color w:val="000000"/>
          <w:sz w:val="16"/>
          <w:szCs w:val="16"/>
          <w:lang w:eastAsia="es-MX"/>
        </w:rPr>
        <w:t>Ibid</w:t>
      </w:r>
      <w:proofErr w:type="spellEnd"/>
      <w:r w:rsidRPr="00A532BE">
        <w:rPr>
          <w:rFonts w:ascii="Verdana" w:hAnsi="Verdana"/>
          <w:i/>
          <w:color w:val="000000"/>
          <w:sz w:val="16"/>
          <w:szCs w:val="16"/>
          <w:lang w:eastAsia="es-MX"/>
        </w:rPr>
        <w:t>.</w:t>
      </w:r>
    </w:p>
  </w:footnote>
  <w:footnote w:id="62">
    <w:p w14:paraId="52880E65" w14:textId="3373F461" w:rsidR="00D86616" w:rsidRPr="00517952" w:rsidRDefault="00D86616" w:rsidP="00E677C5">
      <w:pPr>
        <w:jc w:val="both"/>
        <w:rPr>
          <w:rFonts w:ascii="Verdana" w:hAnsi="Verdana"/>
          <w:b/>
          <w:sz w:val="16"/>
          <w:szCs w:val="16"/>
        </w:rPr>
      </w:pPr>
      <w:r w:rsidRPr="00517952">
        <w:rPr>
          <w:rStyle w:val="FootnoteReference"/>
          <w:sz w:val="16"/>
          <w:szCs w:val="16"/>
        </w:rPr>
        <w:footnoteRef/>
      </w:r>
      <w:r w:rsidRPr="00517952">
        <w:rPr>
          <w:rFonts w:ascii="Verdana" w:hAnsi="Verdana"/>
          <w:sz w:val="16"/>
          <w:szCs w:val="16"/>
        </w:rPr>
        <w:t xml:space="preserve"> </w:t>
      </w:r>
      <w:r w:rsidRPr="00517952">
        <w:rPr>
          <w:rFonts w:ascii="Verdana" w:hAnsi="Verdana"/>
          <w:sz w:val="16"/>
          <w:szCs w:val="16"/>
        </w:rPr>
        <w:tab/>
        <w:t>La comunicación notarial se le curso de acuerdo con lo establecido en el Artículo 6 de la Ley N</w:t>
      </w:r>
      <w:r w:rsidRPr="00517952">
        <w:rPr>
          <w:rStyle w:val="st1"/>
          <w:rFonts w:ascii="Verdana" w:hAnsi="Verdana" w:cs="Arial"/>
          <w:color w:val="000000"/>
          <w:sz w:val="16"/>
          <w:szCs w:val="16"/>
        </w:rPr>
        <w:t>º</w:t>
      </w:r>
      <w:r w:rsidRPr="00517952">
        <w:rPr>
          <w:rFonts w:ascii="Verdana" w:hAnsi="Verdana"/>
          <w:sz w:val="16"/>
          <w:szCs w:val="16"/>
        </w:rPr>
        <w:t xml:space="preserve"> 24514 y el Artículo 11 del Decreto Supremo N</w:t>
      </w:r>
      <w:r w:rsidRPr="00517952">
        <w:rPr>
          <w:rStyle w:val="st1"/>
          <w:rFonts w:ascii="Verdana" w:hAnsi="Verdana" w:cs="Arial"/>
          <w:color w:val="000000"/>
          <w:sz w:val="16"/>
          <w:szCs w:val="16"/>
        </w:rPr>
        <w:t>º</w:t>
      </w:r>
      <w:r w:rsidRPr="00517952">
        <w:rPr>
          <w:rFonts w:ascii="Verdana" w:hAnsi="Verdana"/>
          <w:sz w:val="16"/>
          <w:szCs w:val="16"/>
        </w:rPr>
        <w:t xml:space="preserve"> 03-88-TR </w:t>
      </w:r>
      <w:r w:rsidRPr="00517952">
        <w:rPr>
          <w:rFonts w:ascii="Verdana" w:hAnsi="Verdana"/>
          <w:color w:val="000000"/>
          <w:sz w:val="16"/>
          <w:szCs w:val="16"/>
        </w:rPr>
        <w:t>(expediente de prueba anexo 34 la contestación del Estado, f. 1457)</w:t>
      </w:r>
      <w:r w:rsidRPr="00517952">
        <w:rPr>
          <w:rFonts w:ascii="Verdana" w:hAnsi="Verdana"/>
          <w:sz w:val="16"/>
          <w:szCs w:val="16"/>
        </w:rPr>
        <w:t xml:space="preserve">. </w:t>
      </w:r>
    </w:p>
  </w:footnote>
  <w:footnote w:id="63">
    <w:p w14:paraId="489D299C" w14:textId="08E7E152" w:rsidR="00D86616" w:rsidRPr="009E6ED2" w:rsidRDefault="00D86616" w:rsidP="00334B6C">
      <w:pPr>
        <w:pStyle w:val="FootnoteText"/>
        <w:rPr>
          <w:lang w:val="es-MX"/>
        </w:rPr>
      </w:pPr>
      <w:r w:rsidRPr="00517952">
        <w:rPr>
          <w:rStyle w:val="FootnoteReference"/>
          <w:sz w:val="16"/>
        </w:rPr>
        <w:footnoteRef/>
      </w:r>
      <w:r w:rsidRPr="00517952">
        <w:rPr>
          <w:lang w:val="es-MX"/>
        </w:rPr>
        <w:t xml:space="preserve"> </w:t>
      </w:r>
      <w:r w:rsidRPr="00517952">
        <w:rPr>
          <w:lang w:val="es-MX"/>
        </w:rPr>
        <w:tab/>
      </w:r>
      <w:r w:rsidRPr="00517952">
        <w:rPr>
          <w:lang w:val="es-MX"/>
        </w:rPr>
        <w:tab/>
      </w:r>
      <w:r w:rsidRPr="00517952">
        <w:rPr>
          <w:i/>
          <w:lang w:val="es-MX"/>
        </w:rPr>
        <w:t>Cfr.</w:t>
      </w:r>
      <w:r w:rsidRPr="00517952">
        <w:rPr>
          <w:lang w:val="es-MX"/>
        </w:rPr>
        <w:t xml:space="preserve"> </w:t>
      </w:r>
      <w:r w:rsidRPr="00517952">
        <w:rPr>
          <w:lang w:val="es-MX" w:eastAsia="es-MX"/>
        </w:rPr>
        <w:t xml:space="preserve">CEPER-PIRELLI. Carta </w:t>
      </w:r>
      <w:r w:rsidRPr="00517952">
        <w:rPr>
          <w:lang w:val="es-MX"/>
        </w:rPr>
        <w:t>de notarial de fecha 26 de junio de 1989 (expediente de prueba, anexo 4 la contestación</w:t>
      </w:r>
      <w:r w:rsidRPr="009E6ED2">
        <w:rPr>
          <w:lang w:val="es-MX"/>
        </w:rPr>
        <w:t xml:space="preserve"> del Estado, f. 1457 y 1458).</w:t>
      </w:r>
    </w:p>
  </w:footnote>
  <w:footnote w:id="64">
    <w:p w14:paraId="5052153F" w14:textId="011C2671" w:rsidR="00D86616" w:rsidRPr="00517952" w:rsidRDefault="00D86616" w:rsidP="00E677C5">
      <w:pPr>
        <w:autoSpaceDE w:val="0"/>
        <w:autoSpaceDN w:val="0"/>
        <w:adjustRightInd w:val="0"/>
        <w:jc w:val="both"/>
        <w:rPr>
          <w:rFonts w:ascii="Verdana" w:hAnsi="Verdana"/>
          <w:sz w:val="16"/>
          <w:szCs w:val="16"/>
        </w:rPr>
      </w:pPr>
      <w:r w:rsidRPr="00517952">
        <w:rPr>
          <w:rStyle w:val="FootnoteReference"/>
          <w:color w:val="000000"/>
          <w:sz w:val="16"/>
          <w:szCs w:val="16"/>
        </w:rPr>
        <w:footnoteRef/>
      </w:r>
      <w:r w:rsidRPr="00517952">
        <w:rPr>
          <w:rFonts w:ascii="Verdana" w:hAnsi="Verdana"/>
          <w:i/>
          <w:color w:val="000000"/>
          <w:sz w:val="16"/>
          <w:szCs w:val="16"/>
        </w:rPr>
        <w:t xml:space="preserve"> </w:t>
      </w:r>
      <w:r w:rsidRPr="00517952">
        <w:rPr>
          <w:rFonts w:ascii="Verdana" w:hAnsi="Verdana"/>
          <w:i/>
          <w:color w:val="000000"/>
          <w:sz w:val="16"/>
          <w:szCs w:val="16"/>
        </w:rPr>
        <w:tab/>
        <w:t>Cfr.</w:t>
      </w:r>
      <w:r w:rsidRPr="00517952">
        <w:rPr>
          <w:rFonts w:ascii="Verdana" w:hAnsi="Verdana"/>
          <w:color w:val="000000"/>
          <w:sz w:val="16"/>
          <w:szCs w:val="16"/>
        </w:rPr>
        <w:t xml:space="preserve"> </w:t>
      </w:r>
      <w:r w:rsidRPr="00517952">
        <w:rPr>
          <w:rFonts w:ascii="Verdana" w:hAnsi="Verdana"/>
          <w:color w:val="000000"/>
          <w:sz w:val="16"/>
          <w:szCs w:val="16"/>
          <w:lang w:eastAsia="es-MX"/>
        </w:rPr>
        <w:t xml:space="preserve">CEPER-PIRELLI. Carta </w:t>
      </w:r>
      <w:r w:rsidRPr="00517952">
        <w:rPr>
          <w:rFonts w:ascii="Verdana" w:hAnsi="Verdana"/>
          <w:color w:val="000000"/>
          <w:sz w:val="16"/>
          <w:szCs w:val="16"/>
        </w:rPr>
        <w:t>de notarial de fecha 26 de junio de 1989 (expediente de prueba, anexo 4 la contestación del Estado, f. 1457 y 1458).</w:t>
      </w:r>
    </w:p>
  </w:footnote>
  <w:footnote w:id="65">
    <w:p w14:paraId="7805E7FA" w14:textId="0A41387B" w:rsidR="00D86616" w:rsidRPr="00517952" w:rsidRDefault="00D86616" w:rsidP="00334B6C">
      <w:pPr>
        <w:pStyle w:val="FootnoteText"/>
        <w:rPr>
          <w:lang w:val="es-MX"/>
        </w:rPr>
      </w:pPr>
      <w:r w:rsidRPr="00517952">
        <w:rPr>
          <w:rStyle w:val="FootnoteReference"/>
          <w:sz w:val="16"/>
        </w:rPr>
        <w:footnoteRef/>
      </w:r>
      <w:r w:rsidRPr="00517952">
        <w:rPr>
          <w:lang w:val="es-MX"/>
        </w:rPr>
        <w:t xml:space="preserve"> </w:t>
      </w:r>
      <w:r w:rsidRPr="00517952">
        <w:rPr>
          <w:lang w:val="es-MX"/>
        </w:rPr>
        <w:tab/>
      </w:r>
      <w:r w:rsidRPr="00517952">
        <w:rPr>
          <w:lang w:val="es-MX"/>
        </w:rPr>
        <w:tab/>
      </w:r>
      <w:r w:rsidRPr="00517952">
        <w:rPr>
          <w:i/>
          <w:lang w:val="es-MX"/>
        </w:rPr>
        <w:t>Cfr.</w:t>
      </w:r>
      <w:r w:rsidRPr="00517952">
        <w:rPr>
          <w:lang w:val="es-MX"/>
        </w:rPr>
        <w:t xml:space="preserve"> Escrito de descargos presentado a la empresa el 30 de junio de 1989 por el señor Lagos del Campo. (expediente de prueba, anexo 5, f.1460).</w:t>
      </w:r>
    </w:p>
  </w:footnote>
  <w:footnote w:id="66">
    <w:p w14:paraId="15A156B6" w14:textId="5DE0B188" w:rsidR="00D86616" w:rsidRPr="00517952" w:rsidRDefault="00D86616" w:rsidP="00E677C5">
      <w:pPr>
        <w:autoSpaceDE w:val="0"/>
        <w:autoSpaceDN w:val="0"/>
        <w:adjustRightInd w:val="0"/>
        <w:jc w:val="both"/>
        <w:rPr>
          <w:rFonts w:ascii="Verdana" w:hAnsi="Verdana"/>
          <w:sz w:val="16"/>
          <w:szCs w:val="16"/>
        </w:rPr>
      </w:pPr>
      <w:r w:rsidRPr="00517952">
        <w:rPr>
          <w:rStyle w:val="FootnoteReference"/>
          <w:sz w:val="16"/>
          <w:szCs w:val="16"/>
        </w:rPr>
        <w:footnoteRef/>
      </w:r>
      <w:r w:rsidRPr="00517952">
        <w:rPr>
          <w:rFonts w:ascii="Verdana" w:hAnsi="Verdana"/>
          <w:sz w:val="16"/>
          <w:szCs w:val="16"/>
        </w:rPr>
        <w:t xml:space="preserve"> </w:t>
      </w:r>
      <w:r w:rsidRPr="00517952">
        <w:rPr>
          <w:rFonts w:ascii="Verdana" w:hAnsi="Verdana"/>
          <w:sz w:val="16"/>
          <w:szCs w:val="16"/>
        </w:rPr>
        <w:tab/>
      </w:r>
      <w:r w:rsidRPr="00517952">
        <w:rPr>
          <w:rFonts w:ascii="Verdana" w:hAnsi="Verdana"/>
          <w:i/>
          <w:sz w:val="16"/>
          <w:szCs w:val="16"/>
        </w:rPr>
        <w:t>Cfr.</w:t>
      </w:r>
      <w:r w:rsidRPr="00517952">
        <w:rPr>
          <w:rFonts w:ascii="Verdana" w:hAnsi="Verdana"/>
          <w:sz w:val="16"/>
          <w:szCs w:val="16"/>
        </w:rPr>
        <w:t xml:space="preserve"> </w:t>
      </w:r>
      <w:r w:rsidRPr="00517952">
        <w:rPr>
          <w:rFonts w:ascii="Verdana" w:hAnsi="Verdana"/>
          <w:sz w:val="16"/>
          <w:szCs w:val="16"/>
          <w:lang w:eastAsia="es-MX"/>
        </w:rPr>
        <w:t xml:space="preserve">CEPER-PIRELLI. Carta notarial de 1 de julio de 1989, con sello de recepción de notaría de Javier </w:t>
      </w:r>
      <w:proofErr w:type="spellStart"/>
      <w:r w:rsidRPr="00517952">
        <w:rPr>
          <w:rFonts w:ascii="Verdana" w:hAnsi="Verdana"/>
          <w:sz w:val="16"/>
          <w:szCs w:val="16"/>
          <w:lang w:eastAsia="es-MX"/>
        </w:rPr>
        <w:t>Aspauza</w:t>
      </w:r>
      <w:proofErr w:type="spellEnd"/>
      <w:r w:rsidRPr="00517952">
        <w:rPr>
          <w:rFonts w:ascii="Verdana" w:hAnsi="Verdana"/>
          <w:sz w:val="16"/>
          <w:szCs w:val="16"/>
          <w:lang w:eastAsia="es-MX"/>
        </w:rPr>
        <w:t xml:space="preserve"> Gamarra, de 3 de Julio de 1989. </w:t>
      </w:r>
      <w:r w:rsidRPr="00517952">
        <w:rPr>
          <w:rFonts w:ascii="Verdana" w:hAnsi="Verdana"/>
          <w:sz w:val="16"/>
          <w:szCs w:val="16"/>
        </w:rPr>
        <w:t xml:space="preserve">(expediente de prueba, anexo 6 del Informe de Fondo, ff.15 y 16). </w:t>
      </w:r>
    </w:p>
  </w:footnote>
  <w:footnote w:id="67">
    <w:p w14:paraId="69884561" w14:textId="01376F87" w:rsidR="00D86616" w:rsidRPr="00517952" w:rsidRDefault="00D86616" w:rsidP="00334B6C">
      <w:pPr>
        <w:pStyle w:val="FootnoteText"/>
        <w:rPr>
          <w:lang w:val="es-MX"/>
        </w:rPr>
      </w:pPr>
      <w:r w:rsidRPr="00517952">
        <w:rPr>
          <w:rStyle w:val="FootnoteReference"/>
          <w:sz w:val="16"/>
        </w:rPr>
        <w:footnoteRef/>
      </w:r>
      <w:r w:rsidRPr="00517952">
        <w:rPr>
          <w:lang w:val="es-MX"/>
        </w:rPr>
        <w:t xml:space="preserve"> </w:t>
      </w:r>
      <w:r w:rsidRPr="00517952">
        <w:rPr>
          <w:lang w:val="es-MX"/>
        </w:rPr>
        <w:tab/>
      </w:r>
      <w:r w:rsidRPr="00517952">
        <w:rPr>
          <w:lang w:val="es-MX"/>
        </w:rPr>
        <w:tab/>
        <w:t xml:space="preserve">La Ley 24514 establecía 4 tipos de causales de despido consideradas justas. </w:t>
      </w:r>
    </w:p>
  </w:footnote>
  <w:footnote w:id="68">
    <w:p w14:paraId="2266B6E1" w14:textId="0DB7A10A" w:rsidR="00D86616" w:rsidRPr="004C3F47" w:rsidRDefault="00D86616" w:rsidP="00E677C5">
      <w:pPr>
        <w:autoSpaceDE w:val="0"/>
        <w:autoSpaceDN w:val="0"/>
        <w:adjustRightInd w:val="0"/>
        <w:jc w:val="both"/>
        <w:rPr>
          <w:rFonts w:ascii="Verdana" w:hAnsi="Verdana"/>
          <w:sz w:val="16"/>
          <w:szCs w:val="16"/>
        </w:rPr>
      </w:pPr>
      <w:r w:rsidRPr="00517952">
        <w:rPr>
          <w:rStyle w:val="FootnoteReference"/>
          <w:sz w:val="16"/>
          <w:szCs w:val="16"/>
        </w:rPr>
        <w:footnoteRef/>
      </w:r>
      <w:r w:rsidRPr="00517952">
        <w:rPr>
          <w:rFonts w:ascii="Verdana" w:hAnsi="Verdana"/>
          <w:sz w:val="16"/>
          <w:szCs w:val="16"/>
        </w:rPr>
        <w:t xml:space="preserve"> </w:t>
      </w:r>
      <w:r w:rsidRPr="00517952">
        <w:rPr>
          <w:rFonts w:ascii="Verdana" w:hAnsi="Verdana"/>
          <w:sz w:val="16"/>
          <w:szCs w:val="16"/>
        </w:rPr>
        <w:tab/>
      </w:r>
      <w:r w:rsidRPr="00517952">
        <w:rPr>
          <w:rFonts w:ascii="Verdana" w:hAnsi="Verdana"/>
          <w:i/>
          <w:sz w:val="16"/>
          <w:szCs w:val="16"/>
        </w:rPr>
        <w:t>Cfr.</w:t>
      </w:r>
      <w:r w:rsidRPr="00517952">
        <w:rPr>
          <w:rFonts w:ascii="Verdana" w:hAnsi="Verdana"/>
          <w:sz w:val="16"/>
          <w:szCs w:val="16"/>
        </w:rPr>
        <w:t xml:space="preserve"> </w:t>
      </w:r>
      <w:r w:rsidRPr="00517952">
        <w:rPr>
          <w:rFonts w:ascii="Verdana" w:hAnsi="Verdana"/>
          <w:sz w:val="16"/>
          <w:szCs w:val="16"/>
          <w:lang w:eastAsia="es-MX"/>
        </w:rPr>
        <w:t>Congreso de la República de Perú. Ley 24514. Ley del derecho de estabilidad en el trabajo. 4 de junio de 1986. Artículo 4.a. Disponible para consulta en: http://www4.congreso.gob.pe/ntley/imagenes/Leyes/24514.pdf</w:t>
      </w:r>
      <w:r w:rsidRPr="004C3F47">
        <w:rPr>
          <w:rFonts w:ascii="Verdana" w:hAnsi="Verdana"/>
          <w:sz w:val="16"/>
          <w:szCs w:val="16"/>
          <w:lang w:eastAsia="es-MX"/>
        </w:rPr>
        <w:t xml:space="preserve">  </w:t>
      </w:r>
      <w:r w:rsidRPr="004C3F47">
        <w:rPr>
          <w:rFonts w:ascii="Verdana" w:hAnsi="Verdana"/>
          <w:sz w:val="16"/>
          <w:szCs w:val="16"/>
        </w:rPr>
        <w:t xml:space="preserve">(expediente de prueba anexo 9 del Informe de Fondo, </w:t>
      </w:r>
      <w:proofErr w:type="spellStart"/>
      <w:r w:rsidRPr="004C3F47">
        <w:rPr>
          <w:rFonts w:ascii="Verdana" w:hAnsi="Verdana"/>
          <w:sz w:val="16"/>
          <w:szCs w:val="16"/>
        </w:rPr>
        <w:t>ff</w:t>
      </w:r>
      <w:proofErr w:type="spellEnd"/>
      <w:r w:rsidRPr="004C3F47">
        <w:rPr>
          <w:rFonts w:ascii="Verdana" w:hAnsi="Verdana"/>
          <w:sz w:val="16"/>
          <w:szCs w:val="16"/>
        </w:rPr>
        <w:t>. 33bis a 38bis).</w:t>
      </w:r>
    </w:p>
  </w:footnote>
  <w:footnote w:id="69">
    <w:p w14:paraId="5982A5AF" w14:textId="0F618E13" w:rsidR="00D86616" w:rsidRPr="00517952" w:rsidRDefault="00D86616" w:rsidP="00E677C5">
      <w:pPr>
        <w:autoSpaceDE w:val="0"/>
        <w:autoSpaceDN w:val="0"/>
        <w:adjustRightInd w:val="0"/>
        <w:jc w:val="both"/>
        <w:rPr>
          <w:rFonts w:ascii="Verdana" w:eastAsia="Times New Roman" w:hAnsi="Verdana" w:cs="Arial"/>
          <w:iCs/>
          <w:color w:val="000000"/>
          <w:sz w:val="16"/>
          <w:szCs w:val="16"/>
          <w:lang w:eastAsia="es-CR"/>
        </w:rPr>
      </w:pPr>
      <w:r w:rsidRPr="00517952">
        <w:rPr>
          <w:rStyle w:val="FootnoteReference"/>
          <w:sz w:val="16"/>
          <w:szCs w:val="16"/>
        </w:rPr>
        <w:footnoteRef/>
      </w:r>
      <w:r w:rsidRPr="00517952">
        <w:rPr>
          <w:rFonts w:ascii="Verdana" w:hAnsi="Verdana"/>
          <w:sz w:val="16"/>
          <w:szCs w:val="16"/>
        </w:rPr>
        <w:t xml:space="preserve"> </w:t>
      </w:r>
      <w:r w:rsidRPr="00517952">
        <w:rPr>
          <w:rFonts w:ascii="Verdana" w:hAnsi="Verdana"/>
          <w:sz w:val="16"/>
          <w:szCs w:val="16"/>
        </w:rPr>
        <w:tab/>
        <w:t>El Artículo 3</w:t>
      </w:r>
      <w:r w:rsidRPr="00517952">
        <w:rPr>
          <w:rStyle w:val="st1"/>
          <w:rFonts w:ascii="Verdana" w:hAnsi="Verdana" w:cs="Arial"/>
          <w:color w:val="000000"/>
          <w:sz w:val="16"/>
          <w:szCs w:val="16"/>
        </w:rPr>
        <w:t>º</w:t>
      </w:r>
      <w:r w:rsidRPr="00517952">
        <w:rPr>
          <w:rFonts w:ascii="Verdana" w:hAnsi="Verdana"/>
          <w:color w:val="000000"/>
          <w:sz w:val="16"/>
          <w:szCs w:val="16"/>
        </w:rPr>
        <w:t xml:space="preserve"> </w:t>
      </w:r>
      <w:r w:rsidRPr="00517952">
        <w:rPr>
          <w:rFonts w:ascii="Verdana" w:hAnsi="Verdana"/>
          <w:sz w:val="16"/>
          <w:szCs w:val="16"/>
        </w:rPr>
        <w:t>del Decreto-Ley vigente en la época de los hechos establecía lo siguiente:</w:t>
      </w:r>
      <w:r w:rsidRPr="00517952">
        <w:rPr>
          <w:rFonts w:ascii="Verdana" w:hAnsi="Verdana"/>
          <w:color w:val="000000"/>
          <w:sz w:val="16"/>
          <w:szCs w:val="16"/>
        </w:rPr>
        <w:t xml:space="preserve"> </w:t>
      </w:r>
      <w:r w:rsidRPr="00517952">
        <w:rPr>
          <w:rFonts w:ascii="Verdana" w:hAnsi="Verdana"/>
          <w:sz w:val="16"/>
          <w:szCs w:val="16"/>
        </w:rPr>
        <w:t>“</w:t>
      </w:r>
      <w:r w:rsidRPr="00517952">
        <w:rPr>
          <w:rFonts w:ascii="Verdana" w:hAnsi="Verdana"/>
          <w:color w:val="000000"/>
          <w:sz w:val="16"/>
          <w:szCs w:val="16"/>
        </w:rPr>
        <w:t>Artículo 3</w:t>
      </w:r>
      <w:r w:rsidRPr="00517952">
        <w:rPr>
          <w:rStyle w:val="st1"/>
          <w:rFonts w:ascii="Verdana" w:hAnsi="Verdana" w:cs="Arial"/>
          <w:color w:val="000000"/>
          <w:sz w:val="16"/>
          <w:szCs w:val="16"/>
        </w:rPr>
        <w:t>º</w:t>
      </w:r>
      <w:r w:rsidRPr="00517952">
        <w:rPr>
          <w:rFonts w:ascii="Verdana" w:hAnsi="Verdana"/>
          <w:color w:val="000000"/>
          <w:sz w:val="16"/>
          <w:szCs w:val="16"/>
        </w:rPr>
        <w:t xml:space="preserve"> – Los trabajadores a que se refiere el Artículo 2</w:t>
      </w:r>
      <w:r w:rsidRPr="00517952">
        <w:rPr>
          <w:rStyle w:val="st1"/>
          <w:rFonts w:ascii="Verdana" w:hAnsi="Verdana" w:cs="Arial"/>
          <w:color w:val="000000"/>
          <w:sz w:val="16"/>
          <w:szCs w:val="16"/>
        </w:rPr>
        <w:t>º</w:t>
      </w:r>
      <w:r w:rsidRPr="00517952">
        <w:rPr>
          <w:rFonts w:ascii="Verdana" w:hAnsi="Verdana"/>
          <w:color w:val="000000"/>
          <w:sz w:val="16"/>
          <w:szCs w:val="16"/>
        </w:rPr>
        <w:t xml:space="preserve"> solo podrán ser despedidos por causa justa señalada en la presente Ley y debidamente comprobada”.</w:t>
      </w:r>
    </w:p>
  </w:footnote>
  <w:footnote w:id="70">
    <w:p w14:paraId="041B2383" w14:textId="0933509A" w:rsidR="00D86616" w:rsidRPr="00517952" w:rsidRDefault="00D86616" w:rsidP="00334B6C">
      <w:pPr>
        <w:pStyle w:val="FootnoteText"/>
        <w:rPr>
          <w:lang w:val="es-MX"/>
        </w:rPr>
      </w:pPr>
      <w:r w:rsidRPr="00517952">
        <w:rPr>
          <w:rStyle w:val="FootnoteReference"/>
          <w:sz w:val="16"/>
          <w:lang w:val="es-MX"/>
        </w:rPr>
        <w:footnoteRef/>
      </w:r>
      <w:r w:rsidRPr="00517952">
        <w:rPr>
          <w:lang w:val="es-MX"/>
        </w:rPr>
        <w:t xml:space="preserve"> </w:t>
      </w:r>
      <w:r w:rsidRPr="00517952">
        <w:rPr>
          <w:lang w:val="es-MX"/>
        </w:rPr>
        <w:tab/>
        <w:t xml:space="preserve">  </w:t>
      </w:r>
      <w:r w:rsidRPr="00517952">
        <w:rPr>
          <w:i/>
          <w:lang w:val="es-MX"/>
        </w:rPr>
        <w:t>Cfr.</w:t>
      </w:r>
      <w:r w:rsidRPr="00517952">
        <w:rPr>
          <w:lang w:val="es-MX"/>
        </w:rPr>
        <w:t xml:space="preserve"> Congreso de la República de Perú. Ley 24514. Ley del derecho de estabilidad en el trabajo. 4 de junio de 1986. Artículo 5. Disponible para consulta en: http://www4.congreso.gob.pe/ntley/imagenes/Leyes/24514.pdf  (expediente de prueba anexo 9 del Informe de Fondo, </w:t>
      </w:r>
      <w:proofErr w:type="spellStart"/>
      <w:r w:rsidRPr="00517952">
        <w:rPr>
          <w:lang w:val="es-MX"/>
        </w:rPr>
        <w:t>ff</w:t>
      </w:r>
      <w:proofErr w:type="spellEnd"/>
      <w:r w:rsidRPr="00517952">
        <w:rPr>
          <w:lang w:val="es-MX"/>
        </w:rPr>
        <w:t>. 33bis a 38bis).</w:t>
      </w:r>
    </w:p>
  </w:footnote>
  <w:footnote w:id="71">
    <w:p w14:paraId="2F460F71" w14:textId="7945E371" w:rsidR="00D86616" w:rsidRPr="00517952" w:rsidRDefault="00D86616" w:rsidP="00E677C5">
      <w:pPr>
        <w:autoSpaceDE w:val="0"/>
        <w:autoSpaceDN w:val="0"/>
        <w:adjustRightInd w:val="0"/>
        <w:jc w:val="both"/>
        <w:rPr>
          <w:rFonts w:ascii="Verdana" w:eastAsia="Times New Roman" w:hAnsi="Verdana" w:cs="Arial"/>
          <w:iCs/>
          <w:color w:val="000000"/>
          <w:sz w:val="16"/>
          <w:szCs w:val="16"/>
          <w:lang w:eastAsia="es-CR"/>
        </w:rPr>
      </w:pPr>
      <w:r w:rsidRPr="00517952">
        <w:rPr>
          <w:rStyle w:val="FootnoteReference"/>
          <w:sz w:val="16"/>
          <w:szCs w:val="16"/>
        </w:rPr>
        <w:footnoteRef/>
      </w:r>
      <w:r w:rsidRPr="00517952">
        <w:rPr>
          <w:rFonts w:ascii="Verdana" w:hAnsi="Verdana"/>
          <w:i/>
          <w:sz w:val="16"/>
          <w:szCs w:val="16"/>
        </w:rPr>
        <w:t xml:space="preserve">      Cfr.</w:t>
      </w:r>
      <w:r w:rsidRPr="00517952">
        <w:rPr>
          <w:rFonts w:ascii="Verdana" w:hAnsi="Verdana"/>
          <w:sz w:val="16"/>
          <w:szCs w:val="16"/>
        </w:rPr>
        <w:t xml:space="preserve"> Congreso de la República de Perú. Ley 24514. Ley del derecho de estabilidad en el trabajo. 4 de junio de 1986 Artículo 6</w:t>
      </w:r>
      <w:r w:rsidRPr="00517952">
        <w:rPr>
          <w:rFonts w:ascii="Verdana" w:hAnsi="Verdana"/>
          <w:color w:val="000000"/>
          <w:sz w:val="16"/>
          <w:szCs w:val="16"/>
        </w:rPr>
        <w:t>.- “El empleador inmediatamente después de conocida o investigada la falta que dé lugar al despido, deberá comunicar por escrito esta situación al trabajar afectado. No se podrá dar por terminada la relación laboral de un trabajador, sin que previamente se le haya ofrecido la posibilidad de defenderse de los cargos formulados contra él a menos que se trata de hechos de tal gravedad que no pueda pedirse razonablemente al empleador que se le conceda esa posibilidad. En el ejercicio del derecho de defensa, el trabajador podrá ser asistido por la representación sindical o por un profesional abogado, según decida”.</w:t>
      </w:r>
    </w:p>
  </w:footnote>
  <w:footnote w:id="72">
    <w:p w14:paraId="2DCB29C2" w14:textId="56BDC8E8" w:rsidR="00D86616" w:rsidRPr="00517952" w:rsidRDefault="00D86616" w:rsidP="00334B6C">
      <w:pPr>
        <w:pStyle w:val="FootnoteText"/>
        <w:rPr>
          <w:lang w:val="es-MX"/>
        </w:rPr>
      </w:pPr>
      <w:r w:rsidRPr="00517952">
        <w:rPr>
          <w:rStyle w:val="FootnoteReference"/>
          <w:sz w:val="16"/>
          <w:lang w:val="es-MX"/>
        </w:rPr>
        <w:footnoteRef/>
      </w:r>
      <w:r w:rsidRPr="00517952">
        <w:rPr>
          <w:lang w:val="es-MX"/>
        </w:rPr>
        <w:t xml:space="preserve"> </w:t>
      </w:r>
      <w:r w:rsidRPr="00517952">
        <w:rPr>
          <w:lang w:val="es-MX"/>
        </w:rPr>
        <w:tab/>
      </w:r>
      <w:r w:rsidRPr="00517952">
        <w:rPr>
          <w:i/>
          <w:lang w:val="es-MX"/>
        </w:rPr>
        <w:t>Cfr.</w:t>
      </w:r>
      <w:r w:rsidRPr="00517952">
        <w:rPr>
          <w:lang w:val="es-MX"/>
        </w:rPr>
        <w:t xml:space="preserve"> </w:t>
      </w:r>
      <w:r w:rsidRPr="00517952">
        <w:rPr>
          <w:lang w:val="es-MX" w:eastAsia="es-MX"/>
        </w:rPr>
        <w:t>Congreso de la República de Perú. Ley 24514. Ley del derecho de estabilidad en el trabajo. 4 de junio de 1986.</w:t>
      </w:r>
      <w:r w:rsidRPr="00517952" w:rsidDel="00712E9F">
        <w:rPr>
          <w:lang w:val="es-MX"/>
        </w:rPr>
        <w:t xml:space="preserve"> </w:t>
      </w:r>
      <w:r w:rsidRPr="00517952">
        <w:rPr>
          <w:lang w:val="es-MX"/>
        </w:rPr>
        <w:t>Artículo 7 “Concluido el trámite previo de conformidad con lo establecido en el artículo anterior, sin que el trabajador hubiera desvirtuado los hechos que configuran la falta grave, el empleador le notificara el despido mediante de Juez de Paz a falta de Notario, con indicación precisa de la causa del despido y la fecha en que debe cesar. Dicho despido será comunicado simultáneamente a la Autoridad Administrativa de Trabajo</w:t>
      </w:r>
      <w:r w:rsidRPr="00517952">
        <w:rPr>
          <w:rFonts w:cs="Arial"/>
          <w:iCs/>
          <w:lang w:val="es-MX" w:eastAsia="es-CR"/>
        </w:rPr>
        <w:t>”.</w:t>
      </w:r>
    </w:p>
  </w:footnote>
  <w:footnote w:id="73">
    <w:p w14:paraId="660DCACB" w14:textId="13AF4883" w:rsidR="00D86616" w:rsidRPr="00517952" w:rsidRDefault="00D86616" w:rsidP="00E677C5">
      <w:pPr>
        <w:autoSpaceDE w:val="0"/>
        <w:autoSpaceDN w:val="0"/>
        <w:adjustRightInd w:val="0"/>
        <w:jc w:val="both"/>
        <w:rPr>
          <w:rFonts w:ascii="Verdana" w:eastAsia="Times New Roman" w:hAnsi="Verdana" w:cs="Arial"/>
          <w:iCs/>
          <w:color w:val="000000"/>
          <w:sz w:val="16"/>
          <w:szCs w:val="16"/>
          <w:lang w:eastAsia="es-CR"/>
        </w:rPr>
      </w:pPr>
      <w:r w:rsidRPr="00517952">
        <w:rPr>
          <w:rStyle w:val="FootnoteReference"/>
          <w:sz w:val="16"/>
          <w:szCs w:val="16"/>
        </w:rPr>
        <w:footnoteRef/>
      </w:r>
      <w:r w:rsidRPr="00517952">
        <w:rPr>
          <w:rFonts w:ascii="Verdana" w:hAnsi="Verdana"/>
          <w:sz w:val="16"/>
          <w:szCs w:val="16"/>
        </w:rPr>
        <w:t xml:space="preserve">     </w:t>
      </w:r>
      <w:r w:rsidRPr="00517952">
        <w:rPr>
          <w:rFonts w:ascii="Verdana" w:hAnsi="Verdana"/>
          <w:i/>
          <w:sz w:val="16"/>
          <w:szCs w:val="16"/>
        </w:rPr>
        <w:t>Cfr.</w:t>
      </w:r>
      <w:r w:rsidRPr="00517952">
        <w:rPr>
          <w:rFonts w:ascii="Verdana" w:hAnsi="Verdana"/>
          <w:sz w:val="16"/>
          <w:szCs w:val="16"/>
        </w:rPr>
        <w:t xml:space="preserve"> </w:t>
      </w:r>
      <w:r w:rsidRPr="00517952">
        <w:rPr>
          <w:rFonts w:ascii="Verdana" w:hAnsi="Verdana"/>
          <w:sz w:val="16"/>
          <w:szCs w:val="16"/>
          <w:lang w:eastAsia="es-MX"/>
        </w:rPr>
        <w:t>Congreso de la República de Perú. Ley 24514. Ley del derecho de estabilidad en el trabajo. 4 de junio de 1986.</w:t>
      </w:r>
      <w:r w:rsidRPr="00517952" w:rsidDel="00CF3233">
        <w:rPr>
          <w:rFonts w:ascii="Verdana" w:hAnsi="Verdana"/>
          <w:sz w:val="16"/>
          <w:szCs w:val="16"/>
        </w:rPr>
        <w:t xml:space="preserve"> </w:t>
      </w:r>
      <w:r w:rsidRPr="00517952">
        <w:rPr>
          <w:rFonts w:ascii="Verdana" w:hAnsi="Verdana"/>
          <w:color w:val="000000"/>
          <w:sz w:val="16"/>
          <w:szCs w:val="16"/>
        </w:rPr>
        <w:t>Artículo 8 “El trabajador que considere que el despido es injustificado o no cumple con los requisitos formales exigidos por esta Ley, podrá recurrir al Fuero de Trabajo y Comunidades Laborales para que lo declare injustificado o improcedente. A solicitud del trabajador afectado, en el acto del comparendo o después de esta diligencia, sin interrumpir la secuela del procedimiento el Juez podrá preventivamente disponer la suspensión; del despido y la reincorporación de aquel en su puesto habitual de trabajo cuando por la conducta del trabajador y las características del hecho imputado exista la presunción razonable de que el actor no ha incurrido en falta grave o cuando el despido se hubiera producido sin las formalidades señaladas en esta Ley”.</w:t>
      </w:r>
    </w:p>
  </w:footnote>
  <w:footnote w:id="74">
    <w:p w14:paraId="3A29CD5A" w14:textId="7D64BA74" w:rsidR="00D86616" w:rsidRPr="004C3F47" w:rsidRDefault="00D86616" w:rsidP="00E677C5">
      <w:pPr>
        <w:autoSpaceDE w:val="0"/>
        <w:autoSpaceDN w:val="0"/>
        <w:adjustRightInd w:val="0"/>
        <w:jc w:val="both"/>
        <w:rPr>
          <w:rFonts w:ascii="Verdana" w:hAnsi="Verdana"/>
          <w:color w:val="000000"/>
          <w:sz w:val="16"/>
          <w:szCs w:val="16"/>
        </w:rPr>
      </w:pPr>
      <w:r w:rsidRPr="00517952">
        <w:rPr>
          <w:rStyle w:val="FootnoteReference"/>
          <w:sz w:val="16"/>
          <w:szCs w:val="16"/>
        </w:rPr>
        <w:footnoteRef/>
      </w:r>
      <w:r w:rsidRPr="00517952">
        <w:rPr>
          <w:rFonts w:ascii="Verdana" w:hAnsi="Verdana"/>
          <w:sz w:val="16"/>
          <w:szCs w:val="16"/>
        </w:rPr>
        <w:t xml:space="preserve"> </w:t>
      </w:r>
      <w:r w:rsidRPr="00517952">
        <w:rPr>
          <w:rFonts w:ascii="Verdana" w:hAnsi="Verdana"/>
          <w:sz w:val="16"/>
          <w:szCs w:val="16"/>
        </w:rPr>
        <w:tab/>
      </w:r>
      <w:r w:rsidRPr="00517952">
        <w:rPr>
          <w:rFonts w:ascii="Verdana" w:hAnsi="Verdana"/>
          <w:i/>
          <w:sz w:val="16"/>
          <w:szCs w:val="16"/>
        </w:rPr>
        <w:t>Cfr.</w:t>
      </w:r>
      <w:r w:rsidRPr="00517952">
        <w:rPr>
          <w:rFonts w:ascii="Verdana" w:hAnsi="Verdana"/>
          <w:sz w:val="16"/>
          <w:szCs w:val="16"/>
        </w:rPr>
        <w:t xml:space="preserve"> </w:t>
      </w:r>
      <w:r w:rsidRPr="00517952">
        <w:rPr>
          <w:rFonts w:ascii="Verdana" w:hAnsi="Verdana"/>
          <w:sz w:val="16"/>
          <w:szCs w:val="16"/>
          <w:lang w:eastAsia="es-MX"/>
        </w:rPr>
        <w:t xml:space="preserve">Congreso de la República de Perú. Ley 24514. Ley del derecho de estabilidad en el trabajo. 4 de junio de 1986. </w:t>
      </w:r>
      <w:r w:rsidRPr="00517952">
        <w:rPr>
          <w:rFonts w:ascii="Verdana" w:hAnsi="Verdana"/>
          <w:color w:val="000000"/>
          <w:sz w:val="16"/>
          <w:szCs w:val="16"/>
        </w:rPr>
        <w:t>Artículo 11 “La acción a que se refieren los artículos anteriores, se sujetará en general al procedimiento que rige las acciones que, en materia de trabajo, se tramitan ante el Fuero de Trabajo y Comunidades Laborales, con las particularidades que se establecen en la presente Ley. El Fuero de Trabajo y Comunidades Laborales resolverá este procedimiento dentro de un término no mayor de cuatro meses. La carga de la prueba con motivo del despido, en todo caso, corresponde al empleador</w:t>
      </w:r>
      <w:r w:rsidRPr="004C3F47">
        <w:rPr>
          <w:rFonts w:ascii="Verdana" w:hAnsi="Verdana"/>
          <w:color w:val="000000"/>
          <w:sz w:val="16"/>
          <w:szCs w:val="16"/>
        </w:rPr>
        <w:t>”.</w:t>
      </w:r>
    </w:p>
  </w:footnote>
  <w:footnote w:id="75">
    <w:p w14:paraId="70B7B5FB" w14:textId="1C51FF5C" w:rsidR="00D86616" w:rsidRPr="00517952" w:rsidRDefault="00D86616" w:rsidP="00E677C5">
      <w:pPr>
        <w:autoSpaceDE w:val="0"/>
        <w:autoSpaceDN w:val="0"/>
        <w:adjustRightInd w:val="0"/>
        <w:jc w:val="both"/>
        <w:rPr>
          <w:rFonts w:ascii="Verdana" w:eastAsia="Times New Roman" w:hAnsi="Verdana" w:cs="Arial"/>
          <w:iCs/>
          <w:color w:val="000000"/>
          <w:sz w:val="16"/>
          <w:szCs w:val="16"/>
          <w:lang w:eastAsia="es-CR"/>
        </w:rPr>
      </w:pPr>
      <w:r w:rsidRPr="00517952">
        <w:rPr>
          <w:rStyle w:val="FootnoteReference"/>
          <w:sz w:val="16"/>
          <w:szCs w:val="16"/>
        </w:rPr>
        <w:footnoteRef/>
      </w:r>
      <w:r w:rsidRPr="00517952">
        <w:rPr>
          <w:rFonts w:ascii="Verdana" w:hAnsi="Verdana"/>
          <w:sz w:val="16"/>
          <w:szCs w:val="16"/>
        </w:rPr>
        <w:t xml:space="preserve"> </w:t>
      </w:r>
      <w:r w:rsidRPr="004C3F47">
        <w:rPr>
          <w:rFonts w:ascii="Verdana" w:hAnsi="Verdana"/>
          <w:sz w:val="16"/>
          <w:szCs w:val="16"/>
        </w:rPr>
        <w:tab/>
      </w:r>
      <w:r w:rsidRPr="00F77B70">
        <w:rPr>
          <w:rFonts w:ascii="Verdana" w:hAnsi="Verdana"/>
          <w:i/>
          <w:sz w:val="16"/>
          <w:szCs w:val="16"/>
        </w:rPr>
        <w:t>Cfr.</w:t>
      </w:r>
      <w:r w:rsidRPr="004C3F47">
        <w:rPr>
          <w:rFonts w:ascii="Verdana" w:hAnsi="Verdana"/>
          <w:sz w:val="16"/>
          <w:szCs w:val="16"/>
        </w:rPr>
        <w:t xml:space="preserve"> </w:t>
      </w:r>
      <w:r w:rsidRPr="004C3F47">
        <w:rPr>
          <w:rFonts w:ascii="Verdana" w:hAnsi="Verdana"/>
          <w:sz w:val="16"/>
          <w:szCs w:val="16"/>
          <w:lang w:eastAsia="es-MX"/>
        </w:rPr>
        <w:t>Congreso de la República de Perú. Ley 24514. Ley del derecho de estabilidad en el trabajo. 4 de junio de 1986.</w:t>
      </w:r>
      <w:r w:rsidRPr="004C3F47" w:rsidDel="00CF3233">
        <w:rPr>
          <w:rFonts w:ascii="Verdana" w:hAnsi="Verdana"/>
          <w:sz w:val="16"/>
          <w:szCs w:val="16"/>
        </w:rPr>
        <w:t xml:space="preserve"> </w:t>
      </w:r>
      <w:r w:rsidRPr="004C3F47">
        <w:rPr>
          <w:rFonts w:ascii="Verdana" w:hAnsi="Verdana"/>
          <w:color w:val="000000"/>
          <w:sz w:val="16"/>
          <w:szCs w:val="16"/>
        </w:rPr>
        <w:t xml:space="preserve">Artículo 12 “Consentida o ejecutoriada que sea la resolución que declare injustificado o improcedente el despido, el trabajador en ejecución de resolución y en el plazo de ocho días desde la notificación, podrá optar entre su reposición inmediata o la terminación del contrato de trabajo, si ejercitare esta última opción, demandará el pago de la </w:t>
      </w:r>
      <w:r w:rsidRPr="00517952">
        <w:rPr>
          <w:rFonts w:ascii="Verdana" w:hAnsi="Verdana"/>
          <w:color w:val="000000"/>
          <w:sz w:val="16"/>
          <w:szCs w:val="16"/>
        </w:rPr>
        <w:t>indemnización especial a que se refiera el Artículo 14, así como la compensación por tiempo de servicios y demás beneficios sociales que pudieran corresponderle”.</w:t>
      </w:r>
    </w:p>
  </w:footnote>
  <w:footnote w:id="76">
    <w:p w14:paraId="77F9D011" w14:textId="5405CF20" w:rsidR="00D86616" w:rsidRPr="00517952" w:rsidRDefault="00D86616" w:rsidP="00E677C5">
      <w:pPr>
        <w:autoSpaceDE w:val="0"/>
        <w:autoSpaceDN w:val="0"/>
        <w:adjustRightInd w:val="0"/>
        <w:jc w:val="both"/>
        <w:rPr>
          <w:rFonts w:ascii="Verdana" w:hAnsi="Verdana"/>
          <w:color w:val="000000"/>
          <w:sz w:val="16"/>
          <w:szCs w:val="16"/>
        </w:rPr>
      </w:pPr>
      <w:r w:rsidRPr="00517952">
        <w:rPr>
          <w:rStyle w:val="FootnoteReference"/>
          <w:sz w:val="16"/>
          <w:szCs w:val="16"/>
        </w:rPr>
        <w:footnoteRef/>
      </w:r>
      <w:r w:rsidRPr="00517952">
        <w:rPr>
          <w:rFonts w:ascii="Verdana" w:hAnsi="Verdana"/>
          <w:sz w:val="16"/>
          <w:szCs w:val="16"/>
        </w:rPr>
        <w:t xml:space="preserve"> </w:t>
      </w:r>
      <w:r w:rsidRPr="00517952">
        <w:rPr>
          <w:rFonts w:ascii="Verdana" w:hAnsi="Verdana"/>
          <w:sz w:val="16"/>
          <w:szCs w:val="16"/>
        </w:rPr>
        <w:tab/>
      </w:r>
      <w:r w:rsidRPr="00517952">
        <w:rPr>
          <w:rFonts w:ascii="Verdana" w:hAnsi="Verdana"/>
          <w:i/>
          <w:color w:val="000000"/>
          <w:sz w:val="16"/>
          <w:szCs w:val="16"/>
        </w:rPr>
        <w:t>Cfr.</w:t>
      </w:r>
      <w:r w:rsidRPr="00517952">
        <w:rPr>
          <w:rFonts w:ascii="Verdana" w:hAnsi="Verdana"/>
          <w:color w:val="000000"/>
          <w:sz w:val="16"/>
          <w:szCs w:val="16"/>
        </w:rPr>
        <w:t xml:space="preserve"> </w:t>
      </w:r>
      <w:r w:rsidRPr="00517952">
        <w:rPr>
          <w:rFonts w:ascii="Verdana" w:hAnsi="Verdana"/>
          <w:color w:val="000000"/>
          <w:sz w:val="16"/>
          <w:szCs w:val="16"/>
          <w:lang w:eastAsia="es-MX"/>
        </w:rPr>
        <w:t xml:space="preserve">Demanda interpuesta por el señor Lagos del Campo por despido injustificado ante el Juzgado de Trabajo de Lima. 26 de julio de 1989 </w:t>
      </w:r>
      <w:r w:rsidRPr="00517952">
        <w:rPr>
          <w:rFonts w:ascii="Verdana" w:hAnsi="Verdana"/>
          <w:color w:val="000000"/>
          <w:sz w:val="16"/>
          <w:szCs w:val="16"/>
        </w:rPr>
        <w:t xml:space="preserve">(expediente de prueba, anexo 7 del Informe de Fondo, </w:t>
      </w:r>
      <w:proofErr w:type="spellStart"/>
      <w:r w:rsidRPr="00517952">
        <w:rPr>
          <w:rFonts w:ascii="Verdana" w:hAnsi="Verdana"/>
          <w:color w:val="000000"/>
          <w:sz w:val="16"/>
          <w:szCs w:val="16"/>
        </w:rPr>
        <w:t>ff</w:t>
      </w:r>
      <w:proofErr w:type="spellEnd"/>
      <w:r w:rsidRPr="00517952">
        <w:rPr>
          <w:rFonts w:ascii="Verdana" w:hAnsi="Verdana"/>
          <w:color w:val="000000"/>
          <w:sz w:val="16"/>
          <w:szCs w:val="16"/>
        </w:rPr>
        <w:t>. 18 a 27).</w:t>
      </w:r>
    </w:p>
  </w:footnote>
  <w:footnote w:id="77">
    <w:p w14:paraId="420186F1" w14:textId="33442570" w:rsidR="00D86616" w:rsidRPr="00517952" w:rsidRDefault="00D86616" w:rsidP="00E677C5">
      <w:pPr>
        <w:autoSpaceDE w:val="0"/>
        <w:autoSpaceDN w:val="0"/>
        <w:adjustRightInd w:val="0"/>
        <w:jc w:val="both"/>
        <w:rPr>
          <w:rFonts w:ascii="Verdana" w:hAnsi="Verdana"/>
          <w:sz w:val="16"/>
          <w:szCs w:val="16"/>
        </w:rPr>
      </w:pPr>
      <w:r w:rsidRPr="00517952">
        <w:rPr>
          <w:rStyle w:val="FootnoteReference"/>
          <w:sz w:val="16"/>
          <w:szCs w:val="16"/>
        </w:rPr>
        <w:footnoteRef/>
      </w:r>
      <w:r w:rsidRPr="00517952">
        <w:rPr>
          <w:rFonts w:ascii="Verdana" w:hAnsi="Verdana"/>
          <w:sz w:val="16"/>
          <w:szCs w:val="16"/>
        </w:rPr>
        <w:t xml:space="preserve"> </w:t>
      </w:r>
      <w:r w:rsidRPr="00517952">
        <w:rPr>
          <w:rFonts w:ascii="Verdana" w:hAnsi="Verdana"/>
          <w:sz w:val="16"/>
          <w:szCs w:val="16"/>
        </w:rPr>
        <w:tab/>
      </w:r>
      <w:r w:rsidRPr="00517952">
        <w:rPr>
          <w:rFonts w:ascii="Verdana" w:hAnsi="Verdana"/>
          <w:i/>
          <w:sz w:val="16"/>
          <w:szCs w:val="16"/>
        </w:rPr>
        <w:t>Cfr.</w:t>
      </w:r>
      <w:r w:rsidRPr="00517952">
        <w:rPr>
          <w:rFonts w:ascii="Verdana" w:hAnsi="Verdana"/>
          <w:sz w:val="16"/>
          <w:szCs w:val="16"/>
        </w:rPr>
        <w:t xml:space="preserve"> </w:t>
      </w:r>
      <w:r w:rsidRPr="00517952">
        <w:rPr>
          <w:rFonts w:ascii="Verdana" w:hAnsi="Verdana"/>
          <w:iCs/>
          <w:sz w:val="16"/>
          <w:szCs w:val="16"/>
          <w:lang w:eastAsia="es-MX"/>
        </w:rPr>
        <w:t xml:space="preserve">Juez </w:t>
      </w:r>
      <w:r w:rsidRPr="00517952">
        <w:rPr>
          <w:rFonts w:ascii="Verdana" w:hAnsi="Verdana"/>
          <w:sz w:val="16"/>
          <w:szCs w:val="16"/>
          <w:lang w:eastAsia="es-MX"/>
        </w:rPr>
        <w:t xml:space="preserve">Décimo Quinto del juzgado de Trabajo de Lima. Sentencia 25-91 de 5 de marzo de 1991. </w:t>
      </w:r>
      <w:r w:rsidRPr="00517952">
        <w:rPr>
          <w:rFonts w:ascii="Verdana" w:hAnsi="Verdana"/>
          <w:sz w:val="16"/>
          <w:szCs w:val="16"/>
        </w:rPr>
        <w:t xml:space="preserve">(expediente de prueba, anexo 8 del Informe de Fondo, </w:t>
      </w:r>
      <w:proofErr w:type="spellStart"/>
      <w:r w:rsidRPr="00517952">
        <w:rPr>
          <w:rFonts w:ascii="Verdana" w:hAnsi="Verdana"/>
          <w:sz w:val="16"/>
          <w:szCs w:val="16"/>
        </w:rPr>
        <w:t>ff</w:t>
      </w:r>
      <w:proofErr w:type="spellEnd"/>
      <w:r w:rsidRPr="00517952">
        <w:rPr>
          <w:rFonts w:ascii="Verdana" w:hAnsi="Verdana"/>
          <w:sz w:val="16"/>
          <w:szCs w:val="16"/>
        </w:rPr>
        <w:t>. 29 a 31).</w:t>
      </w:r>
    </w:p>
  </w:footnote>
  <w:footnote w:id="78">
    <w:p w14:paraId="0BA371B7" w14:textId="62FB292A" w:rsidR="00D86616" w:rsidRPr="00517952" w:rsidRDefault="00D86616" w:rsidP="00E677C5">
      <w:pPr>
        <w:autoSpaceDE w:val="0"/>
        <w:autoSpaceDN w:val="0"/>
        <w:adjustRightInd w:val="0"/>
        <w:jc w:val="both"/>
        <w:rPr>
          <w:rFonts w:ascii="Verdana" w:hAnsi="Verdana"/>
          <w:sz w:val="16"/>
          <w:szCs w:val="16"/>
        </w:rPr>
      </w:pPr>
      <w:r w:rsidRPr="00517952">
        <w:rPr>
          <w:rStyle w:val="FootnoteReference"/>
          <w:sz w:val="16"/>
          <w:szCs w:val="16"/>
        </w:rPr>
        <w:footnoteRef/>
      </w:r>
      <w:r w:rsidRPr="00517952">
        <w:rPr>
          <w:rFonts w:ascii="Verdana" w:hAnsi="Verdana"/>
          <w:sz w:val="16"/>
          <w:szCs w:val="16"/>
        </w:rPr>
        <w:t xml:space="preserve"> </w:t>
      </w:r>
      <w:r w:rsidRPr="00517952">
        <w:rPr>
          <w:rFonts w:ascii="Verdana" w:hAnsi="Verdana"/>
          <w:sz w:val="16"/>
          <w:szCs w:val="16"/>
        </w:rPr>
        <w:tab/>
      </w:r>
      <w:r w:rsidRPr="00517952">
        <w:rPr>
          <w:rFonts w:ascii="Verdana" w:hAnsi="Verdana"/>
          <w:i/>
          <w:sz w:val="16"/>
          <w:szCs w:val="16"/>
        </w:rPr>
        <w:t>Cfr.</w:t>
      </w:r>
      <w:r w:rsidRPr="00517952">
        <w:rPr>
          <w:rFonts w:ascii="Verdana" w:hAnsi="Verdana"/>
          <w:sz w:val="16"/>
          <w:szCs w:val="16"/>
        </w:rPr>
        <w:t xml:space="preserve"> </w:t>
      </w:r>
      <w:r w:rsidRPr="00517952">
        <w:rPr>
          <w:rFonts w:ascii="Verdana" w:hAnsi="Verdana"/>
          <w:sz w:val="16"/>
          <w:szCs w:val="16"/>
          <w:lang w:eastAsia="es-MX"/>
        </w:rPr>
        <w:t xml:space="preserve">Escrito de contestación al recurso de apelación dirigido por el señor Lagos del Campo al Segundo Tribunal de Trabajo de Lima. 1 de agosto de 1991, Expediente No. 839-91. </w:t>
      </w:r>
      <w:r w:rsidRPr="00517952">
        <w:rPr>
          <w:rFonts w:ascii="Verdana" w:hAnsi="Verdana"/>
          <w:sz w:val="16"/>
          <w:szCs w:val="16"/>
        </w:rPr>
        <w:t xml:space="preserve">(expediente de prueba anexo 11 del Informe de Fondo, </w:t>
      </w:r>
      <w:proofErr w:type="spellStart"/>
      <w:r w:rsidRPr="00517952">
        <w:rPr>
          <w:rFonts w:ascii="Verdana" w:hAnsi="Verdana"/>
          <w:sz w:val="16"/>
          <w:szCs w:val="16"/>
        </w:rPr>
        <w:t>ff</w:t>
      </w:r>
      <w:proofErr w:type="spellEnd"/>
      <w:r w:rsidRPr="00517952">
        <w:rPr>
          <w:rFonts w:ascii="Verdana" w:hAnsi="Verdana"/>
          <w:sz w:val="16"/>
          <w:szCs w:val="16"/>
        </w:rPr>
        <w:t xml:space="preserve">. 43 a 45).  </w:t>
      </w:r>
    </w:p>
  </w:footnote>
  <w:footnote w:id="79">
    <w:p w14:paraId="184E2817" w14:textId="20AA61A3" w:rsidR="00D86616" w:rsidRPr="00517952" w:rsidRDefault="00D86616" w:rsidP="00E677C5">
      <w:pPr>
        <w:autoSpaceDE w:val="0"/>
        <w:autoSpaceDN w:val="0"/>
        <w:adjustRightInd w:val="0"/>
        <w:jc w:val="both"/>
        <w:rPr>
          <w:rFonts w:ascii="Verdana" w:hAnsi="Verdana"/>
          <w:sz w:val="16"/>
          <w:szCs w:val="16"/>
        </w:rPr>
      </w:pPr>
      <w:r w:rsidRPr="00517952">
        <w:rPr>
          <w:rStyle w:val="FootnoteReference"/>
          <w:sz w:val="16"/>
          <w:szCs w:val="16"/>
        </w:rPr>
        <w:footnoteRef/>
      </w:r>
      <w:r w:rsidRPr="00517952">
        <w:rPr>
          <w:rFonts w:ascii="Verdana" w:hAnsi="Verdana"/>
          <w:sz w:val="16"/>
          <w:szCs w:val="16"/>
        </w:rPr>
        <w:t xml:space="preserve"> </w:t>
      </w:r>
      <w:r w:rsidRPr="00517952">
        <w:rPr>
          <w:rFonts w:ascii="Verdana" w:hAnsi="Verdana"/>
          <w:sz w:val="16"/>
          <w:szCs w:val="16"/>
        </w:rPr>
        <w:tab/>
      </w:r>
      <w:r w:rsidRPr="00517952">
        <w:rPr>
          <w:rFonts w:ascii="Verdana" w:hAnsi="Verdana"/>
          <w:i/>
          <w:sz w:val="16"/>
          <w:szCs w:val="16"/>
        </w:rPr>
        <w:t>Cfr.</w:t>
      </w:r>
      <w:r w:rsidRPr="00517952">
        <w:rPr>
          <w:rFonts w:ascii="Verdana" w:hAnsi="Verdana"/>
          <w:sz w:val="16"/>
          <w:szCs w:val="16"/>
        </w:rPr>
        <w:t xml:space="preserve"> </w:t>
      </w:r>
      <w:r w:rsidRPr="00517952">
        <w:rPr>
          <w:rFonts w:ascii="Verdana" w:hAnsi="Verdana"/>
          <w:sz w:val="16"/>
          <w:szCs w:val="16"/>
          <w:lang w:eastAsia="es-MX"/>
        </w:rPr>
        <w:t xml:space="preserve">Segundo Tribunal de Trabajo de Lima. Sentencia 08-0891 de 8 de agosto de 1991. </w:t>
      </w:r>
      <w:r w:rsidRPr="00517952">
        <w:rPr>
          <w:rFonts w:ascii="Verdana" w:hAnsi="Verdana"/>
          <w:sz w:val="16"/>
          <w:szCs w:val="16"/>
        </w:rPr>
        <w:t xml:space="preserve">(expediente de prueba, anexo 12 del Informe de Fondo, </w:t>
      </w:r>
      <w:proofErr w:type="spellStart"/>
      <w:r w:rsidRPr="00517952">
        <w:rPr>
          <w:rFonts w:ascii="Verdana" w:hAnsi="Verdana"/>
          <w:sz w:val="16"/>
          <w:szCs w:val="16"/>
        </w:rPr>
        <w:t>ff</w:t>
      </w:r>
      <w:proofErr w:type="spellEnd"/>
      <w:r w:rsidRPr="00517952">
        <w:rPr>
          <w:rFonts w:ascii="Verdana" w:hAnsi="Verdana"/>
          <w:sz w:val="16"/>
          <w:szCs w:val="16"/>
        </w:rPr>
        <w:t xml:space="preserve">. 47 y 48).  </w:t>
      </w:r>
    </w:p>
  </w:footnote>
  <w:footnote w:id="80">
    <w:p w14:paraId="0964AD16" w14:textId="25D13F57" w:rsidR="00D86616" w:rsidRPr="004C3F47" w:rsidRDefault="00D86616" w:rsidP="00E677C5">
      <w:pPr>
        <w:autoSpaceDE w:val="0"/>
        <w:autoSpaceDN w:val="0"/>
        <w:adjustRightInd w:val="0"/>
        <w:jc w:val="both"/>
        <w:rPr>
          <w:rFonts w:ascii="Verdana" w:hAnsi="Verdana"/>
          <w:sz w:val="16"/>
          <w:szCs w:val="16"/>
        </w:rPr>
      </w:pPr>
      <w:r w:rsidRPr="00517952">
        <w:rPr>
          <w:rStyle w:val="FootnoteReference"/>
          <w:rFonts w:eastAsia="MS Mincho"/>
          <w:sz w:val="16"/>
          <w:szCs w:val="16"/>
        </w:rPr>
        <w:footnoteRef/>
      </w:r>
      <w:r w:rsidRPr="00517952">
        <w:rPr>
          <w:rFonts w:ascii="Verdana" w:hAnsi="Verdana"/>
          <w:sz w:val="16"/>
          <w:szCs w:val="16"/>
        </w:rPr>
        <w:t xml:space="preserve"> </w:t>
      </w:r>
      <w:r w:rsidRPr="00517952">
        <w:rPr>
          <w:rFonts w:ascii="Verdana" w:hAnsi="Verdana"/>
          <w:sz w:val="16"/>
          <w:szCs w:val="16"/>
        </w:rPr>
        <w:tab/>
      </w:r>
      <w:r w:rsidRPr="00517952">
        <w:rPr>
          <w:rFonts w:ascii="Verdana" w:hAnsi="Verdana"/>
          <w:i/>
          <w:sz w:val="16"/>
          <w:szCs w:val="16"/>
        </w:rPr>
        <w:t>Cfr.</w:t>
      </w:r>
      <w:r w:rsidRPr="00517952">
        <w:rPr>
          <w:rFonts w:ascii="Verdana" w:hAnsi="Verdana"/>
          <w:sz w:val="16"/>
          <w:szCs w:val="16"/>
        </w:rPr>
        <w:t xml:space="preserve"> </w:t>
      </w:r>
      <w:r w:rsidRPr="00517952">
        <w:rPr>
          <w:rFonts w:ascii="Verdana" w:hAnsi="Verdana"/>
          <w:sz w:val="16"/>
          <w:szCs w:val="16"/>
          <w:lang w:eastAsia="es-MX"/>
        </w:rPr>
        <w:t xml:space="preserve">Segundo Tribunal de Trabajo de Lima. Sentencia 08-0891 de 8 de agosto de 1991. </w:t>
      </w:r>
      <w:r w:rsidRPr="00517952">
        <w:rPr>
          <w:rFonts w:ascii="Verdana" w:hAnsi="Verdana"/>
          <w:sz w:val="16"/>
          <w:szCs w:val="16"/>
        </w:rPr>
        <w:t xml:space="preserve">(expediente de prueba, anexo 11 del Informe de Fondo, </w:t>
      </w:r>
      <w:proofErr w:type="spellStart"/>
      <w:r w:rsidRPr="00517952">
        <w:rPr>
          <w:rFonts w:ascii="Verdana" w:hAnsi="Verdana"/>
          <w:sz w:val="16"/>
          <w:szCs w:val="16"/>
        </w:rPr>
        <w:t>ff</w:t>
      </w:r>
      <w:proofErr w:type="spellEnd"/>
      <w:r w:rsidRPr="00517952">
        <w:rPr>
          <w:rFonts w:ascii="Verdana" w:hAnsi="Verdana"/>
          <w:sz w:val="16"/>
          <w:szCs w:val="16"/>
        </w:rPr>
        <w:t>. 47 y 48</w:t>
      </w:r>
      <w:r w:rsidRPr="004C3F47">
        <w:rPr>
          <w:rFonts w:ascii="Verdana" w:hAnsi="Verdana"/>
          <w:sz w:val="16"/>
          <w:szCs w:val="16"/>
        </w:rPr>
        <w:t xml:space="preserve">).  </w:t>
      </w:r>
    </w:p>
  </w:footnote>
  <w:footnote w:id="81">
    <w:p w14:paraId="30D21FB1" w14:textId="31EA1818" w:rsidR="00D86616" w:rsidRPr="00517952" w:rsidRDefault="00D86616" w:rsidP="00E677C5">
      <w:pPr>
        <w:autoSpaceDE w:val="0"/>
        <w:autoSpaceDN w:val="0"/>
        <w:adjustRightInd w:val="0"/>
        <w:contextualSpacing/>
        <w:jc w:val="both"/>
        <w:rPr>
          <w:rFonts w:ascii="Verdana" w:hAnsi="Verdana"/>
          <w:b/>
          <w:sz w:val="16"/>
          <w:szCs w:val="16"/>
          <w:lang w:eastAsia="es-MX"/>
        </w:rPr>
      </w:pPr>
      <w:r w:rsidRPr="00517952">
        <w:rPr>
          <w:rStyle w:val="FootnoteReference"/>
          <w:sz w:val="16"/>
          <w:szCs w:val="16"/>
        </w:rPr>
        <w:footnoteRef/>
      </w:r>
      <w:r w:rsidRPr="00517952">
        <w:rPr>
          <w:rFonts w:ascii="Verdana" w:hAnsi="Verdana"/>
          <w:sz w:val="16"/>
          <w:szCs w:val="16"/>
        </w:rPr>
        <w:t xml:space="preserve"> </w:t>
      </w:r>
      <w:r w:rsidRPr="00517952">
        <w:rPr>
          <w:rFonts w:ascii="Verdana" w:hAnsi="Verdana"/>
          <w:sz w:val="16"/>
          <w:szCs w:val="16"/>
        </w:rPr>
        <w:tab/>
      </w:r>
      <w:r w:rsidRPr="00517952">
        <w:rPr>
          <w:rFonts w:ascii="Verdana" w:hAnsi="Verdana"/>
          <w:i/>
          <w:iCs/>
          <w:sz w:val="16"/>
          <w:szCs w:val="16"/>
          <w:lang w:eastAsia="es-MX"/>
        </w:rPr>
        <w:t>Cfr.</w:t>
      </w:r>
      <w:r w:rsidRPr="00517952">
        <w:rPr>
          <w:rFonts w:ascii="Verdana" w:hAnsi="Verdana"/>
          <w:iCs/>
          <w:sz w:val="16"/>
          <w:szCs w:val="16"/>
          <w:lang w:eastAsia="es-MX"/>
        </w:rPr>
        <w:t xml:space="preserve"> </w:t>
      </w:r>
      <w:r w:rsidRPr="00517952">
        <w:rPr>
          <w:rFonts w:ascii="Verdana" w:hAnsi="Verdana"/>
          <w:sz w:val="16"/>
          <w:szCs w:val="16"/>
          <w:lang w:eastAsia="es-MX"/>
        </w:rPr>
        <w:t xml:space="preserve">Recurso de revisión y reconsideración interpuesto por el señor Lagos del Campo ante el Segundo Tribunal de Trabajo de Lima. Expediente No. 839-91. 26 de agosto de 1991, </w:t>
      </w:r>
      <w:r w:rsidRPr="00517952">
        <w:rPr>
          <w:rFonts w:ascii="Verdana" w:hAnsi="Verdana" w:cs="Arial"/>
          <w:sz w:val="16"/>
          <w:szCs w:val="16"/>
          <w:lang w:eastAsia="es-MX"/>
        </w:rPr>
        <w:t xml:space="preserve">y </w:t>
      </w:r>
      <w:r w:rsidRPr="00517952">
        <w:rPr>
          <w:rFonts w:ascii="Verdana" w:hAnsi="Verdana"/>
          <w:sz w:val="16"/>
          <w:szCs w:val="16"/>
          <w:lang w:eastAsia="es-MX"/>
        </w:rPr>
        <w:t xml:space="preserve">Auto emitido por el Segundo Tribunal de Trabajo de Lima. Expediente No. 839-91. 21 de agosto de 1991. </w:t>
      </w:r>
      <w:r w:rsidRPr="00517952">
        <w:rPr>
          <w:rFonts w:ascii="Verdana" w:hAnsi="Verdana"/>
          <w:sz w:val="16"/>
          <w:szCs w:val="16"/>
        </w:rPr>
        <w:t xml:space="preserve">(expediente de prueba, anexo 11 del Informe de Fondo, </w:t>
      </w:r>
      <w:proofErr w:type="spellStart"/>
      <w:r w:rsidRPr="00517952">
        <w:rPr>
          <w:rFonts w:ascii="Verdana" w:hAnsi="Verdana"/>
          <w:sz w:val="16"/>
          <w:szCs w:val="16"/>
        </w:rPr>
        <w:t>ff</w:t>
      </w:r>
      <w:proofErr w:type="spellEnd"/>
      <w:r w:rsidRPr="00517952">
        <w:rPr>
          <w:rFonts w:ascii="Verdana" w:hAnsi="Verdana"/>
          <w:sz w:val="16"/>
          <w:szCs w:val="16"/>
        </w:rPr>
        <w:t>. 50 y 51). Mediante dicho recurso de revisión y reconsideración Lagos alegó “al amparo de los artículos 1, 2, 4, 15 y 18 de la Constitución Política”, su disconformidad con el fallo emitido el 8 de agosto de 1991, por considerarlo atentatorio a sus derechos, intereses y beneficios como trabajador, ya que en dicha resolución no se contemplaba lo estipulado en la legislación interna del Perú  para la buena administración de justicia. Al respecto, el Segundo Tribunal de Trabajo concluyó: “No haber lugar a la revisión y reconsideración interpuesta por improcedente y devuélvase en el día los de la materia al Juzgado de origen”.</w:t>
      </w:r>
    </w:p>
  </w:footnote>
  <w:footnote w:id="82">
    <w:p w14:paraId="264A1B45" w14:textId="483E4325" w:rsidR="00D86616" w:rsidRPr="00517952" w:rsidRDefault="00D86616" w:rsidP="00E677C5">
      <w:pPr>
        <w:autoSpaceDE w:val="0"/>
        <w:autoSpaceDN w:val="0"/>
        <w:adjustRightInd w:val="0"/>
        <w:jc w:val="both"/>
        <w:rPr>
          <w:rFonts w:ascii="Verdana" w:hAnsi="Verdana"/>
          <w:sz w:val="16"/>
          <w:szCs w:val="16"/>
        </w:rPr>
      </w:pPr>
      <w:r w:rsidRPr="00517952">
        <w:rPr>
          <w:rStyle w:val="FootnoteReference"/>
          <w:sz w:val="16"/>
          <w:szCs w:val="16"/>
        </w:rPr>
        <w:footnoteRef/>
      </w:r>
      <w:r w:rsidRPr="00517952">
        <w:rPr>
          <w:rFonts w:ascii="Verdana" w:hAnsi="Verdana"/>
          <w:sz w:val="16"/>
          <w:szCs w:val="16"/>
        </w:rPr>
        <w:t xml:space="preserve"> </w:t>
      </w:r>
      <w:r w:rsidRPr="00517952">
        <w:rPr>
          <w:rFonts w:ascii="Verdana" w:hAnsi="Verdana"/>
          <w:sz w:val="16"/>
          <w:szCs w:val="16"/>
        </w:rPr>
        <w:tab/>
      </w:r>
      <w:r w:rsidRPr="00517952">
        <w:rPr>
          <w:rFonts w:ascii="Verdana" w:hAnsi="Verdana"/>
          <w:i/>
          <w:sz w:val="16"/>
          <w:szCs w:val="16"/>
        </w:rPr>
        <w:t>Cfr.</w:t>
      </w:r>
      <w:r w:rsidRPr="00517952">
        <w:rPr>
          <w:rFonts w:ascii="Verdana" w:hAnsi="Verdana"/>
          <w:sz w:val="16"/>
          <w:szCs w:val="16"/>
        </w:rPr>
        <w:t xml:space="preserve"> </w:t>
      </w:r>
      <w:r w:rsidRPr="00517952">
        <w:rPr>
          <w:rFonts w:ascii="Verdana" w:hAnsi="Verdana"/>
          <w:sz w:val="16"/>
          <w:szCs w:val="16"/>
          <w:lang w:eastAsia="es-MX"/>
        </w:rPr>
        <w:t xml:space="preserve">Recurso de nulidad interpuesto por el señor Lagos del Campo ante el Segundo Tribunal de Trabajo de Lima. Expediente No. 839-91. 2 de septiembre de 1991; y Auto emitido por el Segundo Tribunal de Trabajo de Lima. Expediente No. 839- 91. 3 de septiembre de 1991. </w:t>
      </w:r>
      <w:r w:rsidRPr="00517952">
        <w:rPr>
          <w:rFonts w:ascii="Verdana" w:hAnsi="Verdana"/>
          <w:sz w:val="16"/>
          <w:szCs w:val="16"/>
        </w:rPr>
        <w:t xml:space="preserve">(expediente de prueba anexo 14 del Informe de Fondo, </w:t>
      </w:r>
      <w:proofErr w:type="spellStart"/>
      <w:r w:rsidRPr="00517952">
        <w:rPr>
          <w:rFonts w:ascii="Verdana" w:hAnsi="Verdana"/>
          <w:sz w:val="16"/>
          <w:szCs w:val="16"/>
        </w:rPr>
        <w:t>ff</w:t>
      </w:r>
      <w:proofErr w:type="spellEnd"/>
      <w:r w:rsidRPr="00517952">
        <w:rPr>
          <w:rFonts w:ascii="Verdana" w:hAnsi="Verdana"/>
          <w:sz w:val="16"/>
          <w:szCs w:val="16"/>
        </w:rPr>
        <w:t>. 53 a 56). Dicho recurso se interpuso con fundamento en los Artículos 59, 60 y 61 del Decreto Supremo 03-80, mediante el cual solicitó la nulidad de la resolución de 8 de agosto de 1991, tras no ser aceptado su recurso de revisión y reconsideración emitido por el mismo Tribunal.</w:t>
      </w:r>
    </w:p>
  </w:footnote>
  <w:footnote w:id="83">
    <w:p w14:paraId="123FB04D" w14:textId="586719C1" w:rsidR="00D86616" w:rsidRPr="00517952" w:rsidRDefault="00D86616" w:rsidP="00334B6C">
      <w:pPr>
        <w:pStyle w:val="FootnoteText"/>
        <w:rPr>
          <w:i/>
          <w:lang w:val="es-MX"/>
        </w:rPr>
      </w:pPr>
      <w:r w:rsidRPr="00517952">
        <w:rPr>
          <w:rStyle w:val="FootnoteReference"/>
          <w:sz w:val="16"/>
        </w:rPr>
        <w:footnoteRef/>
      </w:r>
      <w:r w:rsidRPr="00517952">
        <w:rPr>
          <w:lang w:val="es-MX"/>
        </w:rPr>
        <w:t xml:space="preserve"> </w:t>
      </w:r>
      <w:r w:rsidRPr="00517952">
        <w:rPr>
          <w:lang w:val="es-MX"/>
        </w:rPr>
        <w:tab/>
      </w:r>
      <w:r w:rsidRPr="00517952">
        <w:rPr>
          <w:i/>
          <w:lang w:val="es-MX"/>
        </w:rPr>
        <w:t>Cfr.</w:t>
      </w:r>
      <w:r w:rsidRPr="00517952">
        <w:rPr>
          <w:lang w:val="es-MX"/>
        </w:rPr>
        <w:t xml:space="preserve"> Congreso de la República de Perú. Código de Procedimiento Civil DL 12760 de 6 de Agosto de 1975. Artículo 1085, nulidad de resoluciones: 9o. El auto o sentencia en la parte que resuelve sobre punto no demandado o no controvertido; 10º. La sentencia que no resuelva alguno o algunos de los puntos controvertidos, salvo lo dispuesto en la última parte del Artículo 1086.  </w:t>
      </w:r>
    </w:p>
    <w:p w14:paraId="305B3ED5" w14:textId="46D5D018" w:rsidR="00D86616" w:rsidRPr="00517952" w:rsidRDefault="00D86616" w:rsidP="00334B6C">
      <w:pPr>
        <w:pStyle w:val="FootnoteText"/>
        <w:rPr>
          <w:i/>
          <w:lang w:val="es-MX"/>
        </w:rPr>
      </w:pPr>
      <w:r w:rsidRPr="00517952">
        <w:rPr>
          <w:lang w:val="es-MX"/>
        </w:rPr>
        <w:t>Artículo 250.- I. El recurso de casación o de nulidad se concederá para invalidar una sentencia o auto definitivo en los casos expresamente señalados por la ley. Podrá ser de casación en el fondo y de casación en la forma. II. Estos recursos podrán ser interpuestos al mismo tiempo.</w:t>
      </w:r>
    </w:p>
  </w:footnote>
  <w:footnote w:id="84">
    <w:p w14:paraId="4EF0C66C" w14:textId="0653F7BB" w:rsidR="00D86616" w:rsidRPr="00517952" w:rsidRDefault="00D86616" w:rsidP="00E677C5">
      <w:pPr>
        <w:autoSpaceDE w:val="0"/>
        <w:autoSpaceDN w:val="0"/>
        <w:adjustRightInd w:val="0"/>
        <w:jc w:val="both"/>
        <w:rPr>
          <w:rFonts w:ascii="Verdana" w:hAnsi="Verdana"/>
          <w:sz w:val="16"/>
          <w:szCs w:val="16"/>
        </w:rPr>
      </w:pPr>
      <w:r w:rsidRPr="00517952">
        <w:rPr>
          <w:rStyle w:val="FootnoteReference"/>
          <w:sz w:val="16"/>
          <w:szCs w:val="16"/>
        </w:rPr>
        <w:footnoteRef/>
      </w:r>
      <w:r w:rsidRPr="00517952">
        <w:rPr>
          <w:rFonts w:ascii="Verdana" w:hAnsi="Verdana"/>
          <w:sz w:val="16"/>
          <w:szCs w:val="16"/>
        </w:rPr>
        <w:t xml:space="preserve"> </w:t>
      </w:r>
      <w:r w:rsidRPr="00517952">
        <w:rPr>
          <w:rFonts w:ascii="Verdana" w:hAnsi="Verdana"/>
          <w:sz w:val="16"/>
          <w:szCs w:val="16"/>
        </w:rPr>
        <w:tab/>
      </w:r>
      <w:r w:rsidRPr="00517952">
        <w:rPr>
          <w:rFonts w:ascii="Verdana" w:hAnsi="Verdana"/>
          <w:i/>
          <w:sz w:val="16"/>
          <w:szCs w:val="16"/>
        </w:rPr>
        <w:t>Cfr.</w:t>
      </w:r>
      <w:r w:rsidRPr="00517952">
        <w:rPr>
          <w:rFonts w:ascii="Verdana" w:hAnsi="Verdana"/>
          <w:sz w:val="16"/>
          <w:szCs w:val="16"/>
        </w:rPr>
        <w:t xml:space="preserve"> </w:t>
      </w:r>
      <w:r w:rsidRPr="00517952">
        <w:rPr>
          <w:rFonts w:ascii="Verdana" w:hAnsi="Verdana"/>
          <w:sz w:val="16"/>
          <w:szCs w:val="16"/>
          <w:lang w:eastAsia="es-MX"/>
        </w:rPr>
        <w:t xml:space="preserve">Acción de amparo interpuesta por el señor Lagos del Campo ante la Sala Civil de la Corte Superior de Lima. Expediente. No. 2615-91. 21 de octubre de 1991. </w:t>
      </w:r>
      <w:r w:rsidRPr="00517952">
        <w:rPr>
          <w:rFonts w:ascii="Verdana" w:hAnsi="Verdana"/>
          <w:sz w:val="16"/>
          <w:szCs w:val="16"/>
        </w:rPr>
        <w:t xml:space="preserve">(expediente de prueba, anexo 15 del Informe de Fondo, </w:t>
      </w:r>
      <w:proofErr w:type="spellStart"/>
      <w:r w:rsidRPr="00517952">
        <w:rPr>
          <w:rFonts w:ascii="Verdana" w:hAnsi="Verdana"/>
          <w:sz w:val="16"/>
          <w:szCs w:val="16"/>
        </w:rPr>
        <w:t>ff</w:t>
      </w:r>
      <w:proofErr w:type="spellEnd"/>
      <w:r w:rsidRPr="00517952">
        <w:rPr>
          <w:rFonts w:ascii="Verdana" w:hAnsi="Verdana"/>
          <w:sz w:val="16"/>
          <w:szCs w:val="16"/>
        </w:rPr>
        <w:t xml:space="preserve">. 58 a 61).  </w:t>
      </w:r>
    </w:p>
    <w:p w14:paraId="736BB951" w14:textId="065A702A" w:rsidR="00D86616" w:rsidRPr="00F656E0" w:rsidRDefault="00D86616" w:rsidP="00E677C5">
      <w:pPr>
        <w:autoSpaceDE w:val="0"/>
        <w:autoSpaceDN w:val="0"/>
        <w:adjustRightInd w:val="0"/>
        <w:jc w:val="both"/>
        <w:rPr>
          <w:rFonts w:ascii="Verdana" w:hAnsi="Verdana"/>
          <w:sz w:val="16"/>
          <w:szCs w:val="16"/>
        </w:rPr>
      </w:pPr>
      <w:r w:rsidRPr="00333304">
        <w:rPr>
          <w:rFonts w:ascii="Verdana" w:hAnsi="Verdana"/>
          <w:sz w:val="16"/>
          <w:szCs w:val="16"/>
        </w:rPr>
        <w:t>Lagos solicitó al amparo del Artículo 295 de la Constitución que se declarara fundada su acción y se ordenara al Segundo Tribunal de Trabajo de Lima declarar nula la sentencia y emitir un nuevo pronunciamiento, en contra de la sentencia del Segundo Tribunal de Trabajo de fecha 8 de agosto de 1991, que resolvió el recurso de apelación en el procedimiento de calificación de despido, mediante la cual alegó, entre otros, violaciones de su derecho a la estabilidad laboral y debido proceso legal, consagrados en los Artículos 48 y 233 de la Constitución</w:t>
      </w:r>
      <w:r w:rsidRPr="00F656E0">
        <w:rPr>
          <w:rFonts w:ascii="Verdana" w:hAnsi="Verdana"/>
          <w:sz w:val="16"/>
          <w:szCs w:val="16"/>
        </w:rPr>
        <w:t>.</w:t>
      </w:r>
    </w:p>
  </w:footnote>
  <w:footnote w:id="85">
    <w:p w14:paraId="535FF509" w14:textId="3FA3E7D6" w:rsidR="00D86616" w:rsidRPr="00517952" w:rsidRDefault="00D86616" w:rsidP="00E677C5">
      <w:pPr>
        <w:autoSpaceDE w:val="0"/>
        <w:autoSpaceDN w:val="0"/>
        <w:adjustRightInd w:val="0"/>
        <w:jc w:val="both"/>
        <w:rPr>
          <w:rFonts w:ascii="Verdana" w:hAnsi="Verdana"/>
          <w:sz w:val="16"/>
          <w:szCs w:val="16"/>
        </w:rPr>
      </w:pPr>
      <w:r w:rsidRPr="00517952">
        <w:rPr>
          <w:rStyle w:val="FootnoteReference"/>
          <w:rFonts w:eastAsia="MS Mincho"/>
          <w:sz w:val="16"/>
          <w:szCs w:val="16"/>
        </w:rPr>
        <w:footnoteRef/>
      </w:r>
      <w:r w:rsidRPr="00517952">
        <w:rPr>
          <w:rFonts w:ascii="Verdana" w:hAnsi="Verdana"/>
          <w:sz w:val="16"/>
          <w:szCs w:val="16"/>
        </w:rPr>
        <w:t xml:space="preserve"> </w:t>
      </w:r>
      <w:r w:rsidRPr="00517952">
        <w:rPr>
          <w:rFonts w:ascii="Verdana" w:hAnsi="Verdana"/>
          <w:sz w:val="16"/>
          <w:szCs w:val="16"/>
        </w:rPr>
        <w:tab/>
      </w:r>
      <w:r w:rsidRPr="00517952">
        <w:rPr>
          <w:rFonts w:ascii="Verdana" w:hAnsi="Verdana"/>
          <w:i/>
          <w:sz w:val="16"/>
          <w:szCs w:val="16"/>
        </w:rPr>
        <w:t>Cfr.</w:t>
      </w:r>
      <w:r w:rsidRPr="00517952">
        <w:rPr>
          <w:rFonts w:ascii="Verdana" w:hAnsi="Verdana"/>
          <w:sz w:val="16"/>
          <w:szCs w:val="16"/>
        </w:rPr>
        <w:t xml:space="preserve"> </w:t>
      </w:r>
      <w:r w:rsidRPr="00517952">
        <w:rPr>
          <w:rFonts w:ascii="Verdana" w:hAnsi="Verdana" w:cs="Verdana"/>
          <w:bCs/>
          <w:i/>
          <w:sz w:val="16"/>
          <w:szCs w:val="16"/>
          <w:lang w:eastAsia="es-MX"/>
        </w:rPr>
        <w:t xml:space="preserve">Caso Trabajadores Cesados del Congreso (Aguado Alfaro y otros) </w:t>
      </w:r>
      <w:r w:rsidRPr="00517952">
        <w:rPr>
          <w:rFonts w:ascii="Verdana" w:hAnsi="Verdana" w:cs="Verdana"/>
          <w:bCs/>
          <w:i/>
          <w:iCs/>
          <w:sz w:val="16"/>
          <w:szCs w:val="16"/>
          <w:lang w:eastAsia="es-MX"/>
        </w:rPr>
        <w:t>Vs.</w:t>
      </w:r>
      <w:r w:rsidRPr="00517952">
        <w:rPr>
          <w:rFonts w:ascii="Verdana" w:hAnsi="Verdana" w:cs="Verdana"/>
          <w:bCs/>
          <w:i/>
          <w:sz w:val="16"/>
          <w:szCs w:val="16"/>
          <w:lang w:eastAsia="es-MX"/>
        </w:rPr>
        <w:t xml:space="preserve"> Perú. </w:t>
      </w:r>
      <w:r w:rsidRPr="00517952">
        <w:rPr>
          <w:rFonts w:ascii="Verdana" w:hAnsi="Verdana" w:cs="Verdana"/>
          <w:bCs/>
          <w:i/>
          <w:iCs/>
          <w:sz w:val="16"/>
          <w:szCs w:val="16"/>
          <w:lang w:eastAsia="es-MX"/>
        </w:rPr>
        <w:t>Excepciones Preliminares, Fondo, Reparaciones y Costas</w:t>
      </w:r>
      <w:r w:rsidRPr="00517952">
        <w:rPr>
          <w:rFonts w:ascii="Verdana" w:hAnsi="Verdana" w:cs="Verdana"/>
          <w:bCs/>
          <w:iCs/>
          <w:sz w:val="16"/>
          <w:szCs w:val="16"/>
          <w:lang w:eastAsia="es-MX"/>
        </w:rPr>
        <w:t>.</w:t>
      </w:r>
      <w:r w:rsidRPr="00517952">
        <w:rPr>
          <w:rFonts w:ascii="Verdana" w:hAnsi="Verdana" w:cs="Verdana"/>
          <w:bCs/>
          <w:sz w:val="16"/>
          <w:szCs w:val="16"/>
          <w:lang w:eastAsia="es-MX"/>
        </w:rPr>
        <w:t xml:space="preserve"> Sentencia de 24 de noviembre de 2006. Párr</w:t>
      </w:r>
      <w:r w:rsidRPr="00517952">
        <w:rPr>
          <w:rFonts w:ascii="Verdana" w:hAnsi="Verdana" w:cs="Verdana"/>
          <w:bCs/>
          <w:i/>
          <w:sz w:val="16"/>
          <w:szCs w:val="16"/>
          <w:lang w:eastAsia="es-MX"/>
        </w:rPr>
        <w:t>.</w:t>
      </w:r>
      <w:r w:rsidRPr="00517952">
        <w:rPr>
          <w:rFonts w:ascii="Verdana" w:hAnsi="Verdana" w:cs="Verdana"/>
          <w:bCs/>
          <w:sz w:val="16"/>
          <w:szCs w:val="16"/>
          <w:lang w:eastAsia="es-MX"/>
        </w:rPr>
        <w:t xml:space="preserve"> 89.2 </w:t>
      </w:r>
      <w:r w:rsidRPr="00517952">
        <w:rPr>
          <w:rStyle w:val="st1"/>
          <w:rFonts w:ascii="Verdana" w:hAnsi="Verdana" w:cs="Arial"/>
          <w:color w:val="000000"/>
          <w:sz w:val="16"/>
          <w:szCs w:val="16"/>
          <w:lang w:val="es-CR"/>
        </w:rPr>
        <w:t>“</w:t>
      </w:r>
      <w:r w:rsidRPr="00517952">
        <w:rPr>
          <w:rFonts w:ascii="Verdana" w:hAnsi="Verdana" w:cs="Verdana"/>
          <w:sz w:val="16"/>
          <w:szCs w:val="16"/>
          <w:lang w:eastAsia="es-MX"/>
        </w:rPr>
        <w:t>El 5 de abril de 1992 el Presidente Fujimori transmitió el “Manifiesto</w:t>
      </w:r>
      <w:r w:rsidRPr="00517952">
        <w:rPr>
          <w:rFonts w:ascii="Verdana" w:hAnsi="Verdana" w:cs="Verdana"/>
          <w:bCs/>
          <w:sz w:val="16"/>
          <w:szCs w:val="16"/>
          <w:lang w:eastAsia="es-MX"/>
        </w:rPr>
        <w:t xml:space="preserve"> </w:t>
      </w:r>
      <w:r w:rsidRPr="00517952">
        <w:rPr>
          <w:rFonts w:ascii="Verdana" w:hAnsi="Verdana" w:cs="Verdana"/>
          <w:sz w:val="16"/>
          <w:szCs w:val="16"/>
          <w:lang w:eastAsia="es-MX"/>
        </w:rPr>
        <w:t xml:space="preserve">a la Nación” en el cual expresó, </w:t>
      </w:r>
      <w:r w:rsidRPr="00517952">
        <w:rPr>
          <w:rFonts w:ascii="Verdana" w:hAnsi="Verdana" w:cs="Verdana"/>
          <w:i/>
          <w:iCs/>
          <w:sz w:val="16"/>
          <w:szCs w:val="16"/>
          <w:lang w:eastAsia="es-MX"/>
        </w:rPr>
        <w:t xml:space="preserve">inter </w:t>
      </w:r>
      <w:proofErr w:type="spellStart"/>
      <w:r w:rsidRPr="00517952">
        <w:rPr>
          <w:rFonts w:ascii="Verdana" w:hAnsi="Verdana" w:cs="Verdana"/>
          <w:i/>
          <w:iCs/>
          <w:sz w:val="16"/>
          <w:szCs w:val="16"/>
          <w:lang w:eastAsia="es-MX"/>
        </w:rPr>
        <w:t>alia</w:t>
      </w:r>
      <w:proofErr w:type="spellEnd"/>
      <w:r w:rsidRPr="00517952">
        <w:rPr>
          <w:rFonts w:ascii="Verdana" w:hAnsi="Verdana" w:cs="Verdana"/>
          <w:sz w:val="16"/>
          <w:szCs w:val="16"/>
          <w:lang w:eastAsia="es-MX"/>
        </w:rPr>
        <w:t>, que se sentía “en la responsabilidad de</w:t>
      </w:r>
      <w:r w:rsidRPr="00517952">
        <w:rPr>
          <w:rFonts w:ascii="Verdana" w:hAnsi="Verdana" w:cs="Verdana"/>
          <w:bCs/>
          <w:sz w:val="16"/>
          <w:szCs w:val="16"/>
          <w:lang w:eastAsia="es-MX"/>
        </w:rPr>
        <w:t xml:space="preserve"> </w:t>
      </w:r>
      <w:r w:rsidRPr="00517952">
        <w:rPr>
          <w:rFonts w:ascii="Verdana" w:hAnsi="Verdana" w:cs="Verdana"/>
          <w:sz w:val="16"/>
          <w:szCs w:val="16"/>
          <w:lang w:eastAsia="es-MX"/>
        </w:rPr>
        <w:t>asumir una actitud de excepción para procurar aligerar el proceso de […]</w:t>
      </w:r>
      <w:r w:rsidRPr="00517952">
        <w:rPr>
          <w:rFonts w:ascii="Verdana" w:hAnsi="Verdana" w:cs="Verdana"/>
          <w:bCs/>
          <w:sz w:val="16"/>
          <w:szCs w:val="16"/>
          <w:lang w:eastAsia="es-MX"/>
        </w:rPr>
        <w:t xml:space="preserve"> </w:t>
      </w:r>
      <w:r w:rsidRPr="00517952">
        <w:rPr>
          <w:rFonts w:ascii="Verdana" w:hAnsi="Verdana" w:cs="Verdana"/>
          <w:sz w:val="16"/>
          <w:szCs w:val="16"/>
          <w:lang w:eastAsia="es-MX"/>
        </w:rPr>
        <w:t>reconstrucción nacional, por lo que […] decidió […] disolver temporalmente el</w:t>
      </w:r>
      <w:r w:rsidRPr="00517952">
        <w:rPr>
          <w:rFonts w:ascii="Verdana" w:hAnsi="Verdana" w:cs="Verdana"/>
          <w:bCs/>
          <w:sz w:val="16"/>
          <w:szCs w:val="16"/>
          <w:lang w:eastAsia="es-MX"/>
        </w:rPr>
        <w:t xml:space="preserve"> </w:t>
      </w:r>
      <w:r w:rsidRPr="00517952">
        <w:rPr>
          <w:rFonts w:ascii="Verdana" w:hAnsi="Verdana" w:cs="Verdana"/>
          <w:sz w:val="16"/>
          <w:szCs w:val="16"/>
          <w:lang w:eastAsia="es-MX"/>
        </w:rPr>
        <w:t>Congreso de la República […] modernizar la administración pública y reorganizar</w:t>
      </w:r>
      <w:r w:rsidRPr="00517952">
        <w:rPr>
          <w:rFonts w:ascii="Verdana" w:hAnsi="Verdana" w:cs="Verdana"/>
          <w:bCs/>
          <w:sz w:val="16"/>
          <w:szCs w:val="16"/>
          <w:lang w:eastAsia="es-MX"/>
        </w:rPr>
        <w:t xml:space="preserve"> </w:t>
      </w:r>
      <w:r w:rsidRPr="00517952">
        <w:rPr>
          <w:rFonts w:ascii="Verdana" w:hAnsi="Verdana" w:cs="Verdana"/>
          <w:sz w:val="16"/>
          <w:szCs w:val="16"/>
          <w:lang w:eastAsia="es-MX"/>
        </w:rPr>
        <w:t xml:space="preserve">totalmente el Poder Judicial”.  </w:t>
      </w:r>
    </w:p>
  </w:footnote>
  <w:footnote w:id="86">
    <w:p w14:paraId="23484126" w14:textId="17F3BE21" w:rsidR="00D86616" w:rsidRPr="00517952" w:rsidRDefault="00D86616" w:rsidP="00E677C5">
      <w:pPr>
        <w:autoSpaceDE w:val="0"/>
        <w:autoSpaceDN w:val="0"/>
        <w:adjustRightInd w:val="0"/>
        <w:jc w:val="both"/>
        <w:rPr>
          <w:rFonts w:ascii="Verdana" w:hAnsi="Verdana"/>
          <w:b/>
          <w:sz w:val="16"/>
          <w:szCs w:val="16"/>
        </w:rPr>
      </w:pPr>
      <w:r w:rsidRPr="00517952">
        <w:rPr>
          <w:rStyle w:val="FootnoteReference"/>
          <w:sz w:val="16"/>
          <w:szCs w:val="16"/>
        </w:rPr>
        <w:footnoteRef/>
      </w:r>
      <w:r w:rsidRPr="00517952">
        <w:rPr>
          <w:rFonts w:ascii="Verdana" w:hAnsi="Verdana"/>
          <w:sz w:val="16"/>
          <w:szCs w:val="16"/>
        </w:rPr>
        <w:t xml:space="preserve"> </w:t>
      </w:r>
      <w:r w:rsidRPr="00517952">
        <w:rPr>
          <w:rFonts w:ascii="Verdana" w:hAnsi="Verdana"/>
          <w:sz w:val="16"/>
          <w:szCs w:val="16"/>
        </w:rPr>
        <w:tab/>
      </w:r>
      <w:r w:rsidRPr="00517952">
        <w:rPr>
          <w:rFonts w:ascii="Verdana" w:hAnsi="Verdana"/>
          <w:i/>
          <w:sz w:val="16"/>
          <w:szCs w:val="16"/>
        </w:rPr>
        <w:t>Cfr.</w:t>
      </w:r>
      <w:r w:rsidRPr="00517952">
        <w:rPr>
          <w:rFonts w:ascii="Verdana" w:hAnsi="Verdana"/>
          <w:sz w:val="16"/>
          <w:szCs w:val="16"/>
        </w:rPr>
        <w:t xml:space="preserve"> </w:t>
      </w:r>
      <w:r w:rsidRPr="00517952">
        <w:rPr>
          <w:rFonts w:ascii="Verdana" w:hAnsi="Verdana"/>
          <w:sz w:val="16"/>
          <w:szCs w:val="16"/>
          <w:lang w:eastAsia="es-MX"/>
        </w:rPr>
        <w:t xml:space="preserve">Quinta Sala Civil de la Corte Superior de Lima. Resolución de 3 de agosto de 1992. Expediente. 2615-9. </w:t>
      </w:r>
      <w:r w:rsidRPr="00517952">
        <w:rPr>
          <w:rFonts w:ascii="Verdana" w:hAnsi="Verdana"/>
          <w:sz w:val="16"/>
          <w:szCs w:val="16"/>
        </w:rPr>
        <w:t xml:space="preserve">(expediente de prueba, anexo 16 del Informe de Fondo, </w:t>
      </w:r>
      <w:proofErr w:type="spellStart"/>
      <w:r w:rsidRPr="00517952">
        <w:rPr>
          <w:rFonts w:ascii="Verdana" w:hAnsi="Verdana"/>
          <w:sz w:val="16"/>
          <w:szCs w:val="16"/>
        </w:rPr>
        <w:t>ff</w:t>
      </w:r>
      <w:proofErr w:type="spellEnd"/>
      <w:r w:rsidRPr="00517952">
        <w:rPr>
          <w:rFonts w:ascii="Verdana" w:hAnsi="Verdana"/>
          <w:sz w:val="16"/>
          <w:szCs w:val="16"/>
        </w:rPr>
        <w:t>. 63 y 64). La Quinta Sala Civil de la Corte Superior de Lima sostuvo que los fundamentos expresados en ella, se referían a la ineficacia de la decisión judicial, además de que el escrito al que hacía mención Lagos, el cual habría sido proveído posterior a la sentencia, únicamente correspondían a alegatos, más no a medios probatorios, que en tal virtud no se determinaba un agravio a su derecho a un debido proceso que deba ser resarcido en vía de amparo, por ende concluyó improcedente la acción de amparo.</w:t>
      </w:r>
    </w:p>
  </w:footnote>
  <w:footnote w:id="87">
    <w:p w14:paraId="0965CD67" w14:textId="5E5362A6" w:rsidR="00D86616" w:rsidRPr="00517952" w:rsidRDefault="00D86616" w:rsidP="00334B6C">
      <w:pPr>
        <w:pStyle w:val="FootnoteText"/>
        <w:rPr>
          <w:lang w:val="es-MX"/>
        </w:rPr>
      </w:pPr>
      <w:r w:rsidRPr="00517952">
        <w:rPr>
          <w:rStyle w:val="FootnoteReference"/>
          <w:sz w:val="16"/>
        </w:rPr>
        <w:footnoteRef/>
      </w:r>
      <w:r w:rsidRPr="00517952">
        <w:rPr>
          <w:lang w:val="es-MX"/>
        </w:rPr>
        <w:t xml:space="preserve"> </w:t>
      </w:r>
      <w:r w:rsidRPr="00517952">
        <w:rPr>
          <w:lang w:val="es-MX"/>
        </w:rPr>
        <w:tab/>
      </w:r>
      <w:r w:rsidRPr="00517952">
        <w:rPr>
          <w:i/>
          <w:lang w:val="es-MX"/>
        </w:rPr>
        <w:t>Cfr.</w:t>
      </w:r>
      <w:r w:rsidRPr="00517952">
        <w:rPr>
          <w:lang w:val="es-MX"/>
        </w:rPr>
        <w:t xml:space="preserve"> Solicitud de nulidad interpuesta por el señor Lagos del Campo ante la Quinta Sala Civil de la Corte Superior de Lima. Expediente. No. 2615-91. 26 de agosto de 1992. (expediente de prueba, anexo 17 del Informe de Fondo, f. 66). Mediante este recurso Lagos del Campo, solicitó que se concediera el recurso de nulidad interpuesto y disponer que los autos sean elevados al Supremo Tribunal.</w:t>
      </w:r>
    </w:p>
  </w:footnote>
  <w:footnote w:id="88">
    <w:p w14:paraId="05E1D464" w14:textId="2DBEFCAE" w:rsidR="00D86616" w:rsidRPr="00517952" w:rsidRDefault="00D86616" w:rsidP="00AD0A6C">
      <w:pPr>
        <w:pStyle w:val="Default"/>
        <w:jc w:val="both"/>
        <w:rPr>
          <w:rFonts w:ascii="Verdana" w:hAnsi="Verdana"/>
          <w:sz w:val="16"/>
          <w:szCs w:val="16"/>
          <w:lang w:val="es-ES_tradnl"/>
        </w:rPr>
      </w:pPr>
      <w:r w:rsidRPr="00517952">
        <w:rPr>
          <w:rStyle w:val="FootnoteReference"/>
          <w:sz w:val="16"/>
          <w:szCs w:val="16"/>
        </w:rPr>
        <w:footnoteRef/>
      </w:r>
      <w:r w:rsidRPr="00517952">
        <w:rPr>
          <w:rFonts w:ascii="Verdana" w:hAnsi="Verdana"/>
          <w:sz w:val="16"/>
          <w:szCs w:val="16"/>
          <w:lang w:val="es-EC"/>
        </w:rPr>
        <w:t xml:space="preserve"> </w:t>
      </w:r>
      <w:r w:rsidRPr="00517952">
        <w:rPr>
          <w:rFonts w:ascii="Verdana" w:hAnsi="Verdana"/>
          <w:b/>
          <w:sz w:val="16"/>
          <w:szCs w:val="16"/>
          <w:lang w:val="es-EC"/>
        </w:rPr>
        <w:tab/>
      </w:r>
      <w:r w:rsidRPr="00517952">
        <w:rPr>
          <w:rFonts w:ascii="Verdana" w:hAnsi="Verdana"/>
          <w:i/>
          <w:sz w:val="16"/>
          <w:szCs w:val="16"/>
          <w:lang w:val="es-EC"/>
        </w:rPr>
        <w:t>Cfr.</w:t>
      </w:r>
      <w:r w:rsidRPr="00517952">
        <w:rPr>
          <w:rFonts w:ascii="Verdana" w:hAnsi="Verdana"/>
          <w:color w:val="auto"/>
          <w:sz w:val="16"/>
          <w:szCs w:val="16"/>
          <w:lang w:val="es-EC"/>
        </w:rPr>
        <w:t xml:space="preserve"> Recurso de Nulidad y Auto de la Corte Suprema de Justicia de la República. Expediente 1811-92. 15 de marzo de 1993.</w:t>
      </w:r>
      <w:r w:rsidRPr="00517952">
        <w:rPr>
          <w:rFonts w:ascii="Verdana" w:hAnsi="Verdana"/>
          <w:color w:val="FF0000"/>
          <w:sz w:val="16"/>
          <w:szCs w:val="16"/>
          <w:lang w:val="es-EC"/>
        </w:rPr>
        <w:t xml:space="preserve"> </w:t>
      </w:r>
      <w:r w:rsidRPr="00517952">
        <w:rPr>
          <w:rFonts w:ascii="Verdana" w:hAnsi="Verdana"/>
          <w:color w:val="auto"/>
          <w:sz w:val="16"/>
          <w:szCs w:val="16"/>
          <w:lang w:val="es-EC"/>
        </w:rPr>
        <w:t>(</w:t>
      </w:r>
      <w:r w:rsidRPr="00517952">
        <w:rPr>
          <w:rFonts w:ascii="Verdana" w:hAnsi="Verdana"/>
          <w:sz w:val="16"/>
          <w:szCs w:val="16"/>
          <w:lang w:val="es-EC"/>
        </w:rPr>
        <w:t>expediente de prueba anexo 18 del Informe de Fondo, f. 67). En dicho escrito Lagos fundamentó que se vulneró su derecho constitucional a la legítima defensa y debido proceso, al no ser proveído oportunamente su escrito presentado y recibido el 1 de agosto de 1991 ante el Segundo Tribunal del Trabajo.</w:t>
      </w:r>
    </w:p>
  </w:footnote>
  <w:footnote w:id="89">
    <w:p w14:paraId="38BE1BD6" w14:textId="47F30740" w:rsidR="00D86616" w:rsidRPr="00517952" w:rsidRDefault="00D86616" w:rsidP="00334B6C">
      <w:pPr>
        <w:pStyle w:val="FootnoteText"/>
        <w:rPr>
          <w:lang w:val="es-MX"/>
        </w:rPr>
      </w:pPr>
      <w:r w:rsidRPr="00517952">
        <w:rPr>
          <w:rStyle w:val="FootnoteReference"/>
          <w:sz w:val="16"/>
        </w:rPr>
        <w:footnoteRef/>
      </w:r>
      <w:r w:rsidRPr="00517952">
        <w:rPr>
          <w:lang w:val="es-MX"/>
        </w:rPr>
        <w:t xml:space="preserve"> </w:t>
      </w:r>
      <w:r w:rsidRPr="00517952">
        <w:rPr>
          <w:lang w:val="es-MX"/>
        </w:rPr>
        <w:tab/>
        <w:t xml:space="preserve">Resolución de la Corte Suprema de Justicia de la Republica. Expediente No 1811-92, la Sala señaló “que conforme a lo dictaminado por el señor Fiscal [Supremo de lo Contencioso Administrativo]; [tomando en cuenta] sus </w:t>
      </w:r>
      <w:proofErr w:type="gramStart"/>
      <w:r w:rsidRPr="00517952">
        <w:rPr>
          <w:lang w:val="es-MX"/>
        </w:rPr>
        <w:t>fundamentos[</w:t>
      </w:r>
      <w:proofErr w:type="gramEnd"/>
      <w:r w:rsidRPr="00517952">
        <w:rPr>
          <w:lang w:val="es-MX"/>
        </w:rPr>
        <w:t xml:space="preserve">,] </w:t>
      </w:r>
      <w:proofErr w:type="spellStart"/>
      <w:r w:rsidRPr="00517952">
        <w:rPr>
          <w:lang w:val="es-MX"/>
        </w:rPr>
        <w:t>declar</w:t>
      </w:r>
      <w:proofErr w:type="spellEnd"/>
      <w:r w:rsidRPr="00517952">
        <w:rPr>
          <w:lang w:val="es-MX"/>
        </w:rPr>
        <w:t>[</w:t>
      </w:r>
      <w:proofErr w:type="spellStart"/>
      <w:r w:rsidRPr="00517952">
        <w:rPr>
          <w:lang w:val="es-MX"/>
        </w:rPr>
        <w:t>ó</w:t>
      </w:r>
      <w:proofErr w:type="spellEnd"/>
      <w:r w:rsidRPr="00517952">
        <w:rPr>
          <w:lang w:val="es-MX"/>
        </w:rPr>
        <w:t xml:space="preserve">] no haber nulidad”. Dicho dictamen del Fiscal señaló que “las decisiones judiciales del Fuero de Trabajo y Comunidades Laborales que queden consentidas y ejecutoriadas tienen autoridad de cosa juzgada”, por lo que revisarla comportaría revivir un proceso fenecido y por ende un atentado contra la cosa juzgada. Agregó que “consentida o ejecutoriada que sea la presente resolución se publique en el Diario Oficial “El Peruano”, dentro del término previsto por el artículo 42 de la Ley 23506. Cita de la Resolución </w:t>
      </w:r>
      <w:r w:rsidRPr="00517952">
        <w:rPr>
          <w:i/>
          <w:lang w:val="es-MX"/>
        </w:rPr>
        <w:t>Cfr.</w:t>
      </w:r>
      <w:r w:rsidRPr="00517952">
        <w:rPr>
          <w:lang w:val="es-MX"/>
        </w:rPr>
        <w:t xml:space="preserve"> Congreso de la República de Perú. Ley de Habeas Corpus y Amparo. Ley 23506. Artículo 42.- Todas las resoluciones finales recaídas en las acciones de Habeas Corpus y Amparo, una vez que queden consentidas y ejecutoriadas, serán publicadas obligatoriamente dentro de los quince días siguientes, en el Diario Oficial “El Peruano”. </w:t>
      </w:r>
    </w:p>
  </w:footnote>
  <w:footnote w:id="90">
    <w:p w14:paraId="2E107FC4" w14:textId="5169FA71" w:rsidR="00D86616" w:rsidRPr="00801513" w:rsidRDefault="00D86616" w:rsidP="00E677C5">
      <w:pPr>
        <w:pStyle w:val="Default"/>
        <w:jc w:val="both"/>
        <w:rPr>
          <w:rFonts w:ascii="Verdana" w:hAnsi="Verdana"/>
          <w:color w:val="auto"/>
          <w:sz w:val="16"/>
          <w:szCs w:val="16"/>
          <w:lang w:val="es-EC"/>
        </w:rPr>
      </w:pPr>
      <w:r w:rsidRPr="00517952">
        <w:rPr>
          <w:rStyle w:val="FootnoteReference"/>
          <w:sz w:val="16"/>
          <w:szCs w:val="16"/>
        </w:rPr>
        <w:footnoteRef/>
      </w:r>
      <w:r w:rsidRPr="00517952">
        <w:rPr>
          <w:rFonts w:ascii="Verdana" w:hAnsi="Verdana"/>
          <w:color w:val="0000FF"/>
          <w:sz w:val="16"/>
          <w:szCs w:val="16"/>
          <w:lang w:val="es-EC"/>
        </w:rPr>
        <w:t xml:space="preserve"> </w:t>
      </w:r>
      <w:r w:rsidRPr="00517952">
        <w:rPr>
          <w:rFonts w:ascii="Verdana" w:hAnsi="Verdana"/>
          <w:color w:val="0000FF"/>
          <w:sz w:val="16"/>
          <w:szCs w:val="16"/>
          <w:lang w:val="es-EC"/>
        </w:rPr>
        <w:tab/>
      </w:r>
      <w:r w:rsidRPr="00517952">
        <w:rPr>
          <w:rFonts w:ascii="Verdana" w:hAnsi="Verdana"/>
          <w:i/>
          <w:color w:val="auto"/>
          <w:sz w:val="16"/>
          <w:szCs w:val="16"/>
          <w:lang w:val="es-EC"/>
        </w:rPr>
        <w:t>Cfr.</w:t>
      </w:r>
      <w:r w:rsidRPr="00517952">
        <w:rPr>
          <w:rFonts w:ascii="Verdana" w:hAnsi="Verdana"/>
          <w:color w:val="auto"/>
          <w:sz w:val="16"/>
          <w:szCs w:val="16"/>
          <w:lang w:val="es-EC"/>
        </w:rPr>
        <w:t xml:space="preserve"> Escrito dirigido a la Sala de la Corte Suprema de Derecho Constitucional y Social de la Corte Suprema de Justicia. Expediente No. 1811-92. 28 de Abril de 1993. Anexos a la comunicación de los peticionarios de fecha 23 de julio de 199</w:t>
      </w:r>
      <w:r w:rsidRPr="004C3F47">
        <w:rPr>
          <w:rFonts w:ascii="Verdana" w:hAnsi="Verdana"/>
          <w:color w:val="auto"/>
          <w:sz w:val="16"/>
          <w:szCs w:val="16"/>
          <w:lang w:val="es-EC"/>
        </w:rPr>
        <w:t>8. (expediente de prueba</w:t>
      </w:r>
      <w:r>
        <w:rPr>
          <w:rFonts w:ascii="Verdana" w:hAnsi="Verdana"/>
          <w:color w:val="auto"/>
          <w:sz w:val="16"/>
          <w:szCs w:val="16"/>
          <w:lang w:val="es-EC"/>
        </w:rPr>
        <w:t>,</w:t>
      </w:r>
      <w:r w:rsidRPr="004C3F47">
        <w:rPr>
          <w:rFonts w:ascii="Verdana" w:hAnsi="Verdana"/>
          <w:color w:val="auto"/>
          <w:sz w:val="16"/>
          <w:szCs w:val="16"/>
          <w:lang w:val="es-EC"/>
        </w:rPr>
        <w:t xml:space="preserve"> anexo 20 del Informe de Fondo, f. 75).</w:t>
      </w:r>
    </w:p>
  </w:footnote>
  <w:footnote w:id="91">
    <w:p w14:paraId="0616D731" w14:textId="07737A5C" w:rsidR="00D86616" w:rsidRPr="00517952" w:rsidRDefault="00D86616" w:rsidP="006A2D03">
      <w:pPr>
        <w:autoSpaceDE w:val="0"/>
        <w:autoSpaceDN w:val="0"/>
        <w:adjustRightInd w:val="0"/>
        <w:jc w:val="both"/>
        <w:rPr>
          <w:rFonts w:ascii="Verdana" w:hAnsi="Verdana"/>
          <w:sz w:val="16"/>
          <w:szCs w:val="16"/>
        </w:rPr>
      </w:pPr>
      <w:r w:rsidRPr="00517952">
        <w:rPr>
          <w:rStyle w:val="FootnoteReference"/>
          <w:sz w:val="16"/>
          <w:szCs w:val="16"/>
        </w:rPr>
        <w:footnoteRef/>
      </w:r>
      <w:r w:rsidRPr="00517952">
        <w:rPr>
          <w:rFonts w:ascii="Verdana" w:hAnsi="Verdana"/>
          <w:sz w:val="16"/>
          <w:szCs w:val="16"/>
        </w:rPr>
        <w:t xml:space="preserve"> </w:t>
      </w:r>
      <w:r w:rsidRPr="00517952">
        <w:rPr>
          <w:rFonts w:ascii="Verdana" w:hAnsi="Verdana"/>
          <w:sz w:val="16"/>
          <w:szCs w:val="16"/>
        </w:rPr>
        <w:tab/>
      </w:r>
      <w:r w:rsidRPr="00517952">
        <w:rPr>
          <w:rFonts w:ascii="Verdana" w:hAnsi="Verdana"/>
          <w:i/>
          <w:sz w:val="16"/>
          <w:szCs w:val="16"/>
        </w:rPr>
        <w:t>Cfr.</w:t>
      </w:r>
      <w:r w:rsidRPr="00517952">
        <w:rPr>
          <w:rFonts w:ascii="Verdana" w:hAnsi="Verdana"/>
          <w:sz w:val="16"/>
          <w:szCs w:val="16"/>
        </w:rPr>
        <w:t xml:space="preserve"> </w:t>
      </w:r>
      <w:r w:rsidRPr="00517952">
        <w:rPr>
          <w:rFonts w:ascii="Verdana" w:hAnsi="Verdana"/>
          <w:sz w:val="16"/>
          <w:szCs w:val="16"/>
          <w:lang w:eastAsia="es-MX"/>
        </w:rPr>
        <w:t>Solicitud dirigida a la Quinta Sala Civil de la Corte Superior de Lima. Expediente No. 2615-91. 26 de Julio de 1996 (expediente de prueba, anexo 21 del Informe de Fondo, f. 77). El señor Lagos invocó, con sustento de esta solicitud, los artículos 2.2 y 202.2) de la Constitución Política que disponen que:</w:t>
      </w:r>
      <w:r w:rsidRPr="00517952">
        <w:rPr>
          <w:rFonts w:ascii="Verdana" w:hAnsi="Verdana"/>
          <w:i/>
          <w:sz w:val="16"/>
          <w:szCs w:val="16"/>
          <w:lang w:eastAsia="es-MX"/>
        </w:rPr>
        <w:t xml:space="preserve"> </w:t>
      </w:r>
      <w:r w:rsidRPr="00517952">
        <w:rPr>
          <w:rFonts w:ascii="Verdana" w:hAnsi="Verdana"/>
          <w:sz w:val="16"/>
          <w:szCs w:val="16"/>
          <w:lang w:eastAsia="es-MX"/>
        </w:rPr>
        <w:t xml:space="preserve">Artículo 2°.- Derechos fundamentales de la persona Toda persona tiene derecho: 2. A la igualdad ante la ley. Nadie debe ser discriminado por motivo de origen, raza, sexo, idioma, religión, opinión, condición económica o de cualquiera otra índole. Artículo 202°.- Atribuciones del Tribunal Constitucional Corresponde al Tribunal Constitucional: 2. Conocer, en última y definitiva instancia, las resoluciones de Conocer, en última y definitiva instancia, las resoluciones denegatorias de hábeas corpus, amparo, hábeas data, y acción de cumplimiento. </w:t>
      </w:r>
      <w:r w:rsidRPr="00517952">
        <w:rPr>
          <w:rFonts w:ascii="Verdana" w:hAnsi="Verdana"/>
          <w:sz w:val="16"/>
          <w:szCs w:val="16"/>
        </w:rPr>
        <w:t xml:space="preserve">(expediente de prueba, anexo 21 del Informe de Fondo, </w:t>
      </w:r>
      <w:proofErr w:type="spellStart"/>
      <w:r w:rsidRPr="00517952">
        <w:rPr>
          <w:rFonts w:ascii="Verdana" w:hAnsi="Verdana"/>
          <w:sz w:val="16"/>
          <w:szCs w:val="16"/>
        </w:rPr>
        <w:t>ff</w:t>
      </w:r>
      <w:proofErr w:type="spellEnd"/>
      <w:r w:rsidRPr="00517952">
        <w:rPr>
          <w:rFonts w:ascii="Verdana" w:hAnsi="Verdana"/>
          <w:sz w:val="16"/>
          <w:szCs w:val="16"/>
        </w:rPr>
        <w:t>. 77 y 78).</w:t>
      </w:r>
    </w:p>
  </w:footnote>
  <w:footnote w:id="92">
    <w:p w14:paraId="354A259A" w14:textId="05D85185" w:rsidR="00D86616" w:rsidRPr="00517952" w:rsidRDefault="00D86616" w:rsidP="006A2D03">
      <w:pPr>
        <w:autoSpaceDE w:val="0"/>
        <w:autoSpaceDN w:val="0"/>
        <w:adjustRightInd w:val="0"/>
        <w:jc w:val="both"/>
        <w:rPr>
          <w:rFonts w:ascii="Verdana" w:hAnsi="Verdana"/>
          <w:sz w:val="16"/>
          <w:szCs w:val="16"/>
        </w:rPr>
      </w:pPr>
      <w:r w:rsidRPr="00517952">
        <w:rPr>
          <w:rStyle w:val="FootnoteReference"/>
          <w:sz w:val="16"/>
          <w:szCs w:val="16"/>
        </w:rPr>
        <w:footnoteRef/>
      </w:r>
      <w:r w:rsidRPr="00517952">
        <w:rPr>
          <w:rFonts w:ascii="Verdana" w:hAnsi="Verdana"/>
          <w:sz w:val="16"/>
          <w:szCs w:val="16"/>
        </w:rPr>
        <w:t xml:space="preserve"> </w:t>
      </w:r>
      <w:r w:rsidRPr="00517952">
        <w:rPr>
          <w:rFonts w:ascii="Verdana" w:hAnsi="Verdana"/>
          <w:sz w:val="16"/>
          <w:szCs w:val="16"/>
        </w:rPr>
        <w:tab/>
      </w:r>
      <w:r w:rsidRPr="00517952">
        <w:rPr>
          <w:rFonts w:ascii="Verdana" w:hAnsi="Verdana"/>
          <w:i/>
          <w:sz w:val="16"/>
          <w:szCs w:val="16"/>
        </w:rPr>
        <w:t>Cfr.</w:t>
      </w:r>
      <w:r w:rsidRPr="00517952">
        <w:rPr>
          <w:rFonts w:ascii="Verdana" w:hAnsi="Verdana"/>
          <w:sz w:val="16"/>
          <w:szCs w:val="16"/>
        </w:rPr>
        <w:t xml:space="preserve"> Solicitud dirigida a la Quinta Sala Civil de la Corte Superior de Lima. Expediente No. 2615-91. 13 de enero de 1997 (expediente de prueba, anexo 21 del Informe de Fondo, </w:t>
      </w:r>
      <w:proofErr w:type="spellStart"/>
      <w:r w:rsidRPr="00517952">
        <w:rPr>
          <w:rFonts w:ascii="Verdana" w:hAnsi="Verdana"/>
          <w:sz w:val="16"/>
          <w:szCs w:val="16"/>
        </w:rPr>
        <w:t>ff</w:t>
      </w:r>
      <w:proofErr w:type="spellEnd"/>
      <w:r w:rsidRPr="00517952">
        <w:rPr>
          <w:rFonts w:ascii="Verdana" w:hAnsi="Verdana"/>
          <w:sz w:val="16"/>
          <w:szCs w:val="16"/>
        </w:rPr>
        <w:t>. 79 y 80).</w:t>
      </w:r>
    </w:p>
  </w:footnote>
  <w:footnote w:id="93">
    <w:p w14:paraId="6518AEB7" w14:textId="18B20EC2" w:rsidR="00D86616" w:rsidRPr="00517952" w:rsidRDefault="00D86616" w:rsidP="006A2D03">
      <w:pPr>
        <w:pStyle w:val="FootnoteText"/>
        <w:spacing w:after="0"/>
        <w:rPr>
          <w:i/>
          <w:lang w:val="es-MX"/>
        </w:rPr>
      </w:pPr>
      <w:r w:rsidRPr="00517952">
        <w:rPr>
          <w:rStyle w:val="FootnoteReference"/>
          <w:sz w:val="16"/>
        </w:rPr>
        <w:footnoteRef/>
      </w:r>
      <w:r w:rsidRPr="00517952">
        <w:rPr>
          <w:lang w:val="es-MX"/>
        </w:rPr>
        <w:t xml:space="preserve"> </w:t>
      </w:r>
      <w:r w:rsidRPr="00517952">
        <w:rPr>
          <w:lang w:val="es-MX"/>
        </w:rPr>
        <w:tab/>
      </w:r>
      <w:r w:rsidR="00024D13" w:rsidRPr="00517952">
        <w:rPr>
          <w:lang w:val="es-MX"/>
        </w:rPr>
        <w:t xml:space="preserve">  </w:t>
      </w:r>
      <w:r w:rsidRPr="00517952">
        <w:rPr>
          <w:i/>
          <w:lang w:val="es-MX"/>
        </w:rPr>
        <w:t>Cfr.</w:t>
      </w:r>
      <w:r w:rsidRPr="00517952">
        <w:rPr>
          <w:lang w:val="es-MX"/>
        </w:rPr>
        <w:t xml:space="preserve"> Congreso de la República de Perú. Constitución Política del Perú 12 de julio de 1979. Artículo 298.- Artículo 298.El Tribunal de Garantía tiene jurisdicción en todo el territorio de la República. Es competente para:</w:t>
      </w:r>
    </w:p>
    <w:p w14:paraId="7EF38887" w14:textId="77777777" w:rsidR="00D86616" w:rsidRPr="00517952" w:rsidRDefault="00D86616" w:rsidP="006A2D03">
      <w:pPr>
        <w:pStyle w:val="FootnoteText"/>
        <w:spacing w:after="0"/>
        <w:rPr>
          <w:i/>
          <w:lang w:val="es-MX"/>
        </w:rPr>
      </w:pPr>
      <w:r w:rsidRPr="00517952">
        <w:rPr>
          <w:lang w:val="es-MX"/>
        </w:rPr>
        <w:t>1.- Declarar, a petición de parte, la inconstitucionalidad parcial o total de las leyes, decretos legislativos, normas regionales de carácter general y ordenanzas municipales que contravienen la Constitución por la forma o por el fondo y 2.- Conocer en casación las resoluciones denegatorias de la acción de habeas corpus y la acción de amparo agotada la vía judicial.</w:t>
      </w:r>
    </w:p>
    <w:p w14:paraId="74BF5523" w14:textId="638B791D" w:rsidR="00D86616" w:rsidRPr="00517952" w:rsidRDefault="00D86616" w:rsidP="006A2D03">
      <w:pPr>
        <w:pStyle w:val="NormalWeb"/>
        <w:spacing w:before="0" w:beforeAutospacing="0" w:after="0" w:afterAutospacing="0"/>
        <w:jc w:val="both"/>
        <w:rPr>
          <w:rFonts w:ascii="Verdana" w:hAnsi="Verdana"/>
          <w:color w:val="000000"/>
          <w:sz w:val="16"/>
          <w:szCs w:val="16"/>
          <w:lang w:val="es-EC"/>
        </w:rPr>
      </w:pPr>
      <w:r w:rsidRPr="00517952">
        <w:rPr>
          <w:rFonts w:ascii="Verdana" w:hAnsi="Verdana"/>
          <w:bCs/>
          <w:color w:val="000000"/>
          <w:sz w:val="16"/>
          <w:szCs w:val="16"/>
        </w:rPr>
        <w:t xml:space="preserve">El </w:t>
      </w:r>
      <w:r w:rsidRPr="00517952">
        <w:rPr>
          <w:rFonts w:ascii="Verdana" w:hAnsi="Verdana"/>
          <w:bCs/>
          <w:color w:val="000000"/>
          <w:sz w:val="16"/>
          <w:szCs w:val="16"/>
          <w:lang w:val="es-EC"/>
        </w:rPr>
        <w:t>artículo 295.</w:t>
      </w:r>
      <w:r w:rsidRPr="00517952">
        <w:rPr>
          <w:rFonts w:ascii="Verdana" w:hAnsi="Verdana"/>
          <w:bCs/>
          <w:color w:val="000000"/>
          <w:sz w:val="16"/>
          <w:szCs w:val="16"/>
          <w:lang w:val="es-EC"/>
        </w:rPr>
        <w:softHyphen/>
      </w:r>
      <w:r w:rsidRPr="00517952">
        <w:rPr>
          <w:rFonts w:ascii="Verdana" w:hAnsi="Verdana"/>
          <w:color w:val="000000"/>
          <w:sz w:val="16"/>
          <w:szCs w:val="16"/>
          <w:lang w:val="es-EC"/>
        </w:rPr>
        <w:t xml:space="preserve"> La acción de amparo cautela los derechos reconocidos por la Constitución que sean vulnerados o amenazados por cualquier autoridad, funcionario o persona. La acción de amparo tiene el mismo trámite que la acción de habeas corpus en los que es aplicable.</w:t>
      </w:r>
    </w:p>
  </w:footnote>
  <w:footnote w:id="94">
    <w:p w14:paraId="789164A0" w14:textId="461E0F7E" w:rsidR="00D86616" w:rsidRPr="00517952" w:rsidRDefault="00D86616" w:rsidP="006A2D03">
      <w:pPr>
        <w:autoSpaceDE w:val="0"/>
        <w:autoSpaceDN w:val="0"/>
        <w:adjustRightInd w:val="0"/>
        <w:contextualSpacing/>
        <w:jc w:val="both"/>
        <w:rPr>
          <w:rFonts w:ascii="Verdana" w:hAnsi="Verdana"/>
          <w:sz w:val="16"/>
          <w:szCs w:val="16"/>
        </w:rPr>
      </w:pPr>
      <w:r w:rsidRPr="00517952">
        <w:rPr>
          <w:rStyle w:val="FootnoteReference"/>
          <w:sz w:val="16"/>
          <w:szCs w:val="16"/>
        </w:rPr>
        <w:footnoteRef/>
      </w:r>
      <w:r w:rsidRPr="00517952">
        <w:rPr>
          <w:rFonts w:ascii="Verdana" w:hAnsi="Verdana"/>
          <w:i/>
          <w:sz w:val="16"/>
          <w:szCs w:val="16"/>
        </w:rPr>
        <w:t xml:space="preserve"> </w:t>
      </w:r>
      <w:r w:rsidRPr="00517952">
        <w:rPr>
          <w:rFonts w:ascii="Verdana" w:hAnsi="Verdana"/>
          <w:i/>
          <w:sz w:val="16"/>
          <w:szCs w:val="16"/>
        </w:rPr>
        <w:tab/>
        <w:t>Cfr.</w:t>
      </w:r>
      <w:r w:rsidRPr="00517952">
        <w:rPr>
          <w:rFonts w:ascii="Verdana" w:hAnsi="Verdana"/>
          <w:sz w:val="16"/>
          <w:szCs w:val="16"/>
        </w:rPr>
        <w:t xml:space="preserve"> </w:t>
      </w:r>
      <w:r w:rsidRPr="00517952">
        <w:rPr>
          <w:rFonts w:ascii="Verdana" w:hAnsi="Verdana"/>
          <w:sz w:val="16"/>
          <w:szCs w:val="16"/>
          <w:lang w:eastAsia="es-MX"/>
        </w:rPr>
        <w:t xml:space="preserve">Tercera Sala Civil Especializada de la Corte Superior de Justicia de Lima. Expediente. No. 2625-91. Resolución de 24 de Junio de 1997. </w:t>
      </w:r>
      <w:r w:rsidRPr="00517952">
        <w:rPr>
          <w:rFonts w:ascii="Verdana" w:hAnsi="Verdana"/>
          <w:sz w:val="16"/>
          <w:szCs w:val="16"/>
        </w:rPr>
        <w:t>(expediente de prueba, anexo 23 del Informe de Fondo, f. 82).</w:t>
      </w:r>
    </w:p>
  </w:footnote>
  <w:footnote w:id="95">
    <w:p w14:paraId="7CCE4C9A" w14:textId="76A898C7" w:rsidR="00D86616" w:rsidRPr="00517952" w:rsidRDefault="00D86616" w:rsidP="006A2D03">
      <w:pPr>
        <w:pStyle w:val="FootnoteText"/>
        <w:spacing w:after="0"/>
        <w:rPr>
          <w:lang w:val="es-MX"/>
        </w:rPr>
      </w:pPr>
      <w:r w:rsidRPr="00517952">
        <w:rPr>
          <w:rStyle w:val="FootnoteReference"/>
          <w:sz w:val="16"/>
          <w:lang w:val="es-MX"/>
        </w:rPr>
        <w:footnoteRef/>
      </w:r>
      <w:r w:rsidRPr="00517952">
        <w:rPr>
          <w:lang w:val="es-MX"/>
        </w:rPr>
        <w:t xml:space="preserve"> </w:t>
      </w:r>
      <w:r w:rsidRPr="00517952">
        <w:rPr>
          <w:lang w:val="es-MX"/>
        </w:rPr>
        <w:tab/>
      </w:r>
      <w:r w:rsidR="00024D13" w:rsidRPr="00517952">
        <w:rPr>
          <w:lang w:val="es-MX"/>
        </w:rPr>
        <w:t xml:space="preserve">  </w:t>
      </w:r>
      <w:r w:rsidRPr="00517952">
        <w:rPr>
          <w:i/>
          <w:lang w:val="es-MX"/>
        </w:rPr>
        <w:t>Cfr.</w:t>
      </w:r>
      <w:r w:rsidRPr="00517952">
        <w:rPr>
          <w:lang w:val="es-MX"/>
        </w:rPr>
        <w:t xml:space="preserve"> Recurso de apelación interpuesto por el señor Lagos del Campo a la Tercera Sala Civil Especializada de la Corte Superior de Lima. A.A.2615-91 18 de julio de 1997. (expediente de prueba, anexo 24 del Informe de Fondo, </w:t>
      </w:r>
      <w:proofErr w:type="spellStart"/>
      <w:r w:rsidRPr="00517952">
        <w:rPr>
          <w:lang w:val="es-MX"/>
        </w:rPr>
        <w:t>ff</w:t>
      </w:r>
      <w:proofErr w:type="spellEnd"/>
      <w:r w:rsidRPr="00517952">
        <w:rPr>
          <w:lang w:val="es-MX"/>
        </w:rPr>
        <w:t xml:space="preserve">. 85 y 86). </w:t>
      </w:r>
    </w:p>
  </w:footnote>
  <w:footnote w:id="96">
    <w:p w14:paraId="115DA12A" w14:textId="57360D7E" w:rsidR="00D86616" w:rsidRPr="00517952" w:rsidRDefault="00D86616" w:rsidP="006A2D03">
      <w:pPr>
        <w:pStyle w:val="FootnoteText"/>
        <w:spacing w:after="0"/>
        <w:rPr>
          <w:lang w:val="es-MX"/>
        </w:rPr>
      </w:pPr>
      <w:r w:rsidRPr="00517952">
        <w:rPr>
          <w:rStyle w:val="FootnoteReference"/>
          <w:sz w:val="16"/>
          <w:lang w:val="es-MX"/>
        </w:rPr>
        <w:footnoteRef/>
      </w:r>
      <w:r w:rsidRPr="00517952">
        <w:rPr>
          <w:lang w:val="es-MX"/>
        </w:rPr>
        <w:tab/>
      </w:r>
      <w:r w:rsidRPr="00517952">
        <w:rPr>
          <w:i/>
          <w:lang w:val="es-MX"/>
        </w:rPr>
        <w:t>Cfr.</w:t>
      </w:r>
      <w:r w:rsidRPr="00517952">
        <w:rPr>
          <w:lang w:val="es-MX"/>
        </w:rPr>
        <w:t xml:space="preserve"> Tercera Sala Civil Especializada de la Corte Superior de Justicia de Lima. Expediente. No. 839-97. Resolución de 25 de Julio de 1997. (expediente de prueba, anexo 25 del Informe de Fondo, f. 88).</w:t>
      </w:r>
    </w:p>
  </w:footnote>
  <w:footnote w:id="97">
    <w:p w14:paraId="4FFC8D6A" w14:textId="3D14037C" w:rsidR="00D86616" w:rsidRPr="004C3F47" w:rsidRDefault="00D86616" w:rsidP="006A2D03">
      <w:pPr>
        <w:autoSpaceDE w:val="0"/>
        <w:autoSpaceDN w:val="0"/>
        <w:adjustRightInd w:val="0"/>
        <w:jc w:val="both"/>
        <w:rPr>
          <w:rFonts w:ascii="Verdana" w:hAnsi="Verdana"/>
          <w:sz w:val="16"/>
          <w:szCs w:val="16"/>
        </w:rPr>
      </w:pPr>
      <w:r w:rsidRPr="00517952">
        <w:rPr>
          <w:rStyle w:val="FootnoteReference"/>
          <w:sz w:val="16"/>
          <w:szCs w:val="16"/>
        </w:rPr>
        <w:footnoteRef/>
      </w:r>
      <w:r w:rsidRPr="00517952">
        <w:rPr>
          <w:rFonts w:ascii="Verdana" w:hAnsi="Verdana"/>
          <w:sz w:val="16"/>
          <w:szCs w:val="16"/>
        </w:rPr>
        <w:t xml:space="preserve"> </w:t>
      </w:r>
      <w:r w:rsidR="00C72F54" w:rsidRPr="00517952">
        <w:rPr>
          <w:rFonts w:ascii="Verdana" w:hAnsi="Verdana"/>
          <w:sz w:val="16"/>
          <w:szCs w:val="16"/>
        </w:rPr>
        <w:t xml:space="preserve">    </w:t>
      </w:r>
      <w:r w:rsidRPr="00517952">
        <w:rPr>
          <w:rFonts w:ascii="Verdana" w:hAnsi="Verdana"/>
          <w:sz w:val="16"/>
          <w:szCs w:val="16"/>
        </w:rPr>
        <w:t>El Artículo 403 del Nuevo Código Procesal Civil vigente en la época de los hechos establecía lo siguiente: “La queja se interpone ante el superior del que se negó la apelación o concedió en efecto distinto al pedido, o ante la corte de casación en el caso</w:t>
      </w:r>
      <w:r>
        <w:rPr>
          <w:rFonts w:ascii="Verdana" w:hAnsi="Verdana"/>
          <w:sz w:val="16"/>
          <w:szCs w:val="16"/>
        </w:rPr>
        <w:t xml:space="preserve"> respectivo”.</w:t>
      </w:r>
    </w:p>
  </w:footnote>
  <w:footnote w:id="98">
    <w:p w14:paraId="26CA0E73" w14:textId="47744203" w:rsidR="00D86616" w:rsidRPr="00517952" w:rsidRDefault="00D86616" w:rsidP="00E677C5">
      <w:pPr>
        <w:autoSpaceDE w:val="0"/>
        <w:autoSpaceDN w:val="0"/>
        <w:adjustRightInd w:val="0"/>
        <w:jc w:val="both"/>
        <w:rPr>
          <w:rFonts w:ascii="Verdana" w:hAnsi="Verdana"/>
          <w:sz w:val="16"/>
          <w:szCs w:val="16"/>
        </w:rPr>
      </w:pPr>
      <w:r w:rsidRPr="00517952">
        <w:rPr>
          <w:rStyle w:val="FootnoteReference"/>
          <w:sz w:val="16"/>
          <w:szCs w:val="16"/>
        </w:rPr>
        <w:footnoteRef/>
      </w:r>
      <w:r w:rsidR="00C72F54" w:rsidRPr="00517952">
        <w:rPr>
          <w:rFonts w:ascii="Verdana" w:hAnsi="Verdana"/>
          <w:sz w:val="16"/>
          <w:szCs w:val="16"/>
        </w:rPr>
        <w:t xml:space="preserve">    </w:t>
      </w:r>
      <w:r w:rsidRPr="00517952">
        <w:rPr>
          <w:rFonts w:ascii="Verdana" w:hAnsi="Verdana"/>
          <w:i/>
          <w:sz w:val="16"/>
          <w:szCs w:val="16"/>
        </w:rPr>
        <w:t>Cfr.</w:t>
      </w:r>
      <w:r w:rsidRPr="00517952">
        <w:rPr>
          <w:rFonts w:ascii="Verdana" w:hAnsi="Verdana"/>
          <w:sz w:val="16"/>
          <w:szCs w:val="16"/>
        </w:rPr>
        <w:t xml:space="preserve"> </w:t>
      </w:r>
      <w:r w:rsidRPr="00517952">
        <w:rPr>
          <w:rFonts w:ascii="Verdana" w:hAnsi="Verdana"/>
          <w:sz w:val="16"/>
          <w:szCs w:val="16"/>
          <w:lang w:eastAsia="es-MX"/>
        </w:rPr>
        <w:t xml:space="preserve">Sala de Derecho Constitucional y Social de la Corte Suprema de justicia. Queja. 447-97. </w:t>
      </w:r>
      <w:r w:rsidRPr="00517952">
        <w:rPr>
          <w:rFonts w:ascii="Verdana" w:hAnsi="Verdana"/>
          <w:sz w:val="16"/>
          <w:szCs w:val="16"/>
        </w:rPr>
        <w:t>(expediente de prueba anexo 28 del Informe de Fondo, f. 97).</w:t>
      </w:r>
    </w:p>
  </w:footnote>
  <w:footnote w:id="99">
    <w:p w14:paraId="30991DAE" w14:textId="3349FECC" w:rsidR="00D86616" w:rsidRPr="00517952" w:rsidRDefault="00D86616" w:rsidP="00E677C5">
      <w:pPr>
        <w:autoSpaceDE w:val="0"/>
        <w:autoSpaceDN w:val="0"/>
        <w:adjustRightInd w:val="0"/>
        <w:jc w:val="both"/>
        <w:rPr>
          <w:rFonts w:ascii="Verdana" w:hAnsi="Verdana"/>
          <w:sz w:val="16"/>
          <w:szCs w:val="16"/>
        </w:rPr>
      </w:pPr>
      <w:r w:rsidRPr="00517952">
        <w:rPr>
          <w:rStyle w:val="FootnoteReference"/>
          <w:sz w:val="16"/>
          <w:szCs w:val="16"/>
        </w:rPr>
        <w:footnoteRef/>
      </w:r>
      <w:r w:rsidR="00C72F54" w:rsidRPr="00517952">
        <w:rPr>
          <w:rFonts w:ascii="Verdana" w:hAnsi="Verdana"/>
          <w:i/>
          <w:iCs/>
          <w:sz w:val="16"/>
          <w:szCs w:val="16"/>
          <w:lang w:eastAsia="es-MX"/>
        </w:rPr>
        <w:t xml:space="preserve">    </w:t>
      </w:r>
      <w:r w:rsidRPr="00517952">
        <w:rPr>
          <w:rFonts w:ascii="Verdana" w:hAnsi="Verdana"/>
          <w:i/>
          <w:sz w:val="16"/>
          <w:szCs w:val="16"/>
        </w:rPr>
        <w:t>Cfr.</w:t>
      </w:r>
      <w:r w:rsidRPr="00517952">
        <w:rPr>
          <w:rFonts w:ascii="Verdana" w:hAnsi="Verdana"/>
          <w:sz w:val="16"/>
          <w:szCs w:val="16"/>
        </w:rPr>
        <w:t xml:space="preserve"> </w:t>
      </w:r>
      <w:r w:rsidRPr="00517952">
        <w:rPr>
          <w:rFonts w:ascii="Verdana" w:hAnsi="Verdana"/>
          <w:sz w:val="16"/>
          <w:szCs w:val="16"/>
          <w:lang w:eastAsia="es-MX"/>
        </w:rPr>
        <w:t xml:space="preserve">Recurso de queja dirigido a la Sala de Derecho Constitucional y Social de la Corte Suprema de justicia. Expediente No 839-97. A.A. 2615-91. </w:t>
      </w:r>
      <w:r w:rsidRPr="00517952">
        <w:rPr>
          <w:rFonts w:ascii="Verdana" w:hAnsi="Verdana"/>
          <w:sz w:val="16"/>
          <w:szCs w:val="16"/>
        </w:rPr>
        <w:t xml:space="preserve">(expediente de prueba anexo 29 del Informe de Fondo, </w:t>
      </w:r>
      <w:proofErr w:type="spellStart"/>
      <w:r w:rsidRPr="00517952">
        <w:rPr>
          <w:rFonts w:ascii="Verdana" w:hAnsi="Verdana"/>
          <w:sz w:val="16"/>
          <w:szCs w:val="16"/>
        </w:rPr>
        <w:t>ff</w:t>
      </w:r>
      <w:proofErr w:type="spellEnd"/>
      <w:r w:rsidRPr="00517952">
        <w:rPr>
          <w:rFonts w:ascii="Verdana" w:hAnsi="Verdana"/>
          <w:sz w:val="16"/>
          <w:szCs w:val="16"/>
        </w:rPr>
        <w:t>. 99 a 101).</w:t>
      </w:r>
    </w:p>
  </w:footnote>
  <w:footnote w:id="100">
    <w:p w14:paraId="4F2D6A7C" w14:textId="5AB32151" w:rsidR="00D86616" w:rsidRPr="00517952" w:rsidRDefault="00D86616" w:rsidP="00334B6C">
      <w:pPr>
        <w:pStyle w:val="FootnoteText"/>
        <w:rPr>
          <w:lang w:val="es-MX"/>
        </w:rPr>
      </w:pPr>
      <w:r w:rsidRPr="00517952">
        <w:rPr>
          <w:rStyle w:val="FootnoteReference"/>
          <w:sz w:val="16"/>
        </w:rPr>
        <w:footnoteRef/>
      </w:r>
      <w:r w:rsidRPr="00517952">
        <w:rPr>
          <w:lang w:val="es-MX"/>
        </w:rPr>
        <w:t xml:space="preserve"> </w:t>
      </w:r>
      <w:r w:rsidRPr="00517952">
        <w:rPr>
          <w:lang w:val="es-MX"/>
        </w:rPr>
        <w:tab/>
        <w:t xml:space="preserve">Las referencias a la jubilación se desprenden de la “Ley que implementa las recomendaciones derivadas de las comisiones creadas por las leyes N° 27452 y N° 27586, encargadas de revisar los ceses colectivos efectuados en las empresas del Estado sujetas a procesos de promoción de la inversión privada y en las entidades del sector público y gobiernos locales”. El señor Lagos también hizo mención a las siguientes leyes: “me adeuda el integro de mis beneficios sociales y demás derechos que me corresponde de acuerdo a la ley desde el año 1976”, para poder ampararme al derecho de jubilación según Ley N° 19990 (expediente de trámite  ante la  Comisión, f. 151). </w:t>
      </w:r>
    </w:p>
  </w:footnote>
  <w:footnote w:id="101">
    <w:p w14:paraId="20BD2EAE" w14:textId="1083800E" w:rsidR="00D86616" w:rsidRPr="00517952" w:rsidRDefault="00D86616" w:rsidP="00E677C5">
      <w:pPr>
        <w:autoSpaceDE w:val="0"/>
        <w:autoSpaceDN w:val="0"/>
        <w:adjustRightInd w:val="0"/>
        <w:jc w:val="both"/>
        <w:rPr>
          <w:rFonts w:ascii="Verdana" w:hAnsi="Verdana"/>
          <w:sz w:val="16"/>
          <w:szCs w:val="16"/>
        </w:rPr>
      </w:pPr>
      <w:r w:rsidRPr="00517952">
        <w:rPr>
          <w:rStyle w:val="FootnoteReference"/>
          <w:sz w:val="16"/>
          <w:szCs w:val="16"/>
        </w:rPr>
        <w:footnoteRef/>
      </w:r>
      <w:r w:rsidR="00C72F54" w:rsidRPr="00517952">
        <w:rPr>
          <w:rFonts w:ascii="Verdana" w:hAnsi="Verdana"/>
          <w:sz w:val="16"/>
          <w:szCs w:val="16"/>
        </w:rPr>
        <w:t xml:space="preserve">    </w:t>
      </w:r>
      <w:r w:rsidRPr="00517952">
        <w:rPr>
          <w:rFonts w:ascii="Verdana" w:hAnsi="Verdana"/>
          <w:i/>
          <w:sz w:val="16"/>
          <w:szCs w:val="16"/>
        </w:rPr>
        <w:t>Cfr.</w:t>
      </w:r>
      <w:r w:rsidRPr="00517952">
        <w:rPr>
          <w:rFonts w:ascii="Verdana" w:hAnsi="Verdana"/>
          <w:i/>
          <w:iCs/>
          <w:sz w:val="16"/>
          <w:szCs w:val="16"/>
          <w:lang w:eastAsia="es-MX"/>
        </w:rPr>
        <w:t xml:space="preserve"> </w:t>
      </w:r>
      <w:r w:rsidRPr="00517952">
        <w:rPr>
          <w:rFonts w:ascii="Verdana" w:hAnsi="Verdana"/>
          <w:sz w:val="16"/>
          <w:szCs w:val="16"/>
          <w:lang w:eastAsia="es-MX"/>
        </w:rPr>
        <w:t xml:space="preserve">Constancia de Pobreza expedida por la Parroquia Santísimo Sacramento de la Arquidiócesis de Lima, de 10 de septiembre de 2003. anexo al escrito de los peticionarios de 28 de mayo de 2004; Carta de solicitud de apoyo social dirigida por el señor Lagos del Campo al Ministerio de la Mujer y Desarrollo Social el 21 de abril de 2005. anexo a la comunicación de Lagos del Campo de 2 de junio de 2005 </w:t>
      </w:r>
      <w:r w:rsidRPr="00517952">
        <w:rPr>
          <w:rFonts w:ascii="Verdana" w:hAnsi="Verdana"/>
          <w:sz w:val="16"/>
          <w:szCs w:val="16"/>
        </w:rPr>
        <w:t xml:space="preserve">(expediente de prueba, anexo 31 del Informe de Fondo, </w:t>
      </w:r>
      <w:proofErr w:type="spellStart"/>
      <w:r w:rsidRPr="00517952">
        <w:rPr>
          <w:rFonts w:ascii="Verdana" w:hAnsi="Verdana"/>
          <w:sz w:val="16"/>
          <w:szCs w:val="16"/>
        </w:rPr>
        <w:t>ff</w:t>
      </w:r>
      <w:proofErr w:type="spellEnd"/>
      <w:r w:rsidRPr="00517952">
        <w:rPr>
          <w:rFonts w:ascii="Verdana" w:hAnsi="Verdana"/>
          <w:sz w:val="16"/>
          <w:szCs w:val="16"/>
        </w:rPr>
        <w:t>. 106 y 107).</w:t>
      </w:r>
    </w:p>
  </w:footnote>
  <w:footnote w:id="102">
    <w:p w14:paraId="47738BDD" w14:textId="01EF4BA2" w:rsidR="00D86616" w:rsidRPr="009E6ED2" w:rsidRDefault="00D86616" w:rsidP="00334B6C">
      <w:pPr>
        <w:pStyle w:val="FootnoteText"/>
        <w:rPr>
          <w:lang w:val="es-MX"/>
        </w:rPr>
      </w:pPr>
      <w:r w:rsidRPr="00517952">
        <w:rPr>
          <w:rStyle w:val="FootnoteReference"/>
          <w:sz w:val="16"/>
        </w:rPr>
        <w:footnoteRef/>
      </w:r>
      <w:r w:rsidRPr="00517952">
        <w:rPr>
          <w:lang w:val="es-MX"/>
        </w:rPr>
        <w:t xml:space="preserve"> </w:t>
      </w:r>
      <w:r w:rsidRPr="00517952">
        <w:rPr>
          <w:lang w:val="es-MX"/>
        </w:rPr>
        <w:tab/>
        <w:t>En septiembre</w:t>
      </w:r>
      <w:r w:rsidRPr="009E6ED2">
        <w:rPr>
          <w:lang w:val="es-MX"/>
        </w:rPr>
        <w:t xml:space="preserve"> 2014, el señor Lagos del Campo tuvo un accidente cerebrovascular hemorrágico que requirió una hospitalización de 20 días y que le dejo varias secuelas.</w:t>
      </w:r>
    </w:p>
  </w:footnote>
  <w:footnote w:id="103">
    <w:p w14:paraId="077164D3" w14:textId="77777777" w:rsidR="00D86616" w:rsidRPr="009E6ED2" w:rsidRDefault="00D86616" w:rsidP="006A2D03">
      <w:pPr>
        <w:pStyle w:val="FootnoteText"/>
        <w:spacing w:after="0"/>
        <w:rPr>
          <w:i/>
          <w:lang w:val="es-MX"/>
        </w:rPr>
      </w:pPr>
      <w:r w:rsidRPr="00517952">
        <w:rPr>
          <w:rStyle w:val="FootnoteReference"/>
          <w:sz w:val="16"/>
        </w:rPr>
        <w:footnoteRef/>
      </w:r>
      <w:r w:rsidRPr="00517952">
        <w:rPr>
          <w:lang w:val="es-MX"/>
        </w:rPr>
        <w:t xml:space="preserve"> </w:t>
      </w:r>
      <w:r w:rsidRPr="00517952">
        <w:rPr>
          <w:lang w:val="es-MX"/>
        </w:rPr>
        <w:tab/>
        <w:t>Artículo 13. Libertad de Pensamiento y Expresión. 1. Toda persona tiene derecho a la libertad de pensamiento y de expresión</w:t>
      </w:r>
      <w:r w:rsidRPr="009E6ED2">
        <w:rPr>
          <w:lang w:val="es-MX"/>
        </w:rPr>
        <w:t>.  Este derecho comprende la libertad de buscar, recibir y difundir informaciones e ideas de toda índole, sin consideración de fronteras, ya sea oralmente, por escrito o en forma impresa o artística, o por cualquier otro procedimiento de su elección.</w:t>
      </w:r>
    </w:p>
    <w:p w14:paraId="2435A8E7" w14:textId="77777777" w:rsidR="00D86616" w:rsidRPr="009E6ED2" w:rsidRDefault="00D86616" w:rsidP="006A2D03">
      <w:pPr>
        <w:pStyle w:val="FootnoteText"/>
        <w:spacing w:after="0"/>
        <w:rPr>
          <w:i/>
          <w:lang w:val="es-MX"/>
        </w:rPr>
      </w:pPr>
      <w:r w:rsidRPr="009E6ED2">
        <w:rPr>
          <w:lang w:val="es-MX"/>
        </w:rPr>
        <w:t> 2. El ejercicio del derecho previsto en el inciso precedente no puede estar sujeto a previa censura sino a responsabilidades ulteriores, las que deben estar expresamente fijadas por la ley y ser necesarias para asegurar:</w:t>
      </w:r>
    </w:p>
    <w:p w14:paraId="399D6CE0" w14:textId="41752970" w:rsidR="00D86616" w:rsidRPr="009E6ED2" w:rsidRDefault="00D86616" w:rsidP="006A2D03">
      <w:pPr>
        <w:pStyle w:val="FootnoteText"/>
        <w:spacing w:after="0"/>
        <w:rPr>
          <w:i/>
          <w:lang w:val="es-MX"/>
        </w:rPr>
      </w:pPr>
      <w:r w:rsidRPr="009E6ED2">
        <w:rPr>
          <w:lang w:val="es-MX"/>
        </w:rPr>
        <w:t> a) el respeto a los derechos o a la reputación de los demás, o</w:t>
      </w:r>
    </w:p>
    <w:p w14:paraId="6766A7BD" w14:textId="77777777" w:rsidR="00D86616" w:rsidRPr="009E6ED2" w:rsidRDefault="00D86616" w:rsidP="006A2D03">
      <w:pPr>
        <w:pStyle w:val="FootnoteText"/>
        <w:spacing w:after="0"/>
        <w:rPr>
          <w:i/>
          <w:lang w:val="es-MX"/>
        </w:rPr>
      </w:pPr>
      <w:r w:rsidRPr="009E6ED2">
        <w:rPr>
          <w:lang w:val="es-MX"/>
        </w:rPr>
        <w:t> b) la protección de la seguridad nacional, el orden público o la salud o la moral públicas.</w:t>
      </w:r>
    </w:p>
    <w:p w14:paraId="683DD9BF" w14:textId="77777777" w:rsidR="00D86616" w:rsidRPr="009E6ED2" w:rsidRDefault="00D86616" w:rsidP="006A2D03">
      <w:pPr>
        <w:pStyle w:val="FootnoteText"/>
        <w:spacing w:after="0"/>
        <w:rPr>
          <w:i/>
          <w:lang w:val="es-MX"/>
        </w:rPr>
      </w:pPr>
      <w:r w:rsidRPr="009E6ED2">
        <w:rPr>
          <w:lang w:val="es-MX"/>
        </w:rPr>
        <w:t> 3. No se puede restringir el derecho de expresión por vías o medios indirectos, tales como el abuso de controles oficiales o particulares de papel para periódicos, de frecuencias radioeléctricas, o de enseres y aparatos usados en la difusión de información o por cualesquiera otros medios encaminados a impedir la comunicación y la circulación de ideas y opiniones.</w:t>
      </w:r>
    </w:p>
    <w:p w14:paraId="27D7574B" w14:textId="77777777" w:rsidR="00D86616" w:rsidRPr="009E6ED2" w:rsidRDefault="00D86616" w:rsidP="006A2D03">
      <w:pPr>
        <w:pStyle w:val="FootnoteText"/>
        <w:spacing w:after="0"/>
        <w:rPr>
          <w:i/>
          <w:lang w:val="es-MX"/>
        </w:rPr>
      </w:pPr>
      <w:r w:rsidRPr="009E6ED2">
        <w:rPr>
          <w:lang w:val="es-MX"/>
        </w:rPr>
        <w:t> 4. Los espectáculos públicos pueden ser sometidos por la ley a censura previa con el exclusivo objeto de regular el acceso a ellos para la protección moral de la infancia y la adolescencia, sin perjuicio de lo establecido en el inciso 2.</w:t>
      </w:r>
    </w:p>
    <w:p w14:paraId="0B3CA919" w14:textId="77777777" w:rsidR="00D86616" w:rsidRPr="009E6ED2" w:rsidRDefault="00D86616" w:rsidP="006A2D03">
      <w:pPr>
        <w:pStyle w:val="FootnoteText"/>
        <w:spacing w:after="0"/>
        <w:rPr>
          <w:i/>
          <w:lang w:val="es-MX"/>
        </w:rPr>
      </w:pPr>
      <w:r w:rsidRPr="009E6ED2">
        <w:rPr>
          <w:lang w:val="es-MX"/>
        </w:rPr>
        <w:t> 5. Estará prohibida por la ley toda propaganda en favor de la guerra y toda apología del odio nacional, racial o religioso que constituyan incitaciones a la violencia o cualquier otra acción ilegal similar contra cualquier persona o grupo de personas, por ningún motivo, inclusive los de raza, color, religión, idioma u origen nacional.</w:t>
      </w:r>
    </w:p>
  </w:footnote>
  <w:footnote w:id="104">
    <w:p w14:paraId="0AA5F6A4" w14:textId="77777777" w:rsidR="00D86616" w:rsidRPr="00517952" w:rsidRDefault="00D86616" w:rsidP="006A2D03">
      <w:pPr>
        <w:pStyle w:val="Footnotes"/>
        <w:spacing w:before="0" w:after="0"/>
        <w:rPr>
          <w:i/>
          <w:lang w:val="es-MX"/>
        </w:rPr>
      </w:pPr>
      <w:r w:rsidRPr="00517952">
        <w:rPr>
          <w:rStyle w:val="FootnoteReference"/>
          <w:sz w:val="16"/>
        </w:rPr>
        <w:footnoteRef/>
      </w:r>
      <w:r w:rsidRPr="00517952">
        <w:rPr>
          <w:lang w:val="es-MX"/>
        </w:rPr>
        <w:t xml:space="preserve"> </w:t>
      </w:r>
      <w:r w:rsidRPr="00517952">
        <w:rPr>
          <w:lang w:val="es-MX"/>
        </w:rPr>
        <w:tab/>
      </w:r>
      <w:r w:rsidRPr="00517952">
        <w:rPr>
          <w:bCs/>
          <w:lang w:val="es-MX"/>
        </w:rPr>
        <w:t xml:space="preserve">Artículo 8. Garantías </w:t>
      </w:r>
      <w:r w:rsidRPr="00517952">
        <w:rPr>
          <w:lang w:val="es-MX"/>
        </w:rPr>
        <w:t>Judiciales. 1. Toda persona tiene derecho a ser oída, con las debidas garantías y dentro de un plazo razonable, por un juez o tribunal competente, independiente e imparcial, establecido con anterioridad por la ley, en la sustanciación de cualquier acusación penal formulada contra ella, o para la determinación de sus derechos y obligaciones de orden civil, laboral, fiscal o de cualquier otro carácter.</w:t>
      </w:r>
    </w:p>
  </w:footnote>
  <w:footnote w:id="105">
    <w:p w14:paraId="78B1488D" w14:textId="77777777" w:rsidR="00D86616" w:rsidRPr="00517952" w:rsidRDefault="00D86616" w:rsidP="006A2D03">
      <w:pPr>
        <w:pStyle w:val="FootnoteText"/>
        <w:spacing w:after="0"/>
        <w:rPr>
          <w:i/>
          <w:lang w:val="es-MX"/>
        </w:rPr>
      </w:pPr>
      <w:r w:rsidRPr="00517952">
        <w:rPr>
          <w:rStyle w:val="FootnoteReference"/>
          <w:sz w:val="16"/>
        </w:rPr>
        <w:footnoteRef/>
      </w:r>
      <w:r w:rsidRPr="00517952">
        <w:rPr>
          <w:lang w:val="es-MX"/>
        </w:rPr>
        <w:t xml:space="preserve"> </w:t>
      </w:r>
      <w:r w:rsidRPr="00517952">
        <w:rPr>
          <w:lang w:val="es-MX"/>
        </w:rPr>
        <w:tab/>
      </w:r>
      <w:r w:rsidRPr="00517952">
        <w:rPr>
          <w:bCs/>
          <w:lang w:val="es-MX"/>
        </w:rPr>
        <w:t>Artículo 16.  Libertad de Asociación.</w:t>
      </w:r>
      <w:r w:rsidRPr="00517952">
        <w:rPr>
          <w:lang w:val="es-MX"/>
        </w:rPr>
        <w:t xml:space="preserve"> 1. Todas las personas tienen derecho a asociarse libremente con fines ideológicos, religiosos, políticos, económicos, laborales, sociales, culturales, deportivos o de cualquiera otra índole.</w:t>
      </w:r>
    </w:p>
  </w:footnote>
  <w:footnote w:id="106">
    <w:p w14:paraId="3BE6C987" w14:textId="3A5C7114" w:rsidR="00D86616" w:rsidRPr="00517952" w:rsidRDefault="00D86616" w:rsidP="006A2D03">
      <w:pPr>
        <w:pStyle w:val="FootnoteText"/>
        <w:spacing w:after="0"/>
        <w:rPr>
          <w:lang w:val="es-CR"/>
        </w:rPr>
      </w:pPr>
      <w:r w:rsidRPr="00517952">
        <w:rPr>
          <w:rStyle w:val="FootnoteReference"/>
          <w:sz w:val="16"/>
        </w:rPr>
        <w:footnoteRef/>
      </w:r>
      <w:r w:rsidRPr="00517952">
        <w:rPr>
          <w:lang w:val="es-CR"/>
        </w:rPr>
        <w:t xml:space="preserve"> </w:t>
      </w:r>
      <w:r w:rsidRPr="00517952">
        <w:rPr>
          <w:lang w:val="es-CR"/>
        </w:rPr>
        <w:tab/>
        <w:t>Artículo 26.  Desarrollo Progresivo. Los Estados Partes se comprometen a adoptar providencias, tanto a nivel interno como mediante la cooperación internacional, especialmente económica y técnica, para lograr progresivamente la plena efectividad de los derechos que se derivan de las normas económicas, sociales y sobre educación, ciencia y cultura, contenidas en la Carta de la Organización de los Estados Americanos, reformada por el Protocolo de Buenos Aires, en la medida de los recursos disponibles, por vía legislativa u otros medios apropiados ∞.</w:t>
      </w:r>
    </w:p>
  </w:footnote>
  <w:footnote w:id="107">
    <w:p w14:paraId="4AE02642" w14:textId="4C80FFF2" w:rsidR="00D86616" w:rsidRPr="00517952" w:rsidRDefault="00D86616" w:rsidP="006A2D03">
      <w:pPr>
        <w:pStyle w:val="FootnoteText"/>
        <w:spacing w:after="0"/>
        <w:rPr>
          <w:i/>
          <w:lang w:val="es-CR"/>
        </w:rPr>
      </w:pPr>
      <w:r w:rsidRPr="00517952">
        <w:rPr>
          <w:rStyle w:val="FootnoteReference"/>
          <w:sz w:val="16"/>
        </w:rPr>
        <w:footnoteRef/>
      </w:r>
      <w:r w:rsidRPr="00517952">
        <w:rPr>
          <w:lang w:val="es-CR"/>
        </w:rPr>
        <w:t xml:space="preserve"> </w:t>
      </w:r>
      <w:r w:rsidRPr="00517952">
        <w:rPr>
          <w:lang w:val="es-CR"/>
        </w:rPr>
        <w:tab/>
        <w:t>El artículo 1.1 de la Convención establece que: “Los Estados […] se comprometen a respetar los derechos y libertades reconocidos en ella y a garantizar su libre y pleno ejercicio a toda persona que esté sujeta a su jurisdicción […]”.</w:t>
      </w:r>
    </w:p>
  </w:footnote>
  <w:footnote w:id="108">
    <w:p w14:paraId="6BCB981F" w14:textId="440D336D" w:rsidR="00D86616" w:rsidRPr="00517952" w:rsidRDefault="00D86616" w:rsidP="006A2D03">
      <w:pPr>
        <w:pStyle w:val="FootnoteText"/>
        <w:spacing w:after="0"/>
        <w:rPr>
          <w:i/>
          <w:lang w:val="es-MX"/>
        </w:rPr>
      </w:pPr>
      <w:r w:rsidRPr="00517952">
        <w:rPr>
          <w:rStyle w:val="FootnoteReference"/>
          <w:sz w:val="16"/>
        </w:rPr>
        <w:footnoteRef/>
      </w:r>
      <w:r w:rsidRPr="00517952">
        <w:rPr>
          <w:lang w:val="es-MX"/>
        </w:rPr>
        <w:t xml:space="preserve"> </w:t>
      </w:r>
      <w:r w:rsidRPr="00517952">
        <w:rPr>
          <w:lang w:val="es-MX"/>
        </w:rPr>
        <w:tab/>
        <w:t>Artículo 2. Deber de Adoptar Disposiciones de Derecho Interno. Si el ejercicio de los derechos y libertades mencionados en el artículo 1 no estuviere ya garantizado por disposiciones legislativas o de otro carácter, los Estados Partes se comprometen</w:t>
      </w:r>
      <w:r w:rsidRPr="009E6ED2">
        <w:rPr>
          <w:lang w:val="es-MX"/>
        </w:rPr>
        <w:t xml:space="preserve"> a adoptar, con arreglo a sus procedimientos constitucionales y a las disposiciones de esta Convención, las medidas legislativas o de otro carácter que fueren necesarias para hacer efectivos tales derechos y </w:t>
      </w:r>
      <w:r w:rsidRPr="00517952">
        <w:rPr>
          <w:lang w:val="es-MX"/>
        </w:rPr>
        <w:t>libertades.</w:t>
      </w:r>
    </w:p>
  </w:footnote>
  <w:footnote w:id="109">
    <w:p w14:paraId="0BC3EEF6" w14:textId="00D0BAC6" w:rsidR="00D86616" w:rsidRPr="00801513" w:rsidRDefault="00D86616" w:rsidP="006A2D03">
      <w:pPr>
        <w:pStyle w:val="FootnoteText"/>
        <w:spacing w:after="0"/>
        <w:rPr>
          <w:lang w:val="es-MX"/>
        </w:rPr>
      </w:pPr>
      <w:r w:rsidRPr="00517952">
        <w:rPr>
          <w:rStyle w:val="FootnoteReference"/>
          <w:sz w:val="16"/>
        </w:rPr>
        <w:footnoteRef/>
      </w:r>
      <w:r w:rsidRPr="00517952">
        <w:rPr>
          <w:lang w:val="es-MX"/>
        </w:rPr>
        <w:t xml:space="preserve"> </w:t>
      </w:r>
      <w:r w:rsidRPr="00517952">
        <w:rPr>
          <w:lang w:val="es-MX"/>
        </w:rPr>
        <w:tab/>
        <w:t>Artículo 25. Protección Judicial 1. Toda persona tiene derecho a un recurso sencillo y rápido o a cualquier otro recurso efectivo ante los jueces o tribunales competentes, que la ampare contra actos que violen sus derechos fundamentales reconocidos por la Constitución, la ley o la presente Convención, aun cuando tal violación sea cometida por personas que actúen en ejercicio de sus funciones oficiales. 2. Los Estados Partes se comprometen: a) a garantizar que la</w:t>
      </w:r>
      <w:r w:rsidRPr="009E6ED2">
        <w:rPr>
          <w:lang w:val="es-MX"/>
        </w:rPr>
        <w:t xml:space="preserve"> autoridad competente prevista por el sistema legal del Estado decidirá sobre los derechos de toda persona que interponga tal recurso; b) a desarrollar las posibilidades de recurso judicial, y  c) a garantizar el cumplimiento, por las autoridades competentes, de toda decisión en que se haya estimado procedente el recurso”.</w:t>
      </w:r>
    </w:p>
  </w:footnote>
  <w:footnote w:id="110">
    <w:p w14:paraId="3A763409" w14:textId="210D1905" w:rsidR="00D86616" w:rsidRPr="00333304" w:rsidRDefault="00D86616" w:rsidP="006A2D03">
      <w:pPr>
        <w:pStyle w:val="ListParagraph"/>
        <w:autoSpaceDE w:val="0"/>
        <w:autoSpaceDN w:val="0"/>
        <w:adjustRightInd w:val="0"/>
        <w:ind w:left="0"/>
        <w:jc w:val="both"/>
        <w:rPr>
          <w:rFonts w:ascii="Verdana" w:hAnsi="Verdana"/>
          <w:sz w:val="16"/>
          <w:szCs w:val="16"/>
          <w:lang w:val="es-MX"/>
        </w:rPr>
      </w:pPr>
      <w:r w:rsidRPr="00450C8D">
        <w:rPr>
          <w:rStyle w:val="FootnoteReference"/>
          <w:szCs w:val="20"/>
        </w:rPr>
        <w:footnoteRef/>
      </w:r>
      <w:r w:rsidRPr="00450C8D">
        <w:rPr>
          <w:rFonts w:ascii="Verdana" w:hAnsi="Verdana"/>
          <w:sz w:val="20"/>
          <w:szCs w:val="20"/>
        </w:rPr>
        <w:t xml:space="preserve"> </w:t>
      </w:r>
      <w:r w:rsidRPr="004C3F47">
        <w:rPr>
          <w:rFonts w:ascii="Verdana" w:hAnsi="Verdana"/>
          <w:sz w:val="16"/>
          <w:szCs w:val="16"/>
        </w:rPr>
        <w:tab/>
      </w:r>
      <w:r w:rsidRPr="004C3F47">
        <w:rPr>
          <w:rFonts w:ascii="Verdana" w:hAnsi="Verdana"/>
          <w:sz w:val="16"/>
          <w:szCs w:val="16"/>
          <w:lang w:val="es-MX"/>
        </w:rPr>
        <w:t>De manera central, la Comisión tomó en cuenta el cargo que ocupaba el señor Lagos del Campo, el contexto en que se dieron las declaraciones, así como la naturaleza y gravedad de la medida, atendiendo la relación entre la libertad de expresión de representantes de trabajadores y la reivindicación de derechos en ese ámbito</w:t>
      </w:r>
      <w:r>
        <w:rPr>
          <w:rFonts w:ascii="Verdana" w:hAnsi="Verdana"/>
          <w:sz w:val="16"/>
          <w:szCs w:val="16"/>
          <w:lang w:val="es-MX"/>
        </w:rPr>
        <w:t xml:space="preserve">. </w:t>
      </w:r>
      <w:r w:rsidRPr="004C3F47">
        <w:rPr>
          <w:rFonts w:ascii="Verdana" w:hAnsi="Verdana"/>
          <w:sz w:val="16"/>
          <w:szCs w:val="16"/>
          <w:lang w:val="es-ES" w:eastAsia="es-ES"/>
        </w:rPr>
        <w:t>Asimismo, el despido como castigo tan severo tanto para la presunta víctima como para los trabajadores y su derecho a la información, tampoco se puede justificar en la gravedad del daño causado, sobre todo considerando que éste no fue acreditado en juicio</w:t>
      </w:r>
      <w:r>
        <w:rPr>
          <w:rFonts w:ascii="Verdana" w:hAnsi="Verdana"/>
          <w:sz w:val="16"/>
          <w:szCs w:val="16"/>
          <w:lang w:val="es-ES" w:eastAsia="es-ES"/>
        </w:rPr>
        <w:t>.</w:t>
      </w:r>
    </w:p>
  </w:footnote>
  <w:footnote w:id="111">
    <w:p w14:paraId="1BAF58BB" w14:textId="39546BB9" w:rsidR="00D86616" w:rsidRPr="00517952" w:rsidRDefault="00D86616" w:rsidP="006A2D03">
      <w:pPr>
        <w:tabs>
          <w:tab w:val="left" w:pos="567"/>
        </w:tabs>
        <w:jc w:val="both"/>
        <w:rPr>
          <w:rFonts w:ascii="Verdana" w:hAnsi="Verdana"/>
          <w:i/>
          <w:spacing w:val="-4"/>
          <w:sz w:val="16"/>
          <w:szCs w:val="16"/>
          <w:lang w:val="es-ES"/>
        </w:rPr>
      </w:pPr>
      <w:r w:rsidRPr="00517952">
        <w:rPr>
          <w:rStyle w:val="FootnoteReference"/>
          <w:spacing w:val="-4"/>
          <w:sz w:val="16"/>
          <w:szCs w:val="16"/>
        </w:rPr>
        <w:footnoteRef/>
      </w:r>
      <w:r w:rsidRPr="00517952">
        <w:rPr>
          <w:rFonts w:ascii="Verdana" w:hAnsi="Verdana"/>
          <w:i/>
          <w:spacing w:val="-4"/>
          <w:sz w:val="16"/>
          <w:szCs w:val="16"/>
          <w:lang w:val="es-ES"/>
        </w:rPr>
        <w:t xml:space="preserve"> </w:t>
      </w:r>
      <w:r w:rsidRPr="00517952">
        <w:rPr>
          <w:rFonts w:ascii="Verdana" w:hAnsi="Verdana"/>
          <w:i/>
          <w:spacing w:val="-4"/>
          <w:sz w:val="16"/>
          <w:szCs w:val="16"/>
          <w:lang w:val="es-ES"/>
        </w:rPr>
        <w:tab/>
        <w:t>Cfr. La Colegiación Obligatoria de Periodistas (arts. 13 y 29 Convención Americana sobre Derechos Humanos). Opinión</w:t>
      </w:r>
    </w:p>
    <w:p w14:paraId="2B37AA7A" w14:textId="70F4A218" w:rsidR="00D86616" w:rsidRPr="00517952" w:rsidRDefault="00D86616" w:rsidP="006A2D03">
      <w:pPr>
        <w:tabs>
          <w:tab w:val="left" w:pos="567"/>
        </w:tabs>
        <w:jc w:val="both"/>
        <w:rPr>
          <w:rFonts w:ascii="Verdana" w:hAnsi="Verdana"/>
          <w:i/>
          <w:spacing w:val="-4"/>
          <w:sz w:val="16"/>
          <w:szCs w:val="16"/>
          <w:lang w:val="es-ES"/>
        </w:rPr>
      </w:pPr>
      <w:r w:rsidRPr="00517952">
        <w:rPr>
          <w:rFonts w:ascii="Verdana" w:hAnsi="Verdana"/>
          <w:i/>
          <w:spacing w:val="-4"/>
          <w:sz w:val="16"/>
          <w:szCs w:val="16"/>
          <w:lang w:val="es-ES"/>
        </w:rPr>
        <w:t xml:space="preserve">Consultiva OC-5/85, del 13 de noviembre de 1985. Serie A No. 5, </w:t>
      </w:r>
      <w:r w:rsidRPr="00517952">
        <w:rPr>
          <w:rFonts w:ascii="Verdana" w:hAnsi="Verdana"/>
          <w:spacing w:val="-4"/>
          <w:sz w:val="16"/>
          <w:szCs w:val="16"/>
          <w:lang w:val="es-ES"/>
        </w:rPr>
        <w:t>párr. 30, y</w:t>
      </w:r>
      <w:r w:rsidRPr="00517952">
        <w:rPr>
          <w:rFonts w:ascii="Verdana" w:hAnsi="Verdana"/>
          <w:i/>
          <w:spacing w:val="-4"/>
          <w:sz w:val="16"/>
          <w:szCs w:val="16"/>
          <w:lang w:val="es-ES"/>
        </w:rPr>
        <w:t xml:space="preserve"> </w:t>
      </w:r>
      <w:r w:rsidRPr="00517952">
        <w:rPr>
          <w:rStyle w:val="Strong"/>
          <w:rFonts w:ascii="Verdana" w:hAnsi="Verdana"/>
          <w:b w:val="0"/>
          <w:i/>
          <w:sz w:val="16"/>
          <w:szCs w:val="16"/>
          <w:shd w:val="clear" w:color="auto" w:fill="FFFFFF"/>
        </w:rPr>
        <w:t xml:space="preserve">Caso López </w:t>
      </w:r>
      <w:proofErr w:type="spellStart"/>
      <w:r w:rsidRPr="00517952">
        <w:rPr>
          <w:rStyle w:val="Strong"/>
          <w:rFonts w:ascii="Verdana" w:hAnsi="Verdana"/>
          <w:b w:val="0"/>
          <w:i/>
          <w:sz w:val="16"/>
          <w:szCs w:val="16"/>
          <w:shd w:val="clear" w:color="auto" w:fill="FFFFFF"/>
        </w:rPr>
        <w:t>Lone</w:t>
      </w:r>
      <w:proofErr w:type="spellEnd"/>
      <w:r w:rsidRPr="00517952">
        <w:rPr>
          <w:rStyle w:val="Strong"/>
          <w:rFonts w:ascii="Verdana" w:hAnsi="Verdana"/>
          <w:b w:val="0"/>
          <w:i/>
          <w:sz w:val="16"/>
          <w:szCs w:val="16"/>
          <w:shd w:val="clear" w:color="auto" w:fill="FFFFFF"/>
        </w:rPr>
        <w:t xml:space="preserve"> y otros Vs. Honduras</w:t>
      </w:r>
      <w:r w:rsidRPr="00517952">
        <w:rPr>
          <w:rStyle w:val="Strong"/>
          <w:rFonts w:ascii="Verdana" w:hAnsi="Verdana"/>
          <w:b w:val="0"/>
          <w:sz w:val="16"/>
          <w:szCs w:val="16"/>
          <w:shd w:val="clear" w:color="auto" w:fill="FFFFFF"/>
        </w:rPr>
        <w:t xml:space="preserve">. </w:t>
      </w:r>
      <w:r w:rsidRPr="00517952">
        <w:rPr>
          <w:rStyle w:val="Strong"/>
          <w:rFonts w:ascii="Verdana" w:hAnsi="Verdana"/>
          <w:b w:val="0"/>
          <w:i/>
          <w:sz w:val="16"/>
          <w:szCs w:val="16"/>
          <w:shd w:val="clear" w:color="auto" w:fill="FFFFFF"/>
        </w:rPr>
        <w:t>Excepción Preliminar, Fondo, Reparaciones y Costas</w:t>
      </w:r>
      <w:r w:rsidRPr="00517952">
        <w:rPr>
          <w:rStyle w:val="Strong"/>
          <w:rFonts w:ascii="Verdana" w:hAnsi="Verdana"/>
          <w:b w:val="0"/>
          <w:sz w:val="16"/>
          <w:szCs w:val="16"/>
          <w:shd w:val="clear" w:color="auto" w:fill="FFFFFF"/>
        </w:rPr>
        <w:t>. Sentencia 5 de octubre de 2015. Serie 302, párr.166.</w:t>
      </w:r>
    </w:p>
  </w:footnote>
  <w:footnote w:id="112">
    <w:p w14:paraId="1193D660" w14:textId="07D83030" w:rsidR="00D86616" w:rsidRPr="00517952" w:rsidRDefault="00D86616" w:rsidP="006A2D03">
      <w:pPr>
        <w:tabs>
          <w:tab w:val="left" w:pos="567"/>
        </w:tabs>
        <w:jc w:val="both"/>
        <w:rPr>
          <w:rFonts w:ascii="Verdana" w:hAnsi="Verdana"/>
          <w:spacing w:val="-4"/>
          <w:sz w:val="16"/>
          <w:szCs w:val="16"/>
          <w:lang w:val="es-ES"/>
        </w:rPr>
      </w:pPr>
      <w:r w:rsidRPr="00517952">
        <w:rPr>
          <w:rStyle w:val="FootnoteReference"/>
          <w:spacing w:val="-4"/>
          <w:sz w:val="16"/>
          <w:szCs w:val="16"/>
        </w:rPr>
        <w:footnoteRef/>
      </w:r>
      <w:r w:rsidRPr="00517952">
        <w:rPr>
          <w:rFonts w:ascii="Verdana" w:hAnsi="Verdana"/>
          <w:spacing w:val="-4"/>
          <w:sz w:val="16"/>
          <w:szCs w:val="16"/>
        </w:rPr>
        <w:t xml:space="preserve"> </w:t>
      </w:r>
      <w:r w:rsidRPr="00517952">
        <w:rPr>
          <w:rFonts w:ascii="Verdana" w:hAnsi="Verdana"/>
          <w:spacing w:val="-4"/>
          <w:sz w:val="16"/>
          <w:szCs w:val="16"/>
        </w:rPr>
        <w:tab/>
      </w:r>
      <w:r w:rsidRPr="00517952">
        <w:rPr>
          <w:rFonts w:ascii="Verdana" w:hAnsi="Verdana"/>
          <w:i/>
          <w:spacing w:val="-4"/>
          <w:sz w:val="16"/>
          <w:szCs w:val="16"/>
          <w:lang w:val="es-ES"/>
        </w:rPr>
        <w:t>Cfr. La Colegiación Obligatoria de Periodistas OC-5/85, supra</w:t>
      </w:r>
      <w:r w:rsidRPr="00517952">
        <w:rPr>
          <w:rFonts w:ascii="Verdana" w:hAnsi="Verdana"/>
          <w:spacing w:val="-4"/>
          <w:sz w:val="16"/>
          <w:szCs w:val="16"/>
          <w:lang w:val="es-ES"/>
        </w:rPr>
        <w:t xml:space="preserve">, </w:t>
      </w:r>
      <w:proofErr w:type="spellStart"/>
      <w:r w:rsidRPr="00517952">
        <w:rPr>
          <w:rFonts w:ascii="Verdana" w:hAnsi="Verdana"/>
          <w:spacing w:val="-4"/>
          <w:sz w:val="16"/>
          <w:szCs w:val="16"/>
          <w:lang w:val="es-ES"/>
        </w:rPr>
        <w:t>párrs</w:t>
      </w:r>
      <w:proofErr w:type="spellEnd"/>
      <w:r w:rsidRPr="00517952">
        <w:rPr>
          <w:rFonts w:ascii="Verdana" w:hAnsi="Verdana"/>
          <w:spacing w:val="-4"/>
          <w:sz w:val="16"/>
          <w:szCs w:val="16"/>
          <w:lang w:val="es-ES"/>
        </w:rPr>
        <w:t>. 31 y 32, y</w:t>
      </w:r>
      <w:r w:rsidRPr="00517952">
        <w:rPr>
          <w:rFonts w:ascii="Verdana" w:hAnsi="Verdana"/>
          <w:i/>
          <w:spacing w:val="-4"/>
          <w:sz w:val="16"/>
          <w:szCs w:val="16"/>
          <w:lang w:val="es-ES"/>
        </w:rPr>
        <w:t xml:space="preserve"> </w:t>
      </w:r>
      <w:r w:rsidRPr="00517952">
        <w:rPr>
          <w:rStyle w:val="Strong"/>
          <w:rFonts w:ascii="Verdana" w:hAnsi="Verdana"/>
          <w:b w:val="0"/>
          <w:i/>
          <w:sz w:val="16"/>
          <w:szCs w:val="16"/>
          <w:shd w:val="clear" w:color="auto" w:fill="FFFFFF"/>
        </w:rPr>
        <w:t xml:space="preserve">Caso López </w:t>
      </w:r>
      <w:proofErr w:type="spellStart"/>
      <w:r w:rsidRPr="00517952">
        <w:rPr>
          <w:rStyle w:val="Strong"/>
          <w:rFonts w:ascii="Verdana" w:hAnsi="Verdana"/>
          <w:b w:val="0"/>
          <w:i/>
          <w:sz w:val="16"/>
          <w:szCs w:val="16"/>
          <w:shd w:val="clear" w:color="auto" w:fill="FFFFFF"/>
        </w:rPr>
        <w:t>Lone</w:t>
      </w:r>
      <w:proofErr w:type="spellEnd"/>
      <w:r w:rsidRPr="00517952">
        <w:rPr>
          <w:rStyle w:val="Strong"/>
          <w:rFonts w:ascii="Verdana" w:hAnsi="Verdana"/>
          <w:b w:val="0"/>
          <w:i/>
          <w:sz w:val="16"/>
          <w:szCs w:val="16"/>
          <w:shd w:val="clear" w:color="auto" w:fill="FFFFFF"/>
        </w:rPr>
        <w:t xml:space="preserve"> Vs. Honduras</w:t>
      </w:r>
      <w:r w:rsidRPr="00517952">
        <w:rPr>
          <w:rStyle w:val="Strong"/>
          <w:rFonts w:ascii="Verdana" w:hAnsi="Verdana"/>
          <w:b w:val="0"/>
          <w:sz w:val="16"/>
          <w:szCs w:val="16"/>
          <w:shd w:val="clear" w:color="auto" w:fill="FFFFFF"/>
        </w:rPr>
        <w:t xml:space="preserve">, </w:t>
      </w:r>
      <w:r w:rsidRPr="00517952">
        <w:rPr>
          <w:rStyle w:val="Strong"/>
          <w:rFonts w:ascii="Verdana" w:hAnsi="Verdana"/>
          <w:b w:val="0"/>
          <w:i/>
          <w:sz w:val="16"/>
          <w:szCs w:val="16"/>
          <w:shd w:val="clear" w:color="auto" w:fill="FFFFFF"/>
        </w:rPr>
        <w:t>supra</w:t>
      </w:r>
      <w:r w:rsidRPr="00517952">
        <w:rPr>
          <w:rStyle w:val="Strong"/>
          <w:rFonts w:ascii="Verdana" w:hAnsi="Verdana"/>
          <w:b w:val="0"/>
          <w:sz w:val="16"/>
          <w:szCs w:val="16"/>
          <w:shd w:val="clear" w:color="auto" w:fill="FFFFFF"/>
        </w:rPr>
        <w:t>, párr. 166.</w:t>
      </w:r>
    </w:p>
  </w:footnote>
  <w:footnote w:id="113">
    <w:p w14:paraId="6F93E25C" w14:textId="1F8E00BB" w:rsidR="00D86616" w:rsidRPr="00517952" w:rsidRDefault="00D86616" w:rsidP="006A2D03">
      <w:pPr>
        <w:tabs>
          <w:tab w:val="left" w:pos="567"/>
        </w:tabs>
        <w:jc w:val="both"/>
        <w:rPr>
          <w:rFonts w:ascii="Verdana" w:hAnsi="Verdana"/>
          <w:i/>
          <w:spacing w:val="-4"/>
          <w:sz w:val="16"/>
          <w:szCs w:val="16"/>
        </w:rPr>
      </w:pPr>
      <w:r w:rsidRPr="00517952">
        <w:rPr>
          <w:rStyle w:val="FootnoteReference"/>
          <w:spacing w:val="-4"/>
          <w:sz w:val="16"/>
          <w:szCs w:val="16"/>
        </w:rPr>
        <w:footnoteRef/>
      </w:r>
      <w:r w:rsidRPr="00517952">
        <w:rPr>
          <w:rFonts w:ascii="Verdana" w:hAnsi="Verdana"/>
          <w:spacing w:val="-4"/>
          <w:sz w:val="16"/>
          <w:szCs w:val="16"/>
        </w:rPr>
        <w:t xml:space="preserve"> </w:t>
      </w:r>
      <w:r w:rsidRPr="00517952">
        <w:rPr>
          <w:rFonts w:ascii="Verdana" w:hAnsi="Verdana"/>
          <w:spacing w:val="-4"/>
          <w:sz w:val="16"/>
          <w:szCs w:val="16"/>
        </w:rPr>
        <w:tab/>
      </w:r>
      <w:r w:rsidRPr="00517952">
        <w:rPr>
          <w:rFonts w:ascii="Verdana" w:hAnsi="Verdana"/>
          <w:i/>
          <w:spacing w:val="-4"/>
          <w:sz w:val="16"/>
          <w:szCs w:val="16"/>
        </w:rPr>
        <w:t>Cfr</w:t>
      </w:r>
      <w:r w:rsidRPr="00517952">
        <w:rPr>
          <w:rFonts w:ascii="Verdana" w:hAnsi="Verdana"/>
          <w:spacing w:val="-4"/>
          <w:sz w:val="16"/>
          <w:szCs w:val="16"/>
        </w:rPr>
        <w:t xml:space="preserve">. </w:t>
      </w:r>
      <w:r w:rsidRPr="00517952">
        <w:rPr>
          <w:rFonts w:ascii="Verdana" w:hAnsi="Verdana"/>
          <w:i/>
          <w:spacing w:val="-4"/>
          <w:sz w:val="16"/>
          <w:szCs w:val="16"/>
        </w:rPr>
        <w:t xml:space="preserve">Caso “La Última Tentación de Cristo” (Olmedo Bustos y otros) Vs. Chile. Fondo, Reparaciones y Costas. </w:t>
      </w:r>
      <w:r w:rsidRPr="00517952">
        <w:rPr>
          <w:rFonts w:ascii="Verdana" w:hAnsi="Verdana"/>
          <w:spacing w:val="-4"/>
          <w:sz w:val="16"/>
          <w:szCs w:val="16"/>
        </w:rPr>
        <w:t xml:space="preserve">Sentencia de 5 de febrero de 2001. Serie C No. 73 </w:t>
      </w:r>
      <w:r w:rsidRPr="00517952">
        <w:rPr>
          <w:rFonts w:ascii="Verdana" w:hAnsi="Verdana"/>
          <w:i/>
          <w:sz w:val="16"/>
          <w:szCs w:val="16"/>
        </w:rPr>
        <w:t>supra</w:t>
      </w:r>
      <w:r w:rsidRPr="00517952">
        <w:rPr>
          <w:rFonts w:ascii="Verdana" w:hAnsi="Verdana"/>
          <w:sz w:val="16"/>
          <w:szCs w:val="16"/>
        </w:rPr>
        <w:t xml:space="preserve">, párr. 67, y </w:t>
      </w:r>
      <w:r w:rsidRPr="00517952">
        <w:rPr>
          <w:rStyle w:val="Strong"/>
          <w:rFonts w:ascii="Verdana" w:hAnsi="Verdana"/>
          <w:b w:val="0"/>
          <w:i/>
          <w:sz w:val="16"/>
          <w:szCs w:val="16"/>
          <w:shd w:val="clear" w:color="auto" w:fill="FFFFFF"/>
        </w:rPr>
        <w:t xml:space="preserve">Caso López </w:t>
      </w:r>
      <w:proofErr w:type="spellStart"/>
      <w:r w:rsidRPr="00517952">
        <w:rPr>
          <w:rStyle w:val="Strong"/>
          <w:rFonts w:ascii="Verdana" w:hAnsi="Verdana"/>
          <w:b w:val="0"/>
          <w:i/>
          <w:sz w:val="16"/>
          <w:szCs w:val="16"/>
          <w:shd w:val="clear" w:color="auto" w:fill="FFFFFF"/>
        </w:rPr>
        <w:t>Lone</w:t>
      </w:r>
      <w:proofErr w:type="spellEnd"/>
      <w:r w:rsidRPr="00517952">
        <w:rPr>
          <w:rStyle w:val="Strong"/>
          <w:rFonts w:ascii="Verdana" w:hAnsi="Verdana"/>
          <w:b w:val="0"/>
          <w:i/>
          <w:sz w:val="16"/>
          <w:szCs w:val="16"/>
          <w:shd w:val="clear" w:color="auto" w:fill="FFFFFF"/>
        </w:rPr>
        <w:t xml:space="preserve"> Vs. Honduras</w:t>
      </w:r>
      <w:r w:rsidRPr="00517952">
        <w:rPr>
          <w:rStyle w:val="Strong"/>
          <w:rFonts w:ascii="Verdana" w:hAnsi="Verdana"/>
          <w:b w:val="0"/>
          <w:sz w:val="16"/>
          <w:szCs w:val="16"/>
          <w:shd w:val="clear" w:color="auto" w:fill="FFFFFF"/>
        </w:rPr>
        <w:t xml:space="preserve">, </w:t>
      </w:r>
      <w:r w:rsidRPr="00517952">
        <w:rPr>
          <w:rStyle w:val="Strong"/>
          <w:rFonts w:ascii="Verdana" w:hAnsi="Verdana"/>
          <w:b w:val="0"/>
          <w:i/>
          <w:sz w:val="16"/>
          <w:szCs w:val="16"/>
          <w:shd w:val="clear" w:color="auto" w:fill="FFFFFF"/>
        </w:rPr>
        <w:t>supra</w:t>
      </w:r>
      <w:r w:rsidRPr="00517952">
        <w:rPr>
          <w:rStyle w:val="Strong"/>
          <w:rFonts w:ascii="Verdana" w:hAnsi="Verdana"/>
          <w:b w:val="0"/>
          <w:sz w:val="16"/>
          <w:szCs w:val="16"/>
          <w:shd w:val="clear" w:color="auto" w:fill="FFFFFF"/>
        </w:rPr>
        <w:t>, párr.166</w:t>
      </w:r>
    </w:p>
  </w:footnote>
  <w:footnote w:id="114">
    <w:p w14:paraId="175FDA30" w14:textId="0BBD6088" w:rsidR="00D86616" w:rsidRPr="004C3F47" w:rsidRDefault="00D86616" w:rsidP="006A2D03">
      <w:pPr>
        <w:pStyle w:val="FootnoteText"/>
        <w:spacing w:after="0"/>
        <w:rPr>
          <w:spacing w:val="-4"/>
          <w:lang w:val="es-ES_tradnl"/>
        </w:rPr>
      </w:pPr>
      <w:r w:rsidRPr="00517952">
        <w:rPr>
          <w:rStyle w:val="FootnoteReference"/>
          <w:spacing w:val="-4"/>
          <w:sz w:val="16"/>
        </w:rPr>
        <w:footnoteRef/>
      </w:r>
      <w:r w:rsidRPr="00517952">
        <w:rPr>
          <w:spacing w:val="-4"/>
          <w:lang w:val="es-MX"/>
        </w:rPr>
        <w:t xml:space="preserve"> </w:t>
      </w:r>
      <w:r w:rsidRPr="00517952">
        <w:rPr>
          <w:spacing w:val="-4"/>
          <w:lang w:val="es-MX"/>
        </w:rPr>
        <w:tab/>
      </w:r>
      <w:r w:rsidRPr="00517952">
        <w:rPr>
          <w:i/>
          <w:spacing w:val="-4"/>
          <w:lang w:val="es-MX"/>
        </w:rPr>
        <w:t xml:space="preserve">Cfr. </w:t>
      </w:r>
      <w:r w:rsidRPr="00517952">
        <w:rPr>
          <w:i/>
          <w:lang w:val="es-MX"/>
        </w:rPr>
        <w:t xml:space="preserve">Caso “La Última Tentación de Cristo” Vs. Chile, supra, </w:t>
      </w:r>
      <w:r w:rsidRPr="00517952">
        <w:rPr>
          <w:lang w:val="es-MX"/>
        </w:rPr>
        <w:t xml:space="preserve">párr. 66, y </w:t>
      </w:r>
      <w:r w:rsidRPr="00517952">
        <w:rPr>
          <w:i/>
          <w:lang w:val="es-MX"/>
        </w:rPr>
        <w:t xml:space="preserve">Caso López </w:t>
      </w:r>
      <w:proofErr w:type="spellStart"/>
      <w:r w:rsidRPr="00517952">
        <w:rPr>
          <w:i/>
          <w:lang w:val="es-MX"/>
        </w:rPr>
        <w:t>Lone</w:t>
      </w:r>
      <w:proofErr w:type="spellEnd"/>
      <w:r w:rsidRPr="00517952">
        <w:rPr>
          <w:i/>
          <w:lang w:val="es-MX"/>
        </w:rPr>
        <w:t xml:space="preserve"> Vs. Honduras, supra</w:t>
      </w:r>
      <w:r w:rsidRPr="00517952">
        <w:rPr>
          <w:lang w:val="es-MX"/>
        </w:rPr>
        <w:t>, párr. 166</w:t>
      </w:r>
      <w:r>
        <w:rPr>
          <w:lang w:val="es-MX"/>
        </w:rPr>
        <w:t>.</w:t>
      </w:r>
    </w:p>
  </w:footnote>
  <w:footnote w:id="115">
    <w:p w14:paraId="5342132A" w14:textId="066517A8" w:rsidR="00D86616" w:rsidRPr="00517952" w:rsidRDefault="00D86616" w:rsidP="006A2D03">
      <w:pPr>
        <w:pStyle w:val="FootnoteText"/>
        <w:spacing w:after="0"/>
        <w:rPr>
          <w:lang w:val="es-MX"/>
        </w:rPr>
      </w:pPr>
      <w:r w:rsidRPr="00517952">
        <w:rPr>
          <w:rStyle w:val="FootnoteReference"/>
          <w:rFonts w:eastAsiaTheme="majorEastAsia"/>
          <w:spacing w:val="-4"/>
          <w:sz w:val="16"/>
        </w:rPr>
        <w:footnoteRef/>
      </w:r>
      <w:r w:rsidRPr="00517952">
        <w:rPr>
          <w:lang w:val="es-MX"/>
        </w:rPr>
        <w:t xml:space="preserve"> </w:t>
      </w:r>
      <w:r w:rsidRPr="00517952">
        <w:rPr>
          <w:lang w:val="es-MX"/>
        </w:rPr>
        <w:tab/>
      </w:r>
      <w:r w:rsidRPr="00517952">
        <w:rPr>
          <w:i/>
          <w:lang w:val="es-MX"/>
        </w:rPr>
        <w:t xml:space="preserve">Cfr. La Colegiación Obligatoria de Periodistas </w:t>
      </w:r>
      <w:r w:rsidRPr="00517952">
        <w:rPr>
          <w:i/>
          <w:spacing w:val="-4"/>
          <w:lang w:val="es-ES"/>
        </w:rPr>
        <w:t>OC-5/85,</w:t>
      </w:r>
      <w:r w:rsidRPr="00517952">
        <w:rPr>
          <w:i/>
          <w:lang w:val="es-MX"/>
        </w:rPr>
        <w:t xml:space="preserve"> supra</w:t>
      </w:r>
      <w:r w:rsidRPr="00517952">
        <w:rPr>
          <w:lang w:val="es-MX"/>
        </w:rPr>
        <w:t xml:space="preserve">, párr. 30, y </w:t>
      </w:r>
      <w:r w:rsidRPr="00517952">
        <w:rPr>
          <w:i/>
          <w:lang w:val="es-MX"/>
        </w:rPr>
        <w:t xml:space="preserve">Caso López </w:t>
      </w:r>
      <w:proofErr w:type="spellStart"/>
      <w:r w:rsidRPr="00517952">
        <w:rPr>
          <w:i/>
          <w:lang w:val="es-MX"/>
        </w:rPr>
        <w:t>Lone</w:t>
      </w:r>
      <w:proofErr w:type="spellEnd"/>
      <w:r w:rsidRPr="00517952">
        <w:rPr>
          <w:i/>
          <w:lang w:val="es-MX"/>
        </w:rPr>
        <w:t xml:space="preserve"> Vs. Honduras, supra,</w:t>
      </w:r>
      <w:r w:rsidRPr="00517952">
        <w:rPr>
          <w:lang w:val="es-MX"/>
        </w:rPr>
        <w:t xml:space="preserve"> párr. 166.</w:t>
      </w:r>
    </w:p>
  </w:footnote>
  <w:footnote w:id="116">
    <w:p w14:paraId="28E62726" w14:textId="3C402120" w:rsidR="00D86616" w:rsidRPr="00517952" w:rsidRDefault="00D86616" w:rsidP="006A2D03">
      <w:pPr>
        <w:pStyle w:val="FootnoteText"/>
        <w:spacing w:after="0"/>
        <w:rPr>
          <w:lang w:val="es-MX"/>
        </w:rPr>
      </w:pPr>
      <w:r w:rsidRPr="00517952">
        <w:rPr>
          <w:rStyle w:val="FootnoteReference"/>
          <w:sz w:val="16"/>
        </w:rPr>
        <w:footnoteRef/>
      </w:r>
      <w:r w:rsidRPr="00517952">
        <w:rPr>
          <w:lang w:val="es-MX"/>
        </w:rPr>
        <w:t xml:space="preserve"> </w:t>
      </w:r>
      <w:r w:rsidRPr="00517952">
        <w:rPr>
          <w:lang w:val="es-MX"/>
        </w:rPr>
        <w:tab/>
      </w:r>
      <w:r w:rsidRPr="00517952">
        <w:rPr>
          <w:i/>
          <w:lang w:val="es-MX"/>
        </w:rPr>
        <w:t>Caso Tristán Donoso Vs. Panamá. Excepción Preliminar, Fondo, Reparaciones y Costas</w:t>
      </w:r>
      <w:r w:rsidRPr="00517952">
        <w:rPr>
          <w:lang w:val="es-MX"/>
        </w:rPr>
        <w:t xml:space="preserve">. Sentencia de 27 de enero de 2009. Serie C No. 193, párr. 114 y </w:t>
      </w:r>
      <w:r w:rsidRPr="00517952">
        <w:rPr>
          <w:i/>
          <w:lang w:val="es-MX"/>
        </w:rPr>
        <w:t xml:space="preserve">Caso López </w:t>
      </w:r>
      <w:proofErr w:type="spellStart"/>
      <w:r w:rsidRPr="00517952">
        <w:rPr>
          <w:i/>
          <w:lang w:val="es-MX"/>
        </w:rPr>
        <w:t>Lone</w:t>
      </w:r>
      <w:proofErr w:type="spellEnd"/>
      <w:r w:rsidRPr="00517952">
        <w:rPr>
          <w:i/>
          <w:lang w:val="es-MX"/>
        </w:rPr>
        <w:t xml:space="preserve"> Vs Honduras, supra,</w:t>
      </w:r>
      <w:r w:rsidRPr="00517952">
        <w:rPr>
          <w:lang w:val="es-MX"/>
        </w:rPr>
        <w:t xml:space="preserve"> párr. 169. </w:t>
      </w:r>
    </w:p>
  </w:footnote>
  <w:footnote w:id="117">
    <w:p w14:paraId="202DA394" w14:textId="3FFC7078" w:rsidR="00D86616" w:rsidRPr="00517952" w:rsidRDefault="00D86616" w:rsidP="006A2D03">
      <w:pPr>
        <w:pStyle w:val="FootnoteText"/>
        <w:spacing w:after="0"/>
        <w:rPr>
          <w:lang w:val="es-MX"/>
        </w:rPr>
      </w:pPr>
      <w:r w:rsidRPr="00517952">
        <w:rPr>
          <w:rStyle w:val="FootnoteReference"/>
          <w:sz w:val="16"/>
        </w:rPr>
        <w:footnoteRef/>
      </w:r>
      <w:r w:rsidRPr="00517952">
        <w:rPr>
          <w:lang w:val="es-MX"/>
        </w:rPr>
        <w:t xml:space="preserve"> </w:t>
      </w:r>
      <w:r w:rsidRPr="00517952">
        <w:rPr>
          <w:lang w:val="es-MX"/>
        </w:rPr>
        <w:tab/>
      </w:r>
      <w:r w:rsidRPr="00517952">
        <w:rPr>
          <w:i/>
          <w:lang w:val="es-MX"/>
        </w:rPr>
        <w:t>La Colegiación obligatoria de periodistas OC-5/85, supra</w:t>
      </w:r>
      <w:r w:rsidRPr="00517952">
        <w:rPr>
          <w:lang w:val="es-MX"/>
        </w:rPr>
        <w:t xml:space="preserve">, párr. 70, y </w:t>
      </w:r>
      <w:r w:rsidRPr="00517952">
        <w:rPr>
          <w:i/>
          <w:lang w:val="es-MX"/>
        </w:rPr>
        <w:t xml:space="preserve">Cfr. Caso </w:t>
      </w:r>
      <w:proofErr w:type="spellStart"/>
      <w:r w:rsidRPr="00517952">
        <w:rPr>
          <w:i/>
          <w:lang w:val="es-MX"/>
        </w:rPr>
        <w:t>Granier</w:t>
      </w:r>
      <w:proofErr w:type="spellEnd"/>
      <w:r w:rsidRPr="00517952">
        <w:rPr>
          <w:i/>
          <w:lang w:val="es-MX"/>
        </w:rPr>
        <w:t xml:space="preserve"> y otros (Radio Caracas Televisión) Vs. Venezuela. Excepciones Preliminares, Fondo, Reparaciones y Costas</w:t>
      </w:r>
      <w:r w:rsidRPr="00517952">
        <w:rPr>
          <w:lang w:val="es-MX"/>
        </w:rPr>
        <w:t>. Sentencia de 22 de junio de 2015. Serie C No. 293, párr. 22. Por su parte, los artículos 3 y 4 de la Carta Democrática Interamericana resaltan que “[s]</w:t>
      </w:r>
      <w:proofErr w:type="spellStart"/>
      <w:r w:rsidRPr="00517952">
        <w:rPr>
          <w:lang w:val="es-MX"/>
        </w:rPr>
        <w:t>on</w:t>
      </w:r>
      <w:proofErr w:type="spellEnd"/>
      <w:r w:rsidRPr="00517952">
        <w:rPr>
          <w:lang w:val="es-MX"/>
        </w:rPr>
        <w:t xml:space="preserve"> componentes fundamentales del ejercicio de la democracia […] el respeto por los derechos sociales y la libertad de expresión y de prensa”; </w:t>
      </w:r>
      <w:r w:rsidRPr="00517952">
        <w:rPr>
          <w:i/>
          <w:lang w:val="es-MX"/>
        </w:rPr>
        <w:t xml:space="preserve">Cfr. Caso López </w:t>
      </w:r>
      <w:proofErr w:type="spellStart"/>
      <w:r w:rsidRPr="00517952">
        <w:rPr>
          <w:i/>
          <w:lang w:val="es-MX"/>
        </w:rPr>
        <w:t>Lone</w:t>
      </w:r>
      <w:proofErr w:type="spellEnd"/>
      <w:r w:rsidRPr="00517952">
        <w:rPr>
          <w:i/>
          <w:lang w:val="es-MX"/>
        </w:rPr>
        <w:t xml:space="preserve"> y otros Vs. Honduras, supra</w:t>
      </w:r>
      <w:r w:rsidRPr="00517952">
        <w:rPr>
          <w:lang w:val="es-MX"/>
        </w:rPr>
        <w:t>, párr. 164.</w:t>
      </w:r>
    </w:p>
  </w:footnote>
  <w:footnote w:id="118">
    <w:p w14:paraId="52E7FF87" w14:textId="6998EDD1" w:rsidR="00D86616" w:rsidRPr="00517952" w:rsidRDefault="00D86616" w:rsidP="006A2D03">
      <w:pPr>
        <w:autoSpaceDE w:val="0"/>
        <w:autoSpaceDN w:val="0"/>
        <w:adjustRightInd w:val="0"/>
        <w:jc w:val="both"/>
        <w:rPr>
          <w:rFonts w:ascii="Verdana" w:hAnsi="Verdana" w:cs="Cambria"/>
          <w:sz w:val="16"/>
          <w:szCs w:val="16"/>
        </w:rPr>
      </w:pPr>
      <w:r w:rsidRPr="00517952">
        <w:rPr>
          <w:rStyle w:val="FootnoteReference"/>
          <w:sz w:val="16"/>
          <w:szCs w:val="16"/>
        </w:rPr>
        <w:footnoteRef/>
      </w:r>
      <w:r w:rsidRPr="00517952">
        <w:rPr>
          <w:rFonts w:ascii="Verdana" w:hAnsi="Verdana"/>
          <w:sz w:val="16"/>
          <w:szCs w:val="16"/>
        </w:rPr>
        <w:t xml:space="preserve"> </w:t>
      </w:r>
      <w:r w:rsidR="00450C8D" w:rsidRPr="00517952">
        <w:rPr>
          <w:rFonts w:ascii="Verdana" w:hAnsi="Verdana"/>
          <w:sz w:val="16"/>
          <w:szCs w:val="16"/>
        </w:rPr>
        <w:t xml:space="preserve">   </w:t>
      </w:r>
      <w:r w:rsidRPr="00517952">
        <w:rPr>
          <w:rFonts w:ascii="Verdana" w:hAnsi="Verdana"/>
          <w:sz w:val="16"/>
          <w:szCs w:val="16"/>
        </w:rPr>
        <w:t xml:space="preserve">El Tribunal </w:t>
      </w:r>
      <w:r w:rsidRPr="00517952">
        <w:rPr>
          <w:rFonts w:ascii="Verdana" w:hAnsi="Verdana" w:cs="Cambria"/>
          <w:sz w:val="16"/>
          <w:szCs w:val="16"/>
        </w:rPr>
        <w:t>Europeo de Derechos Humanos, por su parte, ha reconocido en su jurisprudencia que el derecho a la libertad de expresión protege el derecho de los miembros de un sindicato a expresar sus demandas, a efectos de mejorar sus condiciones laborales. De acuerdo con el Tribunal Europeo la libertad de expresión de las organizaciones sindicales y sus dirigentes constituye un medio de acción esencial, sin el cual perderían su eficacia y razón de ser.</w:t>
      </w:r>
    </w:p>
    <w:p w14:paraId="2757194A" w14:textId="5273703A" w:rsidR="00D86616" w:rsidRPr="00517952" w:rsidRDefault="00D86616" w:rsidP="006A2D03">
      <w:pPr>
        <w:autoSpaceDE w:val="0"/>
        <w:autoSpaceDN w:val="0"/>
        <w:adjustRightInd w:val="0"/>
        <w:jc w:val="both"/>
        <w:rPr>
          <w:rFonts w:ascii="Verdana" w:hAnsi="Verdana" w:cs="Cambria"/>
          <w:sz w:val="16"/>
          <w:szCs w:val="16"/>
        </w:rPr>
      </w:pPr>
      <w:r w:rsidRPr="00517952">
        <w:rPr>
          <w:rFonts w:ascii="Verdana" w:hAnsi="Verdana" w:cs="Cambria"/>
          <w:sz w:val="16"/>
          <w:szCs w:val="16"/>
          <w:lang w:val="en-US"/>
        </w:rPr>
        <w:t>TEDH</w:t>
      </w:r>
      <w:r w:rsidRPr="00517952">
        <w:rPr>
          <w:rFonts w:ascii="Verdana" w:hAnsi="Verdana" w:cs="Cambria"/>
          <w:i/>
          <w:sz w:val="16"/>
          <w:szCs w:val="16"/>
          <w:lang w:val="en-US"/>
        </w:rPr>
        <w:t>,</w:t>
      </w:r>
      <w:r w:rsidRPr="00517952">
        <w:rPr>
          <w:rFonts w:ascii="Verdana" w:hAnsi="Verdana" w:cs="Cambria"/>
          <w:sz w:val="16"/>
          <w:szCs w:val="16"/>
          <w:lang w:val="en-US"/>
        </w:rPr>
        <w:t xml:space="preserve"> </w:t>
      </w:r>
      <w:proofErr w:type="spellStart"/>
      <w:r w:rsidRPr="00517952">
        <w:rPr>
          <w:rFonts w:ascii="Verdana" w:hAnsi="Verdana"/>
          <w:i/>
          <w:sz w:val="16"/>
          <w:szCs w:val="16"/>
          <w:lang w:val="en-US"/>
        </w:rPr>
        <w:t>Caso</w:t>
      </w:r>
      <w:proofErr w:type="spellEnd"/>
      <w:r w:rsidRPr="00517952">
        <w:rPr>
          <w:rFonts w:ascii="Verdana" w:hAnsi="Verdana"/>
          <w:i/>
          <w:sz w:val="16"/>
          <w:szCs w:val="16"/>
          <w:lang w:val="en-US"/>
        </w:rPr>
        <w:t xml:space="preserve"> </w:t>
      </w:r>
      <w:proofErr w:type="spellStart"/>
      <w:r w:rsidRPr="00517952">
        <w:rPr>
          <w:rFonts w:ascii="Verdana" w:hAnsi="Verdana"/>
          <w:i/>
          <w:sz w:val="16"/>
          <w:szCs w:val="16"/>
          <w:lang w:val="en-US"/>
        </w:rPr>
        <w:t>Vereinigung</w:t>
      </w:r>
      <w:proofErr w:type="spellEnd"/>
      <w:r w:rsidRPr="00517952">
        <w:rPr>
          <w:rFonts w:ascii="Verdana" w:hAnsi="Verdana"/>
          <w:i/>
          <w:sz w:val="16"/>
          <w:szCs w:val="16"/>
          <w:lang w:val="en-US"/>
        </w:rPr>
        <w:t xml:space="preserve"> </w:t>
      </w:r>
      <w:proofErr w:type="spellStart"/>
      <w:r w:rsidRPr="00517952">
        <w:rPr>
          <w:rFonts w:ascii="Verdana" w:hAnsi="Verdana"/>
          <w:i/>
          <w:sz w:val="16"/>
          <w:szCs w:val="16"/>
          <w:lang w:val="en-US"/>
        </w:rPr>
        <w:t>Demokratischer</w:t>
      </w:r>
      <w:proofErr w:type="spellEnd"/>
      <w:r w:rsidRPr="00517952">
        <w:rPr>
          <w:rFonts w:ascii="Verdana" w:hAnsi="Verdana"/>
          <w:i/>
          <w:sz w:val="16"/>
          <w:szCs w:val="16"/>
          <w:lang w:val="en-US"/>
        </w:rPr>
        <w:t xml:space="preserve"> </w:t>
      </w:r>
      <w:proofErr w:type="spellStart"/>
      <w:r w:rsidRPr="00517952">
        <w:rPr>
          <w:rFonts w:ascii="Verdana" w:hAnsi="Verdana"/>
          <w:i/>
          <w:sz w:val="16"/>
          <w:szCs w:val="16"/>
          <w:lang w:val="en-US"/>
        </w:rPr>
        <w:t>Soldaten</w:t>
      </w:r>
      <w:proofErr w:type="spellEnd"/>
      <w:r w:rsidRPr="00517952">
        <w:rPr>
          <w:rFonts w:ascii="Verdana" w:hAnsi="Verdana"/>
          <w:i/>
          <w:sz w:val="16"/>
          <w:szCs w:val="16"/>
          <w:lang w:val="en-US"/>
        </w:rPr>
        <w:t xml:space="preserve"> </w:t>
      </w:r>
      <w:proofErr w:type="spellStart"/>
      <w:r w:rsidRPr="00517952">
        <w:rPr>
          <w:rFonts w:ascii="Verdana" w:hAnsi="Verdana"/>
          <w:i/>
          <w:sz w:val="16"/>
          <w:szCs w:val="16"/>
          <w:lang w:val="en-US"/>
        </w:rPr>
        <w:t>österreichs</w:t>
      </w:r>
      <w:proofErr w:type="spellEnd"/>
      <w:r w:rsidRPr="00517952">
        <w:rPr>
          <w:rFonts w:ascii="Verdana" w:hAnsi="Verdana"/>
          <w:i/>
          <w:sz w:val="16"/>
          <w:szCs w:val="16"/>
          <w:lang w:val="en-US"/>
        </w:rPr>
        <w:t xml:space="preserve"> and </w:t>
      </w:r>
      <w:proofErr w:type="spellStart"/>
      <w:r w:rsidRPr="00517952">
        <w:rPr>
          <w:rFonts w:ascii="Verdana" w:hAnsi="Verdana"/>
          <w:i/>
          <w:sz w:val="16"/>
          <w:szCs w:val="16"/>
          <w:lang w:val="en-US"/>
        </w:rPr>
        <w:t>Gubi</w:t>
      </w:r>
      <w:proofErr w:type="spellEnd"/>
      <w:r w:rsidRPr="00517952">
        <w:rPr>
          <w:rFonts w:ascii="Verdana" w:hAnsi="Verdana"/>
          <w:i/>
          <w:sz w:val="16"/>
          <w:szCs w:val="16"/>
          <w:lang w:val="en-US"/>
        </w:rPr>
        <w:t xml:space="preserve"> </w:t>
      </w:r>
      <w:proofErr w:type="gramStart"/>
      <w:r w:rsidRPr="00517952">
        <w:rPr>
          <w:rFonts w:ascii="Verdana" w:hAnsi="Verdana"/>
          <w:i/>
          <w:sz w:val="16"/>
          <w:szCs w:val="16"/>
          <w:lang w:val="en-US"/>
        </w:rPr>
        <w:t>Vs</w:t>
      </w:r>
      <w:proofErr w:type="gramEnd"/>
      <w:r w:rsidRPr="00517952">
        <w:rPr>
          <w:rFonts w:ascii="Verdana" w:hAnsi="Verdana"/>
          <w:i/>
          <w:sz w:val="16"/>
          <w:szCs w:val="16"/>
          <w:lang w:val="en-US"/>
        </w:rPr>
        <w:t xml:space="preserve">. </w:t>
      </w:r>
      <w:r w:rsidRPr="00517952">
        <w:rPr>
          <w:rFonts w:ascii="Verdana" w:hAnsi="Verdana"/>
          <w:i/>
          <w:sz w:val="16"/>
          <w:szCs w:val="16"/>
          <w:lang w:val="es-MX"/>
        </w:rPr>
        <w:t>Austria</w:t>
      </w:r>
      <w:r w:rsidRPr="00517952">
        <w:rPr>
          <w:rFonts w:ascii="Verdana" w:hAnsi="Verdana"/>
          <w:sz w:val="16"/>
          <w:szCs w:val="16"/>
          <w:lang w:val="es-MX"/>
        </w:rPr>
        <w:t>, No. 15153/89. Sentencia de 19 de diciembre 1994 y TEDH,</w:t>
      </w:r>
      <w:r w:rsidRPr="00517952">
        <w:rPr>
          <w:rFonts w:ascii="Verdana" w:hAnsi="Verdana"/>
          <w:i/>
          <w:sz w:val="16"/>
          <w:szCs w:val="16"/>
          <w:lang w:val="es-MX"/>
        </w:rPr>
        <w:t xml:space="preserve"> </w:t>
      </w:r>
      <w:r w:rsidRPr="00517952">
        <w:rPr>
          <w:rFonts w:ascii="Verdana" w:hAnsi="Verdana"/>
          <w:i/>
          <w:sz w:val="16"/>
          <w:szCs w:val="16"/>
          <w:lang w:val="es-CR"/>
        </w:rPr>
        <w:t>Caso Palomo Sánchez y otros Vs. España,</w:t>
      </w:r>
      <w:r w:rsidRPr="00517952">
        <w:rPr>
          <w:rFonts w:ascii="Verdana" w:hAnsi="Verdana"/>
          <w:sz w:val="16"/>
          <w:szCs w:val="16"/>
          <w:lang w:val="es-CR"/>
        </w:rPr>
        <w:t xml:space="preserve"> </w:t>
      </w:r>
      <w:r w:rsidRPr="00517952">
        <w:rPr>
          <w:rFonts w:ascii="Verdana" w:hAnsi="Verdana"/>
          <w:i/>
          <w:sz w:val="16"/>
          <w:szCs w:val="16"/>
          <w:lang w:val="es-CR"/>
        </w:rPr>
        <w:t>[GS]</w:t>
      </w:r>
      <w:r w:rsidRPr="00517952">
        <w:rPr>
          <w:rFonts w:ascii="Verdana" w:hAnsi="Verdana"/>
          <w:sz w:val="16"/>
          <w:szCs w:val="16"/>
          <w:lang w:val="es-CR"/>
        </w:rPr>
        <w:t xml:space="preserve"> No. 28955/06, 28957/06, 28959/06 y 28964/06. Sentencia de 12 de septiembre de 2011, párr. 56.</w:t>
      </w:r>
    </w:p>
  </w:footnote>
  <w:footnote w:id="119">
    <w:p w14:paraId="50B97950" w14:textId="4143CD15" w:rsidR="00D86616" w:rsidRPr="00517952" w:rsidRDefault="00D86616" w:rsidP="006A2D03">
      <w:pPr>
        <w:pStyle w:val="FootnoteText"/>
        <w:spacing w:after="0"/>
        <w:rPr>
          <w:lang w:val="es-CR"/>
        </w:rPr>
      </w:pPr>
      <w:r w:rsidRPr="00517952">
        <w:rPr>
          <w:rStyle w:val="FootnoteReference"/>
          <w:rFonts w:eastAsia="MS Gothic"/>
          <w:sz w:val="16"/>
        </w:rPr>
        <w:footnoteRef/>
      </w:r>
      <w:r w:rsidRPr="00517952">
        <w:rPr>
          <w:lang w:val="es-CR"/>
        </w:rPr>
        <w:t xml:space="preserve"> </w:t>
      </w:r>
      <w:r w:rsidRPr="00517952">
        <w:rPr>
          <w:lang w:val="es-CR"/>
        </w:rPr>
        <w:tab/>
      </w:r>
      <w:r w:rsidRPr="00517952">
        <w:rPr>
          <w:i/>
          <w:lang w:val="es-CR"/>
        </w:rPr>
        <w:t>Cfr. Caso Velásquez Rodríguez Vs. Honduras. Fondo, supra,</w:t>
      </w:r>
      <w:r w:rsidRPr="00517952">
        <w:rPr>
          <w:lang w:val="es-CR"/>
        </w:rPr>
        <w:t xml:space="preserve"> párr. 166, y </w:t>
      </w:r>
      <w:r w:rsidRPr="00517952">
        <w:rPr>
          <w:i/>
          <w:lang w:val="es-CR"/>
        </w:rPr>
        <w:t xml:space="preserve">Caso Vásquez Durand y otros Vs. Ecuador. </w:t>
      </w:r>
      <w:r w:rsidRPr="00517952">
        <w:rPr>
          <w:i/>
          <w:lang w:val="es-MX"/>
        </w:rPr>
        <w:t>Excepciones Preliminares, Fondo, Reparaciones y Costas</w:t>
      </w:r>
      <w:r w:rsidRPr="00517952">
        <w:rPr>
          <w:lang w:val="es-MX"/>
        </w:rPr>
        <w:t>. Sentencia de 15 de febrero de 2017. Serie C. No. 332, párr. 141.</w:t>
      </w:r>
    </w:p>
  </w:footnote>
  <w:footnote w:id="120">
    <w:p w14:paraId="1751CC30" w14:textId="09AE278D" w:rsidR="00D86616" w:rsidRPr="00517952" w:rsidRDefault="00D86616" w:rsidP="006A2D03">
      <w:pPr>
        <w:pStyle w:val="FootnoteText"/>
        <w:spacing w:after="0"/>
        <w:rPr>
          <w:lang w:val="es-MX"/>
        </w:rPr>
      </w:pPr>
      <w:r w:rsidRPr="00517952">
        <w:rPr>
          <w:rStyle w:val="FootnoteReference"/>
          <w:sz w:val="16"/>
        </w:rPr>
        <w:footnoteRef/>
      </w:r>
      <w:r w:rsidRPr="00517952">
        <w:rPr>
          <w:lang w:val="es-MX"/>
        </w:rPr>
        <w:t xml:space="preserve"> </w:t>
      </w:r>
      <w:r w:rsidRPr="00517952">
        <w:rPr>
          <w:lang w:val="es-MX"/>
        </w:rPr>
        <w:tab/>
      </w:r>
      <w:r w:rsidRPr="00517952">
        <w:rPr>
          <w:i/>
          <w:lang w:val="es-MX"/>
        </w:rPr>
        <w:t>La Colegiación Obligatoria de Periodistas OC-5/85, supra</w:t>
      </w:r>
      <w:r w:rsidRPr="00517952">
        <w:rPr>
          <w:lang w:val="es-MX"/>
        </w:rPr>
        <w:t xml:space="preserve">, párr. 56 y </w:t>
      </w:r>
      <w:r w:rsidRPr="00517952">
        <w:rPr>
          <w:i/>
          <w:lang w:val="es-MX"/>
        </w:rPr>
        <w:t xml:space="preserve">Cfr. Caso </w:t>
      </w:r>
      <w:proofErr w:type="spellStart"/>
      <w:r w:rsidRPr="00517952">
        <w:rPr>
          <w:i/>
          <w:lang w:val="es-MX"/>
        </w:rPr>
        <w:t>Granier</w:t>
      </w:r>
      <w:proofErr w:type="spellEnd"/>
      <w:r w:rsidRPr="00517952">
        <w:rPr>
          <w:i/>
          <w:lang w:val="es-MX"/>
        </w:rPr>
        <w:t xml:space="preserve"> y otros Vs. Venezuela</w:t>
      </w:r>
      <w:r w:rsidRPr="00517952">
        <w:rPr>
          <w:lang w:val="es-MX"/>
        </w:rPr>
        <w:t xml:space="preserve">, </w:t>
      </w:r>
      <w:r w:rsidRPr="00517952">
        <w:rPr>
          <w:i/>
          <w:lang w:val="es-MX"/>
        </w:rPr>
        <w:t>supra</w:t>
      </w:r>
      <w:r w:rsidRPr="00517952">
        <w:rPr>
          <w:lang w:val="es-MX"/>
        </w:rPr>
        <w:t>, párr. 143.</w:t>
      </w:r>
    </w:p>
  </w:footnote>
  <w:footnote w:id="121">
    <w:p w14:paraId="11E919D1" w14:textId="31A54999" w:rsidR="00D86616" w:rsidRPr="009E6ED2" w:rsidRDefault="00D86616" w:rsidP="006A2D03">
      <w:pPr>
        <w:pStyle w:val="FootnoteText"/>
        <w:spacing w:after="0"/>
        <w:rPr>
          <w:lang w:val="es-MX"/>
        </w:rPr>
      </w:pPr>
      <w:r w:rsidRPr="00517952">
        <w:rPr>
          <w:rStyle w:val="FootnoteReference"/>
          <w:sz w:val="16"/>
        </w:rPr>
        <w:footnoteRef/>
      </w:r>
      <w:r w:rsidRPr="00517952">
        <w:rPr>
          <w:lang w:val="es-MX"/>
        </w:rPr>
        <w:t xml:space="preserve"> </w:t>
      </w:r>
      <w:r w:rsidRPr="00517952">
        <w:rPr>
          <w:lang w:val="es-MX"/>
        </w:rPr>
        <w:tab/>
      </w:r>
      <w:r w:rsidRPr="00517952">
        <w:rPr>
          <w:i/>
          <w:lang w:val="es-MX"/>
        </w:rPr>
        <w:t>Cfr. Caso Ríos y otros Vs. Venezuela. Excepciones Preliminares, Fondo, Reparaciones y Costas</w:t>
      </w:r>
      <w:r w:rsidRPr="00517952">
        <w:rPr>
          <w:lang w:val="es-MX"/>
        </w:rPr>
        <w:t xml:space="preserve">. Sentencia de 28 de enero de 2009. Serie C No. 194, párr.107; </w:t>
      </w:r>
      <w:r w:rsidRPr="00517952">
        <w:rPr>
          <w:i/>
          <w:lang w:val="es-MX"/>
        </w:rPr>
        <w:t xml:space="preserve">Caso Perozo y otros Vs. Venezuela. Excepciones Preliminares, Fondo, Reparaciones y Costas. </w:t>
      </w:r>
      <w:r w:rsidRPr="00517952">
        <w:rPr>
          <w:lang w:val="es-MX"/>
        </w:rPr>
        <w:t xml:space="preserve">Sentencia de 28 de enero de 2009. Serie C No. 195, párr. 118; </w:t>
      </w:r>
      <w:r w:rsidRPr="00517952">
        <w:rPr>
          <w:i/>
          <w:lang w:val="es-MX"/>
        </w:rPr>
        <w:t>Caso Manuel Cepeda Vargas Vs. Colombia. Excepciones</w:t>
      </w:r>
      <w:r w:rsidRPr="000D6295">
        <w:rPr>
          <w:i/>
          <w:lang w:val="es-MX"/>
        </w:rPr>
        <w:t xml:space="preserve"> Preliminares, Fondo, Reparaciones y Costas. </w:t>
      </w:r>
      <w:r>
        <w:rPr>
          <w:lang w:val="es-MX"/>
        </w:rPr>
        <w:t>Sentencia de 26 de mayo de 2010, párr. 172. En el mismo sentido,</w:t>
      </w:r>
      <w:r w:rsidRPr="009E6ED2">
        <w:rPr>
          <w:lang w:val="es-MX"/>
        </w:rPr>
        <w:t xml:space="preserve"> </w:t>
      </w:r>
      <w:r w:rsidRPr="004868B2">
        <w:rPr>
          <w:lang w:val="es-MX"/>
        </w:rPr>
        <w:t>TEDH</w:t>
      </w:r>
      <w:r w:rsidRPr="000D6295">
        <w:rPr>
          <w:i/>
          <w:lang w:val="es-MX"/>
        </w:rPr>
        <w:t>, Caso Palomo Sánchez y Otros Vs. España [GS], supra</w:t>
      </w:r>
      <w:r w:rsidRPr="009E6ED2">
        <w:rPr>
          <w:lang w:val="es-MX"/>
        </w:rPr>
        <w:t xml:space="preserve">, párr. 59; </w:t>
      </w:r>
      <w:r w:rsidRPr="000D6295">
        <w:rPr>
          <w:i/>
          <w:lang w:val="es-MX"/>
        </w:rPr>
        <w:t>Caso Fuentes Bobo  Vs. España,</w:t>
      </w:r>
      <w:r w:rsidRPr="009E6ED2">
        <w:rPr>
          <w:lang w:val="es-MX"/>
        </w:rPr>
        <w:t xml:space="preserve"> No. 39293/98. Sentencia de 29 de febrero de 2000, párr.38; </w:t>
      </w:r>
      <w:r w:rsidRPr="000D6295">
        <w:rPr>
          <w:i/>
          <w:lang w:val="es-MX"/>
        </w:rPr>
        <w:t xml:space="preserve">Caso </w:t>
      </w:r>
      <w:proofErr w:type="spellStart"/>
      <w:r w:rsidRPr="000D6295">
        <w:rPr>
          <w:i/>
          <w:lang w:val="es-MX"/>
        </w:rPr>
        <w:t>Özgür</w:t>
      </w:r>
      <w:proofErr w:type="spellEnd"/>
      <w:r w:rsidRPr="000D6295">
        <w:rPr>
          <w:i/>
          <w:lang w:val="es-MX"/>
        </w:rPr>
        <w:t xml:space="preserve"> </w:t>
      </w:r>
      <w:proofErr w:type="spellStart"/>
      <w:r w:rsidRPr="000D6295">
        <w:rPr>
          <w:i/>
          <w:lang w:val="es-MX"/>
        </w:rPr>
        <w:t>Gündem</w:t>
      </w:r>
      <w:proofErr w:type="spellEnd"/>
      <w:r w:rsidRPr="000D6295">
        <w:rPr>
          <w:i/>
          <w:lang w:val="es-MX"/>
        </w:rPr>
        <w:t xml:space="preserve"> Vs. Turquía</w:t>
      </w:r>
      <w:r w:rsidRPr="009E6ED2">
        <w:rPr>
          <w:lang w:val="es-MX"/>
        </w:rPr>
        <w:t xml:space="preserve">, No. 23144/1993. Sentencia 16 de marzo de 2000, párr. 43 -50, y </w:t>
      </w:r>
      <w:r w:rsidRPr="000D6295">
        <w:rPr>
          <w:i/>
          <w:lang w:val="es-MX"/>
        </w:rPr>
        <w:t xml:space="preserve">Caso </w:t>
      </w:r>
      <w:proofErr w:type="spellStart"/>
      <w:r w:rsidRPr="000D6295">
        <w:rPr>
          <w:i/>
          <w:lang w:val="es-MX"/>
        </w:rPr>
        <w:t>Dink</w:t>
      </w:r>
      <w:proofErr w:type="spellEnd"/>
      <w:r w:rsidRPr="000D6295">
        <w:rPr>
          <w:i/>
          <w:lang w:val="es-MX"/>
        </w:rPr>
        <w:t xml:space="preserve"> y otros Vs. Turquía</w:t>
      </w:r>
      <w:r w:rsidRPr="009E6ED2">
        <w:rPr>
          <w:lang w:val="es-MX"/>
        </w:rPr>
        <w:t>, No. 2668/2007, 6102/2008, 30079/2008, 7072/2009 y 7124/2009. Sentencia de 14 de septiembre de 2010, párr. 106.</w:t>
      </w:r>
    </w:p>
  </w:footnote>
  <w:footnote w:id="122">
    <w:p w14:paraId="7365D22F" w14:textId="2D0534F8" w:rsidR="00D86616" w:rsidRPr="009E6ED2" w:rsidRDefault="00D86616" w:rsidP="006A2D03">
      <w:pPr>
        <w:pStyle w:val="FootnoteText"/>
        <w:spacing w:after="0"/>
        <w:rPr>
          <w:shd w:val="clear" w:color="auto" w:fill="FFFFFF"/>
          <w:lang w:val="es-MX"/>
        </w:rPr>
      </w:pPr>
      <w:r w:rsidRPr="00873AAD">
        <w:rPr>
          <w:rStyle w:val="FootnoteReference"/>
          <w:sz w:val="16"/>
        </w:rPr>
        <w:footnoteRef/>
      </w:r>
      <w:r w:rsidRPr="00873AAD">
        <w:rPr>
          <w:lang w:val="es-MX"/>
        </w:rPr>
        <w:t xml:space="preserve"> </w:t>
      </w:r>
      <w:r w:rsidRPr="00873AAD">
        <w:rPr>
          <w:lang w:val="es-MX"/>
        </w:rPr>
        <w:tab/>
      </w:r>
      <w:r w:rsidRPr="00873AAD">
        <w:rPr>
          <w:i/>
          <w:lang w:val="es-MX"/>
        </w:rPr>
        <w:t xml:space="preserve">Cfr. </w:t>
      </w:r>
      <w:r w:rsidRPr="00873AAD">
        <w:rPr>
          <w:lang w:val="es-MX"/>
        </w:rPr>
        <w:t>TEDH</w:t>
      </w:r>
      <w:r w:rsidRPr="00873AAD">
        <w:rPr>
          <w:i/>
          <w:lang w:val="es-MX"/>
        </w:rPr>
        <w:t>, Caso Fuentes Bobo Vs. España, supra,</w:t>
      </w:r>
      <w:r w:rsidRPr="00873AAD">
        <w:rPr>
          <w:lang w:val="es-MX"/>
        </w:rPr>
        <w:t xml:space="preserve"> párr. 38, </w:t>
      </w:r>
      <w:r w:rsidRPr="00873AAD">
        <w:rPr>
          <w:i/>
          <w:shd w:val="clear" w:color="auto" w:fill="FFFFFF"/>
          <w:lang w:val="es-MX"/>
        </w:rPr>
        <w:t xml:space="preserve">mutatis mutandis, Caso Schmidt y </w:t>
      </w:r>
      <w:proofErr w:type="spellStart"/>
      <w:r w:rsidRPr="00873AAD">
        <w:rPr>
          <w:i/>
          <w:shd w:val="clear" w:color="auto" w:fill="FFFFFF"/>
          <w:lang w:val="es-MX"/>
        </w:rPr>
        <w:t>Dahlström</w:t>
      </w:r>
      <w:proofErr w:type="spellEnd"/>
      <w:r w:rsidRPr="00873AAD">
        <w:rPr>
          <w:i/>
          <w:shd w:val="clear" w:color="auto" w:fill="FFFFFF"/>
          <w:lang w:val="es-MX"/>
        </w:rPr>
        <w:t xml:space="preserve"> Vs.</w:t>
      </w:r>
      <w:r w:rsidRPr="00873AAD">
        <w:rPr>
          <w:shd w:val="clear" w:color="auto" w:fill="FFFFFF"/>
          <w:lang w:val="es-MX"/>
        </w:rPr>
        <w:t xml:space="preserve"> </w:t>
      </w:r>
      <w:r w:rsidRPr="00873AAD">
        <w:rPr>
          <w:i/>
          <w:shd w:val="clear" w:color="auto" w:fill="FFFFFF"/>
          <w:lang w:val="es-MX"/>
        </w:rPr>
        <w:t>Suecia</w:t>
      </w:r>
      <w:r w:rsidRPr="00873AAD">
        <w:rPr>
          <w:shd w:val="clear" w:color="auto" w:fill="FFFFFF"/>
          <w:lang w:val="es-MX"/>
        </w:rPr>
        <w:t>, No. 5589</w:t>
      </w:r>
      <w:r w:rsidRPr="000D6295">
        <w:rPr>
          <w:shd w:val="clear" w:color="auto" w:fill="FFFFFF"/>
          <w:lang w:val="es-MX"/>
        </w:rPr>
        <w:t>/72, sentencia de 6 de febrero de 1976</w:t>
      </w:r>
      <w:r w:rsidRPr="009E6ED2">
        <w:rPr>
          <w:shd w:val="clear" w:color="auto" w:fill="FFFFFF"/>
          <w:lang w:val="es-MX"/>
        </w:rPr>
        <w:t>, párr.33.</w:t>
      </w:r>
    </w:p>
  </w:footnote>
  <w:footnote w:id="123">
    <w:p w14:paraId="58F7B4F2" w14:textId="13D5CCDF" w:rsidR="00D86616" w:rsidRPr="00873AAD" w:rsidRDefault="00D86616" w:rsidP="006A2D03">
      <w:pPr>
        <w:pStyle w:val="FootnoteText"/>
        <w:spacing w:after="0"/>
        <w:rPr>
          <w:lang w:val="es-MX"/>
        </w:rPr>
      </w:pPr>
      <w:r w:rsidRPr="00873AAD">
        <w:rPr>
          <w:rStyle w:val="FootnoteReference"/>
          <w:sz w:val="16"/>
        </w:rPr>
        <w:footnoteRef/>
      </w:r>
      <w:r w:rsidRPr="00873AAD">
        <w:rPr>
          <w:lang w:val="es-MX"/>
        </w:rPr>
        <w:t xml:space="preserve"> </w:t>
      </w:r>
      <w:r w:rsidRPr="00873AAD">
        <w:rPr>
          <w:lang w:val="es-MX"/>
        </w:rPr>
        <w:tab/>
      </w:r>
      <w:r w:rsidRPr="00873AAD">
        <w:rPr>
          <w:i/>
          <w:lang w:val="es-MX"/>
        </w:rPr>
        <w:t>Cfr.</w:t>
      </w:r>
      <w:r w:rsidRPr="00873AAD">
        <w:rPr>
          <w:lang w:val="es-MX"/>
        </w:rPr>
        <w:t xml:space="preserve"> TEDH, </w:t>
      </w:r>
      <w:r w:rsidRPr="00873AAD">
        <w:rPr>
          <w:i/>
          <w:lang w:val="es-MX"/>
        </w:rPr>
        <w:t xml:space="preserve">Caso </w:t>
      </w:r>
      <w:proofErr w:type="spellStart"/>
      <w:r w:rsidRPr="00873AAD">
        <w:rPr>
          <w:i/>
          <w:lang w:val="es-MX"/>
        </w:rPr>
        <w:t>Khurshid</w:t>
      </w:r>
      <w:proofErr w:type="spellEnd"/>
      <w:r w:rsidRPr="00873AAD">
        <w:rPr>
          <w:i/>
          <w:lang w:val="es-MX"/>
        </w:rPr>
        <w:t xml:space="preserve"> </w:t>
      </w:r>
      <w:proofErr w:type="spellStart"/>
      <w:r w:rsidRPr="00873AAD">
        <w:rPr>
          <w:i/>
          <w:lang w:val="es-MX"/>
        </w:rPr>
        <w:t>Mustafa</w:t>
      </w:r>
      <w:proofErr w:type="spellEnd"/>
      <w:r w:rsidRPr="00873AAD">
        <w:rPr>
          <w:i/>
          <w:lang w:val="es-MX"/>
        </w:rPr>
        <w:t xml:space="preserve"> y </w:t>
      </w:r>
      <w:proofErr w:type="spellStart"/>
      <w:r w:rsidRPr="00873AAD">
        <w:rPr>
          <w:i/>
          <w:lang w:val="es-MX"/>
        </w:rPr>
        <w:t>Tarzibachi</w:t>
      </w:r>
      <w:proofErr w:type="spellEnd"/>
      <w:r w:rsidRPr="00873AAD">
        <w:rPr>
          <w:i/>
          <w:lang w:val="es-MX"/>
        </w:rPr>
        <w:t xml:space="preserve"> Vs. Suecia</w:t>
      </w:r>
      <w:r w:rsidRPr="00873AAD">
        <w:rPr>
          <w:lang w:val="es-MX"/>
        </w:rPr>
        <w:t xml:space="preserve">, No. 23883/06. Sentencia de 16 de diciembre de 2008, párr. 34, y </w:t>
      </w:r>
      <w:r w:rsidRPr="00873AAD">
        <w:rPr>
          <w:i/>
          <w:lang w:val="es-MX"/>
        </w:rPr>
        <w:t>Caso Re</w:t>
      </w:r>
      <w:proofErr w:type="spellStart"/>
      <w:r w:rsidRPr="00873AAD">
        <w:rPr>
          <w:i/>
          <w:lang w:val="es-CL"/>
        </w:rPr>
        <w:t>muszko</w:t>
      </w:r>
      <w:proofErr w:type="spellEnd"/>
      <w:r w:rsidRPr="00873AAD">
        <w:rPr>
          <w:i/>
          <w:lang w:val="es-CL"/>
        </w:rPr>
        <w:t xml:space="preserve"> Vs. </w:t>
      </w:r>
      <w:r w:rsidRPr="00873AAD">
        <w:rPr>
          <w:i/>
          <w:lang w:val="es-MX"/>
        </w:rPr>
        <w:t>Polonia</w:t>
      </w:r>
      <w:r w:rsidRPr="00873AAD">
        <w:rPr>
          <w:lang w:val="es-MX"/>
        </w:rPr>
        <w:t>, No. 1562/10. Sentencia de 16 de julio de 2013, párr. 83.</w:t>
      </w:r>
    </w:p>
  </w:footnote>
  <w:footnote w:id="124">
    <w:p w14:paraId="3690317B" w14:textId="24F4DA93" w:rsidR="00D86616" w:rsidRPr="00873AAD" w:rsidRDefault="00D86616" w:rsidP="006A2D03">
      <w:pPr>
        <w:pStyle w:val="ListParagraph"/>
        <w:shd w:val="clear" w:color="auto" w:fill="FFFFFF"/>
        <w:autoSpaceDE w:val="0"/>
        <w:autoSpaceDN w:val="0"/>
        <w:adjustRightInd w:val="0"/>
        <w:ind w:left="0"/>
        <w:jc w:val="both"/>
        <w:rPr>
          <w:sz w:val="16"/>
          <w:szCs w:val="16"/>
        </w:rPr>
      </w:pPr>
      <w:r w:rsidRPr="00873AAD">
        <w:rPr>
          <w:rStyle w:val="FootnoteReference"/>
          <w:sz w:val="16"/>
          <w:szCs w:val="16"/>
        </w:rPr>
        <w:footnoteRef/>
      </w:r>
      <w:r w:rsidR="00F953F9" w:rsidRPr="00873AAD">
        <w:rPr>
          <w:rFonts w:ascii="Verdana" w:hAnsi="Verdana"/>
          <w:sz w:val="16"/>
          <w:szCs w:val="16"/>
          <w:lang w:val="es-CR"/>
        </w:rPr>
        <w:t xml:space="preserve">     </w:t>
      </w:r>
      <w:r w:rsidRPr="00873AAD">
        <w:rPr>
          <w:rFonts w:ascii="Verdana" w:hAnsi="Verdana"/>
          <w:i/>
          <w:sz w:val="16"/>
          <w:szCs w:val="16"/>
          <w:lang w:val="es-CR"/>
        </w:rPr>
        <w:t>Cfr.</w:t>
      </w:r>
      <w:r w:rsidRPr="00873AAD">
        <w:rPr>
          <w:rFonts w:ascii="Verdana" w:hAnsi="Verdana"/>
          <w:sz w:val="16"/>
          <w:szCs w:val="16"/>
          <w:lang w:val="es-CR"/>
        </w:rPr>
        <w:t xml:space="preserve"> TEDH, </w:t>
      </w:r>
      <w:r w:rsidRPr="00873AAD">
        <w:rPr>
          <w:rFonts w:ascii="Verdana" w:hAnsi="Verdana"/>
          <w:i/>
          <w:sz w:val="16"/>
          <w:szCs w:val="16"/>
          <w:lang w:val="es-CR"/>
        </w:rPr>
        <w:t xml:space="preserve">Caso </w:t>
      </w:r>
      <w:proofErr w:type="spellStart"/>
      <w:r w:rsidRPr="00873AAD">
        <w:rPr>
          <w:rFonts w:ascii="Verdana" w:hAnsi="Verdana"/>
          <w:i/>
          <w:sz w:val="16"/>
          <w:szCs w:val="16"/>
          <w:lang w:val="es-CR"/>
        </w:rPr>
        <w:t>Csánics</w:t>
      </w:r>
      <w:proofErr w:type="spellEnd"/>
      <w:r w:rsidRPr="00873AAD">
        <w:rPr>
          <w:rFonts w:ascii="Verdana" w:hAnsi="Verdana"/>
          <w:i/>
          <w:sz w:val="16"/>
          <w:szCs w:val="16"/>
          <w:lang w:val="es-CR"/>
        </w:rPr>
        <w:t xml:space="preserve"> Vs. Hungría</w:t>
      </w:r>
      <w:r w:rsidRPr="00873AAD">
        <w:rPr>
          <w:rFonts w:ascii="Verdana" w:hAnsi="Verdana"/>
          <w:sz w:val="16"/>
          <w:szCs w:val="16"/>
          <w:lang w:val="es-CR"/>
        </w:rPr>
        <w:t>, No. 12188/06. Sentencia 20 de enero de 2009, párr. 441.</w:t>
      </w:r>
    </w:p>
  </w:footnote>
  <w:footnote w:id="125">
    <w:p w14:paraId="164E6726" w14:textId="3BCDE563" w:rsidR="00D86616" w:rsidRPr="00873AAD" w:rsidRDefault="00D86616" w:rsidP="006A2D03">
      <w:pPr>
        <w:pStyle w:val="FootnoteText"/>
        <w:spacing w:after="0"/>
        <w:rPr>
          <w:lang w:val="es-MX"/>
        </w:rPr>
      </w:pPr>
      <w:r w:rsidRPr="00873AAD">
        <w:rPr>
          <w:rStyle w:val="FootnoteReference"/>
          <w:sz w:val="16"/>
        </w:rPr>
        <w:footnoteRef/>
      </w:r>
      <w:r w:rsidRPr="00873AAD">
        <w:rPr>
          <w:lang w:val="es-MX"/>
        </w:rPr>
        <w:t xml:space="preserve"> </w:t>
      </w:r>
      <w:r w:rsidRPr="00873AAD">
        <w:rPr>
          <w:lang w:val="es-MX"/>
        </w:rPr>
        <w:tab/>
      </w:r>
      <w:r w:rsidRPr="00873AAD">
        <w:rPr>
          <w:i/>
          <w:lang w:val="es-MX"/>
        </w:rPr>
        <w:t xml:space="preserve">Cfr. </w:t>
      </w:r>
      <w:r w:rsidRPr="00873AAD">
        <w:rPr>
          <w:lang w:val="es-MX"/>
        </w:rPr>
        <w:t>TEDH</w:t>
      </w:r>
      <w:r w:rsidRPr="00873AAD">
        <w:rPr>
          <w:i/>
          <w:lang w:val="es-MX"/>
        </w:rPr>
        <w:t>, Caso Palomo Sánchez y Otros Vs. España [GS], supra</w:t>
      </w:r>
      <w:r w:rsidRPr="00873AAD">
        <w:rPr>
          <w:lang w:val="es-MX"/>
        </w:rPr>
        <w:t xml:space="preserve">, párr. 61. </w:t>
      </w:r>
    </w:p>
  </w:footnote>
  <w:footnote w:id="126">
    <w:p w14:paraId="37FAF7E9" w14:textId="0C213F23" w:rsidR="00D86616" w:rsidRPr="00873AAD" w:rsidRDefault="00D86616" w:rsidP="006A2D03">
      <w:pPr>
        <w:pStyle w:val="FootnoteText"/>
        <w:spacing w:after="0"/>
        <w:rPr>
          <w:lang w:val="es-MX"/>
        </w:rPr>
      </w:pPr>
      <w:r w:rsidRPr="00873AAD">
        <w:rPr>
          <w:rStyle w:val="FootnoteReference"/>
          <w:sz w:val="16"/>
        </w:rPr>
        <w:footnoteRef/>
      </w:r>
      <w:r w:rsidRPr="00873AAD">
        <w:rPr>
          <w:lang w:val="es-MX"/>
        </w:rPr>
        <w:t xml:space="preserve"> </w:t>
      </w:r>
      <w:r w:rsidRPr="00873AAD">
        <w:rPr>
          <w:lang w:val="es-MX"/>
        </w:rPr>
        <w:tab/>
      </w:r>
      <w:r w:rsidRPr="00873AAD">
        <w:rPr>
          <w:i/>
          <w:lang w:val="es-MX"/>
        </w:rPr>
        <w:t>Cfr. Caso Herrera Ulloa Vs. Costa Rica</w:t>
      </w:r>
      <w:r w:rsidRPr="00873AAD">
        <w:rPr>
          <w:lang w:val="es-MX"/>
        </w:rPr>
        <w:t xml:space="preserve">. </w:t>
      </w:r>
      <w:r w:rsidRPr="00873AAD">
        <w:rPr>
          <w:i/>
          <w:lang w:val="es-MX"/>
        </w:rPr>
        <w:t>Excepciones Preliminares, Fondo, Reparaciones y Costas.</w:t>
      </w:r>
      <w:r w:rsidRPr="00873AAD">
        <w:rPr>
          <w:lang w:val="es-MX"/>
        </w:rPr>
        <w:t xml:space="preserve"> Sentencia de 2 de julio de 2004. Serie C No. 107, párr. 120, y </w:t>
      </w:r>
      <w:r w:rsidRPr="00873AAD">
        <w:rPr>
          <w:i/>
          <w:lang w:val="es-MX"/>
        </w:rPr>
        <w:t>Caso Tristán Donoso Vs. Panamá, supra</w:t>
      </w:r>
      <w:r w:rsidRPr="00873AAD">
        <w:rPr>
          <w:lang w:val="es-MX"/>
        </w:rPr>
        <w:t>, párr. 110.</w:t>
      </w:r>
    </w:p>
  </w:footnote>
  <w:footnote w:id="127">
    <w:p w14:paraId="32056BA1" w14:textId="4CA5765B" w:rsidR="00D86616" w:rsidRPr="009E6ED2" w:rsidRDefault="00D86616" w:rsidP="006A2D03">
      <w:pPr>
        <w:pStyle w:val="FootnoteText"/>
        <w:spacing w:after="0"/>
        <w:rPr>
          <w:lang w:val="es-MX"/>
        </w:rPr>
      </w:pPr>
      <w:r w:rsidRPr="00873AAD">
        <w:rPr>
          <w:rStyle w:val="FootnoteReference"/>
          <w:sz w:val="16"/>
        </w:rPr>
        <w:footnoteRef/>
      </w:r>
      <w:r w:rsidRPr="00873AAD">
        <w:rPr>
          <w:lang w:val="es-MX"/>
        </w:rPr>
        <w:t xml:space="preserve"> </w:t>
      </w:r>
      <w:r w:rsidRPr="00873AAD">
        <w:rPr>
          <w:lang w:val="es-MX"/>
        </w:rPr>
        <w:tab/>
      </w:r>
      <w:r w:rsidRPr="00873AAD">
        <w:rPr>
          <w:i/>
          <w:lang w:val="es-MX"/>
        </w:rPr>
        <w:t xml:space="preserve">Caso </w:t>
      </w:r>
      <w:proofErr w:type="spellStart"/>
      <w:r w:rsidRPr="00873AAD">
        <w:rPr>
          <w:i/>
          <w:lang w:val="es-MX"/>
        </w:rPr>
        <w:t>Mémoli</w:t>
      </w:r>
      <w:proofErr w:type="spellEnd"/>
      <w:r w:rsidRPr="00873AAD">
        <w:rPr>
          <w:i/>
          <w:lang w:val="es-MX"/>
        </w:rPr>
        <w:t xml:space="preserve"> Vs. Argentina. Excepciones Preliminares, Fondo, Reparaciones y Costas.</w:t>
      </w:r>
      <w:r w:rsidRPr="00873AAD">
        <w:rPr>
          <w:lang w:val="es-MX"/>
        </w:rPr>
        <w:t xml:space="preserve"> Sentencia de 22 de agosto de 2013. Serie</w:t>
      </w:r>
      <w:r w:rsidRPr="009E6ED2">
        <w:rPr>
          <w:lang w:val="es-MX"/>
        </w:rPr>
        <w:t xml:space="preserve"> C No. 265, párr. 123. </w:t>
      </w:r>
    </w:p>
  </w:footnote>
  <w:footnote w:id="128">
    <w:p w14:paraId="14FECBFE" w14:textId="0CCB6F2A" w:rsidR="00D86616" w:rsidRPr="009E6ED2" w:rsidRDefault="00D86616" w:rsidP="006A2D03">
      <w:pPr>
        <w:pStyle w:val="FootnoteText"/>
        <w:spacing w:after="0"/>
        <w:rPr>
          <w:lang w:val="es-MX"/>
        </w:rPr>
      </w:pPr>
      <w:r w:rsidRPr="00873AAD">
        <w:rPr>
          <w:rStyle w:val="FootnoteReference"/>
          <w:spacing w:val="-2"/>
          <w:sz w:val="16"/>
        </w:rPr>
        <w:footnoteRef/>
      </w:r>
      <w:r w:rsidRPr="00873AAD">
        <w:rPr>
          <w:lang w:val="es-MX"/>
        </w:rPr>
        <w:t xml:space="preserve"> </w:t>
      </w:r>
      <w:r w:rsidRPr="00873AAD">
        <w:rPr>
          <w:lang w:val="es-MX"/>
        </w:rPr>
        <w:tab/>
      </w:r>
      <w:r w:rsidRPr="00873AAD">
        <w:rPr>
          <w:i/>
          <w:lang w:val="es-MX"/>
        </w:rPr>
        <w:t>Caso Tristán</w:t>
      </w:r>
      <w:r w:rsidRPr="000D6295">
        <w:rPr>
          <w:i/>
          <w:lang w:val="es-MX"/>
        </w:rPr>
        <w:t xml:space="preserve"> Donoso Vs. Panamá</w:t>
      </w:r>
      <w:r w:rsidRPr="009E6ED2">
        <w:rPr>
          <w:lang w:val="es-MX"/>
        </w:rPr>
        <w:t xml:space="preserve">, </w:t>
      </w:r>
      <w:r w:rsidRPr="00844874">
        <w:rPr>
          <w:i/>
          <w:lang w:val="es-MX"/>
        </w:rPr>
        <w:t>supra</w:t>
      </w:r>
      <w:r w:rsidRPr="009E6ED2">
        <w:rPr>
          <w:lang w:val="es-MX"/>
        </w:rPr>
        <w:t xml:space="preserve">, párr. 57, y </w:t>
      </w:r>
      <w:r w:rsidRPr="000D6295">
        <w:rPr>
          <w:i/>
          <w:lang w:val="es-MX"/>
        </w:rPr>
        <w:t>Caso Masacre de Santo Domingo Vs. Colombia, supra</w:t>
      </w:r>
      <w:r w:rsidRPr="009E6ED2">
        <w:rPr>
          <w:lang w:val="es-MX"/>
        </w:rPr>
        <w:t>, párr. 286.</w:t>
      </w:r>
    </w:p>
  </w:footnote>
  <w:footnote w:id="129">
    <w:p w14:paraId="0DE49436" w14:textId="0C750503" w:rsidR="00D86616" w:rsidRPr="00873AAD" w:rsidRDefault="00D86616" w:rsidP="006A2D03">
      <w:pPr>
        <w:pStyle w:val="FootnoteText"/>
        <w:spacing w:after="0"/>
        <w:rPr>
          <w:lang w:val="es-MX"/>
        </w:rPr>
      </w:pPr>
      <w:r w:rsidRPr="00873AAD">
        <w:rPr>
          <w:rStyle w:val="FootnoteReference"/>
          <w:spacing w:val="-2"/>
          <w:sz w:val="16"/>
        </w:rPr>
        <w:footnoteRef/>
      </w:r>
      <w:r w:rsidRPr="00873AAD">
        <w:rPr>
          <w:lang w:val="es-MX"/>
        </w:rPr>
        <w:t xml:space="preserve">  </w:t>
      </w:r>
      <w:r w:rsidRPr="00873AAD">
        <w:rPr>
          <w:lang w:val="es-MX"/>
        </w:rPr>
        <w:tab/>
      </w:r>
      <w:r w:rsidRPr="00873AAD">
        <w:rPr>
          <w:i/>
          <w:lang w:val="es-MX"/>
        </w:rPr>
        <w:t xml:space="preserve">Cfr. Caso </w:t>
      </w:r>
      <w:proofErr w:type="spellStart"/>
      <w:r w:rsidRPr="00873AAD">
        <w:rPr>
          <w:i/>
          <w:lang w:val="es-MX"/>
        </w:rPr>
        <w:t>Kimel</w:t>
      </w:r>
      <w:proofErr w:type="spellEnd"/>
      <w:r w:rsidRPr="00873AAD">
        <w:rPr>
          <w:i/>
          <w:lang w:val="es-MX"/>
        </w:rPr>
        <w:t xml:space="preserve"> Vs. Argentina</w:t>
      </w:r>
      <w:r w:rsidRPr="00873AAD">
        <w:rPr>
          <w:lang w:val="es-MX"/>
        </w:rPr>
        <w:t xml:space="preserve">. </w:t>
      </w:r>
      <w:r w:rsidRPr="00873AAD">
        <w:rPr>
          <w:i/>
          <w:lang w:val="es-MX"/>
        </w:rPr>
        <w:t>Fondo, Reparaciones y Costas</w:t>
      </w:r>
      <w:r w:rsidRPr="00873AAD">
        <w:rPr>
          <w:lang w:val="es-MX"/>
        </w:rPr>
        <w:t xml:space="preserve">. Sentencia de 2 de mayo de 2008. Serie C No. 177 párr. 51, y </w:t>
      </w:r>
      <w:r w:rsidRPr="00873AAD">
        <w:rPr>
          <w:i/>
          <w:lang w:val="es-MX"/>
        </w:rPr>
        <w:t xml:space="preserve">Caso </w:t>
      </w:r>
      <w:proofErr w:type="spellStart"/>
      <w:r w:rsidRPr="00873AAD">
        <w:rPr>
          <w:i/>
          <w:lang w:val="es-MX"/>
        </w:rPr>
        <w:t>Mémoli</w:t>
      </w:r>
      <w:proofErr w:type="spellEnd"/>
      <w:r w:rsidRPr="00873AAD">
        <w:rPr>
          <w:i/>
          <w:lang w:val="es-MX"/>
        </w:rPr>
        <w:t xml:space="preserve"> Vs Argentina, supra</w:t>
      </w:r>
      <w:r w:rsidRPr="00873AAD">
        <w:rPr>
          <w:lang w:val="es-MX"/>
        </w:rPr>
        <w:t>, párr. 127.</w:t>
      </w:r>
    </w:p>
  </w:footnote>
  <w:footnote w:id="130">
    <w:p w14:paraId="1516934B" w14:textId="64E5D1E4" w:rsidR="00D86616" w:rsidRPr="00873AAD" w:rsidRDefault="00D86616" w:rsidP="006A2D03">
      <w:pPr>
        <w:pStyle w:val="FootnoteText"/>
        <w:spacing w:after="0"/>
        <w:rPr>
          <w:lang w:val="es-MX"/>
        </w:rPr>
      </w:pPr>
      <w:r w:rsidRPr="00873AAD">
        <w:rPr>
          <w:rStyle w:val="FootnoteReference"/>
          <w:sz w:val="16"/>
        </w:rPr>
        <w:footnoteRef/>
      </w:r>
      <w:r w:rsidRPr="00873AAD">
        <w:rPr>
          <w:lang w:val="es-MX"/>
        </w:rPr>
        <w:t xml:space="preserve"> </w:t>
      </w:r>
      <w:r w:rsidRPr="00873AAD">
        <w:rPr>
          <w:lang w:val="es-MX"/>
        </w:rPr>
        <w:tab/>
      </w:r>
      <w:r w:rsidRPr="00873AAD">
        <w:rPr>
          <w:i/>
          <w:lang w:val="es-MX"/>
        </w:rPr>
        <w:t xml:space="preserve">Cfr. Caso </w:t>
      </w:r>
      <w:proofErr w:type="spellStart"/>
      <w:r w:rsidRPr="00873AAD">
        <w:rPr>
          <w:i/>
          <w:lang w:val="es-MX"/>
        </w:rPr>
        <w:t>Kimel</w:t>
      </w:r>
      <w:proofErr w:type="spellEnd"/>
      <w:r w:rsidRPr="00873AAD">
        <w:rPr>
          <w:i/>
          <w:lang w:val="es-MX"/>
        </w:rPr>
        <w:t xml:space="preserve"> Vs. Argentina, supra</w:t>
      </w:r>
      <w:r w:rsidRPr="00873AAD">
        <w:rPr>
          <w:lang w:val="es-MX"/>
        </w:rPr>
        <w:t xml:space="preserve">, párr. 75, y </w:t>
      </w:r>
      <w:r w:rsidRPr="00873AAD">
        <w:rPr>
          <w:i/>
          <w:lang w:val="es-MX"/>
        </w:rPr>
        <w:t xml:space="preserve">Caso </w:t>
      </w:r>
      <w:proofErr w:type="spellStart"/>
      <w:r w:rsidRPr="00873AAD">
        <w:rPr>
          <w:i/>
          <w:lang w:val="es-MX"/>
        </w:rPr>
        <w:t>Mémoli</w:t>
      </w:r>
      <w:proofErr w:type="spellEnd"/>
      <w:r w:rsidRPr="00873AAD">
        <w:rPr>
          <w:i/>
          <w:lang w:val="es-MX"/>
        </w:rPr>
        <w:t xml:space="preserve"> Vs. Argentina, supra</w:t>
      </w:r>
      <w:r w:rsidRPr="00873AAD">
        <w:rPr>
          <w:lang w:val="es-MX"/>
        </w:rPr>
        <w:t xml:space="preserve">, párr. 127. </w:t>
      </w:r>
    </w:p>
  </w:footnote>
  <w:footnote w:id="131">
    <w:p w14:paraId="1E1D5627" w14:textId="21CDC1FE" w:rsidR="00D86616" w:rsidRPr="00873AAD" w:rsidRDefault="00D86616" w:rsidP="006A2D03">
      <w:pPr>
        <w:pStyle w:val="FootnoteText"/>
        <w:spacing w:after="0"/>
        <w:rPr>
          <w:lang w:val="es-MX"/>
        </w:rPr>
      </w:pPr>
      <w:r w:rsidRPr="00873AAD">
        <w:rPr>
          <w:rStyle w:val="FootnoteReference"/>
          <w:spacing w:val="-2"/>
          <w:sz w:val="16"/>
        </w:rPr>
        <w:footnoteRef/>
      </w:r>
      <w:r w:rsidRPr="00873AAD">
        <w:rPr>
          <w:lang w:val="es-MX"/>
        </w:rPr>
        <w:t xml:space="preserve"> </w:t>
      </w:r>
      <w:r w:rsidRPr="00873AAD">
        <w:rPr>
          <w:iCs/>
          <w:lang w:val="es-MX"/>
        </w:rPr>
        <w:tab/>
      </w:r>
      <w:r w:rsidRPr="00873AAD">
        <w:rPr>
          <w:i/>
          <w:iCs/>
          <w:lang w:val="es-MX"/>
        </w:rPr>
        <w:t xml:space="preserve">Cfr. Caso </w:t>
      </w:r>
      <w:proofErr w:type="spellStart"/>
      <w:r w:rsidRPr="00873AAD">
        <w:rPr>
          <w:i/>
          <w:iCs/>
          <w:lang w:val="es-MX"/>
        </w:rPr>
        <w:t>Kimel</w:t>
      </w:r>
      <w:proofErr w:type="spellEnd"/>
      <w:r w:rsidRPr="00873AAD">
        <w:rPr>
          <w:i/>
          <w:iCs/>
          <w:lang w:val="es-MX"/>
        </w:rPr>
        <w:t xml:space="preserve"> Vs. Argentina, supra</w:t>
      </w:r>
      <w:r w:rsidRPr="00873AAD">
        <w:rPr>
          <w:lang w:val="es-MX"/>
        </w:rPr>
        <w:t xml:space="preserve">, párr. 51, y </w:t>
      </w:r>
      <w:r w:rsidRPr="00873AAD">
        <w:rPr>
          <w:i/>
          <w:lang w:val="es-MX"/>
        </w:rPr>
        <w:t xml:space="preserve">Caso </w:t>
      </w:r>
      <w:proofErr w:type="spellStart"/>
      <w:r w:rsidRPr="00873AAD">
        <w:rPr>
          <w:i/>
          <w:lang w:val="es-MX"/>
        </w:rPr>
        <w:t>Granier</w:t>
      </w:r>
      <w:proofErr w:type="spellEnd"/>
      <w:r w:rsidRPr="00873AAD">
        <w:rPr>
          <w:i/>
          <w:lang w:val="es-MX"/>
        </w:rPr>
        <w:t xml:space="preserve"> y otros  Vs. Venezuela</w:t>
      </w:r>
      <w:r w:rsidRPr="00873AAD">
        <w:rPr>
          <w:lang w:val="es-MX"/>
        </w:rPr>
        <w:t xml:space="preserve">, </w:t>
      </w:r>
      <w:r w:rsidRPr="00873AAD">
        <w:rPr>
          <w:i/>
          <w:lang w:val="es-MX"/>
        </w:rPr>
        <w:t>supra,</w:t>
      </w:r>
      <w:r w:rsidRPr="00873AAD">
        <w:rPr>
          <w:lang w:val="es-MX"/>
        </w:rPr>
        <w:t xml:space="preserve"> párr. 144.</w:t>
      </w:r>
    </w:p>
  </w:footnote>
  <w:footnote w:id="132">
    <w:p w14:paraId="667EC898" w14:textId="6D97E2EB" w:rsidR="00D86616" w:rsidRPr="009E6ED2" w:rsidRDefault="00D86616" w:rsidP="006A2D03">
      <w:pPr>
        <w:pStyle w:val="FootnoteText"/>
        <w:spacing w:after="0"/>
        <w:rPr>
          <w:lang w:val="es-MX"/>
        </w:rPr>
      </w:pPr>
      <w:r w:rsidRPr="00873AAD">
        <w:rPr>
          <w:rStyle w:val="FootnoteReference"/>
          <w:spacing w:val="-2"/>
          <w:sz w:val="16"/>
        </w:rPr>
        <w:footnoteRef/>
      </w:r>
      <w:r w:rsidRPr="00873AAD">
        <w:rPr>
          <w:lang w:val="es-MX"/>
        </w:rPr>
        <w:t xml:space="preserve"> </w:t>
      </w:r>
      <w:r w:rsidRPr="00873AAD">
        <w:rPr>
          <w:lang w:val="es-MX"/>
        </w:rPr>
        <w:tab/>
      </w:r>
      <w:r w:rsidRPr="000D6295">
        <w:rPr>
          <w:i/>
          <w:lang w:val="es-MX"/>
        </w:rPr>
        <w:t>Cfr. La Expresión "Leyes" en el Artículo 30 de la Convención Americana sobre Derechos Humanos. Opinión Consultiva OC-6/86</w:t>
      </w:r>
      <w:r w:rsidRPr="009E6ED2">
        <w:rPr>
          <w:lang w:val="es-MX"/>
        </w:rPr>
        <w:t xml:space="preserve"> de 9 de mayo de 1986. Serie A No. 6, </w:t>
      </w:r>
      <w:proofErr w:type="spellStart"/>
      <w:r w:rsidRPr="009E6ED2">
        <w:rPr>
          <w:lang w:val="es-MX"/>
        </w:rPr>
        <w:t>párrs</w:t>
      </w:r>
      <w:proofErr w:type="spellEnd"/>
      <w:r w:rsidRPr="009E6ED2">
        <w:rPr>
          <w:lang w:val="es-MX"/>
        </w:rPr>
        <w:t>. 35 y 37.</w:t>
      </w:r>
    </w:p>
  </w:footnote>
  <w:footnote w:id="133">
    <w:p w14:paraId="28E2526D" w14:textId="004DFA6B" w:rsidR="00D86616" w:rsidRPr="009E6ED2" w:rsidRDefault="00D86616" w:rsidP="006A2D03">
      <w:pPr>
        <w:pStyle w:val="FootnoteText"/>
        <w:spacing w:after="0"/>
        <w:rPr>
          <w:lang w:val="es-MX"/>
        </w:rPr>
      </w:pPr>
      <w:r w:rsidRPr="004C3F47">
        <w:rPr>
          <w:rStyle w:val="FootnoteReference"/>
          <w:spacing w:val="-2"/>
          <w:sz w:val="16"/>
        </w:rPr>
        <w:footnoteRef/>
      </w:r>
      <w:r w:rsidRPr="009E6ED2">
        <w:rPr>
          <w:lang w:val="es-MX"/>
        </w:rPr>
        <w:t xml:space="preserve"> </w:t>
      </w:r>
      <w:r w:rsidRPr="009E6ED2">
        <w:rPr>
          <w:lang w:val="es-MX"/>
        </w:rPr>
        <w:tab/>
      </w:r>
      <w:r w:rsidRPr="000D6295">
        <w:rPr>
          <w:i/>
          <w:lang w:val="es-MX"/>
        </w:rPr>
        <w:t>Cfr. Caso Tristán Donoso Vs. Panamá, supra</w:t>
      </w:r>
      <w:r w:rsidRPr="009E6ED2">
        <w:rPr>
          <w:lang w:val="es-MX"/>
        </w:rPr>
        <w:t>, párr. 56</w:t>
      </w:r>
      <w:r w:rsidRPr="009E6ED2">
        <w:rPr>
          <w:color w:val="000000"/>
          <w:lang w:val="es-MX"/>
        </w:rPr>
        <w:t xml:space="preserve"> y </w:t>
      </w:r>
      <w:r w:rsidRPr="00333304">
        <w:rPr>
          <w:rStyle w:val="Strong"/>
          <w:b w:val="0"/>
          <w:i/>
          <w:shd w:val="clear" w:color="auto" w:fill="FFFFFF"/>
          <w:lang w:val="es-MX"/>
        </w:rPr>
        <w:t xml:space="preserve">Caso López </w:t>
      </w:r>
      <w:proofErr w:type="spellStart"/>
      <w:r w:rsidRPr="00333304">
        <w:rPr>
          <w:rStyle w:val="Strong"/>
          <w:b w:val="0"/>
          <w:i/>
          <w:shd w:val="clear" w:color="auto" w:fill="FFFFFF"/>
          <w:lang w:val="es-MX"/>
        </w:rPr>
        <w:t>Lone</w:t>
      </w:r>
      <w:proofErr w:type="spellEnd"/>
      <w:r w:rsidRPr="00333304">
        <w:rPr>
          <w:rStyle w:val="Strong"/>
          <w:b w:val="0"/>
          <w:i/>
          <w:shd w:val="clear" w:color="auto" w:fill="FFFFFF"/>
          <w:lang w:val="es-MX"/>
        </w:rPr>
        <w:t xml:space="preserve"> Vs. Honduras</w:t>
      </w:r>
      <w:r w:rsidRPr="00333304">
        <w:rPr>
          <w:rStyle w:val="Strong"/>
          <w:b w:val="0"/>
          <w:shd w:val="clear" w:color="auto" w:fill="FFFFFF"/>
          <w:lang w:val="es-MX"/>
        </w:rPr>
        <w:t xml:space="preserve">, </w:t>
      </w:r>
      <w:r w:rsidRPr="002F31BD">
        <w:rPr>
          <w:rStyle w:val="Strong"/>
          <w:b w:val="0"/>
          <w:i/>
          <w:shd w:val="clear" w:color="auto" w:fill="FFFFFF"/>
          <w:lang w:val="es-MX"/>
        </w:rPr>
        <w:t>supra</w:t>
      </w:r>
      <w:r w:rsidRPr="00333304">
        <w:rPr>
          <w:rStyle w:val="Strong"/>
          <w:b w:val="0"/>
          <w:shd w:val="clear" w:color="auto" w:fill="FFFFFF"/>
          <w:lang w:val="es-MX"/>
        </w:rPr>
        <w:t xml:space="preserve">, </w:t>
      </w:r>
      <w:r>
        <w:rPr>
          <w:rStyle w:val="Strong"/>
          <w:b w:val="0"/>
          <w:shd w:val="clear" w:color="auto" w:fill="FFFFFF"/>
          <w:lang w:val="es-MX"/>
        </w:rPr>
        <w:t>párr. 168.</w:t>
      </w:r>
      <w:r w:rsidRPr="009E6ED2" w:rsidDel="004E3685">
        <w:rPr>
          <w:lang w:val="es-MX"/>
        </w:rPr>
        <w:t xml:space="preserve"> </w:t>
      </w:r>
    </w:p>
  </w:footnote>
  <w:footnote w:id="134">
    <w:p w14:paraId="3DC6BC1A" w14:textId="057F585E" w:rsidR="00D86616" w:rsidRPr="009E6ED2" w:rsidRDefault="00D86616" w:rsidP="006A2D03">
      <w:pPr>
        <w:pStyle w:val="FootnoteText"/>
        <w:spacing w:after="0"/>
        <w:rPr>
          <w:lang w:val="es-MX"/>
        </w:rPr>
      </w:pPr>
      <w:r w:rsidRPr="004C3F47">
        <w:rPr>
          <w:rStyle w:val="FootnoteReference"/>
          <w:sz w:val="16"/>
        </w:rPr>
        <w:footnoteRef/>
      </w:r>
      <w:r w:rsidRPr="009E6ED2">
        <w:rPr>
          <w:lang w:val="es-MX"/>
        </w:rPr>
        <w:t xml:space="preserve"> </w:t>
      </w:r>
      <w:r w:rsidRPr="009E6ED2">
        <w:rPr>
          <w:lang w:val="es-MX"/>
        </w:rPr>
        <w:tab/>
      </w:r>
      <w:r w:rsidRPr="009E6ED2">
        <w:rPr>
          <w:i/>
          <w:lang w:val="es-MX"/>
        </w:rPr>
        <w:t xml:space="preserve">Cfr. Caso </w:t>
      </w:r>
      <w:proofErr w:type="spellStart"/>
      <w:r w:rsidRPr="009E6ED2">
        <w:rPr>
          <w:i/>
          <w:lang w:val="es-MX"/>
        </w:rPr>
        <w:t>Kimel</w:t>
      </w:r>
      <w:proofErr w:type="spellEnd"/>
      <w:r w:rsidRPr="009E6ED2">
        <w:rPr>
          <w:i/>
          <w:lang w:val="es-MX"/>
        </w:rPr>
        <w:t xml:space="preserve"> Vs. Argentina, supra,</w:t>
      </w:r>
      <w:r w:rsidRPr="009E6ED2">
        <w:rPr>
          <w:lang w:val="es-MX"/>
        </w:rPr>
        <w:t xml:space="preserve"> párr. 51, y </w:t>
      </w:r>
      <w:r w:rsidRPr="00A532BE">
        <w:rPr>
          <w:i/>
          <w:lang w:val="es-MX"/>
        </w:rPr>
        <w:t xml:space="preserve">Caso </w:t>
      </w:r>
      <w:proofErr w:type="spellStart"/>
      <w:r w:rsidRPr="00A532BE">
        <w:rPr>
          <w:i/>
          <w:lang w:val="es-MX"/>
        </w:rPr>
        <w:t>Mémoli</w:t>
      </w:r>
      <w:proofErr w:type="spellEnd"/>
      <w:r w:rsidRPr="00A532BE">
        <w:rPr>
          <w:i/>
          <w:lang w:val="es-MX"/>
        </w:rPr>
        <w:t xml:space="preserve"> Vs. Argentina, supra,</w:t>
      </w:r>
      <w:r w:rsidRPr="009E6ED2">
        <w:rPr>
          <w:lang w:val="es-MX"/>
        </w:rPr>
        <w:t xml:space="preserve"> párr. 127. </w:t>
      </w:r>
    </w:p>
  </w:footnote>
  <w:footnote w:id="135">
    <w:p w14:paraId="5837F231" w14:textId="4A8C826F" w:rsidR="00D86616" w:rsidRPr="009E6ED2" w:rsidRDefault="00D86616" w:rsidP="006A2D03">
      <w:pPr>
        <w:pStyle w:val="FootnoteText"/>
        <w:spacing w:after="0"/>
        <w:rPr>
          <w:i/>
          <w:lang w:val="es-MX"/>
        </w:rPr>
      </w:pPr>
      <w:r w:rsidRPr="004C3F47">
        <w:rPr>
          <w:rStyle w:val="FootnoteReference"/>
          <w:sz w:val="16"/>
        </w:rPr>
        <w:footnoteRef/>
      </w:r>
      <w:r w:rsidRPr="009E6ED2">
        <w:rPr>
          <w:lang w:val="es-MX"/>
        </w:rPr>
        <w:t xml:space="preserve"> </w:t>
      </w:r>
      <w:r w:rsidRPr="009E6ED2">
        <w:rPr>
          <w:lang w:val="es-MX"/>
        </w:rPr>
        <w:tab/>
        <w:t xml:space="preserve">El artículo 30 de la Convención Americana (sobre el alcance de las restricciones), señala que las restricciones permitidas, “no puede ser aplicadas sino conforme a leyes que se dictaren por razones de interés general y con el propósito para el cual han sido establecidas”. </w:t>
      </w:r>
      <w:r w:rsidRPr="009E6ED2">
        <w:rPr>
          <w:i/>
          <w:lang w:val="es-MX"/>
        </w:rPr>
        <w:t xml:space="preserve">Cfr. La Expresión "Leyes" en el Artículo 30 de la Convención Americana sobre Derechos Humanos OC-6/86, supra, </w:t>
      </w:r>
      <w:r w:rsidRPr="009E6ED2">
        <w:rPr>
          <w:lang w:val="es-MX"/>
        </w:rPr>
        <w:t>párr. 38. Asimismo, el artículo 32 de la misma establece la correlación entre deberes y derechos, precisando que los derechos de cada persona están limitados por los derechos de los demás […].</w:t>
      </w:r>
      <w:r>
        <w:rPr>
          <w:lang w:val="es-MX"/>
        </w:rPr>
        <w:t xml:space="preserve"> </w:t>
      </w:r>
      <w:r w:rsidRPr="009E6ED2">
        <w:rPr>
          <w:i/>
          <w:lang w:val="es-MX"/>
        </w:rPr>
        <w:t>Cfr. La Colegiación obligatoria de periodistas OC-5/85, supra,</w:t>
      </w:r>
      <w:r w:rsidRPr="009E6ED2">
        <w:rPr>
          <w:lang w:val="es-MX"/>
        </w:rPr>
        <w:t xml:space="preserve"> párr. 65. </w:t>
      </w:r>
    </w:p>
  </w:footnote>
  <w:footnote w:id="136">
    <w:p w14:paraId="734C8A3C" w14:textId="7E9AE776" w:rsidR="00D86616" w:rsidRPr="009E6ED2" w:rsidRDefault="00D86616" w:rsidP="006A2D03">
      <w:pPr>
        <w:pStyle w:val="FootnoteText"/>
        <w:spacing w:after="0"/>
        <w:rPr>
          <w:lang w:val="es-MX"/>
        </w:rPr>
      </w:pPr>
      <w:r w:rsidRPr="004C3F47">
        <w:rPr>
          <w:rStyle w:val="FootnoteReference"/>
          <w:sz w:val="16"/>
        </w:rPr>
        <w:footnoteRef/>
      </w:r>
      <w:r w:rsidRPr="009E6ED2">
        <w:rPr>
          <w:lang w:val="es-MX"/>
        </w:rPr>
        <w:t xml:space="preserve"> </w:t>
      </w:r>
      <w:r w:rsidRPr="009E6ED2">
        <w:rPr>
          <w:lang w:val="es-MX"/>
        </w:rPr>
        <w:tab/>
      </w:r>
      <w:r w:rsidRPr="000D6295">
        <w:rPr>
          <w:i/>
          <w:lang w:val="es-MX"/>
        </w:rPr>
        <w:t xml:space="preserve">Cfr. Caso </w:t>
      </w:r>
      <w:proofErr w:type="spellStart"/>
      <w:r w:rsidRPr="000D6295">
        <w:rPr>
          <w:i/>
          <w:lang w:val="es-MX"/>
        </w:rPr>
        <w:t>Mémoli</w:t>
      </w:r>
      <w:proofErr w:type="spellEnd"/>
      <w:r w:rsidRPr="000D6295">
        <w:rPr>
          <w:i/>
          <w:lang w:val="es-MX"/>
        </w:rPr>
        <w:t xml:space="preserve"> Vs. Argentina</w:t>
      </w:r>
      <w:r w:rsidRPr="009E6ED2">
        <w:rPr>
          <w:lang w:val="es-MX"/>
        </w:rPr>
        <w:t xml:space="preserve">, </w:t>
      </w:r>
      <w:r w:rsidRPr="00A532BE">
        <w:rPr>
          <w:i/>
          <w:lang w:val="es-MX"/>
        </w:rPr>
        <w:t>supra,</w:t>
      </w:r>
      <w:r w:rsidRPr="009E6ED2">
        <w:rPr>
          <w:lang w:val="es-MX"/>
        </w:rPr>
        <w:t xml:space="preserve"> párr. 130.</w:t>
      </w:r>
    </w:p>
  </w:footnote>
  <w:footnote w:id="137">
    <w:p w14:paraId="67BA070C" w14:textId="77777777" w:rsidR="00D86616" w:rsidRPr="009E6ED2" w:rsidRDefault="00D86616" w:rsidP="006A2D03">
      <w:pPr>
        <w:pStyle w:val="FootnoteText"/>
        <w:spacing w:after="0"/>
        <w:rPr>
          <w:lang w:val="es-MX"/>
        </w:rPr>
      </w:pPr>
      <w:r w:rsidRPr="004C3F47">
        <w:rPr>
          <w:rStyle w:val="FootnoteReference"/>
          <w:sz w:val="16"/>
        </w:rPr>
        <w:footnoteRef/>
      </w:r>
      <w:r w:rsidRPr="009E6ED2">
        <w:rPr>
          <w:lang w:val="es-MX"/>
        </w:rPr>
        <w:t xml:space="preserve"> </w:t>
      </w:r>
      <w:r w:rsidRPr="009E6ED2">
        <w:rPr>
          <w:lang w:val="es-MX"/>
        </w:rPr>
        <w:tab/>
        <w:t xml:space="preserve">Escrito del señor Lagos del Campo de 28 de junio de 1989 dirigido al señor Miguel </w:t>
      </w:r>
      <w:proofErr w:type="spellStart"/>
      <w:r w:rsidRPr="009E6ED2">
        <w:rPr>
          <w:lang w:val="es-MX"/>
        </w:rPr>
        <w:t>Balbi</w:t>
      </w:r>
      <w:proofErr w:type="spellEnd"/>
      <w:r w:rsidRPr="009E6ED2">
        <w:rPr>
          <w:lang w:val="es-MX"/>
        </w:rPr>
        <w:t xml:space="preserve">, Gerente de Relaciones Industriales, Conductores Eléctricos Peruanos S. A. CEPER – PIRELLI, con sello de recibido de la empresa de 30 de junio de 1989. (expediente de prueba anexo 5 a la contestación del Estado, </w:t>
      </w:r>
      <w:proofErr w:type="spellStart"/>
      <w:r w:rsidRPr="009E6ED2">
        <w:rPr>
          <w:lang w:val="es-MX"/>
        </w:rPr>
        <w:t>ff</w:t>
      </w:r>
      <w:proofErr w:type="spellEnd"/>
      <w:r w:rsidRPr="009E6ED2">
        <w:rPr>
          <w:lang w:val="es-MX"/>
        </w:rPr>
        <w:t>. 1460 a 1463).</w:t>
      </w:r>
    </w:p>
  </w:footnote>
  <w:footnote w:id="138">
    <w:p w14:paraId="7DB7A0D8" w14:textId="58A8196B" w:rsidR="00D86616" w:rsidRPr="009E6ED2" w:rsidRDefault="00D86616" w:rsidP="006A2D03">
      <w:pPr>
        <w:pStyle w:val="FootnoteText"/>
        <w:spacing w:after="0"/>
        <w:rPr>
          <w:lang w:val="es-MX"/>
        </w:rPr>
      </w:pPr>
      <w:r w:rsidRPr="004C3F47">
        <w:rPr>
          <w:rStyle w:val="FootnoteReference"/>
          <w:sz w:val="16"/>
        </w:rPr>
        <w:footnoteRef/>
      </w:r>
      <w:r w:rsidRPr="009E6ED2">
        <w:rPr>
          <w:lang w:val="es-MX"/>
        </w:rPr>
        <w:t xml:space="preserve"> </w:t>
      </w:r>
      <w:r w:rsidRPr="009E6ED2">
        <w:rPr>
          <w:lang w:val="es-MX"/>
        </w:rPr>
        <w:tab/>
      </w:r>
      <w:r w:rsidRPr="009E6ED2">
        <w:rPr>
          <w:i/>
          <w:lang w:val="es-MX"/>
        </w:rPr>
        <w:t>Cfr.</w:t>
      </w:r>
      <w:r w:rsidRPr="009E6ED2">
        <w:rPr>
          <w:lang w:val="es-MX"/>
        </w:rPr>
        <w:t xml:space="preserve"> Presidente de la República de Perú. Decreto Ley 21789. Ley de la Comunidad Industrial de 1 de febrero de 1977, Art. 14, 20 y 26. (expediente de prueba, anexo 1 del escrito de solicitudes y argumentos, ff.1390 a 1399).</w:t>
      </w:r>
    </w:p>
  </w:footnote>
  <w:footnote w:id="139">
    <w:p w14:paraId="08A28797" w14:textId="5FB20A3E" w:rsidR="00D86616" w:rsidRPr="009E6ED2" w:rsidRDefault="00D86616" w:rsidP="006A2D03">
      <w:pPr>
        <w:pStyle w:val="FootnoteText"/>
        <w:spacing w:after="0"/>
        <w:rPr>
          <w:lang w:val="es-MX"/>
        </w:rPr>
      </w:pPr>
      <w:r w:rsidRPr="004C3F47">
        <w:rPr>
          <w:rStyle w:val="FootnoteReference"/>
          <w:sz w:val="16"/>
        </w:rPr>
        <w:footnoteRef/>
      </w:r>
      <w:r w:rsidRPr="009E6ED2">
        <w:rPr>
          <w:lang w:val="es-MX"/>
        </w:rPr>
        <w:t xml:space="preserve"> </w:t>
      </w:r>
      <w:r w:rsidRPr="009E6ED2">
        <w:rPr>
          <w:lang w:val="es-MX"/>
        </w:rPr>
        <w:tab/>
      </w:r>
      <w:r w:rsidRPr="009E6ED2">
        <w:rPr>
          <w:i/>
          <w:lang w:val="es-MX"/>
        </w:rPr>
        <w:t xml:space="preserve">Cfr. </w:t>
      </w:r>
      <w:r w:rsidRPr="009E6ED2">
        <w:rPr>
          <w:lang w:val="es-MX"/>
        </w:rPr>
        <w:t xml:space="preserve">Declaración pericial César José González </w:t>
      </w:r>
      <w:proofErr w:type="spellStart"/>
      <w:r w:rsidRPr="009E6ED2">
        <w:rPr>
          <w:lang w:val="es-MX"/>
        </w:rPr>
        <w:t>Hunt</w:t>
      </w:r>
      <w:proofErr w:type="spellEnd"/>
      <w:r w:rsidRPr="009E6ED2">
        <w:rPr>
          <w:lang w:val="es-MX"/>
        </w:rPr>
        <w:t xml:space="preserve"> (expediente de prueba, anexo 1 alegatos finales escritos, f. 1486) y Dictamen Omar </w:t>
      </w:r>
      <w:proofErr w:type="spellStart"/>
      <w:r w:rsidRPr="009E6ED2">
        <w:rPr>
          <w:lang w:val="es-MX"/>
        </w:rPr>
        <w:t>Sar</w:t>
      </w:r>
      <w:proofErr w:type="spellEnd"/>
      <w:r w:rsidRPr="009E6ED2">
        <w:rPr>
          <w:lang w:val="es-MX"/>
        </w:rPr>
        <w:t xml:space="preserve"> Suárez (expediente de fondo f. 519.).</w:t>
      </w:r>
    </w:p>
  </w:footnote>
  <w:footnote w:id="140">
    <w:p w14:paraId="5E386EC4" w14:textId="090C79DF" w:rsidR="00D86616" w:rsidRPr="009E6ED2" w:rsidRDefault="00D86616" w:rsidP="006A2D03">
      <w:pPr>
        <w:pStyle w:val="FootnoteText"/>
        <w:spacing w:after="0"/>
        <w:rPr>
          <w:lang w:val="es-MX"/>
        </w:rPr>
      </w:pPr>
      <w:r w:rsidRPr="000023EA">
        <w:rPr>
          <w:rStyle w:val="FootnoteReference"/>
          <w:sz w:val="16"/>
        </w:rPr>
        <w:footnoteRef/>
      </w:r>
      <w:r w:rsidRPr="009E6ED2">
        <w:rPr>
          <w:lang w:val="es-MX"/>
        </w:rPr>
        <w:t xml:space="preserve"> </w:t>
      </w:r>
      <w:r w:rsidRPr="009E6ED2">
        <w:rPr>
          <w:lang w:val="es-MX"/>
        </w:rPr>
        <w:tab/>
        <w:t xml:space="preserve">Declaración escrita del perito Cesar Gonzáles </w:t>
      </w:r>
      <w:proofErr w:type="spellStart"/>
      <w:r w:rsidRPr="009E6ED2">
        <w:rPr>
          <w:lang w:val="es-MX"/>
        </w:rPr>
        <w:t>Hunt</w:t>
      </w:r>
      <w:proofErr w:type="spellEnd"/>
      <w:r w:rsidRPr="009E6ED2">
        <w:rPr>
          <w:lang w:val="es-MX"/>
        </w:rPr>
        <w:t xml:space="preserve"> ante la Corte Interamericana. En la misma, se hizo referencia a que “según los órganos jurisdiccionales”, “[l]a Comunidad Industrial y el Sindicato de trabajadores son instituciones encaminadas a proteger al trabajador en su acción para el logro de beneficios sociales y económicos y tienen características propias que configuran su independencia. Los objetivos de la Comunidad Industrial y del Sindicato son diferentes, lo que no significa que sean antagónicos debiendo actuar coordinadamente en su respectivo campo de acción en beneficio de los trabajadores (Expediente N° 56-56 – Juzgado de Iquitos)”. En similar sentido, se apuntó que “[l]a Comunidad Industrial y el Sindicato de trabajadores son instituciones encaminadas a proteger al trabajador en su acción para el logro de beneficios sociales y económicos y tienen características propias que configuran su independencia. Los objetivos del sindicato y de la comunidad industrial son diferentes, lo que no significa que sean antagónicos debiendo actuar coordinadamente en su respectivo campo de acción en beneficio de los trabajadores. (Revista Actualidad Laboral, agosto 1976)” (expediente de prueba, anexos a los alegatos finales, f. 1416).</w:t>
      </w:r>
    </w:p>
  </w:footnote>
  <w:footnote w:id="141">
    <w:p w14:paraId="35FE36E9" w14:textId="6897498C" w:rsidR="00D86616" w:rsidRPr="009E6ED2" w:rsidRDefault="00D86616" w:rsidP="006A2D03">
      <w:pPr>
        <w:pStyle w:val="FootnoteText"/>
        <w:spacing w:after="0"/>
        <w:rPr>
          <w:lang w:val="es-MX"/>
        </w:rPr>
      </w:pPr>
      <w:r w:rsidRPr="004C3F47">
        <w:rPr>
          <w:rStyle w:val="FootnoteReference"/>
          <w:sz w:val="16"/>
        </w:rPr>
        <w:footnoteRef/>
      </w:r>
      <w:r w:rsidRPr="009E6ED2">
        <w:rPr>
          <w:lang w:val="es-MX"/>
        </w:rPr>
        <w:t xml:space="preserve"> </w:t>
      </w:r>
      <w:r w:rsidRPr="009E6ED2">
        <w:rPr>
          <w:lang w:val="es-MX"/>
        </w:rPr>
        <w:tab/>
        <w:t>A pregunta expresa, La Razón señaló: “Ante estos atropellos de la patronal, ¿Cuáles son las medidas que ha tomado usted en su calidad de Presidente del Comité Electoral?”.</w:t>
      </w:r>
    </w:p>
  </w:footnote>
  <w:footnote w:id="142">
    <w:p w14:paraId="54C70B42" w14:textId="2F67386D" w:rsidR="00D86616" w:rsidRPr="009E6ED2" w:rsidRDefault="00D86616" w:rsidP="006A2D03">
      <w:pPr>
        <w:pStyle w:val="FootnoteText"/>
        <w:spacing w:after="0"/>
        <w:rPr>
          <w:lang w:val="es-MX"/>
        </w:rPr>
      </w:pPr>
      <w:r w:rsidRPr="004C3F47">
        <w:rPr>
          <w:rStyle w:val="FootnoteReference"/>
          <w:sz w:val="16"/>
        </w:rPr>
        <w:footnoteRef/>
      </w:r>
      <w:r w:rsidRPr="009E6ED2">
        <w:rPr>
          <w:lang w:val="es-MX"/>
        </w:rPr>
        <w:t xml:space="preserve"> </w:t>
      </w:r>
      <w:r w:rsidRPr="009E6ED2">
        <w:rPr>
          <w:lang w:val="es-MX"/>
        </w:rPr>
        <w:tab/>
      </w:r>
      <w:r w:rsidRPr="009E6ED2">
        <w:rPr>
          <w:i/>
          <w:lang w:val="es-MX"/>
        </w:rPr>
        <w:t>Cfr.</w:t>
      </w:r>
      <w:r w:rsidRPr="009E6ED2">
        <w:rPr>
          <w:lang w:val="es-MX"/>
        </w:rPr>
        <w:t xml:space="preserve"> Recomendación sobre los representantes de los trabajadores, 1971 (núm. 143), OIT, Recomendación sobre la protección y facilidades que deben otorgarse a los representantes de los trabajadores en la empresa. Sesión de la Conferencia: 56, fecha de adopción 23 de junio de 1971. </w:t>
      </w:r>
      <w:r w:rsidRPr="009E6ED2">
        <w:rPr>
          <w:lang w:val="es-MX"/>
        </w:rPr>
        <w:tab/>
      </w:r>
    </w:p>
  </w:footnote>
  <w:footnote w:id="143">
    <w:p w14:paraId="34D2DF80" w14:textId="7C4E79CA" w:rsidR="00D86616" w:rsidRPr="009E6ED2" w:rsidRDefault="00D86616" w:rsidP="006A2D03">
      <w:pPr>
        <w:pStyle w:val="FootnoteText"/>
        <w:spacing w:after="0"/>
        <w:rPr>
          <w:lang w:val="es-MX"/>
        </w:rPr>
      </w:pPr>
      <w:r w:rsidRPr="004C3F47">
        <w:rPr>
          <w:rStyle w:val="FootnoteReference"/>
          <w:sz w:val="16"/>
        </w:rPr>
        <w:footnoteRef/>
      </w:r>
      <w:r w:rsidRPr="009E6ED2">
        <w:rPr>
          <w:lang w:val="es-MX"/>
        </w:rPr>
        <w:t xml:space="preserve"> </w:t>
      </w:r>
      <w:r w:rsidRPr="009E6ED2">
        <w:rPr>
          <w:lang w:val="es-MX"/>
        </w:rPr>
        <w:tab/>
      </w:r>
      <w:r w:rsidRPr="00BD701A">
        <w:rPr>
          <w:i/>
          <w:lang w:val="es-MX"/>
        </w:rPr>
        <w:t>Cfr.</w:t>
      </w:r>
      <w:r w:rsidRPr="009E6ED2">
        <w:rPr>
          <w:lang w:val="es-MX"/>
        </w:rPr>
        <w:t xml:space="preserve"> </w:t>
      </w:r>
      <w:r w:rsidRPr="000D6295">
        <w:rPr>
          <w:i/>
          <w:lang w:val="es-MX"/>
        </w:rPr>
        <w:t xml:space="preserve">Caso </w:t>
      </w:r>
      <w:proofErr w:type="spellStart"/>
      <w:r w:rsidRPr="000D6295">
        <w:rPr>
          <w:i/>
          <w:lang w:val="es-MX"/>
        </w:rPr>
        <w:t>Memolí</w:t>
      </w:r>
      <w:proofErr w:type="spellEnd"/>
      <w:r w:rsidRPr="000D6295">
        <w:rPr>
          <w:i/>
          <w:lang w:val="es-MX"/>
        </w:rPr>
        <w:t xml:space="preserve"> Vs. Argentina, supra</w:t>
      </w:r>
      <w:r w:rsidRPr="009E6ED2">
        <w:rPr>
          <w:lang w:val="es-MX"/>
        </w:rPr>
        <w:t>, párr. 145.</w:t>
      </w:r>
    </w:p>
  </w:footnote>
  <w:footnote w:id="144">
    <w:p w14:paraId="18D4F0D1" w14:textId="6A14B65D" w:rsidR="00D86616" w:rsidRPr="004C3F47" w:rsidRDefault="00D86616" w:rsidP="006A2D03">
      <w:pPr>
        <w:tabs>
          <w:tab w:val="left" w:pos="567"/>
        </w:tabs>
        <w:jc w:val="both"/>
        <w:rPr>
          <w:rFonts w:ascii="Verdana" w:hAnsi="Verdana"/>
          <w:spacing w:val="-2"/>
          <w:sz w:val="16"/>
          <w:szCs w:val="16"/>
        </w:rPr>
      </w:pPr>
      <w:r w:rsidRPr="004C3F47">
        <w:rPr>
          <w:rStyle w:val="FootnoteReference"/>
          <w:spacing w:val="-2"/>
          <w:sz w:val="16"/>
          <w:szCs w:val="16"/>
        </w:rPr>
        <w:footnoteRef/>
      </w:r>
      <w:r w:rsidRPr="004C3F47">
        <w:rPr>
          <w:rStyle w:val="FootnoteReference"/>
          <w:spacing w:val="-2"/>
          <w:sz w:val="16"/>
          <w:szCs w:val="16"/>
        </w:rPr>
        <w:t xml:space="preserve"> </w:t>
      </w:r>
      <w:r w:rsidRPr="004C3F47">
        <w:rPr>
          <w:rFonts w:ascii="Verdana" w:hAnsi="Verdana"/>
          <w:spacing w:val="-2"/>
          <w:sz w:val="16"/>
          <w:szCs w:val="16"/>
        </w:rPr>
        <w:tab/>
      </w:r>
      <w:r w:rsidRPr="00F77B70">
        <w:rPr>
          <w:rFonts w:ascii="Verdana" w:hAnsi="Verdana"/>
          <w:i/>
          <w:spacing w:val="-2"/>
          <w:sz w:val="16"/>
          <w:szCs w:val="16"/>
        </w:rPr>
        <w:t>Cfr.</w:t>
      </w:r>
      <w:r w:rsidRPr="00333304">
        <w:rPr>
          <w:rFonts w:ascii="Verdana" w:hAnsi="Verdana"/>
          <w:spacing w:val="-2"/>
          <w:sz w:val="16"/>
          <w:szCs w:val="16"/>
        </w:rPr>
        <w:t xml:space="preserve"> </w:t>
      </w:r>
      <w:r w:rsidRPr="000B2D2B">
        <w:rPr>
          <w:rFonts w:ascii="Verdana" w:hAnsi="Verdana"/>
          <w:i/>
          <w:spacing w:val="-2"/>
          <w:sz w:val="16"/>
          <w:szCs w:val="16"/>
        </w:rPr>
        <w:t>Caso Tristán Donoso Vs. Panamá</w:t>
      </w:r>
      <w:r w:rsidRPr="004C3F47">
        <w:rPr>
          <w:rFonts w:ascii="Verdana" w:hAnsi="Verdana"/>
          <w:i/>
          <w:spacing w:val="-2"/>
          <w:sz w:val="16"/>
          <w:szCs w:val="16"/>
        </w:rPr>
        <w:t xml:space="preserve">, </w:t>
      </w:r>
      <w:r w:rsidRPr="002F31BD">
        <w:rPr>
          <w:rFonts w:ascii="Verdana" w:hAnsi="Verdana"/>
          <w:i/>
          <w:spacing w:val="-2"/>
          <w:sz w:val="16"/>
          <w:szCs w:val="16"/>
        </w:rPr>
        <w:t>supra</w:t>
      </w:r>
      <w:r w:rsidRPr="004C3F47">
        <w:rPr>
          <w:rFonts w:ascii="Verdana" w:hAnsi="Verdana"/>
          <w:i/>
          <w:iCs/>
          <w:spacing w:val="-2"/>
          <w:sz w:val="16"/>
          <w:szCs w:val="16"/>
        </w:rPr>
        <w:t xml:space="preserve">, </w:t>
      </w:r>
      <w:r w:rsidRPr="004C3F47">
        <w:rPr>
          <w:rFonts w:ascii="Verdana" w:hAnsi="Verdana"/>
          <w:iCs/>
          <w:spacing w:val="-2"/>
          <w:sz w:val="16"/>
          <w:szCs w:val="16"/>
        </w:rPr>
        <w:t>párr. 51,</w:t>
      </w:r>
      <w:r w:rsidRPr="004C3F47">
        <w:rPr>
          <w:rFonts w:ascii="Verdana" w:hAnsi="Verdana"/>
          <w:i/>
          <w:iCs/>
          <w:spacing w:val="-2"/>
          <w:sz w:val="16"/>
          <w:szCs w:val="16"/>
        </w:rPr>
        <w:t xml:space="preserve"> </w:t>
      </w:r>
      <w:r w:rsidRPr="004C3F47">
        <w:rPr>
          <w:rFonts w:ascii="Verdana" w:hAnsi="Verdana"/>
          <w:iCs/>
          <w:spacing w:val="-2"/>
          <w:sz w:val="16"/>
          <w:szCs w:val="16"/>
        </w:rPr>
        <w:t>y</w:t>
      </w:r>
      <w:r w:rsidRPr="004C3F47">
        <w:rPr>
          <w:rFonts w:ascii="Verdana" w:hAnsi="Verdana"/>
          <w:i/>
          <w:iCs/>
          <w:spacing w:val="-2"/>
          <w:sz w:val="16"/>
          <w:szCs w:val="16"/>
        </w:rPr>
        <w:t xml:space="preserve"> </w:t>
      </w:r>
      <w:r w:rsidRPr="000B2D2B">
        <w:rPr>
          <w:rFonts w:ascii="Verdana" w:hAnsi="Verdana"/>
          <w:i/>
          <w:iCs/>
          <w:spacing w:val="-2"/>
          <w:sz w:val="16"/>
          <w:szCs w:val="16"/>
        </w:rPr>
        <w:t xml:space="preserve">Caso </w:t>
      </w:r>
      <w:proofErr w:type="spellStart"/>
      <w:r w:rsidRPr="000B2D2B">
        <w:rPr>
          <w:rFonts w:ascii="Verdana" w:hAnsi="Verdana"/>
          <w:i/>
          <w:iCs/>
          <w:spacing w:val="-2"/>
          <w:sz w:val="16"/>
          <w:szCs w:val="16"/>
        </w:rPr>
        <w:t>Fontevecchia</w:t>
      </w:r>
      <w:proofErr w:type="spellEnd"/>
      <w:r w:rsidRPr="000B2D2B">
        <w:rPr>
          <w:rFonts w:ascii="Verdana" w:hAnsi="Verdana"/>
          <w:i/>
          <w:iCs/>
          <w:spacing w:val="-2"/>
          <w:sz w:val="16"/>
          <w:szCs w:val="16"/>
        </w:rPr>
        <w:t xml:space="preserve"> y </w:t>
      </w:r>
      <w:proofErr w:type="spellStart"/>
      <w:r w:rsidRPr="000B2D2B">
        <w:rPr>
          <w:rFonts w:ascii="Verdana" w:hAnsi="Verdana"/>
          <w:i/>
          <w:iCs/>
          <w:spacing w:val="-2"/>
          <w:sz w:val="16"/>
          <w:szCs w:val="16"/>
        </w:rPr>
        <w:t>D’Amico</w:t>
      </w:r>
      <w:proofErr w:type="spellEnd"/>
      <w:r w:rsidRPr="000B2D2B">
        <w:rPr>
          <w:rFonts w:ascii="Verdana" w:hAnsi="Verdana"/>
          <w:i/>
          <w:iCs/>
          <w:spacing w:val="-2"/>
          <w:sz w:val="16"/>
          <w:szCs w:val="16"/>
        </w:rPr>
        <w:t xml:space="preserve"> Vs. Argentina</w:t>
      </w:r>
      <w:r w:rsidRPr="004C3F47">
        <w:rPr>
          <w:rFonts w:ascii="Verdana" w:hAnsi="Verdana"/>
          <w:i/>
          <w:iCs/>
          <w:spacing w:val="-2"/>
          <w:sz w:val="16"/>
          <w:szCs w:val="16"/>
        </w:rPr>
        <w:t xml:space="preserve">, </w:t>
      </w:r>
      <w:r w:rsidRPr="002F31BD">
        <w:rPr>
          <w:rFonts w:ascii="Verdana" w:hAnsi="Verdana"/>
          <w:i/>
          <w:iCs/>
          <w:spacing w:val="-2"/>
          <w:sz w:val="16"/>
          <w:szCs w:val="16"/>
        </w:rPr>
        <w:t>supra</w:t>
      </w:r>
      <w:r w:rsidRPr="004C3F47">
        <w:rPr>
          <w:rFonts w:ascii="Verdana" w:hAnsi="Verdana"/>
          <w:spacing w:val="-2"/>
          <w:sz w:val="16"/>
          <w:szCs w:val="16"/>
        </w:rPr>
        <w:t xml:space="preserve">, párr. 61; </w:t>
      </w:r>
      <w:r w:rsidRPr="005D45A8">
        <w:rPr>
          <w:rFonts w:ascii="Verdana" w:hAnsi="Verdana"/>
          <w:i/>
          <w:spacing w:val="-2"/>
          <w:sz w:val="16"/>
          <w:szCs w:val="16"/>
        </w:rPr>
        <w:t xml:space="preserve">Caso </w:t>
      </w:r>
      <w:proofErr w:type="spellStart"/>
      <w:r w:rsidRPr="005D45A8">
        <w:rPr>
          <w:rFonts w:ascii="Verdana" w:hAnsi="Verdana"/>
          <w:i/>
          <w:spacing w:val="-2"/>
          <w:sz w:val="16"/>
          <w:szCs w:val="16"/>
        </w:rPr>
        <w:t>Memolí</w:t>
      </w:r>
      <w:proofErr w:type="spellEnd"/>
      <w:r w:rsidRPr="005D45A8">
        <w:rPr>
          <w:rFonts w:ascii="Verdana" w:hAnsi="Verdana"/>
          <w:i/>
          <w:spacing w:val="-2"/>
          <w:sz w:val="16"/>
          <w:szCs w:val="16"/>
        </w:rPr>
        <w:t xml:space="preserve"> Vs. Argentina</w:t>
      </w:r>
      <w:r w:rsidRPr="00755C5A">
        <w:rPr>
          <w:rFonts w:ascii="Verdana" w:hAnsi="Verdana"/>
          <w:spacing w:val="-2"/>
          <w:sz w:val="16"/>
          <w:szCs w:val="16"/>
        </w:rPr>
        <w:t>,</w:t>
      </w:r>
      <w:r w:rsidRPr="004C3F47">
        <w:rPr>
          <w:rFonts w:ascii="Verdana" w:hAnsi="Verdana"/>
          <w:spacing w:val="-2"/>
          <w:sz w:val="16"/>
          <w:szCs w:val="16"/>
        </w:rPr>
        <w:t xml:space="preserve"> </w:t>
      </w:r>
      <w:r w:rsidRPr="00333304">
        <w:rPr>
          <w:rFonts w:ascii="Verdana" w:hAnsi="Verdana"/>
          <w:i/>
          <w:spacing w:val="-2"/>
          <w:sz w:val="16"/>
          <w:szCs w:val="16"/>
        </w:rPr>
        <w:t>supra,</w:t>
      </w:r>
      <w:r>
        <w:rPr>
          <w:rFonts w:ascii="Verdana" w:hAnsi="Verdana"/>
          <w:spacing w:val="-2"/>
          <w:sz w:val="16"/>
          <w:szCs w:val="16"/>
        </w:rPr>
        <w:t xml:space="preserve"> </w:t>
      </w:r>
      <w:proofErr w:type="spellStart"/>
      <w:r w:rsidRPr="004C3F47">
        <w:rPr>
          <w:rFonts w:ascii="Verdana" w:hAnsi="Verdana"/>
          <w:spacing w:val="-2"/>
          <w:sz w:val="16"/>
          <w:szCs w:val="16"/>
        </w:rPr>
        <w:t>párrs</w:t>
      </w:r>
      <w:proofErr w:type="spellEnd"/>
      <w:r w:rsidRPr="004C3F47">
        <w:rPr>
          <w:rFonts w:ascii="Verdana" w:hAnsi="Verdana"/>
          <w:spacing w:val="-2"/>
          <w:sz w:val="16"/>
          <w:szCs w:val="16"/>
        </w:rPr>
        <w:t>. 145 y 146</w:t>
      </w:r>
      <w:r>
        <w:rPr>
          <w:rFonts w:ascii="Verdana" w:hAnsi="Verdana"/>
          <w:spacing w:val="-2"/>
          <w:sz w:val="16"/>
          <w:szCs w:val="16"/>
        </w:rPr>
        <w:t>.</w:t>
      </w:r>
    </w:p>
  </w:footnote>
  <w:footnote w:id="145">
    <w:p w14:paraId="3C27480F" w14:textId="6DFEF5D5" w:rsidR="00D86616" w:rsidRPr="009E6ED2" w:rsidRDefault="00D86616" w:rsidP="006A2D03">
      <w:pPr>
        <w:pStyle w:val="FootnoteText"/>
        <w:spacing w:after="0"/>
        <w:rPr>
          <w:lang w:val="es-MX"/>
        </w:rPr>
      </w:pPr>
      <w:r w:rsidRPr="004C3F47">
        <w:rPr>
          <w:rStyle w:val="FootnoteReference"/>
          <w:sz w:val="16"/>
        </w:rPr>
        <w:footnoteRef/>
      </w:r>
      <w:r w:rsidRPr="009E6ED2">
        <w:rPr>
          <w:lang w:val="es-MX"/>
        </w:rPr>
        <w:t xml:space="preserve"> </w:t>
      </w:r>
      <w:r w:rsidRPr="009E6ED2">
        <w:rPr>
          <w:lang w:val="es-MX"/>
        </w:rPr>
        <w:tab/>
      </w:r>
      <w:r w:rsidRPr="009E6ED2">
        <w:rPr>
          <w:i/>
          <w:lang w:val="es-MX"/>
        </w:rPr>
        <w:t xml:space="preserve">Cfr. </w:t>
      </w:r>
      <w:r w:rsidRPr="004868B2">
        <w:rPr>
          <w:lang w:val="es-MX"/>
        </w:rPr>
        <w:t>TEDH</w:t>
      </w:r>
      <w:r w:rsidRPr="009E6ED2">
        <w:rPr>
          <w:i/>
          <w:lang w:val="es-MX"/>
        </w:rPr>
        <w:t xml:space="preserve"> Caso Palomo Sánchez y otros Vs. España</w:t>
      </w:r>
      <w:r w:rsidRPr="009E6ED2">
        <w:rPr>
          <w:lang w:val="es-MX"/>
        </w:rPr>
        <w:t xml:space="preserve"> [GS], No. 28955/06, No. 28957, No. 28959/06; No. 28964/06. Sentencia de 12 de septiembre de 2011, párr. 72. En este caso el Tribunal Europeo señaló que no compartía la tesis del Gobierno según la cual el contenido de los artículos enjuiciados no planteaba ninguna cuestión de interés público (apartado 44 </w:t>
      </w:r>
      <w:r w:rsidRPr="009E6ED2">
        <w:rPr>
          <w:i/>
          <w:lang w:val="es-MX"/>
        </w:rPr>
        <w:t>supra</w:t>
      </w:r>
      <w:r w:rsidRPr="009E6ED2">
        <w:rPr>
          <w:lang w:val="es-MX"/>
        </w:rPr>
        <w:t xml:space="preserve">). La publicación incriminada se producía en el marco de un conflicto laboral en la empresa frente a la que los interesados reivindicaban unos derechos. El papel primordial de tal publicación «debería ser tratar en sus columnas los problemas que afecten, principalmente, a la defensa y promoción de los intereses de sus afiliados y, más generalmente, del mundo del trabajo. (apartado 24 </w:t>
      </w:r>
      <w:r w:rsidRPr="009E6ED2">
        <w:rPr>
          <w:i/>
          <w:lang w:val="es-MX"/>
        </w:rPr>
        <w:t>supra</w:t>
      </w:r>
      <w:r w:rsidRPr="009E6ED2">
        <w:rPr>
          <w:lang w:val="es-MX"/>
        </w:rPr>
        <w:t xml:space="preserve">, concretamente Recopilación OIT, ap. 170). El debate no era pues puramente privado; se trataba cuando menos de una cuestión de interés general para los trabajadores de la empresa P. (véase, </w:t>
      </w:r>
      <w:r w:rsidRPr="009E6ED2">
        <w:rPr>
          <w:i/>
          <w:lang w:val="es-MX"/>
        </w:rPr>
        <w:t>mutatis mutandi</w:t>
      </w:r>
      <w:r w:rsidRPr="009E6ED2">
        <w:rPr>
          <w:lang w:val="es-MX"/>
        </w:rPr>
        <w:t>s, T</w:t>
      </w:r>
      <w:r w:rsidRPr="009E6ED2">
        <w:rPr>
          <w:i/>
          <w:lang w:val="es-MX"/>
        </w:rPr>
        <w:t xml:space="preserve">EDH, Caso </w:t>
      </w:r>
      <w:proofErr w:type="spellStart"/>
      <w:r w:rsidRPr="009E6ED2">
        <w:rPr>
          <w:i/>
          <w:lang w:val="es-MX"/>
        </w:rPr>
        <w:t>Fressoz</w:t>
      </w:r>
      <w:proofErr w:type="spellEnd"/>
      <w:r w:rsidRPr="009E6ED2">
        <w:rPr>
          <w:i/>
          <w:lang w:val="es-MX"/>
        </w:rPr>
        <w:t xml:space="preserve"> y </w:t>
      </w:r>
      <w:proofErr w:type="spellStart"/>
      <w:r w:rsidRPr="009E6ED2">
        <w:rPr>
          <w:i/>
          <w:lang w:val="es-MX"/>
        </w:rPr>
        <w:t>Roire</w:t>
      </w:r>
      <w:proofErr w:type="spellEnd"/>
      <w:r w:rsidRPr="009E6ED2">
        <w:rPr>
          <w:i/>
          <w:lang w:val="es-MX"/>
        </w:rPr>
        <w:t xml:space="preserve"> Vs. Francia</w:t>
      </w:r>
      <w:r w:rsidRPr="009E6ED2">
        <w:rPr>
          <w:lang w:val="es-MX"/>
        </w:rPr>
        <w:t xml:space="preserve"> [GS], núm. 29183/95, Sentencia de 21 de enero de 1999 </w:t>
      </w:r>
      <w:r w:rsidRPr="00A532BE">
        <w:rPr>
          <w:lang w:val="es-MX"/>
        </w:rPr>
        <w:t xml:space="preserve">y </w:t>
      </w:r>
      <w:r w:rsidRPr="004868B2">
        <w:rPr>
          <w:lang w:val="es-MX"/>
        </w:rPr>
        <w:t>TEDH</w:t>
      </w:r>
      <w:r w:rsidRPr="009E6ED2">
        <w:rPr>
          <w:i/>
          <w:lang w:val="es-MX"/>
        </w:rPr>
        <w:t xml:space="preserve">, Caso </w:t>
      </w:r>
      <w:proofErr w:type="spellStart"/>
      <w:r w:rsidRPr="009E6ED2">
        <w:rPr>
          <w:i/>
          <w:lang w:val="es-MX"/>
        </w:rPr>
        <w:t>Boldea</w:t>
      </w:r>
      <w:proofErr w:type="spellEnd"/>
      <w:r w:rsidRPr="009E6ED2">
        <w:rPr>
          <w:i/>
          <w:lang w:val="es-MX"/>
        </w:rPr>
        <w:t xml:space="preserve"> vs. Rumanía</w:t>
      </w:r>
      <w:r w:rsidRPr="009E6ED2">
        <w:rPr>
          <w:lang w:val="es-MX"/>
        </w:rPr>
        <w:t xml:space="preserve">, No. 19997/02. Sentencia de 15 de febrero de 2007.73. No obstante, la existencia de dicha cuestión no justifica la utilización de caricaturas y expresiones ofensivas, ni siquiera en el ámbito de la relación laboral (apartado 24 </w:t>
      </w:r>
      <w:r w:rsidRPr="009E6ED2">
        <w:rPr>
          <w:i/>
          <w:lang w:val="es-MX"/>
        </w:rPr>
        <w:t>supra</w:t>
      </w:r>
      <w:r w:rsidRPr="009E6ED2">
        <w:rPr>
          <w:lang w:val="es-MX"/>
        </w:rPr>
        <w:t>, punto 154). Además, estas últimas no constituían una reacción instantánea e irreflexiva en un intercambio verbal rápido y espontáneo, propio de los excesos verbales. Se trataba, por el contrario, de aseveraciones por escrito, publicadas con total lucidez y expuestas públicam</w:t>
      </w:r>
      <w:r>
        <w:rPr>
          <w:lang w:val="es-MX"/>
        </w:rPr>
        <w:t>ente en la sede de la empresa.</w:t>
      </w:r>
      <w:r w:rsidRPr="009E6ED2">
        <w:rPr>
          <w:lang w:val="es-MX"/>
        </w:rPr>
        <w:t xml:space="preserve"> (véase, </w:t>
      </w:r>
      <w:r w:rsidRPr="009E6ED2">
        <w:rPr>
          <w:i/>
          <w:lang w:val="es-MX"/>
        </w:rPr>
        <w:t>mutatis mutandi</w:t>
      </w:r>
      <w:r w:rsidRPr="009E6ED2">
        <w:rPr>
          <w:lang w:val="es-MX"/>
        </w:rPr>
        <w:t xml:space="preserve">s, </w:t>
      </w:r>
      <w:r w:rsidRPr="004868B2">
        <w:rPr>
          <w:lang w:val="es-MX"/>
        </w:rPr>
        <w:t>TEDH</w:t>
      </w:r>
      <w:r w:rsidRPr="009E6ED2">
        <w:rPr>
          <w:i/>
          <w:lang w:val="es-MX"/>
        </w:rPr>
        <w:t xml:space="preserve">, Caso  </w:t>
      </w:r>
      <w:proofErr w:type="spellStart"/>
      <w:r w:rsidRPr="009E6ED2">
        <w:rPr>
          <w:i/>
          <w:lang w:val="es-MX"/>
        </w:rPr>
        <w:t>Fressoz</w:t>
      </w:r>
      <w:proofErr w:type="spellEnd"/>
      <w:r w:rsidRPr="009E6ED2">
        <w:rPr>
          <w:i/>
          <w:lang w:val="es-MX"/>
        </w:rPr>
        <w:t xml:space="preserve"> y </w:t>
      </w:r>
      <w:proofErr w:type="spellStart"/>
      <w:r w:rsidRPr="009E6ED2">
        <w:rPr>
          <w:i/>
          <w:lang w:val="es-MX"/>
        </w:rPr>
        <w:t>Roire</w:t>
      </w:r>
      <w:proofErr w:type="spellEnd"/>
      <w:r w:rsidRPr="009E6ED2">
        <w:rPr>
          <w:i/>
          <w:lang w:val="es-MX"/>
        </w:rPr>
        <w:t xml:space="preserve"> vs. Francia </w:t>
      </w:r>
      <w:r w:rsidRPr="009E6ED2">
        <w:rPr>
          <w:lang w:val="es-MX"/>
        </w:rPr>
        <w:t xml:space="preserve">[GS], No. 29183/95. Sentencia de 21 de enero de 1999. Párr. 50 y </w:t>
      </w:r>
      <w:r w:rsidRPr="004868B2">
        <w:rPr>
          <w:lang w:val="es-MX"/>
        </w:rPr>
        <w:t>TEDH</w:t>
      </w:r>
      <w:r w:rsidRPr="009E6ED2">
        <w:rPr>
          <w:i/>
          <w:lang w:val="es-MX"/>
        </w:rPr>
        <w:t xml:space="preserve">, Caso </w:t>
      </w:r>
      <w:proofErr w:type="spellStart"/>
      <w:r w:rsidRPr="009E6ED2">
        <w:rPr>
          <w:i/>
          <w:lang w:val="es-MX"/>
        </w:rPr>
        <w:t>Boldea</w:t>
      </w:r>
      <w:proofErr w:type="spellEnd"/>
      <w:r w:rsidRPr="009E6ED2">
        <w:rPr>
          <w:i/>
          <w:lang w:val="es-MX"/>
        </w:rPr>
        <w:t xml:space="preserve"> vs. Rumanía,</w:t>
      </w:r>
      <w:r w:rsidRPr="009E6ED2">
        <w:rPr>
          <w:lang w:val="es-MX"/>
        </w:rPr>
        <w:t xml:space="preserve"> No. 19997/62. Sentencia de 15 de febrero de 2007. </w:t>
      </w:r>
      <w:r>
        <w:rPr>
          <w:lang w:val="es-MX"/>
        </w:rPr>
        <w:t>p</w:t>
      </w:r>
      <w:r w:rsidRPr="009E6ED2">
        <w:rPr>
          <w:lang w:val="es-MX"/>
        </w:rPr>
        <w:t>árr. 57).</w:t>
      </w:r>
    </w:p>
  </w:footnote>
  <w:footnote w:id="146">
    <w:p w14:paraId="4A0441E3" w14:textId="34D645C5" w:rsidR="00D86616" w:rsidRPr="009E6ED2" w:rsidRDefault="00D86616" w:rsidP="006A2D03">
      <w:pPr>
        <w:pStyle w:val="FootnoteText"/>
        <w:spacing w:after="0"/>
        <w:rPr>
          <w:lang w:val="es-MX"/>
        </w:rPr>
      </w:pPr>
      <w:r w:rsidRPr="004C3F47">
        <w:rPr>
          <w:rStyle w:val="FootnoteReference"/>
          <w:sz w:val="16"/>
        </w:rPr>
        <w:footnoteRef/>
      </w:r>
      <w:r w:rsidRPr="009E6ED2">
        <w:rPr>
          <w:lang w:val="es-MX"/>
        </w:rPr>
        <w:t xml:space="preserve"> </w:t>
      </w:r>
      <w:r w:rsidRPr="009E6ED2">
        <w:rPr>
          <w:lang w:val="es-MX"/>
        </w:rPr>
        <w:tab/>
      </w:r>
      <w:r w:rsidRPr="009E6ED2">
        <w:rPr>
          <w:i/>
          <w:lang w:val="es-MX"/>
        </w:rPr>
        <w:t>Cfr. Caso Baena Ricardo y otros Vs. Panamá</w:t>
      </w:r>
      <w:r w:rsidRPr="009E6ED2">
        <w:rPr>
          <w:lang w:val="es-MX"/>
        </w:rPr>
        <w:t xml:space="preserve">. Fondo, Reparaciones y Costas. Sentencia de 2 de febrero de 2001. Serie C No. 72, párr. 166; </w:t>
      </w:r>
      <w:r w:rsidRPr="009E6ED2">
        <w:rPr>
          <w:spacing w:val="-2"/>
          <w:lang w:val="es-MX"/>
        </w:rPr>
        <w:t>A</w:t>
      </w:r>
      <w:r w:rsidRPr="009E6ED2">
        <w:rPr>
          <w:lang w:val="es-MX"/>
        </w:rPr>
        <w:t xml:space="preserve">rtículos 3 y 4 de la Carta Democrática Interamericana, </w:t>
      </w:r>
      <w:r w:rsidRPr="009E6ED2">
        <w:rPr>
          <w:i/>
          <w:lang w:val="es-MX"/>
        </w:rPr>
        <w:t>supra</w:t>
      </w:r>
      <w:r w:rsidRPr="009E6ED2">
        <w:rPr>
          <w:lang w:val="es-MX"/>
        </w:rPr>
        <w:t>.</w:t>
      </w:r>
    </w:p>
  </w:footnote>
  <w:footnote w:id="147">
    <w:p w14:paraId="30C796ED" w14:textId="7956DBFD" w:rsidR="00D86616" w:rsidRPr="009E6ED2" w:rsidRDefault="00D86616" w:rsidP="006A2D03">
      <w:pPr>
        <w:pStyle w:val="FootnoteText"/>
        <w:spacing w:after="0"/>
        <w:rPr>
          <w:lang w:val="es-MX"/>
        </w:rPr>
      </w:pPr>
      <w:r w:rsidRPr="004C3F47">
        <w:rPr>
          <w:rStyle w:val="FootnoteReference"/>
          <w:sz w:val="16"/>
        </w:rPr>
        <w:footnoteRef/>
      </w:r>
      <w:r w:rsidRPr="009E6ED2">
        <w:rPr>
          <w:lang w:val="es-MX"/>
        </w:rPr>
        <w:t xml:space="preserve"> </w:t>
      </w:r>
      <w:r w:rsidRPr="009E6ED2">
        <w:rPr>
          <w:lang w:val="es-MX"/>
        </w:rPr>
        <w:tab/>
      </w:r>
      <w:r w:rsidRPr="009E6ED2">
        <w:rPr>
          <w:i/>
          <w:lang w:val="es-MX"/>
        </w:rPr>
        <w:t xml:space="preserve">Cfr. </w:t>
      </w:r>
      <w:r w:rsidRPr="004868B2">
        <w:rPr>
          <w:lang w:val="es-MX"/>
        </w:rPr>
        <w:t>TEDH</w:t>
      </w:r>
      <w:r>
        <w:rPr>
          <w:i/>
          <w:lang w:val="es-MX"/>
        </w:rPr>
        <w:t>.</w:t>
      </w:r>
      <w:r w:rsidRPr="009E6ED2">
        <w:rPr>
          <w:i/>
          <w:lang w:val="es-MX"/>
        </w:rPr>
        <w:t xml:space="preserve"> Caso Palomo Sánchez y otros Vs. España </w:t>
      </w:r>
      <w:r w:rsidRPr="009E6ED2">
        <w:rPr>
          <w:lang w:val="es-MX"/>
        </w:rPr>
        <w:t xml:space="preserve">[GS], </w:t>
      </w:r>
      <w:r w:rsidRPr="009E6ED2">
        <w:rPr>
          <w:i/>
          <w:lang w:val="es-MX"/>
        </w:rPr>
        <w:t>supra</w:t>
      </w:r>
      <w:r w:rsidRPr="009E6ED2">
        <w:rPr>
          <w:lang w:val="es-MX"/>
        </w:rPr>
        <w:t xml:space="preserve">, </w:t>
      </w:r>
      <w:proofErr w:type="spellStart"/>
      <w:r w:rsidRPr="009E6ED2">
        <w:rPr>
          <w:lang w:val="es-MX"/>
        </w:rPr>
        <w:t>párrs</w:t>
      </w:r>
      <w:proofErr w:type="spellEnd"/>
      <w:r w:rsidRPr="009E6ED2">
        <w:rPr>
          <w:lang w:val="es-MX"/>
        </w:rPr>
        <w:t xml:space="preserve">. 56 y 61. En </w:t>
      </w:r>
      <w:r w:rsidRPr="009E6ED2">
        <w:rPr>
          <w:i/>
          <w:lang w:val="es-MX"/>
        </w:rPr>
        <w:t>Palomo Sánchez y otros vs. España</w:t>
      </w:r>
      <w:r w:rsidRPr="009E6ED2">
        <w:rPr>
          <w:lang w:val="es-MX"/>
        </w:rPr>
        <w:t xml:space="preserve"> determinó que la protección a las opiniones personales de los miembros del comité ejecutivo de un sindicato se encuentra protegido por el derecho a la libertad de asociación, de forma tal que “los miembros de un sindicato deben poder expresar ante el empresario sus reivindicaciones tendientes a mejorar la situación de los trabajadores en la empresa”.</w:t>
      </w:r>
    </w:p>
  </w:footnote>
  <w:footnote w:id="148">
    <w:p w14:paraId="779A129C" w14:textId="14426A6E" w:rsidR="00D86616" w:rsidRPr="009E6ED2" w:rsidRDefault="00D86616" w:rsidP="006A2D03">
      <w:pPr>
        <w:pStyle w:val="FootnoteText"/>
        <w:spacing w:after="0"/>
        <w:rPr>
          <w:lang w:val="es-MX"/>
        </w:rPr>
      </w:pPr>
      <w:r w:rsidRPr="004C3F47">
        <w:rPr>
          <w:rStyle w:val="FootnoteReference"/>
          <w:sz w:val="16"/>
        </w:rPr>
        <w:footnoteRef/>
      </w:r>
      <w:r w:rsidRPr="00333304">
        <w:rPr>
          <w:lang w:val="pt-BR"/>
        </w:rPr>
        <w:t xml:space="preserve"> </w:t>
      </w:r>
      <w:r w:rsidRPr="00333304">
        <w:rPr>
          <w:lang w:val="pt-BR"/>
        </w:rPr>
        <w:tab/>
      </w:r>
      <w:r w:rsidRPr="004868B2">
        <w:rPr>
          <w:lang w:val="pt-BR"/>
        </w:rPr>
        <w:t>TEDH</w:t>
      </w:r>
      <w:r w:rsidRPr="0044733E">
        <w:rPr>
          <w:i/>
          <w:lang w:val="pt-BR"/>
        </w:rPr>
        <w:t xml:space="preserve">. Caso Palomo Sánchez Vs. </w:t>
      </w:r>
      <w:r w:rsidRPr="0044733E">
        <w:rPr>
          <w:i/>
          <w:lang w:val="es-MX"/>
        </w:rPr>
        <w:t>España; Caso Fuentes Bobo Vs. España</w:t>
      </w:r>
      <w:r w:rsidRPr="009E6ED2">
        <w:rPr>
          <w:lang w:val="es-MX"/>
        </w:rPr>
        <w:t xml:space="preserve">, No. 39293/98. Sentencia de 29 de febrero de 2000. </w:t>
      </w:r>
    </w:p>
  </w:footnote>
  <w:footnote w:id="149">
    <w:p w14:paraId="7DA4D3AA" w14:textId="512CDAF1" w:rsidR="00D86616" w:rsidRPr="009E6ED2" w:rsidRDefault="00D86616" w:rsidP="006A2D03">
      <w:pPr>
        <w:pStyle w:val="FootnoteText"/>
        <w:spacing w:after="0"/>
        <w:rPr>
          <w:b/>
          <w:lang w:val="es-MX"/>
        </w:rPr>
      </w:pPr>
      <w:r w:rsidRPr="004C3F47">
        <w:rPr>
          <w:rStyle w:val="FootnoteReference"/>
          <w:sz w:val="16"/>
        </w:rPr>
        <w:footnoteRef/>
      </w:r>
      <w:r w:rsidRPr="009E6ED2">
        <w:rPr>
          <w:lang w:val="es-MX"/>
        </w:rPr>
        <w:t xml:space="preserve"> </w:t>
      </w:r>
      <w:r w:rsidRPr="009E6ED2">
        <w:rPr>
          <w:lang w:val="es-MX"/>
        </w:rPr>
        <w:tab/>
      </w:r>
      <w:r w:rsidRPr="004868B2">
        <w:rPr>
          <w:lang w:val="es-MX"/>
        </w:rPr>
        <w:t>TEDH</w:t>
      </w:r>
      <w:r>
        <w:rPr>
          <w:i/>
          <w:lang w:val="es-MX"/>
        </w:rPr>
        <w:t>.</w:t>
      </w:r>
      <w:r w:rsidRPr="009E6ED2">
        <w:rPr>
          <w:i/>
          <w:lang w:val="es-MX"/>
        </w:rPr>
        <w:t xml:space="preserve"> Caso Palomo Sánchez y otros Vs. España [GS], supra,</w:t>
      </w:r>
      <w:r w:rsidRPr="009E6ED2">
        <w:rPr>
          <w:lang w:val="es-MX"/>
        </w:rPr>
        <w:t xml:space="preserve"> párr. 72, y TEDH, </w:t>
      </w:r>
      <w:r w:rsidRPr="009E6ED2">
        <w:rPr>
          <w:i/>
          <w:lang w:val="es-MX"/>
        </w:rPr>
        <w:t xml:space="preserve">Caso Fuentes Bobo Vs. España, supra, </w:t>
      </w:r>
      <w:r w:rsidRPr="009E6ED2">
        <w:rPr>
          <w:lang w:val="es-MX"/>
        </w:rPr>
        <w:t>párr.40. Al respecto: El Tribunal, si bien reconoce que las expresiones utilizadas fueron ofensivas, concluye que se produjeron en un contexto de “largo debate público que concierne a cuestiones de interés público relativas a la gestión de la televisión pública”.</w:t>
      </w:r>
      <w:r w:rsidRPr="009E6ED2">
        <w:rPr>
          <w:b/>
          <w:lang w:val="es-MX"/>
        </w:rPr>
        <w:t xml:space="preserve"> </w:t>
      </w:r>
    </w:p>
  </w:footnote>
  <w:footnote w:id="150">
    <w:p w14:paraId="70BCD5D6" w14:textId="6D494CF1" w:rsidR="00D86616" w:rsidRPr="009E6ED2" w:rsidRDefault="00D86616" w:rsidP="006A2D03">
      <w:pPr>
        <w:pStyle w:val="FootnoteText"/>
        <w:spacing w:after="0"/>
        <w:rPr>
          <w:lang w:val="es-MX"/>
        </w:rPr>
      </w:pPr>
      <w:r w:rsidRPr="004C3F47">
        <w:rPr>
          <w:rStyle w:val="FootnoteReference"/>
          <w:spacing w:val="-4"/>
          <w:sz w:val="16"/>
        </w:rPr>
        <w:footnoteRef/>
      </w:r>
      <w:r w:rsidRPr="009E6ED2">
        <w:rPr>
          <w:lang w:val="es-MX"/>
        </w:rPr>
        <w:t xml:space="preserve"> </w:t>
      </w:r>
      <w:r w:rsidRPr="009E6ED2">
        <w:rPr>
          <w:lang w:val="es-MX"/>
        </w:rPr>
        <w:tab/>
      </w:r>
      <w:r w:rsidRPr="0044733E">
        <w:rPr>
          <w:i/>
          <w:lang w:val="es-MX"/>
        </w:rPr>
        <w:t xml:space="preserve">Cfr. La Colegiación Obligatoria de Periodistas OC-5/85, </w:t>
      </w:r>
      <w:r w:rsidRPr="0044733E">
        <w:rPr>
          <w:rStyle w:val="Strong"/>
          <w:b w:val="0"/>
          <w:i/>
          <w:color w:val="000000"/>
          <w:shd w:val="clear" w:color="auto" w:fill="FFFFFF"/>
          <w:lang w:val="es-CR"/>
        </w:rPr>
        <w:t>supra</w:t>
      </w:r>
      <w:r w:rsidRPr="004C3F47">
        <w:rPr>
          <w:rStyle w:val="Strong"/>
          <w:b w:val="0"/>
          <w:color w:val="000000"/>
          <w:shd w:val="clear" w:color="auto" w:fill="FFFFFF"/>
          <w:lang w:val="es-CR"/>
        </w:rPr>
        <w:t>, párr. 70</w:t>
      </w:r>
      <w:r w:rsidRPr="009E6ED2">
        <w:rPr>
          <w:lang w:val="es-MX"/>
        </w:rPr>
        <w:t>, y</w:t>
      </w:r>
      <w:r w:rsidRPr="004C3F47">
        <w:rPr>
          <w:rStyle w:val="apple-converted-space"/>
          <w:bCs/>
          <w:color w:val="000000"/>
          <w:shd w:val="clear" w:color="auto" w:fill="FFFFFF"/>
          <w:lang w:val="es-CR"/>
        </w:rPr>
        <w:t> </w:t>
      </w:r>
      <w:r w:rsidRPr="0044733E">
        <w:rPr>
          <w:rStyle w:val="Strong"/>
          <w:b w:val="0"/>
          <w:i/>
          <w:color w:val="000000"/>
          <w:shd w:val="clear" w:color="auto" w:fill="FFFFFF"/>
          <w:lang w:val="es-CR"/>
        </w:rPr>
        <w:t xml:space="preserve">Caso </w:t>
      </w:r>
      <w:proofErr w:type="spellStart"/>
      <w:r w:rsidRPr="0044733E">
        <w:rPr>
          <w:rStyle w:val="Strong"/>
          <w:b w:val="0"/>
          <w:i/>
          <w:color w:val="000000"/>
          <w:shd w:val="clear" w:color="auto" w:fill="FFFFFF"/>
          <w:lang w:val="es-CR"/>
        </w:rPr>
        <w:t>Granier</w:t>
      </w:r>
      <w:proofErr w:type="spellEnd"/>
      <w:r w:rsidRPr="0044733E">
        <w:rPr>
          <w:rStyle w:val="Strong"/>
          <w:b w:val="0"/>
          <w:i/>
          <w:color w:val="000000"/>
          <w:shd w:val="clear" w:color="auto" w:fill="FFFFFF"/>
          <w:lang w:val="es-CR"/>
        </w:rPr>
        <w:t xml:space="preserve"> y otros (Radio Caracas Televisión) Vs. Venezuela. supra</w:t>
      </w:r>
      <w:r w:rsidRPr="004C3F47">
        <w:rPr>
          <w:rStyle w:val="Strong"/>
          <w:b w:val="0"/>
          <w:color w:val="000000"/>
          <w:shd w:val="clear" w:color="auto" w:fill="FFFFFF"/>
          <w:lang w:val="es-CR"/>
        </w:rPr>
        <w:t>, párr. 140.</w:t>
      </w:r>
    </w:p>
  </w:footnote>
  <w:footnote w:id="151">
    <w:p w14:paraId="17646995" w14:textId="5DD7604F" w:rsidR="00D86616" w:rsidRPr="00801513" w:rsidRDefault="00D86616" w:rsidP="006A2D03">
      <w:pPr>
        <w:pStyle w:val="FootnoteText"/>
        <w:spacing w:after="0"/>
        <w:rPr>
          <w:spacing w:val="-4"/>
          <w:lang w:val="es-MX"/>
        </w:rPr>
      </w:pPr>
      <w:r w:rsidRPr="004C3F47">
        <w:rPr>
          <w:rStyle w:val="FootnoteReference"/>
          <w:spacing w:val="-4"/>
          <w:sz w:val="16"/>
        </w:rPr>
        <w:footnoteRef/>
      </w:r>
      <w:r w:rsidRPr="00801513">
        <w:rPr>
          <w:spacing w:val="-4"/>
          <w:lang w:val="es-MX"/>
        </w:rPr>
        <w:t xml:space="preserve"> </w:t>
      </w:r>
      <w:r w:rsidRPr="00801513">
        <w:rPr>
          <w:spacing w:val="-4"/>
          <w:lang w:val="es-MX"/>
        </w:rPr>
        <w:tab/>
      </w:r>
      <w:r w:rsidRPr="0044733E">
        <w:rPr>
          <w:i/>
          <w:spacing w:val="-4"/>
          <w:lang w:val="es-MX"/>
        </w:rPr>
        <w:t>Cfr. Caso “La Última Tentación de Cristo” Vs. Chile</w:t>
      </w:r>
      <w:r w:rsidRPr="000E40FD">
        <w:rPr>
          <w:spacing w:val="-4"/>
          <w:lang w:val="es-MX"/>
        </w:rPr>
        <w:t xml:space="preserve">. </w:t>
      </w:r>
      <w:r w:rsidRPr="000E40FD">
        <w:rPr>
          <w:rStyle w:val="Strong"/>
          <w:b w:val="0"/>
          <w:i/>
          <w:color w:val="000000"/>
          <w:shd w:val="clear" w:color="auto" w:fill="FFFFFF"/>
          <w:lang w:val="es-CR"/>
        </w:rPr>
        <w:t>supra,</w:t>
      </w:r>
      <w:r w:rsidRPr="004C3F47">
        <w:rPr>
          <w:rStyle w:val="Strong"/>
          <w:b w:val="0"/>
          <w:color w:val="000000"/>
          <w:shd w:val="clear" w:color="auto" w:fill="FFFFFF"/>
          <w:lang w:val="es-CR"/>
        </w:rPr>
        <w:t xml:space="preserve"> </w:t>
      </w:r>
      <w:r w:rsidRPr="00801513">
        <w:rPr>
          <w:spacing w:val="-4"/>
          <w:lang w:val="es-MX"/>
        </w:rPr>
        <w:t xml:space="preserve">párr. 69, </w:t>
      </w:r>
      <w:r w:rsidRPr="00341FCF">
        <w:rPr>
          <w:spacing w:val="-4"/>
          <w:lang w:val="es-MX"/>
        </w:rPr>
        <w:t xml:space="preserve">y </w:t>
      </w:r>
      <w:r w:rsidRPr="00333304">
        <w:rPr>
          <w:rStyle w:val="Strong"/>
          <w:b w:val="0"/>
          <w:i/>
          <w:color w:val="000000"/>
          <w:shd w:val="clear" w:color="auto" w:fill="FFFFFF"/>
          <w:lang w:val="es-CR"/>
        </w:rPr>
        <w:t xml:space="preserve">Caso </w:t>
      </w:r>
      <w:proofErr w:type="spellStart"/>
      <w:r w:rsidRPr="00333304">
        <w:rPr>
          <w:rStyle w:val="Strong"/>
          <w:b w:val="0"/>
          <w:i/>
          <w:color w:val="000000"/>
          <w:shd w:val="clear" w:color="auto" w:fill="FFFFFF"/>
          <w:lang w:val="es-CR"/>
        </w:rPr>
        <w:t>Granier</w:t>
      </w:r>
      <w:proofErr w:type="spellEnd"/>
      <w:r w:rsidRPr="00333304">
        <w:rPr>
          <w:rStyle w:val="Strong"/>
          <w:b w:val="0"/>
          <w:i/>
          <w:color w:val="000000"/>
          <w:shd w:val="clear" w:color="auto" w:fill="FFFFFF"/>
          <w:lang w:val="es-CR"/>
        </w:rPr>
        <w:t xml:space="preserve"> y otros (Radio Caracas Televisión) Vs. Venezuela</w:t>
      </w:r>
      <w:r w:rsidRPr="004C3F47">
        <w:rPr>
          <w:rStyle w:val="Strong"/>
          <w:b w:val="0"/>
          <w:color w:val="000000"/>
          <w:shd w:val="clear" w:color="auto" w:fill="FFFFFF"/>
          <w:lang w:val="es-CR"/>
        </w:rPr>
        <w:t xml:space="preserve">, </w:t>
      </w:r>
      <w:r w:rsidRPr="002F31BD">
        <w:rPr>
          <w:rStyle w:val="Strong"/>
          <w:b w:val="0"/>
          <w:i/>
          <w:color w:val="000000"/>
          <w:shd w:val="clear" w:color="auto" w:fill="FFFFFF"/>
          <w:lang w:val="es-CR"/>
        </w:rPr>
        <w:t>supra</w:t>
      </w:r>
      <w:r w:rsidRPr="004C3F47">
        <w:rPr>
          <w:rStyle w:val="Strong"/>
          <w:b w:val="0"/>
          <w:color w:val="000000"/>
          <w:shd w:val="clear" w:color="auto" w:fill="FFFFFF"/>
          <w:lang w:val="es-CR"/>
        </w:rPr>
        <w:t>, párr. 140.</w:t>
      </w:r>
    </w:p>
  </w:footnote>
  <w:footnote w:id="152">
    <w:p w14:paraId="02332FC1" w14:textId="40D84351" w:rsidR="00D86616" w:rsidRPr="004C3F47" w:rsidRDefault="00D86616" w:rsidP="006A2D03">
      <w:pPr>
        <w:tabs>
          <w:tab w:val="left" w:pos="567"/>
        </w:tabs>
        <w:jc w:val="both"/>
        <w:rPr>
          <w:rFonts w:ascii="Verdana" w:hAnsi="Verdana"/>
          <w:i/>
          <w:sz w:val="16"/>
          <w:szCs w:val="16"/>
        </w:rPr>
      </w:pPr>
      <w:r w:rsidRPr="004C3F47">
        <w:rPr>
          <w:rStyle w:val="FootnoteReference"/>
          <w:rFonts w:cs="Arial"/>
          <w:sz w:val="16"/>
          <w:szCs w:val="16"/>
        </w:rPr>
        <w:footnoteRef/>
      </w:r>
      <w:r w:rsidRPr="004C3F47">
        <w:rPr>
          <w:rFonts w:ascii="Verdana" w:hAnsi="Verdana" w:cs="Arial"/>
          <w:sz w:val="16"/>
          <w:szCs w:val="16"/>
        </w:rPr>
        <w:t xml:space="preserve"> </w:t>
      </w:r>
      <w:r w:rsidRPr="004C3F47">
        <w:rPr>
          <w:rFonts w:ascii="Verdana" w:hAnsi="Verdana" w:cs="Arial"/>
          <w:sz w:val="16"/>
          <w:szCs w:val="16"/>
        </w:rPr>
        <w:tab/>
      </w:r>
      <w:r w:rsidRPr="00F77B70">
        <w:rPr>
          <w:rFonts w:ascii="Verdana" w:hAnsi="Verdana" w:cs="Arial"/>
          <w:i/>
          <w:sz w:val="16"/>
          <w:szCs w:val="16"/>
        </w:rPr>
        <w:t>Cfr.</w:t>
      </w:r>
      <w:r w:rsidRPr="004C3F47">
        <w:rPr>
          <w:rFonts w:ascii="Verdana" w:hAnsi="Verdana" w:cs="Arial"/>
          <w:i/>
          <w:sz w:val="16"/>
          <w:szCs w:val="16"/>
        </w:rPr>
        <w:t xml:space="preserve"> Caso La Última Tentación de Vs. Chile, </w:t>
      </w:r>
      <w:r w:rsidRPr="002F31BD">
        <w:rPr>
          <w:rFonts w:ascii="Verdana" w:hAnsi="Verdana" w:cs="Arial"/>
          <w:i/>
          <w:sz w:val="16"/>
          <w:szCs w:val="16"/>
        </w:rPr>
        <w:t>supra</w:t>
      </w:r>
      <w:r w:rsidRPr="004C3F47">
        <w:rPr>
          <w:rFonts w:ascii="Verdana" w:hAnsi="Verdana" w:cs="Arial"/>
          <w:i/>
          <w:sz w:val="16"/>
          <w:szCs w:val="16"/>
        </w:rPr>
        <w:t xml:space="preserve">, </w:t>
      </w:r>
      <w:r w:rsidRPr="004C3F47">
        <w:rPr>
          <w:rFonts w:ascii="Verdana" w:hAnsi="Verdana"/>
          <w:sz w:val="16"/>
          <w:szCs w:val="16"/>
        </w:rPr>
        <w:t>párr.</w:t>
      </w:r>
      <w:r w:rsidRPr="004C3F47">
        <w:rPr>
          <w:rFonts w:ascii="Verdana" w:hAnsi="Verdana" w:cs="Arial"/>
          <w:sz w:val="16"/>
          <w:szCs w:val="16"/>
        </w:rPr>
        <w:t xml:space="preserve"> 69</w:t>
      </w:r>
      <w:r>
        <w:rPr>
          <w:rFonts w:ascii="Verdana" w:hAnsi="Verdana" w:cs="Arial"/>
          <w:sz w:val="16"/>
          <w:szCs w:val="16"/>
        </w:rPr>
        <w:t xml:space="preserve">, y </w:t>
      </w:r>
      <w:r w:rsidRPr="00333304">
        <w:rPr>
          <w:rFonts w:ascii="Verdana" w:hAnsi="Verdana" w:cs="Arial"/>
          <w:i/>
          <w:sz w:val="16"/>
          <w:szCs w:val="16"/>
        </w:rPr>
        <w:t xml:space="preserve">Caso </w:t>
      </w:r>
      <w:proofErr w:type="spellStart"/>
      <w:r w:rsidRPr="00333304">
        <w:rPr>
          <w:rFonts w:ascii="Verdana" w:hAnsi="Verdana" w:cs="Arial"/>
          <w:i/>
          <w:sz w:val="16"/>
          <w:szCs w:val="16"/>
        </w:rPr>
        <w:t>Kimel</w:t>
      </w:r>
      <w:proofErr w:type="spellEnd"/>
      <w:r w:rsidRPr="00333304">
        <w:rPr>
          <w:rFonts w:ascii="Verdana" w:hAnsi="Verdana" w:cs="Arial"/>
          <w:i/>
          <w:sz w:val="16"/>
          <w:szCs w:val="16"/>
        </w:rPr>
        <w:t xml:space="preserve"> Vs. Argentina</w:t>
      </w:r>
      <w:r>
        <w:rPr>
          <w:rFonts w:ascii="Verdana" w:hAnsi="Verdana" w:cs="Arial"/>
          <w:sz w:val="16"/>
          <w:szCs w:val="16"/>
        </w:rPr>
        <w:t xml:space="preserve">, </w:t>
      </w:r>
      <w:r w:rsidRPr="002F31BD">
        <w:rPr>
          <w:rFonts w:ascii="Verdana" w:hAnsi="Verdana" w:cs="Arial"/>
          <w:i/>
          <w:sz w:val="16"/>
          <w:szCs w:val="16"/>
        </w:rPr>
        <w:t>supra</w:t>
      </w:r>
      <w:r>
        <w:rPr>
          <w:rFonts w:ascii="Verdana" w:hAnsi="Verdana" w:cs="Arial"/>
          <w:sz w:val="16"/>
          <w:szCs w:val="16"/>
        </w:rPr>
        <w:t xml:space="preserve">, párr. 88; </w:t>
      </w:r>
      <w:r w:rsidRPr="004868B2">
        <w:rPr>
          <w:rFonts w:ascii="Verdana" w:hAnsi="Verdana"/>
          <w:sz w:val="16"/>
          <w:szCs w:val="16"/>
        </w:rPr>
        <w:t>TEDH</w:t>
      </w:r>
      <w:r w:rsidRPr="00333304">
        <w:rPr>
          <w:rFonts w:ascii="Verdana" w:hAnsi="Verdana"/>
          <w:i/>
          <w:sz w:val="16"/>
          <w:szCs w:val="16"/>
        </w:rPr>
        <w:t xml:space="preserve">, Caso Palomo Sánchez y Otros </w:t>
      </w:r>
      <w:r w:rsidRPr="001A7BD5">
        <w:rPr>
          <w:rFonts w:ascii="Verdana" w:hAnsi="Verdana"/>
          <w:i/>
          <w:sz w:val="16"/>
          <w:szCs w:val="16"/>
        </w:rPr>
        <w:t>Vs.</w:t>
      </w:r>
      <w:r w:rsidRPr="00333304">
        <w:rPr>
          <w:rFonts w:ascii="Verdana" w:hAnsi="Verdana"/>
          <w:i/>
          <w:sz w:val="16"/>
          <w:szCs w:val="16"/>
        </w:rPr>
        <w:t xml:space="preserve"> España</w:t>
      </w:r>
      <w:r w:rsidRPr="004C3F47">
        <w:rPr>
          <w:rFonts w:ascii="Verdana" w:hAnsi="Verdana"/>
          <w:sz w:val="16"/>
          <w:szCs w:val="16"/>
        </w:rPr>
        <w:t xml:space="preserve"> [GS], </w:t>
      </w:r>
      <w:r w:rsidRPr="002F31BD">
        <w:rPr>
          <w:rFonts w:ascii="Verdana" w:hAnsi="Verdana"/>
          <w:i/>
          <w:sz w:val="16"/>
          <w:szCs w:val="16"/>
        </w:rPr>
        <w:t>supra</w:t>
      </w:r>
      <w:r w:rsidRPr="004C3F47">
        <w:rPr>
          <w:rFonts w:ascii="Verdana" w:hAnsi="Verdana"/>
          <w:sz w:val="16"/>
          <w:szCs w:val="16"/>
        </w:rPr>
        <w:t>, párr. 53</w:t>
      </w:r>
      <w:r>
        <w:rPr>
          <w:rFonts w:ascii="Verdana" w:hAnsi="Verdana"/>
          <w:sz w:val="16"/>
          <w:szCs w:val="16"/>
        </w:rPr>
        <w:t xml:space="preserve"> a </w:t>
      </w:r>
      <w:r w:rsidRPr="004C3F47">
        <w:rPr>
          <w:rFonts w:ascii="Verdana" w:hAnsi="Verdana"/>
          <w:sz w:val="16"/>
          <w:szCs w:val="16"/>
        </w:rPr>
        <w:t xml:space="preserve">62. </w:t>
      </w:r>
    </w:p>
  </w:footnote>
  <w:footnote w:id="153">
    <w:p w14:paraId="00BBC28E" w14:textId="5DE3D81A" w:rsidR="00D86616" w:rsidRPr="009E6ED2" w:rsidRDefault="00D86616" w:rsidP="006A2D03">
      <w:pPr>
        <w:pStyle w:val="FootnoteText"/>
        <w:spacing w:after="0"/>
        <w:rPr>
          <w:lang w:val="es-MX"/>
        </w:rPr>
      </w:pPr>
      <w:r w:rsidRPr="004C3F47">
        <w:rPr>
          <w:rStyle w:val="FootnoteReference"/>
          <w:sz w:val="16"/>
        </w:rPr>
        <w:footnoteRef/>
      </w:r>
      <w:r w:rsidRPr="009E6ED2">
        <w:rPr>
          <w:lang w:val="es-MX"/>
        </w:rPr>
        <w:t xml:space="preserve"> </w:t>
      </w:r>
      <w:r w:rsidRPr="009E6ED2">
        <w:rPr>
          <w:lang w:val="es-MX"/>
        </w:rPr>
        <w:tab/>
      </w:r>
      <w:r w:rsidRPr="0044733E">
        <w:rPr>
          <w:i/>
          <w:lang w:val="es-MX"/>
        </w:rPr>
        <w:t xml:space="preserve">Caso </w:t>
      </w:r>
      <w:proofErr w:type="spellStart"/>
      <w:r w:rsidRPr="0044733E">
        <w:rPr>
          <w:i/>
          <w:lang w:val="es-MX"/>
        </w:rPr>
        <w:t>Kimel</w:t>
      </w:r>
      <w:proofErr w:type="spellEnd"/>
      <w:r w:rsidRPr="0044733E">
        <w:rPr>
          <w:i/>
          <w:lang w:val="es-MX"/>
        </w:rPr>
        <w:t xml:space="preserve"> Vs. Argentina, supra</w:t>
      </w:r>
      <w:r w:rsidRPr="009E6ED2">
        <w:rPr>
          <w:lang w:val="es-MX"/>
        </w:rPr>
        <w:t xml:space="preserve">, párr. 88. </w:t>
      </w:r>
    </w:p>
  </w:footnote>
  <w:footnote w:id="154">
    <w:p w14:paraId="3E2360FC" w14:textId="439B4641" w:rsidR="00D86616" w:rsidRPr="009E6ED2" w:rsidRDefault="00D86616" w:rsidP="006A2D03">
      <w:pPr>
        <w:pStyle w:val="FootnoteText"/>
        <w:spacing w:after="0"/>
        <w:rPr>
          <w:lang w:val="es-MX"/>
        </w:rPr>
      </w:pPr>
      <w:r w:rsidRPr="004C3F47">
        <w:rPr>
          <w:rStyle w:val="FootnoteReference"/>
          <w:sz w:val="16"/>
        </w:rPr>
        <w:footnoteRef/>
      </w:r>
      <w:r w:rsidRPr="009E6ED2">
        <w:rPr>
          <w:lang w:val="es-MX"/>
        </w:rPr>
        <w:t xml:space="preserve"> </w:t>
      </w:r>
      <w:r w:rsidRPr="009E6ED2">
        <w:rPr>
          <w:lang w:val="es-MX"/>
        </w:rPr>
        <w:tab/>
      </w:r>
      <w:r w:rsidRPr="0044733E">
        <w:rPr>
          <w:i/>
          <w:lang w:val="es-MX"/>
        </w:rPr>
        <w:t>Caso Palomo Sánchez y Otros Vs. España [GS], supra</w:t>
      </w:r>
      <w:r w:rsidRPr="009E6ED2">
        <w:rPr>
          <w:lang w:val="es-MX"/>
        </w:rPr>
        <w:t xml:space="preserve">, párr. 42. y TEDH. </w:t>
      </w:r>
      <w:r w:rsidRPr="0044733E">
        <w:rPr>
          <w:i/>
          <w:lang w:val="es-MX"/>
        </w:rPr>
        <w:t xml:space="preserve">Caso </w:t>
      </w:r>
      <w:proofErr w:type="spellStart"/>
      <w:r w:rsidRPr="0044733E">
        <w:rPr>
          <w:i/>
          <w:lang w:val="es-MX"/>
        </w:rPr>
        <w:t>Nikula</w:t>
      </w:r>
      <w:proofErr w:type="spellEnd"/>
      <w:r w:rsidRPr="0044733E">
        <w:rPr>
          <w:i/>
          <w:lang w:val="es-MX"/>
        </w:rPr>
        <w:t xml:space="preserve"> Vs. Finlandia,</w:t>
      </w:r>
      <w:r w:rsidRPr="009E6ED2">
        <w:rPr>
          <w:lang w:val="es-MX"/>
        </w:rPr>
        <w:t xml:space="preserve"> No. 31611/96. Sentencia de 21 de marzo de 2002. </w:t>
      </w:r>
      <w:r>
        <w:rPr>
          <w:lang w:val="es-MX"/>
        </w:rPr>
        <w:t>p</w:t>
      </w:r>
      <w:r w:rsidRPr="009E6ED2">
        <w:rPr>
          <w:lang w:val="es-MX"/>
        </w:rPr>
        <w:t xml:space="preserve">árr. 48 </w:t>
      </w:r>
    </w:p>
  </w:footnote>
  <w:footnote w:id="155">
    <w:p w14:paraId="6E4C7223" w14:textId="2AB67616" w:rsidR="00D86616" w:rsidRPr="009E6ED2" w:rsidRDefault="00D86616" w:rsidP="006A2D03">
      <w:pPr>
        <w:pStyle w:val="FootnoteText"/>
        <w:spacing w:after="0"/>
        <w:rPr>
          <w:lang w:val="es-MX"/>
        </w:rPr>
      </w:pPr>
      <w:r w:rsidRPr="004C3F47">
        <w:rPr>
          <w:rStyle w:val="FootnoteReference"/>
          <w:sz w:val="16"/>
        </w:rPr>
        <w:footnoteRef/>
      </w:r>
      <w:r w:rsidRPr="009E6ED2">
        <w:rPr>
          <w:lang w:val="es-MX"/>
        </w:rPr>
        <w:t xml:space="preserve"> </w:t>
      </w:r>
      <w:r w:rsidRPr="009E6ED2">
        <w:rPr>
          <w:lang w:val="es-MX"/>
        </w:rPr>
        <w:tab/>
      </w:r>
      <w:r w:rsidRPr="009E6ED2">
        <w:rPr>
          <w:i/>
          <w:lang w:val="es-MX"/>
        </w:rPr>
        <w:t xml:space="preserve">Mutatis </w:t>
      </w:r>
      <w:proofErr w:type="spellStart"/>
      <w:r w:rsidRPr="009E6ED2">
        <w:rPr>
          <w:i/>
          <w:lang w:val="es-MX"/>
        </w:rPr>
        <w:t>mutandi</w:t>
      </w:r>
      <w:proofErr w:type="spellEnd"/>
      <w:r w:rsidRPr="009E6ED2">
        <w:rPr>
          <w:lang w:val="es-MX"/>
        </w:rPr>
        <w:t xml:space="preserve">: Convenio relativo a la aplicación de los principios del derecho de sindicación y de negociación colectiva, 1949 (No. 98) (Entrada en vigor: 18 julio 1951). Adopción: Ginebra, 32ª reunión CIT (01 julio 1949). </w:t>
      </w:r>
    </w:p>
    <w:p w14:paraId="05C3AA92" w14:textId="77777777" w:rsidR="00D86616" w:rsidRPr="009E6ED2" w:rsidRDefault="00D86616" w:rsidP="006A2D03">
      <w:pPr>
        <w:pStyle w:val="FootnoteText"/>
        <w:spacing w:after="0"/>
        <w:rPr>
          <w:lang w:val="es-MX"/>
        </w:rPr>
      </w:pPr>
      <w:r w:rsidRPr="009E6ED2">
        <w:rPr>
          <w:lang w:val="es-MX"/>
        </w:rPr>
        <w:tab/>
        <w:t>2.1 Las organizaciones de trabajadores y de empleadores deberán gozar de adecuada protección contra todo acto de injerencia de unas respecto de las otras, ya se realice directamente o por medio de sus agentes o miembros, en su constitución, funcionamiento o administración.</w:t>
      </w:r>
    </w:p>
    <w:p w14:paraId="3E734E46" w14:textId="77777777" w:rsidR="00D86616" w:rsidRPr="009E6ED2" w:rsidRDefault="00D86616" w:rsidP="006A2D03">
      <w:pPr>
        <w:pStyle w:val="FootnoteText"/>
        <w:spacing w:after="0"/>
        <w:rPr>
          <w:lang w:val="es-MX"/>
        </w:rPr>
      </w:pPr>
      <w:r w:rsidRPr="009E6ED2">
        <w:rPr>
          <w:lang w:val="es-MX"/>
        </w:rPr>
        <w:tab/>
        <w:t>2.2. Se consideran actos de injerencia, en el sentido del presente artículo, principalmente, las medidas que tiendan a fomentar la constitución de organizaciones de trabajadores dominadas por un empleador o una organización de empleadores, o a sostener económicamente, o en otra forma, organizaciones de trabajadores, con objeto de colocar estas organizaciones bajo el control de un empleador o de una organización de empleadores.</w:t>
      </w:r>
    </w:p>
  </w:footnote>
  <w:footnote w:id="156">
    <w:p w14:paraId="7204C280" w14:textId="36E2FE8F" w:rsidR="00D86616" w:rsidRPr="009E6ED2" w:rsidRDefault="00D86616" w:rsidP="006A2D03">
      <w:pPr>
        <w:pStyle w:val="FootnoteText"/>
        <w:spacing w:after="0"/>
        <w:rPr>
          <w:lang w:val="es-MX"/>
        </w:rPr>
      </w:pPr>
      <w:r w:rsidRPr="004C3F47">
        <w:rPr>
          <w:rStyle w:val="FootnoteReference"/>
          <w:sz w:val="16"/>
        </w:rPr>
        <w:footnoteRef/>
      </w:r>
      <w:r w:rsidRPr="009E6ED2">
        <w:rPr>
          <w:lang w:val="es-MX"/>
        </w:rPr>
        <w:t xml:space="preserve"> </w:t>
      </w:r>
      <w:r w:rsidRPr="009E6ED2">
        <w:rPr>
          <w:lang w:val="es-MX"/>
        </w:rPr>
        <w:tab/>
      </w:r>
      <w:r w:rsidRPr="004868B2">
        <w:rPr>
          <w:lang w:val="es-MX"/>
        </w:rPr>
        <w:t>TEDH</w:t>
      </w:r>
      <w:r w:rsidRPr="009E6ED2">
        <w:rPr>
          <w:i/>
          <w:lang w:val="es-MX"/>
        </w:rPr>
        <w:t xml:space="preserve">. Caso Fuentes Bobo Vs. España. No. 39293/98. Sentencia de 29 de febrero de 2009. </w:t>
      </w:r>
      <w:r w:rsidRPr="009E6ED2">
        <w:rPr>
          <w:lang w:val="es-MX"/>
        </w:rPr>
        <w:t>párr.40.</w:t>
      </w:r>
      <w:r w:rsidRPr="009E6ED2">
        <w:rPr>
          <w:i/>
          <w:lang w:val="es-MX"/>
        </w:rPr>
        <w:t xml:space="preserve"> Cfr.</w:t>
      </w:r>
      <w:r w:rsidRPr="009E6ED2">
        <w:rPr>
          <w:lang w:val="es-MX"/>
        </w:rPr>
        <w:t xml:space="preserve"> El Tribunal, si bien reconoce que las expresiones utilizadas fueron ofensivas, concluye que se produjeron en un contexto de “largo debate público que concierne a cuestiones de interés general relativas a la gestión de la televisión pública”. </w:t>
      </w:r>
      <w:r w:rsidRPr="009E6ED2">
        <w:rPr>
          <w:lang w:val="es-MX"/>
        </w:rPr>
        <w:tab/>
      </w:r>
      <w:r w:rsidRPr="009E6ED2">
        <w:rPr>
          <w:i/>
          <w:lang w:val="es-MX"/>
        </w:rPr>
        <w:t>Cfr.</w:t>
      </w:r>
      <w:r w:rsidRPr="009E6ED2">
        <w:rPr>
          <w:lang w:val="es-MX"/>
        </w:rPr>
        <w:t xml:space="preserve"> Recomendación sobre los representantes de los trabajadores, 1971 (núm. 143), OIT, Recomendación sobre la protección y facilidades que deben otorgarse a los representantes de los trabajadores en la empresa. Sesión de la Conferencia: 56, fecha de adopción 23 de junio de 1971. Ver también. </w:t>
      </w:r>
      <w:r w:rsidRPr="009E6ED2">
        <w:rPr>
          <w:i/>
          <w:lang w:val="es-MX"/>
        </w:rPr>
        <w:t xml:space="preserve">Mutatis </w:t>
      </w:r>
      <w:proofErr w:type="spellStart"/>
      <w:r w:rsidRPr="009E6ED2">
        <w:rPr>
          <w:i/>
          <w:lang w:val="es-MX"/>
        </w:rPr>
        <w:t>mutandi</w:t>
      </w:r>
      <w:proofErr w:type="spellEnd"/>
      <w:r w:rsidRPr="009E6ED2">
        <w:rPr>
          <w:lang w:val="es-MX"/>
        </w:rPr>
        <w:t>: OIT, “Libertad Sindical y Negociación Colectiva” párrafo 212, p. 104.</w:t>
      </w:r>
    </w:p>
  </w:footnote>
  <w:footnote w:id="157">
    <w:p w14:paraId="5A8F5CEC" w14:textId="3D4C90B6" w:rsidR="00D86616" w:rsidRPr="009E6ED2" w:rsidRDefault="00D86616" w:rsidP="006A2D03">
      <w:pPr>
        <w:pStyle w:val="FootnoteText"/>
        <w:spacing w:after="0"/>
        <w:rPr>
          <w:lang w:val="es-MX"/>
        </w:rPr>
      </w:pPr>
      <w:r w:rsidRPr="004C3F47">
        <w:rPr>
          <w:rStyle w:val="FootnoteReference"/>
          <w:sz w:val="16"/>
        </w:rPr>
        <w:footnoteRef/>
      </w:r>
      <w:r w:rsidRPr="009E6ED2">
        <w:rPr>
          <w:lang w:val="es-MX"/>
        </w:rPr>
        <w:t xml:space="preserve"> </w:t>
      </w:r>
      <w:r w:rsidRPr="009E6ED2">
        <w:rPr>
          <w:lang w:val="es-MX"/>
        </w:rPr>
        <w:tab/>
      </w:r>
      <w:r w:rsidRPr="007F3588">
        <w:rPr>
          <w:i/>
          <w:lang w:val="es-MX"/>
        </w:rPr>
        <w:t>Cfr.</w:t>
      </w:r>
      <w:r w:rsidRPr="009E6ED2">
        <w:rPr>
          <w:lang w:val="es-MX"/>
        </w:rPr>
        <w:t xml:space="preserve"> La Expresión "Leyes" en el Artículo 30 de la Convención Americana sobre Derechos Humanos. OC-6/86, </w:t>
      </w:r>
      <w:r w:rsidRPr="00844874">
        <w:rPr>
          <w:i/>
          <w:lang w:val="es-MX"/>
        </w:rPr>
        <w:t>supra</w:t>
      </w:r>
      <w:r w:rsidRPr="009E6ED2">
        <w:rPr>
          <w:lang w:val="es-MX"/>
        </w:rPr>
        <w:t xml:space="preserve">, </w:t>
      </w:r>
      <w:proofErr w:type="spellStart"/>
      <w:r w:rsidRPr="009E6ED2">
        <w:rPr>
          <w:lang w:val="es-MX"/>
        </w:rPr>
        <w:t>párrs</w:t>
      </w:r>
      <w:proofErr w:type="spellEnd"/>
      <w:r w:rsidRPr="009E6ED2">
        <w:rPr>
          <w:lang w:val="es-MX"/>
        </w:rPr>
        <w:t xml:space="preserve">. 35 y 37, y </w:t>
      </w:r>
      <w:r w:rsidRPr="00333304">
        <w:rPr>
          <w:rStyle w:val="Strong"/>
          <w:b w:val="0"/>
          <w:i/>
          <w:color w:val="000000"/>
          <w:shd w:val="clear" w:color="auto" w:fill="FFFFFF"/>
          <w:lang w:val="es-CR"/>
        </w:rPr>
        <w:t xml:space="preserve">Caso </w:t>
      </w:r>
      <w:proofErr w:type="spellStart"/>
      <w:r w:rsidRPr="00333304">
        <w:rPr>
          <w:rStyle w:val="Strong"/>
          <w:b w:val="0"/>
          <w:i/>
          <w:color w:val="000000"/>
          <w:shd w:val="clear" w:color="auto" w:fill="FFFFFF"/>
          <w:lang w:val="es-CR"/>
        </w:rPr>
        <w:t>Mémoli</w:t>
      </w:r>
      <w:proofErr w:type="spellEnd"/>
      <w:r w:rsidRPr="00333304">
        <w:rPr>
          <w:rStyle w:val="Strong"/>
          <w:b w:val="0"/>
          <w:i/>
          <w:color w:val="000000"/>
          <w:shd w:val="clear" w:color="auto" w:fill="FFFFFF"/>
          <w:lang w:val="es-CR"/>
        </w:rPr>
        <w:t xml:space="preserve"> Vs. Argentina</w:t>
      </w:r>
      <w:r>
        <w:rPr>
          <w:rStyle w:val="Strong"/>
          <w:b w:val="0"/>
          <w:color w:val="000000"/>
          <w:shd w:val="clear" w:color="auto" w:fill="FFFFFF"/>
          <w:lang w:val="es-CR"/>
        </w:rPr>
        <w:t xml:space="preserve">, </w:t>
      </w:r>
      <w:r w:rsidRPr="002F31BD">
        <w:rPr>
          <w:rStyle w:val="Strong"/>
          <w:b w:val="0"/>
          <w:i/>
          <w:color w:val="000000"/>
          <w:shd w:val="clear" w:color="auto" w:fill="FFFFFF"/>
          <w:lang w:val="es-CR"/>
        </w:rPr>
        <w:t>supra</w:t>
      </w:r>
      <w:r>
        <w:rPr>
          <w:rStyle w:val="Strong"/>
          <w:b w:val="0"/>
          <w:color w:val="000000"/>
          <w:shd w:val="clear" w:color="auto" w:fill="FFFFFF"/>
          <w:lang w:val="es-CR"/>
        </w:rPr>
        <w:t xml:space="preserve">, </w:t>
      </w:r>
      <w:r w:rsidRPr="004C3F47">
        <w:rPr>
          <w:rStyle w:val="Strong"/>
          <w:b w:val="0"/>
          <w:color w:val="000000"/>
          <w:shd w:val="clear" w:color="auto" w:fill="FFFFFF"/>
          <w:lang w:val="es-CR"/>
        </w:rPr>
        <w:t>párr. 130</w:t>
      </w:r>
      <w:r>
        <w:rPr>
          <w:rStyle w:val="Strong"/>
          <w:b w:val="0"/>
          <w:color w:val="000000"/>
          <w:shd w:val="clear" w:color="auto" w:fill="FFFFFF"/>
          <w:lang w:val="es-CR"/>
        </w:rPr>
        <w:t xml:space="preserve">, y </w:t>
      </w:r>
      <w:r w:rsidRPr="00333304">
        <w:rPr>
          <w:rStyle w:val="Strong"/>
          <w:b w:val="0"/>
          <w:i/>
          <w:color w:val="000000"/>
          <w:shd w:val="clear" w:color="auto" w:fill="FFFFFF"/>
          <w:lang w:val="es-CR"/>
        </w:rPr>
        <w:t xml:space="preserve">Caso </w:t>
      </w:r>
      <w:proofErr w:type="spellStart"/>
      <w:r w:rsidRPr="00333304">
        <w:rPr>
          <w:rStyle w:val="Strong"/>
          <w:b w:val="0"/>
          <w:i/>
          <w:color w:val="000000"/>
          <w:shd w:val="clear" w:color="auto" w:fill="FFFFFF"/>
          <w:lang w:val="es-CR"/>
        </w:rPr>
        <w:t>Granier</w:t>
      </w:r>
      <w:proofErr w:type="spellEnd"/>
      <w:r w:rsidRPr="00333304">
        <w:rPr>
          <w:rStyle w:val="Strong"/>
          <w:b w:val="0"/>
          <w:i/>
          <w:color w:val="000000"/>
          <w:shd w:val="clear" w:color="auto" w:fill="FFFFFF"/>
          <w:lang w:val="es-CR"/>
        </w:rPr>
        <w:t xml:space="preserve"> y Otros </w:t>
      </w:r>
      <w:r>
        <w:rPr>
          <w:rStyle w:val="Strong"/>
          <w:b w:val="0"/>
          <w:i/>
          <w:color w:val="000000"/>
          <w:shd w:val="clear" w:color="auto" w:fill="FFFFFF"/>
          <w:lang w:val="es-CR"/>
        </w:rPr>
        <w:t>V</w:t>
      </w:r>
      <w:r w:rsidRPr="00333304">
        <w:rPr>
          <w:rStyle w:val="Strong"/>
          <w:b w:val="0"/>
          <w:i/>
          <w:color w:val="000000"/>
          <w:shd w:val="clear" w:color="auto" w:fill="FFFFFF"/>
          <w:lang w:val="es-CR"/>
        </w:rPr>
        <w:t>s. Venezuela</w:t>
      </w:r>
      <w:r>
        <w:rPr>
          <w:rStyle w:val="Strong"/>
          <w:b w:val="0"/>
          <w:i/>
          <w:color w:val="000000"/>
          <w:shd w:val="clear" w:color="auto" w:fill="FFFFFF"/>
          <w:lang w:val="es-CR"/>
        </w:rPr>
        <w:t xml:space="preserve">, </w:t>
      </w:r>
      <w:r w:rsidRPr="002F31BD">
        <w:rPr>
          <w:rStyle w:val="Strong"/>
          <w:b w:val="0"/>
          <w:i/>
          <w:color w:val="000000"/>
          <w:shd w:val="clear" w:color="auto" w:fill="FFFFFF"/>
          <w:lang w:val="es-CR"/>
        </w:rPr>
        <w:t>supra</w:t>
      </w:r>
      <w:r>
        <w:rPr>
          <w:rStyle w:val="Strong"/>
          <w:b w:val="0"/>
          <w:i/>
          <w:color w:val="000000"/>
          <w:shd w:val="clear" w:color="auto" w:fill="FFFFFF"/>
          <w:lang w:val="es-CR"/>
        </w:rPr>
        <w:t xml:space="preserve">, </w:t>
      </w:r>
      <w:r>
        <w:rPr>
          <w:rStyle w:val="Strong"/>
          <w:b w:val="0"/>
          <w:color w:val="000000"/>
          <w:shd w:val="clear" w:color="auto" w:fill="FFFFFF"/>
          <w:lang w:val="es-CR"/>
        </w:rPr>
        <w:t>párr. 119.</w:t>
      </w:r>
    </w:p>
  </w:footnote>
  <w:footnote w:id="158">
    <w:p w14:paraId="48ECA5E5" w14:textId="040E2437" w:rsidR="00D86616" w:rsidRPr="00801513" w:rsidRDefault="00D86616" w:rsidP="006A2D03">
      <w:pPr>
        <w:pStyle w:val="FootnoteText"/>
        <w:spacing w:after="0"/>
        <w:rPr>
          <w:lang w:val="es-MX"/>
        </w:rPr>
      </w:pPr>
      <w:r w:rsidRPr="004C3F47">
        <w:rPr>
          <w:rStyle w:val="FootnoteReference"/>
          <w:sz w:val="16"/>
        </w:rPr>
        <w:footnoteRef/>
      </w:r>
      <w:r w:rsidRPr="00801513">
        <w:rPr>
          <w:lang w:val="es-MX"/>
        </w:rPr>
        <w:t xml:space="preserve"> </w:t>
      </w:r>
      <w:r w:rsidRPr="00801513">
        <w:rPr>
          <w:lang w:val="es-MX"/>
        </w:rPr>
        <w:tab/>
      </w:r>
      <w:r w:rsidRPr="00F77B70">
        <w:rPr>
          <w:i/>
          <w:lang w:val="es-MX"/>
        </w:rPr>
        <w:t>Cfr.</w:t>
      </w:r>
      <w:r w:rsidRPr="00333304">
        <w:rPr>
          <w:i/>
          <w:lang w:val="es-MX"/>
        </w:rPr>
        <w:t xml:space="preserve"> </w:t>
      </w:r>
      <w:r w:rsidRPr="00333304">
        <w:rPr>
          <w:rStyle w:val="Strong"/>
          <w:b w:val="0"/>
          <w:i/>
          <w:color w:val="000000"/>
          <w:shd w:val="clear" w:color="auto" w:fill="FFFFFF"/>
          <w:lang w:val="es-CR"/>
        </w:rPr>
        <w:t xml:space="preserve">Caso Castillo </w:t>
      </w:r>
      <w:proofErr w:type="spellStart"/>
      <w:r w:rsidRPr="00333304">
        <w:rPr>
          <w:rStyle w:val="Strong"/>
          <w:b w:val="0"/>
          <w:i/>
          <w:color w:val="000000"/>
          <w:shd w:val="clear" w:color="auto" w:fill="FFFFFF"/>
          <w:lang w:val="es-CR"/>
        </w:rPr>
        <w:t>Petruzzi</w:t>
      </w:r>
      <w:proofErr w:type="spellEnd"/>
      <w:r w:rsidRPr="00333304">
        <w:rPr>
          <w:rStyle w:val="Strong"/>
          <w:b w:val="0"/>
          <w:i/>
          <w:color w:val="000000"/>
          <w:shd w:val="clear" w:color="auto" w:fill="FFFFFF"/>
          <w:lang w:val="es-CR"/>
        </w:rPr>
        <w:t xml:space="preserve"> y otros Vs. Perú</w:t>
      </w:r>
      <w:r w:rsidRPr="007F3588">
        <w:rPr>
          <w:rStyle w:val="Strong"/>
          <w:b w:val="0"/>
          <w:i/>
          <w:color w:val="000000"/>
          <w:shd w:val="clear" w:color="auto" w:fill="FFFFFF"/>
          <w:lang w:val="es-CR"/>
        </w:rPr>
        <w:t>. Fondo, Reparaciones y Costas</w:t>
      </w:r>
      <w:r w:rsidRPr="004C3F47">
        <w:rPr>
          <w:rStyle w:val="Strong"/>
          <w:b w:val="0"/>
          <w:color w:val="000000"/>
          <w:shd w:val="clear" w:color="auto" w:fill="FFFFFF"/>
          <w:lang w:val="es-CR"/>
        </w:rPr>
        <w:t>. Sentencia de 30 de mayo de 1999. Serie C No. 52. párr. 121</w:t>
      </w:r>
      <w:r>
        <w:rPr>
          <w:rStyle w:val="Strong"/>
          <w:b w:val="0"/>
          <w:i/>
          <w:color w:val="000000"/>
          <w:shd w:val="clear" w:color="auto" w:fill="FFFFFF"/>
          <w:lang w:val="es-CR"/>
        </w:rPr>
        <w:t>.</w:t>
      </w:r>
      <w:r w:rsidRPr="00333304">
        <w:rPr>
          <w:rStyle w:val="Strong"/>
          <w:b w:val="0"/>
          <w:i/>
          <w:color w:val="000000"/>
          <w:shd w:val="clear" w:color="auto" w:fill="FFFFFF"/>
          <w:lang w:val="es-CR"/>
        </w:rPr>
        <w:t xml:space="preserve"> Caso </w:t>
      </w:r>
      <w:proofErr w:type="spellStart"/>
      <w:r w:rsidRPr="00333304">
        <w:rPr>
          <w:rStyle w:val="Strong"/>
          <w:b w:val="0"/>
          <w:i/>
          <w:color w:val="000000"/>
          <w:shd w:val="clear" w:color="auto" w:fill="FFFFFF"/>
          <w:lang w:val="es-CR"/>
        </w:rPr>
        <w:t>Kimel</w:t>
      </w:r>
      <w:proofErr w:type="spellEnd"/>
      <w:r w:rsidRPr="00333304">
        <w:rPr>
          <w:rStyle w:val="Strong"/>
          <w:b w:val="0"/>
          <w:i/>
          <w:color w:val="000000"/>
          <w:shd w:val="clear" w:color="auto" w:fill="FFFFFF"/>
          <w:lang w:val="es-CR"/>
        </w:rPr>
        <w:t xml:space="preserve"> Vs. Argentina</w:t>
      </w:r>
      <w:r>
        <w:rPr>
          <w:rStyle w:val="Strong"/>
          <w:b w:val="0"/>
          <w:i/>
          <w:color w:val="000000"/>
          <w:shd w:val="clear" w:color="auto" w:fill="FFFFFF"/>
          <w:lang w:val="es-CR"/>
        </w:rPr>
        <w:t>,</w:t>
      </w:r>
      <w:r w:rsidRPr="004C3F47">
        <w:rPr>
          <w:rStyle w:val="Strong"/>
          <w:b w:val="0"/>
          <w:color w:val="000000"/>
          <w:shd w:val="clear" w:color="auto" w:fill="FFFFFF"/>
          <w:lang w:val="es-CR"/>
        </w:rPr>
        <w:t xml:space="preserve"> </w:t>
      </w:r>
      <w:r w:rsidRPr="002F31BD">
        <w:rPr>
          <w:rStyle w:val="Strong"/>
          <w:b w:val="0"/>
          <w:i/>
          <w:color w:val="000000"/>
          <w:shd w:val="clear" w:color="auto" w:fill="FFFFFF"/>
          <w:lang w:val="es-CR"/>
        </w:rPr>
        <w:t>supra</w:t>
      </w:r>
      <w:r>
        <w:rPr>
          <w:rStyle w:val="Strong"/>
          <w:b w:val="0"/>
          <w:color w:val="000000"/>
          <w:shd w:val="clear" w:color="auto" w:fill="FFFFFF"/>
          <w:lang w:val="es-CR"/>
        </w:rPr>
        <w:t>,</w:t>
      </w:r>
      <w:r w:rsidRPr="004C3F47">
        <w:rPr>
          <w:rStyle w:val="Strong"/>
          <w:b w:val="0"/>
          <w:color w:val="000000"/>
          <w:shd w:val="clear" w:color="auto" w:fill="FFFFFF"/>
          <w:lang w:val="es-CR"/>
        </w:rPr>
        <w:t xml:space="preserve"> párr. 63</w:t>
      </w:r>
      <w:r>
        <w:rPr>
          <w:rStyle w:val="Strong"/>
          <w:b w:val="0"/>
          <w:color w:val="000000"/>
          <w:shd w:val="clear" w:color="auto" w:fill="FFFFFF"/>
          <w:lang w:val="es-CR"/>
        </w:rPr>
        <w:t xml:space="preserve">, y </w:t>
      </w:r>
      <w:r w:rsidRPr="00333304">
        <w:rPr>
          <w:rStyle w:val="Strong"/>
          <w:b w:val="0"/>
          <w:i/>
          <w:color w:val="000000"/>
          <w:shd w:val="clear" w:color="auto" w:fill="FFFFFF"/>
          <w:lang w:val="es-CR"/>
        </w:rPr>
        <w:t xml:space="preserve">Caso </w:t>
      </w:r>
      <w:proofErr w:type="spellStart"/>
      <w:r w:rsidRPr="00333304">
        <w:rPr>
          <w:rStyle w:val="Strong"/>
          <w:b w:val="0"/>
          <w:i/>
          <w:color w:val="000000"/>
          <w:shd w:val="clear" w:color="auto" w:fill="FFFFFF"/>
          <w:lang w:val="es-CR"/>
        </w:rPr>
        <w:t>Memolí</w:t>
      </w:r>
      <w:proofErr w:type="spellEnd"/>
      <w:r w:rsidRPr="00333304">
        <w:rPr>
          <w:rStyle w:val="Strong"/>
          <w:b w:val="0"/>
          <w:i/>
          <w:color w:val="000000"/>
          <w:shd w:val="clear" w:color="auto" w:fill="FFFFFF"/>
          <w:lang w:val="es-CR"/>
        </w:rPr>
        <w:t xml:space="preserve"> </w:t>
      </w:r>
      <w:r>
        <w:rPr>
          <w:rStyle w:val="Strong"/>
          <w:b w:val="0"/>
          <w:i/>
          <w:color w:val="000000"/>
          <w:shd w:val="clear" w:color="auto" w:fill="FFFFFF"/>
          <w:lang w:val="es-CR"/>
        </w:rPr>
        <w:t>V</w:t>
      </w:r>
      <w:r w:rsidRPr="00333304">
        <w:rPr>
          <w:rStyle w:val="Strong"/>
          <w:b w:val="0"/>
          <w:i/>
          <w:color w:val="000000"/>
          <w:shd w:val="clear" w:color="auto" w:fill="FFFFFF"/>
          <w:lang w:val="es-CR"/>
        </w:rPr>
        <w:t>s. Argentina</w:t>
      </w:r>
      <w:r>
        <w:rPr>
          <w:rStyle w:val="Strong"/>
          <w:b w:val="0"/>
          <w:i/>
          <w:color w:val="000000"/>
          <w:shd w:val="clear" w:color="auto" w:fill="FFFFFF"/>
          <w:lang w:val="es-CR"/>
        </w:rPr>
        <w:t xml:space="preserve">, </w:t>
      </w:r>
      <w:r w:rsidRPr="002F31BD">
        <w:rPr>
          <w:rStyle w:val="Strong"/>
          <w:b w:val="0"/>
          <w:i/>
          <w:color w:val="000000"/>
          <w:shd w:val="clear" w:color="auto" w:fill="FFFFFF"/>
          <w:lang w:val="es-CR"/>
        </w:rPr>
        <w:t>supra</w:t>
      </w:r>
      <w:r>
        <w:rPr>
          <w:rStyle w:val="Strong"/>
          <w:b w:val="0"/>
          <w:i/>
          <w:color w:val="000000"/>
          <w:shd w:val="clear" w:color="auto" w:fill="FFFFFF"/>
          <w:lang w:val="es-CR"/>
        </w:rPr>
        <w:t xml:space="preserve">, </w:t>
      </w:r>
      <w:r>
        <w:rPr>
          <w:rStyle w:val="Strong"/>
          <w:b w:val="0"/>
          <w:color w:val="000000"/>
          <w:shd w:val="clear" w:color="auto" w:fill="FFFFFF"/>
          <w:lang w:val="es-CR"/>
        </w:rPr>
        <w:t>párr. 154</w:t>
      </w:r>
    </w:p>
  </w:footnote>
  <w:footnote w:id="159">
    <w:p w14:paraId="39A52C11" w14:textId="3CA8478A" w:rsidR="00D86616" w:rsidRPr="00801513" w:rsidRDefault="00D86616" w:rsidP="006A2D03">
      <w:pPr>
        <w:pStyle w:val="FootnoteText"/>
        <w:spacing w:after="0"/>
        <w:rPr>
          <w:lang w:val="es-MX"/>
        </w:rPr>
      </w:pPr>
      <w:r w:rsidRPr="004C3F47">
        <w:rPr>
          <w:rStyle w:val="FootnoteReference"/>
          <w:sz w:val="16"/>
        </w:rPr>
        <w:footnoteRef/>
      </w:r>
      <w:r w:rsidRPr="00801513">
        <w:rPr>
          <w:lang w:val="es-MX"/>
        </w:rPr>
        <w:t xml:space="preserve"> </w:t>
      </w:r>
      <w:r w:rsidRPr="00801513">
        <w:rPr>
          <w:lang w:val="es-MX"/>
        </w:rPr>
        <w:tab/>
      </w:r>
      <w:r w:rsidRPr="007F3588">
        <w:rPr>
          <w:i/>
          <w:lang w:val="es-MX"/>
        </w:rPr>
        <w:t xml:space="preserve">Cfr. </w:t>
      </w:r>
      <w:r w:rsidRPr="007F3588">
        <w:rPr>
          <w:rStyle w:val="Strong"/>
          <w:b w:val="0"/>
          <w:i/>
          <w:color w:val="000000"/>
          <w:shd w:val="clear" w:color="auto" w:fill="FFFFFF"/>
          <w:lang w:val="es-CR"/>
        </w:rPr>
        <w:t xml:space="preserve">Caso </w:t>
      </w:r>
      <w:proofErr w:type="spellStart"/>
      <w:r w:rsidRPr="007F3588">
        <w:rPr>
          <w:rStyle w:val="Strong"/>
          <w:b w:val="0"/>
          <w:i/>
          <w:color w:val="000000"/>
          <w:shd w:val="clear" w:color="auto" w:fill="FFFFFF"/>
          <w:lang w:val="es-CR"/>
        </w:rPr>
        <w:t>Fontevecchia</w:t>
      </w:r>
      <w:proofErr w:type="spellEnd"/>
      <w:r w:rsidRPr="007F3588">
        <w:rPr>
          <w:rStyle w:val="Strong"/>
          <w:b w:val="0"/>
          <w:i/>
          <w:color w:val="000000"/>
          <w:shd w:val="clear" w:color="auto" w:fill="FFFFFF"/>
          <w:lang w:val="es-CR"/>
        </w:rPr>
        <w:t xml:space="preserve"> y D` </w:t>
      </w:r>
      <w:proofErr w:type="spellStart"/>
      <w:r w:rsidRPr="007F3588">
        <w:rPr>
          <w:rStyle w:val="Strong"/>
          <w:b w:val="0"/>
          <w:i/>
          <w:color w:val="000000"/>
          <w:shd w:val="clear" w:color="auto" w:fill="FFFFFF"/>
          <w:lang w:val="es-CR"/>
        </w:rPr>
        <w:t>Amico</w:t>
      </w:r>
      <w:proofErr w:type="spellEnd"/>
      <w:r w:rsidRPr="007F3588">
        <w:rPr>
          <w:rStyle w:val="Strong"/>
          <w:b w:val="0"/>
          <w:i/>
          <w:color w:val="000000"/>
          <w:shd w:val="clear" w:color="auto" w:fill="FFFFFF"/>
          <w:lang w:val="es-CR"/>
        </w:rPr>
        <w:t xml:space="preserve"> Vs. Argentina</w:t>
      </w:r>
      <w:r w:rsidRPr="004C3F47">
        <w:rPr>
          <w:rStyle w:val="Strong"/>
          <w:b w:val="0"/>
          <w:color w:val="000000"/>
          <w:shd w:val="clear" w:color="auto" w:fill="FFFFFF"/>
          <w:lang w:val="es-CR"/>
        </w:rPr>
        <w:t>,</w:t>
      </w:r>
      <w:r>
        <w:rPr>
          <w:rStyle w:val="Strong"/>
          <w:b w:val="0"/>
          <w:color w:val="000000"/>
          <w:shd w:val="clear" w:color="auto" w:fill="FFFFFF"/>
          <w:lang w:val="es-CR"/>
        </w:rPr>
        <w:t xml:space="preserve"> </w:t>
      </w:r>
      <w:r w:rsidRPr="002F31BD">
        <w:rPr>
          <w:rStyle w:val="Strong"/>
          <w:b w:val="0"/>
          <w:i/>
          <w:color w:val="000000"/>
          <w:shd w:val="clear" w:color="auto" w:fill="FFFFFF"/>
          <w:lang w:val="es-CR"/>
        </w:rPr>
        <w:t>supra</w:t>
      </w:r>
      <w:r>
        <w:rPr>
          <w:rStyle w:val="Strong"/>
          <w:b w:val="0"/>
          <w:color w:val="000000"/>
          <w:shd w:val="clear" w:color="auto" w:fill="FFFFFF"/>
          <w:lang w:val="es-CR"/>
        </w:rPr>
        <w:t xml:space="preserve">, </w:t>
      </w:r>
      <w:r w:rsidRPr="004C3F47">
        <w:rPr>
          <w:rStyle w:val="Strong"/>
          <w:b w:val="0"/>
          <w:color w:val="000000"/>
          <w:shd w:val="clear" w:color="auto" w:fill="FFFFFF"/>
          <w:lang w:val="es-CR"/>
        </w:rPr>
        <w:t>párr. 89.</w:t>
      </w:r>
    </w:p>
  </w:footnote>
  <w:footnote w:id="160">
    <w:p w14:paraId="109854E8" w14:textId="634D5A66" w:rsidR="00D86616" w:rsidRPr="009E6ED2" w:rsidRDefault="00D86616" w:rsidP="006A2D03">
      <w:pPr>
        <w:pStyle w:val="FootnoteText"/>
        <w:spacing w:after="0"/>
        <w:rPr>
          <w:lang w:val="es-MX"/>
        </w:rPr>
      </w:pPr>
      <w:r w:rsidRPr="004C3F47">
        <w:rPr>
          <w:rStyle w:val="FootnoteReference"/>
          <w:sz w:val="16"/>
        </w:rPr>
        <w:footnoteRef/>
      </w:r>
      <w:r w:rsidRPr="00801513">
        <w:rPr>
          <w:lang w:val="es-MX"/>
        </w:rPr>
        <w:t xml:space="preserve"> </w:t>
      </w:r>
      <w:r w:rsidRPr="00801513">
        <w:rPr>
          <w:lang w:val="es-MX"/>
        </w:rPr>
        <w:tab/>
      </w:r>
      <w:r w:rsidRPr="007F3588">
        <w:rPr>
          <w:rStyle w:val="Strong"/>
          <w:b w:val="0"/>
          <w:i/>
          <w:color w:val="000000"/>
          <w:shd w:val="clear" w:color="auto" w:fill="FFFFFF"/>
          <w:lang w:val="es-CR"/>
        </w:rPr>
        <w:t xml:space="preserve">Caso </w:t>
      </w:r>
      <w:proofErr w:type="spellStart"/>
      <w:r w:rsidRPr="007F3588">
        <w:rPr>
          <w:rStyle w:val="Strong"/>
          <w:b w:val="0"/>
          <w:i/>
          <w:color w:val="000000"/>
          <w:shd w:val="clear" w:color="auto" w:fill="FFFFFF"/>
          <w:lang w:val="es-CR"/>
        </w:rPr>
        <w:t>Fontevecchia</w:t>
      </w:r>
      <w:proofErr w:type="spellEnd"/>
      <w:r w:rsidRPr="007F3588">
        <w:rPr>
          <w:rStyle w:val="Strong"/>
          <w:b w:val="0"/>
          <w:i/>
          <w:color w:val="000000"/>
          <w:shd w:val="clear" w:color="auto" w:fill="FFFFFF"/>
          <w:lang w:val="es-CR"/>
        </w:rPr>
        <w:t xml:space="preserve"> y </w:t>
      </w:r>
      <w:proofErr w:type="spellStart"/>
      <w:r w:rsidRPr="007F3588">
        <w:rPr>
          <w:rStyle w:val="Strong"/>
          <w:b w:val="0"/>
          <w:i/>
          <w:color w:val="000000"/>
          <w:shd w:val="clear" w:color="auto" w:fill="FFFFFF"/>
          <w:lang w:val="es-CR"/>
        </w:rPr>
        <w:t>D`Amico</w:t>
      </w:r>
      <w:proofErr w:type="spellEnd"/>
      <w:r w:rsidRPr="007F3588">
        <w:rPr>
          <w:rStyle w:val="Strong"/>
          <w:b w:val="0"/>
          <w:i/>
          <w:color w:val="000000"/>
          <w:shd w:val="clear" w:color="auto" w:fill="FFFFFF"/>
          <w:lang w:val="es-CR"/>
        </w:rPr>
        <w:t xml:space="preserve"> Vs. Argentina,</w:t>
      </w:r>
      <w:r>
        <w:rPr>
          <w:rStyle w:val="Strong"/>
          <w:b w:val="0"/>
          <w:color w:val="000000"/>
          <w:shd w:val="clear" w:color="auto" w:fill="FFFFFF"/>
          <w:lang w:val="es-CR"/>
        </w:rPr>
        <w:t xml:space="preserve"> </w:t>
      </w:r>
      <w:r w:rsidRPr="002F31BD">
        <w:rPr>
          <w:rStyle w:val="Strong"/>
          <w:b w:val="0"/>
          <w:i/>
          <w:color w:val="000000"/>
          <w:shd w:val="clear" w:color="auto" w:fill="FFFFFF"/>
          <w:lang w:val="es-CR"/>
        </w:rPr>
        <w:t>supra</w:t>
      </w:r>
      <w:r>
        <w:rPr>
          <w:rStyle w:val="Strong"/>
          <w:b w:val="0"/>
          <w:color w:val="000000"/>
          <w:shd w:val="clear" w:color="auto" w:fill="FFFFFF"/>
          <w:lang w:val="es-CR"/>
        </w:rPr>
        <w:t xml:space="preserve">, </w:t>
      </w:r>
      <w:r w:rsidRPr="004C3F47">
        <w:rPr>
          <w:rStyle w:val="Strong"/>
          <w:b w:val="0"/>
          <w:color w:val="000000"/>
          <w:shd w:val="clear" w:color="auto" w:fill="FFFFFF"/>
          <w:lang w:val="es-CR"/>
        </w:rPr>
        <w:t>párr. 90.</w:t>
      </w:r>
    </w:p>
  </w:footnote>
  <w:footnote w:id="161">
    <w:p w14:paraId="0287525A" w14:textId="0A336295" w:rsidR="00D86616" w:rsidRPr="009E6ED2" w:rsidRDefault="00D86616" w:rsidP="006A2D03">
      <w:pPr>
        <w:pStyle w:val="FootnoteText"/>
        <w:spacing w:after="0"/>
        <w:rPr>
          <w:shd w:val="clear" w:color="auto" w:fill="FFFFFF"/>
          <w:lang w:val="es-MX"/>
        </w:rPr>
      </w:pPr>
      <w:r w:rsidRPr="00363DED">
        <w:rPr>
          <w:rStyle w:val="FootnoteReference"/>
          <w:sz w:val="16"/>
        </w:rPr>
        <w:footnoteRef/>
      </w:r>
      <w:r w:rsidRPr="009E6ED2">
        <w:rPr>
          <w:lang w:val="es-MX"/>
        </w:rPr>
        <w:t xml:space="preserve"> </w:t>
      </w:r>
      <w:r w:rsidRPr="009E6ED2">
        <w:rPr>
          <w:lang w:val="es-MX"/>
        </w:rPr>
        <w:tab/>
      </w:r>
      <w:r w:rsidRPr="007F3588">
        <w:rPr>
          <w:i/>
          <w:lang w:val="es-MX"/>
        </w:rPr>
        <w:t xml:space="preserve">Cfr. </w:t>
      </w:r>
      <w:r w:rsidRPr="007F3588">
        <w:rPr>
          <w:i/>
          <w:shd w:val="clear" w:color="auto" w:fill="FFFFFF"/>
          <w:lang w:val="es-MX"/>
        </w:rPr>
        <w:t xml:space="preserve">Caso Castillo </w:t>
      </w:r>
      <w:proofErr w:type="spellStart"/>
      <w:r w:rsidRPr="007F3588">
        <w:rPr>
          <w:i/>
          <w:shd w:val="clear" w:color="auto" w:fill="FFFFFF"/>
          <w:lang w:val="es-MX"/>
        </w:rPr>
        <w:t>Petruzzi</w:t>
      </w:r>
      <w:proofErr w:type="spellEnd"/>
      <w:r w:rsidRPr="007F3588">
        <w:rPr>
          <w:i/>
          <w:shd w:val="clear" w:color="auto" w:fill="FFFFFF"/>
          <w:lang w:val="es-MX"/>
        </w:rPr>
        <w:t xml:space="preserve"> y otros Vs. Perú, supra</w:t>
      </w:r>
      <w:r w:rsidRPr="009E6ED2">
        <w:rPr>
          <w:shd w:val="clear" w:color="auto" w:fill="FFFFFF"/>
          <w:lang w:val="es-MX"/>
        </w:rPr>
        <w:t xml:space="preserve">, párr. 207 y </w:t>
      </w:r>
      <w:r w:rsidRPr="007F3588">
        <w:rPr>
          <w:i/>
          <w:shd w:val="clear" w:color="auto" w:fill="FFFFFF"/>
          <w:lang w:val="es-MX"/>
        </w:rPr>
        <w:t xml:space="preserve">Caso </w:t>
      </w:r>
      <w:proofErr w:type="spellStart"/>
      <w:r w:rsidRPr="007F3588">
        <w:rPr>
          <w:i/>
          <w:shd w:val="clear" w:color="auto" w:fill="FFFFFF"/>
          <w:lang w:val="es-MX"/>
        </w:rPr>
        <w:t>Lopez</w:t>
      </w:r>
      <w:proofErr w:type="spellEnd"/>
      <w:r w:rsidRPr="007F3588">
        <w:rPr>
          <w:i/>
          <w:shd w:val="clear" w:color="auto" w:fill="FFFFFF"/>
          <w:lang w:val="es-MX"/>
        </w:rPr>
        <w:t xml:space="preserve"> </w:t>
      </w:r>
      <w:proofErr w:type="spellStart"/>
      <w:r w:rsidRPr="007F3588">
        <w:rPr>
          <w:i/>
          <w:shd w:val="clear" w:color="auto" w:fill="FFFFFF"/>
          <w:lang w:val="es-MX"/>
        </w:rPr>
        <w:t>Lone</w:t>
      </w:r>
      <w:proofErr w:type="spellEnd"/>
      <w:r w:rsidRPr="007F3588">
        <w:rPr>
          <w:i/>
          <w:shd w:val="clear" w:color="auto" w:fill="FFFFFF"/>
          <w:lang w:val="es-MX"/>
        </w:rPr>
        <w:t xml:space="preserve"> y otros Vs. Honduras</w:t>
      </w:r>
      <w:r>
        <w:rPr>
          <w:i/>
          <w:shd w:val="clear" w:color="auto" w:fill="FFFFFF"/>
          <w:lang w:val="es-MX"/>
        </w:rPr>
        <w:t>, supra,</w:t>
      </w:r>
      <w:r w:rsidRPr="007F3588">
        <w:rPr>
          <w:i/>
          <w:shd w:val="clear" w:color="auto" w:fill="FFFFFF"/>
          <w:lang w:val="es-MX"/>
        </w:rPr>
        <w:t xml:space="preserve"> </w:t>
      </w:r>
      <w:r>
        <w:rPr>
          <w:shd w:val="clear" w:color="auto" w:fill="FFFFFF"/>
          <w:lang w:val="es-MX"/>
        </w:rPr>
        <w:t>p</w:t>
      </w:r>
      <w:r w:rsidRPr="009E6ED2">
        <w:rPr>
          <w:shd w:val="clear" w:color="auto" w:fill="FFFFFF"/>
          <w:lang w:val="es-MX"/>
        </w:rPr>
        <w:t>árr. 214</w:t>
      </w:r>
      <w:r>
        <w:rPr>
          <w:shd w:val="clear" w:color="auto" w:fill="FFFFFF"/>
          <w:lang w:val="es-MX"/>
        </w:rPr>
        <w:t>.</w:t>
      </w:r>
    </w:p>
  </w:footnote>
  <w:footnote w:id="162">
    <w:p w14:paraId="06EE5368" w14:textId="7059A6D9" w:rsidR="00D86616" w:rsidRPr="004C3F47" w:rsidRDefault="00D86616" w:rsidP="006A2D03">
      <w:pPr>
        <w:jc w:val="both"/>
        <w:rPr>
          <w:rFonts w:ascii="Verdana" w:hAnsi="Verdana"/>
          <w:sz w:val="16"/>
          <w:szCs w:val="16"/>
        </w:rPr>
      </w:pPr>
      <w:r w:rsidRPr="004C3F47">
        <w:rPr>
          <w:rStyle w:val="FootnoteReference"/>
          <w:rFonts w:cs="Times"/>
          <w:sz w:val="16"/>
          <w:szCs w:val="16"/>
        </w:rPr>
        <w:footnoteRef/>
      </w:r>
      <w:r w:rsidRPr="004C3F47">
        <w:rPr>
          <w:rStyle w:val="FootnoteReference"/>
          <w:rFonts w:cs="Times"/>
          <w:sz w:val="16"/>
          <w:szCs w:val="16"/>
        </w:rPr>
        <w:t xml:space="preserve"> </w:t>
      </w:r>
      <w:r w:rsidRPr="004C3F47">
        <w:rPr>
          <w:rFonts w:ascii="Verdana" w:hAnsi="Verdana"/>
          <w:sz w:val="16"/>
          <w:szCs w:val="16"/>
        </w:rPr>
        <w:tab/>
      </w:r>
      <w:r w:rsidRPr="004C3F47">
        <w:rPr>
          <w:rFonts w:ascii="Verdana" w:hAnsi="Verdana"/>
          <w:i/>
          <w:sz w:val="16"/>
          <w:szCs w:val="16"/>
        </w:rPr>
        <w:t>La Colegiación Obligatoria de Periodistas</w:t>
      </w:r>
      <w:r>
        <w:rPr>
          <w:rFonts w:ascii="Verdana" w:hAnsi="Verdana"/>
          <w:i/>
          <w:sz w:val="16"/>
          <w:szCs w:val="16"/>
        </w:rPr>
        <w:t xml:space="preserve"> OC-5/85,</w:t>
      </w:r>
      <w:r w:rsidRPr="004C3F47">
        <w:rPr>
          <w:rFonts w:ascii="Verdana" w:hAnsi="Verdana"/>
          <w:i/>
          <w:sz w:val="16"/>
          <w:szCs w:val="16"/>
        </w:rPr>
        <w:t xml:space="preserve"> </w:t>
      </w:r>
      <w:r w:rsidRPr="002F31BD">
        <w:rPr>
          <w:rFonts w:ascii="Verdana" w:hAnsi="Verdana"/>
          <w:i/>
          <w:sz w:val="16"/>
          <w:szCs w:val="16"/>
        </w:rPr>
        <w:t>supra</w:t>
      </w:r>
      <w:r w:rsidRPr="004C3F47">
        <w:rPr>
          <w:rFonts w:ascii="Verdana" w:hAnsi="Verdana"/>
          <w:i/>
          <w:sz w:val="16"/>
          <w:szCs w:val="16"/>
        </w:rPr>
        <w:t xml:space="preserve"> </w:t>
      </w:r>
      <w:r w:rsidRPr="004C3F47">
        <w:rPr>
          <w:rFonts w:ascii="Verdana" w:hAnsi="Verdana"/>
          <w:sz w:val="16"/>
          <w:szCs w:val="16"/>
        </w:rPr>
        <w:t xml:space="preserve">nota 36, </w:t>
      </w:r>
      <w:proofErr w:type="spellStart"/>
      <w:r w:rsidRPr="004C3F47">
        <w:rPr>
          <w:rFonts w:ascii="Verdana" w:hAnsi="Verdana"/>
          <w:sz w:val="16"/>
          <w:szCs w:val="16"/>
        </w:rPr>
        <w:t>párrs</w:t>
      </w:r>
      <w:proofErr w:type="spellEnd"/>
      <w:r w:rsidRPr="004C3F47">
        <w:rPr>
          <w:rFonts w:ascii="Verdana" w:hAnsi="Verdana"/>
          <w:sz w:val="16"/>
          <w:szCs w:val="16"/>
        </w:rPr>
        <w:t xml:space="preserve">. 41 a 46. En este último párrafo, el Tribunal señaló: </w:t>
      </w:r>
      <w:r w:rsidRPr="004C3F47">
        <w:rPr>
          <w:rFonts w:ascii="Verdana" w:hAnsi="Verdana"/>
          <w:sz w:val="16"/>
          <w:szCs w:val="16"/>
          <w:lang w:val="es-ES"/>
        </w:rPr>
        <w:t xml:space="preserve">“[e]s importante destacar que la Corte Europea de Derechos Humanos al interpretar el artículo 10 de la Convención Europea, concluyó que “necesarias”, sin ser sinónimo de “indispensables”, implica la existencia de una “necesidad social imperiosa" y que para que una restricción sea “necesaria” no es suficiente demostrar que sea “útil”, “razonable” u “oportuna” </w:t>
      </w:r>
      <w:r w:rsidRPr="004C3F47">
        <w:rPr>
          <w:rFonts w:ascii="Verdana" w:hAnsi="Verdana"/>
          <w:sz w:val="16"/>
          <w:szCs w:val="16"/>
          <w:lang w:val="es-CL"/>
        </w:rPr>
        <w:t>[…]</w:t>
      </w:r>
      <w:r w:rsidRPr="004C3F47">
        <w:rPr>
          <w:rFonts w:ascii="Verdana" w:hAnsi="Verdana"/>
          <w:sz w:val="16"/>
          <w:szCs w:val="16"/>
          <w:lang w:val="es-ES"/>
        </w:rPr>
        <w:t xml:space="preserve">. Esta conclusión, que es igualmente aplicable a la Convención Americana, sugiere que la “necesidad” y, por ende, la legalidad de las restricciones a la libertad de expresión fundadas sobre el artículo 13.2, dependerá de que estén orientadas a satisfacer un interés público imperativo[.]” </w:t>
      </w:r>
      <w:r w:rsidRPr="004C3F47">
        <w:rPr>
          <w:rFonts w:ascii="Verdana" w:hAnsi="Verdana"/>
          <w:sz w:val="16"/>
          <w:szCs w:val="16"/>
          <w:lang w:val="es-CL"/>
        </w:rPr>
        <w:t xml:space="preserve">Asimismo, </w:t>
      </w:r>
      <w:r w:rsidRPr="00F77B70">
        <w:rPr>
          <w:rFonts w:ascii="Verdana" w:hAnsi="Verdana"/>
          <w:i/>
          <w:sz w:val="16"/>
          <w:szCs w:val="16"/>
          <w:lang w:val="es-CL"/>
        </w:rPr>
        <w:t>Cfr.</w:t>
      </w:r>
      <w:r w:rsidRPr="004C3F47">
        <w:rPr>
          <w:rFonts w:ascii="Verdana" w:hAnsi="Verdana"/>
          <w:sz w:val="16"/>
          <w:szCs w:val="16"/>
          <w:lang w:val="es-CL"/>
        </w:rPr>
        <w:t xml:space="preserve"> TEDH, </w:t>
      </w:r>
      <w:r w:rsidRPr="004C3F47">
        <w:rPr>
          <w:rFonts w:ascii="Verdana" w:hAnsi="Verdana"/>
          <w:i/>
          <w:sz w:val="16"/>
          <w:szCs w:val="16"/>
          <w:lang w:val="es-CL"/>
        </w:rPr>
        <w:t>Cas</w:t>
      </w:r>
      <w:r>
        <w:rPr>
          <w:rFonts w:ascii="Verdana" w:hAnsi="Verdana"/>
          <w:i/>
          <w:sz w:val="16"/>
          <w:szCs w:val="16"/>
          <w:lang w:val="es-CL"/>
        </w:rPr>
        <w:t xml:space="preserve">o </w:t>
      </w:r>
      <w:proofErr w:type="spellStart"/>
      <w:r>
        <w:rPr>
          <w:rFonts w:ascii="Verdana" w:hAnsi="Verdana"/>
          <w:i/>
          <w:sz w:val="16"/>
          <w:szCs w:val="16"/>
          <w:lang w:val="es-CL"/>
        </w:rPr>
        <w:t>Editions</w:t>
      </w:r>
      <w:proofErr w:type="spellEnd"/>
      <w:r>
        <w:rPr>
          <w:rFonts w:ascii="Verdana" w:hAnsi="Verdana"/>
          <w:i/>
          <w:sz w:val="16"/>
          <w:szCs w:val="16"/>
          <w:lang w:val="es-CL"/>
        </w:rPr>
        <w:t xml:space="preserve"> </w:t>
      </w:r>
      <w:proofErr w:type="spellStart"/>
      <w:r>
        <w:rPr>
          <w:rFonts w:ascii="Verdana" w:hAnsi="Verdana"/>
          <w:i/>
          <w:sz w:val="16"/>
          <w:szCs w:val="16"/>
          <w:lang w:val="es-CL"/>
        </w:rPr>
        <w:t>Plon</w:t>
      </w:r>
      <w:proofErr w:type="spellEnd"/>
      <w:r>
        <w:rPr>
          <w:rFonts w:ascii="Verdana" w:hAnsi="Verdana"/>
          <w:i/>
          <w:sz w:val="16"/>
          <w:szCs w:val="16"/>
          <w:lang w:val="es-CL"/>
        </w:rPr>
        <w:t xml:space="preserve"> Vs</w:t>
      </w:r>
      <w:r w:rsidRPr="004C3F47">
        <w:rPr>
          <w:rFonts w:ascii="Verdana" w:hAnsi="Verdana"/>
          <w:i/>
          <w:sz w:val="16"/>
          <w:szCs w:val="16"/>
          <w:lang w:val="es-CL"/>
        </w:rPr>
        <w:t>. Franc</w:t>
      </w:r>
      <w:r>
        <w:rPr>
          <w:rFonts w:ascii="Verdana" w:hAnsi="Verdana"/>
          <w:i/>
          <w:sz w:val="16"/>
          <w:szCs w:val="16"/>
          <w:lang w:val="es-CL"/>
        </w:rPr>
        <w:t>ia</w:t>
      </w:r>
      <w:r w:rsidRPr="004C3F47">
        <w:rPr>
          <w:rFonts w:ascii="Verdana" w:hAnsi="Verdana"/>
          <w:sz w:val="16"/>
          <w:szCs w:val="16"/>
          <w:lang w:val="es-CL"/>
        </w:rPr>
        <w:t xml:space="preserve">, Sentencia de 18 de mayo de 2004, </w:t>
      </w:r>
      <w:proofErr w:type="spellStart"/>
      <w:r w:rsidRPr="004C3F47">
        <w:rPr>
          <w:rFonts w:ascii="Verdana" w:hAnsi="Verdana"/>
          <w:sz w:val="16"/>
          <w:szCs w:val="16"/>
          <w:lang w:val="es-CL"/>
        </w:rPr>
        <w:t>pá</w:t>
      </w:r>
      <w:r w:rsidRPr="004C3F47">
        <w:rPr>
          <w:rFonts w:ascii="Verdana" w:hAnsi="Verdana"/>
          <w:sz w:val="16"/>
          <w:szCs w:val="16"/>
          <w:lang w:val="es-ES"/>
        </w:rPr>
        <w:t>rr.</w:t>
      </w:r>
      <w:proofErr w:type="spellEnd"/>
      <w:r w:rsidRPr="004C3F47">
        <w:rPr>
          <w:rFonts w:ascii="Verdana" w:hAnsi="Verdana"/>
          <w:sz w:val="16"/>
          <w:szCs w:val="16"/>
          <w:lang w:val="es-ES"/>
        </w:rPr>
        <w:t xml:space="preserve"> 42 y</w:t>
      </w:r>
      <w:r>
        <w:rPr>
          <w:rFonts w:ascii="Verdana" w:hAnsi="Verdana"/>
          <w:sz w:val="16"/>
          <w:szCs w:val="16"/>
          <w:lang w:val="es-ES"/>
        </w:rPr>
        <w:t xml:space="preserve"> TEDH. </w:t>
      </w:r>
      <w:r w:rsidRPr="004C3F47">
        <w:rPr>
          <w:rFonts w:ascii="Verdana" w:hAnsi="Verdana"/>
          <w:i/>
          <w:sz w:val="16"/>
          <w:szCs w:val="16"/>
          <w:lang w:val="es-ES"/>
        </w:rPr>
        <w:t>Cas</w:t>
      </w:r>
      <w:r>
        <w:rPr>
          <w:rFonts w:ascii="Verdana" w:hAnsi="Verdana"/>
          <w:i/>
          <w:sz w:val="16"/>
          <w:szCs w:val="16"/>
          <w:lang w:val="es-ES"/>
        </w:rPr>
        <w:t>o</w:t>
      </w:r>
      <w:r w:rsidRPr="004C3F47">
        <w:rPr>
          <w:rFonts w:ascii="Verdana" w:hAnsi="Verdana"/>
          <w:i/>
          <w:sz w:val="16"/>
          <w:szCs w:val="16"/>
          <w:lang w:val="es-ES"/>
        </w:rPr>
        <w:t xml:space="preserve"> MGN </w:t>
      </w:r>
      <w:proofErr w:type="spellStart"/>
      <w:r w:rsidRPr="004C3F47">
        <w:rPr>
          <w:rFonts w:ascii="Verdana" w:hAnsi="Verdana"/>
          <w:i/>
          <w:sz w:val="16"/>
          <w:szCs w:val="16"/>
          <w:lang w:val="es-ES"/>
        </w:rPr>
        <w:t>Limited</w:t>
      </w:r>
      <w:proofErr w:type="spellEnd"/>
      <w:r w:rsidRPr="004C3F47">
        <w:rPr>
          <w:rFonts w:ascii="Verdana" w:hAnsi="Verdana"/>
          <w:i/>
          <w:sz w:val="16"/>
          <w:szCs w:val="16"/>
          <w:lang w:val="es-ES"/>
        </w:rPr>
        <w:t xml:space="preserve"> </w:t>
      </w:r>
      <w:r>
        <w:rPr>
          <w:rFonts w:ascii="Verdana" w:hAnsi="Verdana"/>
          <w:i/>
          <w:sz w:val="16"/>
          <w:szCs w:val="16"/>
          <w:lang w:val="es-ES"/>
        </w:rPr>
        <w:t>Vs Reino Unido. No. 39401/04. Sentencia de 18 de enero de 2011. párr. 139.</w:t>
      </w:r>
    </w:p>
  </w:footnote>
  <w:footnote w:id="163">
    <w:p w14:paraId="1AE07A99" w14:textId="2222379C" w:rsidR="00D86616" w:rsidRPr="009E6ED2" w:rsidRDefault="00D86616" w:rsidP="006A2D03">
      <w:pPr>
        <w:pStyle w:val="FootnoteText"/>
        <w:spacing w:after="0"/>
        <w:rPr>
          <w:lang w:val="es-MX"/>
        </w:rPr>
      </w:pPr>
      <w:r w:rsidRPr="004C3F47">
        <w:rPr>
          <w:rStyle w:val="FootnoteReference"/>
          <w:sz w:val="16"/>
        </w:rPr>
        <w:footnoteRef/>
      </w:r>
      <w:r w:rsidRPr="00333304">
        <w:rPr>
          <w:lang w:val="es-ES"/>
        </w:rPr>
        <w:t xml:space="preserve"> </w:t>
      </w:r>
      <w:r w:rsidRPr="00333304">
        <w:rPr>
          <w:lang w:val="es-ES"/>
        </w:rPr>
        <w:tab/>
      </w:r>
      <w:r w:rsidRPr="007F3588">
        <w:rPr>
          <w:i/>
          <w:shd w:val="clear" w:color="auto" w:fill="FFFFFF"/>
          <w:lang w:val="es-MX"/>
        </w:rPr>
        <w:t>Cfr. Caso “La Última Tentación de Cristo” (Olmedo Bustos y otros) Vs. Chile, supra</w:t>
      </w:r>
      <w:r w:rsidRPr="009E6ED2">
        <w:rPr>
          <w:shd w:val="clear" w:color="auto" w:fill="FFFFFF"/>
          <w:lang w:val="es-MX"/>
        </w:rPr>
        <w:t xml:space="preserve">, párr. 69 y </w:t>
      </w:r>
      <w:r w:rsidRPr="007F3588">
        <w:rPr>
          <w:i/>
          <w:shd w:val="clear" w:color="auto" w:fill="FFFFFF"/>
          <w:lang w:val="es-MX"/>
        </w:rPr>
        <w:t xml:space="preserve">Caso López </w:t>
      </w:r>
      <w:proofErr w:type="spellStart"/>
      <w:r w:rsidRPr="007F3588">
        <w:rPr>
          <w:i/>
          <w:shd w:val="clear" w:color="auto" w:fill="FFFFFF"/>
          <w:lang w:val="es-MX"/>
        </w:rPr>
        <w:t>Lone</w:t>
      </w:r>
      <w:proofErr w:type="spellEnd"/>
      <w:r w:rsidRPr="007F3588">
        <w:rPr>
          <w:i/>
          <w:shd w:val="clear" w:color="auto" w:fill="FFFFFF"/>
          <w:lang w:val="es-MX"/>
        </w:rPr>
        <w:t xml:space="preserve"> y otros Vs. Honduras, supra</w:t>
      </w:r>
      <w:r w:rsidRPr="009E6ED2">
        <w:rPr>
          <w:shd w:val="clear" w:color="auto" w:fill="FFFFFF"/>
          <w:lang w:val="es-MX"/>
        </w:rPr>
        <w:t>, párr. 168.</w:t>
      </w:r>
    </w:p>
  </w:footnote>
  <w:footnote w:id="164">
    <w:p w14:paraId="30CC0BB6" w14:textId="6BCD69D2" w:rsidR="00D86616" w:rsidRPr="009E6ED2" w:rsidRDefault="00D86616" w:rsidP="006A2D03">
      <w:pPr>
        <w:pStyle w:val="FootnoteText"/>
        <w:spacing w:after="0"/>
        <w:rPr>
          <w:lang w:val="es-MX"/>
        </w:rPr>
      </w:pPr>
      <w:r w:rsidRPr="004C3F47">
        <w:rPr>
          <w:rStyle w:val="FootnoteReference"/>
          <w:sz w:val="16"/>
        </w:rPr>
        <w:footnoteRef/>
      </w:r>
      <w:r w:rsidRPr="009E6ED2">
        <w:rPr>
          <w:lang w:val="es-MX"/>
        </w:rPr>
        <w:t xml:space="preserve"> </w:t>
      </w:r>
      <w:r w:rsidRPr="009E6ED2">
        <w:rPr>
          <w:lang w:val="es-MX"/>
        </w:rPr>
        <w:tab/>
      </w:r>
      <w:r w:rsidRPr="007F3588">
        <w:rPr>
          <w:i/>
          <w:lang w:val="es-MX"/>
        </w:rPr>
        <w:t xml:space="preserve">Cfr. </w:t>
      </w:r>
      <w:r w:rsidRPr="004868B2">
        <w:rPr>
          <w:lang w:val="es-MX"/>
        </w:rPr>
        <w:t>TEDH</w:t>
      </w:r>
      <w:r w:rsidRPr="007F3588">
        <w:rPr>
          <w:i/>
          <w:lang w:val="es-MX"/>
        </w:rPr>
        <w:t>, Caso Fuentes Bobo Vs. España,</w:t>
      </w:r>
      <w:r w:rsidRPr="009E6ED2">
        <w:rPr>
          <w:lang w:val="es-MX"/>
        </w:rPr>
        <w:t xml:space="preserve"> Sentencia de 29 de febrero de 2000, </w:t>
      </w:r>
      <w:r w:rsidRPr="00844874">
        <w:rPr>
          <w:i/>
          <w:lang w:val="es-MX"/>
        </w:rPr>
        <w:t>supra</w:t>
      </w:r>
      <w:r w:rsidRPr="009E6ED2">
        <w:rPr>
          <w:lang w:val="es-MX"/>
        </w:rPr>
        <w:t xml:space="preserve">, párr. 42 y </w:t>
      </w:r>
      <w:r w:rsidRPr="004868B2">
        <w:rPr>
          <w:lang w:val="es-MX"/>
        </w:rPr>
        <w:t>TEDH</w:t>
      </w:r>
      <w:r w:rsidRPr="007F3588">
        <w:rPr>
          <w:i/>
          <w:lang w:val="es-MX"/>
        </w:rPr>
        <w:t>. Caso Palomo Sánchez y otros vs. España [GS], supra,</w:t>
      </w:r>
      <w:r w:rsidRPr="009E6ED2">
        <w:rPr>
          <w:lang w:val="es-MX"/>
        </w:rPr>
        <w:t xml:space="preserve"> </w:t>
      </w:r>
      <w:r>
        <w:rPr>
          <w:lang w:val="es-MX"/>
        </w:rPr>
        <w:t>p</w:t>
      </w:r>
      <w:r w:rsidRPr="009E6ED2">
        <w:rPr>
          <w:lang w:val="es-MX"/>
        </w:rPr>
        <w:t>árr. 63.</w:t>
      </w:r>
    </w:p>
  </w:footnote>
  <w:footnote w:id="165">
    <w:p w14:paraId="66ACFA9A" w14:textId="0B2CC4AA" w:rsidR="00D86616" w:rsidRPr="009E6ED2" w:rsidRDefault="00D86616" w:rsidP="006A2D03">
      <w:pPr>
        <w:pStyle w:val="FootnoteText"/>
        <w:spacing w:after="0"/>
        <w:rPr>
          <w:lang w:val="es-MX"/>
        </w:rPr>
      </w:pPr>
      <w:r w:rsidRPr="004C3F47">
        <w:rPr>
          <w:rStyle w:val="FootnoteReference"/>
          <w:sz w:val="16"/>
        </w:rPr>
        <w:footnoteRef/>
      </w:r>
      <w:r w:rsidRPr="00333304">
        <w:rPr>
          <w:lang w:val="pt-BR"/>
        </w:rPr>
        <w:t xml:space="preserve"> </w:t>
      </w:r>
      <w:r w:rsidRPr="00333304">
        <w:rPr>
          <w:lang w:val="pt-BR"/>
        </w:rPr>
        <w:tab/>
      </w:r>
      <w:r w:rsidRPr="00333304">
        <w:rPr>
          <w:i/>
          <w:lang w:val="pt-BR"/>
        </w:rPr>
        <w:t>Cfr.</w:t>
      </w:r>
      <w:r w:rsidRPr="00333304">
        <w:rPr>
          <w:lang w:val="pt-BR"/>
        </w:rPr>
        <w:t xml:space="preserve"> </w:t>
      </w:r>
      <w:r w:rsidRPr="004868B2">
        <w:rPr>
          <w:lang w:val="pt-BR"/>
        </w:rPr>
        <w:t>TEDH</w:t>
      </w:r>
      <w:r w:rsidRPr="00333304">
        <w:rPr>
          <w:i/>
          <w:lang w:val="pt-BR"/>
        </w:rPr>
        <w:t>. Caso Heinisch vs. Alemania</w:t>
      </w:r>
      <w:r w:rsidRPr="00333304">
        <w:rPr>
          <w:lang w:val="pt-BR"/>
        </w:rPr>
        <w:t xml:space="preserve">. </w:t>
      </w:r>
      <w:r w:rsidRPr="009E6ED2">
        <w:rPr>
          <w:lang w:val="es-MX"/>
        </w:rPr>
        <w:t xml:space="preserve">No. 28274/08. Sentencia de 21 de julio de 2011. Párr. 91 y </w:t>
      </w:r>
      <w:r w:rsidRPr="004868B2">
        <w:rPr>
          <w:lang w:val="es-MX"/>
        </w:rPr>
        <w:t>TEDH</w:t>
      </w:r>
      <w:r w:rsidRPr="009E6ED2">
        <w:rPr>
          <w:i/>
          <w:lang w:val="es-MX"/>
        </w:rPr>
        <w:t>. Caso Palomo Sánchez vs. España [GS]</w:t>
      </w:r>
      <w:r w:rsidRPr="009E6ED2">
        <w:rPr>
          <w:lang w:val="es-MX"/>
        </w:rPr>
        <w:t xml:space="preserve">, </w:t>
      </w:r>
      <w:r w:rsidRPr="009E6ED2">
        <w:rPr>
          <w:i/>
          <w:lang w:val="es-MX"/>
        </w:rPr>
        <w:t>supra</w:t>
      </w:r>
      <w:r w:rsidRPr="009E6ED2">
        <w:rPr>
          <w:lang w:val="es-MX"/>
        </w:rPr>
        <w:t xml:space="preserve">, </w:t>
      </w:r>
      <w:proofErr w:type="spellStart"/>
      <w:r w:rsidRPr="009E6ED2">
        <w:rPr>
          <w:lang w:val="es-MX"/>
        </w:rPr>
        <w:t>párrs</w:t>
      </w:r>
      <w:proofErr w:type="spellEnd"/>
      <w:r w:rsidRPr="009E6ED2">
        <w:rPr>
          <w:lang w:val="es-MX"/>
        </w:rPr>
        <w:t xml:space="preserve">. 75 y 76; y Declaración pericial de Damián </w:t>
      </w:r>
      <w:proofErr w:type="spellStart"/>
      <w:r w:rsidRPr="009E6ED2">
        <w:rPr>
          <w:lang w:val="es-MX"/>
        </w:rPr>
        <w:t>Loreti</w:t>
      </w:r>
      <w:proofErr w:type="spellEnd"/>
      <w:r w:rsidRPr="009E6ED2">
        <w:rPr>
          <w:lang w:val="es-MX"/>
        </w:rPr>
        <w:t xml:space="preserve"> (transc</w:t>
      </w:r>
      <w:r>
        <w:rPr>
          <w:lang w:val="es-MX"/>
        </w:rPr>
        <w:t xml:space="preserve">ripción audiencia </w:t>
      </w:r>
      <w:proofErr w:type="spellStart"/>
      <w:r>
        <w:rPr>
          <w:lang w:val="es-MX"/>
        </w:rPr>
        <w:t>pgs</w:t>
      </w:r>
      <w:proofErr w:type="spellEnd"/>
      <w:r>
        <w:rPr>
          <w:lang w:val="es-MX"/>
        </w:rPr>
        <w:t>. 43 a 44).</w:t>
      </w:r>
    </w:p>
  </w:footnote>
  <w:footnote w:id="166">
    <w:p w14:paraId="7307B911" w14:textId="3C49C554" w:rsidR="00D86616" w:rsidRPr="009E6ED2" w:rsidRDefault="00D86616" w:rsidP="006A2D03">
      <w:pPr>
        <w:pStyle w:val="FootnoteText"/>
        <w:spacing w:after="0"/>
        <w:rPr>
          <w:lang w:val="es-MX"/>
        </w:rPr>
      </w:pPr>
      <w:r w:rsidRPr="004C3F47">
        <w:rPr>
          <w:rStyle w:val="FootnoteReference"/>
          <w:sz w:val="16"/>
        </w:rPr>
        <w:footnoteRef/>
      </w:r>
      <w:r w:rsidRPr="009E6ED2">
        <w:rPr>
          <w:lang w:val="es-MX"/>
        </w:rPr>
        <w:t xml:space="preserve"> </w:t>
      </w:r>
      <w:r w:rsidRPr="009E6ED2">
        <w:rPr>
          <w:lang w:val="es-MX"/>
        </w:rPr>
        <w:tab/>
        <w:t xml:space="preserve">ONU. ECOSOC. Observación General 18  menciona que los Estados tienen el deber de garantizar a toda persona su derecho al trabajo y a no ser privados de este de forma injusta. Ver también: Comité de Derechos Económicos, Sociales y Culturales, Observación general 18, “El derecho al trabajo”, E/C.12/GC/18. </w:t>
      </w:r>
    </w:p>
  </w:footnote>
  <w:footnote w:id="167">
    <w:p w14:paraId="28128DCD" w14:textId="75240759" w:rsidR="00D86616" w:rsidRPr="009E6ED2" w:rsidRDefault="00D86616" w:rsidP="006A2D03">
      <w:pPr>
        <w:pStyle w:val="FootnoteText"/>
        <w:spacing w:after="0"/>
        <w:rPr>
          <w:lang w:val="es-MX"/>
        </w:rPr>
      </w:pPr>
      <w:r w:rsidRPr="004C3F47">
        <w:rPr>
          <w:rStyle w:val="FootnoteReference"/>
          <w:sz w:val="16"/>
        </w:rPr>
        <w:footnoteRef/>
      </w:r>
      <w:r w:rsidRPr="009E6ED2">
        <w:rPr>
          <w:lang w:val="es-MX"/>
        </w:rPr>
        <w:t xml:space="preserve"> </w:t>
      </w:r>
      <w:r w:rsidRPr="009E6ED2">
        <w:rPr>
          <w:lang w:val="es-MX"/>
        </w:rPr>
        <w:tab/>
      </w:r>
      <w:r w:rsidRPr="009E6ED2">
        <w:rPr>
          <w:i/>
          <w:lang w:val="es-MX"/>
        </w:rPr>
        <w:t>Cfr.</w:t>
      </w:r>
      <w:r w:rsidRPr="009E6ED2">
        <w:rPr>
          <w:lang w:val="es-MX"/>
        </w:rPr>
        <w:t xml:space="preserve"> Recomendación sobre los representantes de los trabajadores, 1971 (núm. 143), OIT, Recomendación sobre la protección y facilidades que deben otorgarse a los representantes de los trabajadores en la empresa. Sesión de la Conferencia: 56, fecha de adopción 23 de junio de 1971. </w:t>
      </w:r>
    </w:p>
    <w:p w14:paraId="6AD6B8A7" w14:textId="77777777" w:rsidR="00D86616" w:rsidRPr="009E6ED2" w:rsidRDefault="00D86616" w:rsidP="006A2D03">
      <w:pPr>
        <w:pStyle w:val="FootnoteText"/>
        <w:spacing w:after="0"/>
        <w:rPr>
          <w:lang w:val="es-MX"/>
        </w:rPr>
      </w:pPr>
      <w:r w:rsidRPr="009E6ED2">
        <w:rPr>
          <w:lang w:val="es-MX"/>
        </w:rPr>
        <w:t>Punto 6: En el caso de que no existan suficientes medidas apropiadas de protección aplicables a los trabajadores, deben adoptarse disposiciones en las que se precisen los motivos para justificar la terminación de una relación de trabajo, además de un dictamen o consulta a un organismo independiente, público o privado antes de que el despido de un trabajador sea definitivo, se requiere de un procedimiento especial de recurso accesible a los representantes de los trabajadores que consideren que se ha puesto fin injustamente a su relación de trabajo.</w:t>
      </w:r>
    </w:p>
  </w:footnote>
  <w:footnote w:id="168">
    <w:p w14:paraId="79FDCBC1" w14:textId="4AA522EC" w:rsidR="00D86616" w:rsidRPr="004C3F47" w:rsidRDefault="00D86616" w:rsidP="006A2D03">
      <w:pPr>
        <w:autoSpaceDE w:val="0"/>
        <w:autoSpaceDN w:val="0"/>
        <w:adjustRightInd w:val="0"/>
        <w:jc w:val="both"/>
        <w:rPr>
          <w:rFonts w:ascii="Verdana" w:hAnsi="Verdana"/>
          <w:sz w:val="16"/>
          <w:szCs w:val="16"/>
        </w:rPr>
      </w:pPr>
      <w:r w:rsidRPr="004C3F47">
        <w:rPr>
          <w:rStyle w:val="FootnoteReference"/>
          <w:sz w:val="16"/>
          <w:szCs w:val="16"/>
        </w:rPr>
        <w:footnoteRef/>
      </w:r>
      <w:r w:rsidRPr="004C3F47">
        <w:rPr>
          <w:rFonts w:ascii="Verdana" w:hAnsi="Verdana"/>
          <w:sz w:val="16"/>
          <w:szCs w:val="16"/>
        </w:rPr>
        <w:t xml:space="preserve"> </w:t>
      </w:r>
      <w:r w:rsidRPr="004C3F47">
        <w:rPr>
          <w:rFonts w:ascii="Verdana" w:hAnsi="Verdana"/>
          <w:sz w:val="16"/>
          <w:szCs w:val="16"/>
        </w:rPr>
        <w:tab/>
      </w:r>
      <w:r w:rsidRPr="004C3F47">
        <w:rPr>
          <w:rFonts w:ascii="Verdana" w:hAnsi="Verdana"/>
          <w:sz w:val="16"/>
          <w:szCs w:val="16"/>
          <w:lang w:eastAsia="es-MX"/>
        </w:rPr>
        <w:t xml:space="preserve">Segundo Tribunal de Trabajo de Lima. Sentencia 08-0891 de 8 de agosto de 1991 </w:t>
      </w:r>
      <w:r w:rsidRPr="004C3F47">
        <w:rPr>
          <w:rFonts w:ascii="Verdana" w:hAnsi="Verdana"/>
          <w:sz w:val="16"/>
          <w:szCs w:val="16"/>
        </w:rPr>
        <w:t>(expediente de prueba</w:t>
      </w:r>
      <w:r>
        <w:rPr>
          <w:rFonts w:ascii="Verdana" w:hAnsi="Verdana"/>
          <w:sz w:val="16"/>
          <w:szCs w:val="16"/>
        </w:rPr>
        <w:t>,</w:t>
      </w:r>
      <w:r w:rsidRPr="004C3F47">
        <w:rPr>
          <w:rFonts w:ascii="Verdana" w:hAnsi="Verdana"/>
          <w:sz w:val="16"/>
          <w:szCs w:val="16"/>
        </w:rPr>
        <w:t xml:space="preserve"> </w:t>
      </w:r>
      <w:r>
        <w:rPr>
          <w:rFonts w:ascii="Verdana" w:hAnsi="Verdana"/>
          <w:sz w:val="16"/>
          <w:szCs w:val="16"/>
        </w:rPr>
        <w:t>a</w:t>
      </w:r>
      <w:r w:rsidRPr="004C3F47">
        <w:rPr>
          <w:rFonts w:ascii="Verdana" w:hAnsi="Verdana"/>
          <w:sz w:val="16"/>
          <w:szCs w:val="16"/>
        </w:rPr>
        <w:t xml:space="preserve">nexo 12 del Informe de Fondo, </w:t>
      </w:r>
      <w:proofErr w:type="spellStart"/>
      <w:r w:rsidRPr="004C3F47">
        <w:rPr>
          <w:rFonts w:ascii="Verdana" w:hAnsi="Verdana"/>
          <w:sz w:val="16"/>
          <w:szCs w:val="16"/>
        </w:rPr>
        <w:t>ff</w:t>
      </w:r>
      <w:proofErr w:type="spellEnd"/>
      <w:r w:rsidRPr="004C3F47">
        <w:rPr>
          <w:rFonts w:ascii="Verdana" w:hAnsi="Verdana"/>
          <w:sz w:val="16"/>
          <w:szCs w:val="16"/>
        </w:rPr>
        <w:t xml:space="preserve">. 47 y 48).  </w:t>
      </w:r>
    </w:p>
  </w:footnote>
  <w:footnote w:id="169">
    <w:p w14:paraId="3A5E1CDC" w14:textId="4C68217F" w:rsidR="00D86616" w:rsidRPr="00333304" w:rsidRDefault="00D86616" w:rsidP="006A2D03">
      <w:pPr>
        <w:pStyle w:val="FootnoteText"/>
        <w:spacing w:after="0"/>
        <w:rPr>
          <w:i/>
          <w:lang w:val="es-HN"/>
        </w:rPr>
      </w:pPr>
      <w:r w:rsidRPr="00363DED">
        <w:rPr>
          <w:rStyle w:val="FootnoteReference"/>
          <w:sz w:val="16"/>
        </w:rPr>
        <w:footnoteRef/>
      </w:r>
      <w:r w:rsidRPr="009E6ED2">
        <w:rPr>
          <w:lang w:val="es-MX"/>
        </w:rPr>
        <w:t xml:space="preserve"> </w:t>
      </w:r>
      <w:r w:rsidRPr="009E6ED2">
        <w:rPr>
          <w:lang w:val="es-MX"/>
        </w:rPr>
        <w:tab/>
        <w:t xml:space="preserve">De conformidad con lo establecido en el artículo 233 de la Constitución Peruana de 1979, para la buena administración de justicia, se requería “motivación escrita de las resoluciones, en todas las instancias, con mención expresa de la ley aplicable y de los fundamentos en que se sustentaba”. Respecto del deber de motivar, la Corte ha señalado que “es una de las ‘debidas garantías’ incluidas en el artículo 8.1 para salvaguardar el derecho a un debido proceso”. “[…] Es una garantía vinculada con la correcta administración de justicia […] que protege el derecho […] a ser juzgados por las razones que el Derecho suministra, y otorga credibilidad de las decisiones jurídicas en el marco de una sociedad democrática”. “Las decisiones que adopten los órganos internos que puedan afectar derechos humanos deben estar debidamente fundamentadas, pues de lo contrario serían decisiones arbitrarias”. No obstante, cabe recordar que el deber de motivar no exige una respuesta detallada a todo argumento de las partes, sino que puede variar según la naturaleza de la decisión, debe determinarse a la luz de las circunstancias del </w:t>
      </w:r>
      <w:proofErr w:type="gramStart"/>
      <w:r w:rsidRPr="009E6ED2">
        <w:rPr>
          <w:lang w:val="es-MX"/>
        </w:rPr>
        <w:t>caso ,</w:t>
      </w:r>
      <w:proofErr w:type="gramEnd"/>
      <w:r w:rsidRPr="009E6ED2">
        <w:rPr>
          <w:lang w:val="es-MX"/>
        </w:rPr>
        <w:t xml:space="preserve"> por lo que “corresponde analizar en cada caso si dicha garantía ha sido satisfecha”. </w:t>
      </w:r>
      <w:r w:rsidRPr="00A532BE">
        <w:rPr>
          <w:i/>
          <w:lang w:val="es-MX"/>
        </w:rPr>
        <w:t>Cfr.</w:t>
      </w:r>
      <w:r>
        <w:rPr>
          <w:lang w:val="es-MX"/>
        </w:rPr>
        <w:t xml:space="preserve"> </w:t>
      </w:r>
      <w:r w:rsidRPr="009E6ED2">
        <w:rPr>
          <w:i/>
          <w:lang w:val="es-MX"/>
        </w:rPr>
        <w:t xml:space="preserve">Caso </w:t>
      </w:r>
      <w:proofErr w:type="spellStart"/>
      <w:r w:rsidRPr="009E6ED2">
        <w:rPr>
          <w:i/>
          <w:lang w:val="es-MX"/>
        </w:rPr>
        <w:t>Apitz</w:t>
      </w:r>
      <w:proofErr w:type="spellEnd"/>
      <w:r w:rsidRPr="009E6ED2">
        <w:rPr>
          <w:i/>
          <w:lang w:val="es-MX"/>
        </w:rPr>
        <w:t xml:space="preserve"> Barbera y otros (“Corte Primera de lo Contencioso Administrativo”) Vs. Venezuela</w:t>
      </w:r>
      <w:r w:rsidRPr="009E6ED2">
        <w:rPr>
          <w:lang w:val="es-MX"/>
        </w:rPr>
        <w:t xml:space="preserve">. Excepción Preliminar, Fondo, Reparaciones y Costas. Sentencia de 5 de agosto de 2008. </w:t>
      </w:r>
      <w:hyperlink r:id="rId5" w:tgtFrame="_blank" w:history="1">
        <w:r w:rsidRPr="009E6ED2">
          <w:rPr>
            <w:lang w:val="es-MX"/>
          </w:rPr>
          <w:t>Serie C No. 182</w:t>
        </w:r>
      </w:hyperlink>
      <w:r w:rsidRPr="009E6ED2">
        <w:rPr>
          <w:lang w:val="es-MX"/>
        </w:rPr>
        <w:t>, § 90;</w:t>
      </w:r>
      <w:r>
        <w:rPr>
          <w:lang w:val="es-MX"/>
        </w:rPr>
        <w:t xml:space="preserve"> </w:t>
      </w:r>
      <w:r w:rsidRPr="00333304">
        <w:rPr>
          <w:rStyle w:val="apple-converted-space"/>
          <w:i/>
          <w:lang w:val="es-CR"/>
        </w:rPr>
        <w:t>Caso Zegarra Marín Vs. Perú</w:t>
      </w:r>
      <w:r>
        <w:rPr>
          <w:rStyle w:val="apple-converted-space"/>
          <w:lang w:val="es-CR"/>
        </w:rPr>
        <w:t>,</w:t>
      </w:r>
      <w:r w:rsidRPr="00333304">
        <w:rPr>
          <w:rStyle w:val="apple-converted-space"/>
          <w:i/>
          <w:lang w:val="es-CR"/>
        </w:rPr>
        <w:t xml:space="preserve"> </w:t>
      </w:r>
      <w:r w:rsidRPr="001E36C0">
        <w:rPr>
          <w:i/>
          <w:lang w:val="es-MX"/>
        </w:rPr>
        <w:t>supra,</w:t>
      </w:r>
      <w:r>
        <w:rPr>
          <w:lang w:val="es-MX"/>
        </w:rPr>
        <w:t xml:space="preserve"> párr. 178</w:t>
      </w:r>
      <w:r w:rsidRPr="009E6ED2">
        <w:rPr>
          <w:lang w:val="es-MX"/>
        </w:rPr>
        <w:t xml:space="preserve">. </w:t>
      </w:r>
      <w:r w:rsidRPr="009E6ED2">
        <w:rPr>
          <w:i/>
          <w:lang w:val="es-MX"/>
        </w:rPr>
        <w:t xml:space="preserve">Cfr. </w:t>
      </w:r>
      <w:r w:rsidRPr="004868B2">
        <w:rPr>
          <w:lang w:val="es-MX"/>
        </w:rPr>
        <w:t>TEDH</w:t>
      </w:r>
      <w:r w:rsidRPr="009E6ED2">
        <w:rPr>
          <w:i/>
          <w:lang w:val="es-MX"/>
        </w:rPr>
        <w:t xml:space="preserve"> Caso </w:t>
      </w:r>
      <w:proofErr w:type="spellStart"/>
      <w:r w:rsidRPr="009E6ED2">
        <w:rPr>
          <w:i/>
          <w:lang w:val="es-MX"/>
        </w:rPr>
        <w:t>Hiro</w:t>
      </w:r>
      <w:proofErr w:type="spellEnd"/>
      <w:r w:rsidRPr="009E6ED2">
        <w:rPr>
          <w:i/>
          <w:lang w:val="es-MX"/>
        </w:rPr>
        <w:t xml:space="preserve"> </w:t>
      </w:r>
      <w:proofErr w:type="spellStart"/>
      <w:r w:rsidRPr="00BD701A">
        <w:rPr>
          <w:lang w:val="es-MX"/>
        </w:rPr>
        <w:t>Balani</w:t>
      </w:r>
      <w:proofErr w:type="spellEnd"/>
      <w:r w:rsidRPr="009E6ED2">
        <w:rPr>
          <w:i/>
          <w:lang w:val="es-MX"/>
        </w:rPr>
        <w:t xml:space="preserve"> Vs. España. </w:t>
      </w:r>
      <w:r w:rsidRPr="009E6ED2">
        <w:rPr>
          <w:lang w:val="es-MX"/>
        </w:rPr>
        <w:t xml:space="preserve">No. 18064/91. Sentencia de 9 de diciembre de 1994. Párr. 27; </w:t>
      </w:r>
      <w:r w:rsidRPr="00957B44">
        <w:rPr>
          <w:i/>
          <w:lang w:val="es-MX"/>
        </w:rPr>
        <w:t xml:space="preserve">Caso Ruiz </w:t>
      </w:r>
      <w:proofErr w:type="spellStart"/>
      <w:r w:rsidRPr="00957B44">
        <w:rPr>
          <w:i/>
          <w:lang w:val="es-MX"/>
        </w:rPr>
        <w:t>Torija</w:t>
      </w:r>
      <w:proofErr w:type="spellEnd"/>
      <w:r w:rsidRPr="00957B44">
        <w:rPr>
          <w:i/>
          <w:lang w:val="es-MX"/>
        </w:rPr>
        <w:t xml:space="preserve"> Vs. España. </w:t>
      </w:r>
      <w:r w:rsidRPr="00957B44">
        <w:rPr>
          <w:i/>
          <w:lang w:val="es-HN"/>
        </w:rPr>
        <w:t xml:space="preserve">No. 18390/91. </w:t>
      </w:r>
      <w:r w:rsidRPr="00333304">
        <w:rPr>
          <w:lang w:val="es-HN"/>
        </w:rPr>
        <w:t>Sentencia de 9 de diciembre de 1994.</w:t>
      </w:r>
      <w:r>
        <w:rPr>
          <w:lang w:val="es-HN"/>
        </w:rPr>
        <w:t xml:space="preserve"> </w:t>
      </w:r>
      <w:r w:rsidRPr="006F7BE4">
        <w:rPr>
          <w:lang w:val="es-HN"/>
        </w:rPr>
        <w:t xml:space="preserve">Párr. 29; </w:t>
      </w:r>
      <w:r w:rsidRPr="00333304">
        <w:rPr>
          <w:i/>
          <w:lang w:val="es-HN"/>
        </w:rPr>
        <w:t xml:space="preserve">Caso </w:t>
      </w:r>
      <w:proofErr w:type="spellStart"/>
      <w:r w:rsidRPr="00333304">
        <w:rPr>
          <w:i/>
          <w:lang w:val="es-HN"/>
        </w:rPr>
        <w:t>Suominen</w:t>
      </w:r>
      <w:proofErr w:type="spellEnd"/>
      <w:r w:rsidRPr="00333304">
        <w:rPr>
          <w:i/>
          <w:lang w:val="es-HN"/>
        </w:rPr>
        <w:t xml:space="preserve"> vs. Finlandia</w:t>
      </w:r>
      <w:r w:rsidRPr="00333304">
        <w:rPr>
          <w:lang w:val="es-HN"/>
        </w:rPr>
        <w:t xml:space="preserve"> No. </w:t>
      </w:r>
      <w:r>
        <w:rPr>
          <w:lang w:val="es-HN"/>
        </w:rPr>
        <w:t xml:space="preserve">49684/99. Sentencia de 27 de septiembre de 2011, y </w:t>
      </w:r>
      <w:r w:rsidRPr="00333304">
        <w:rPr>
          <w:i/>
          <w:lang w:val="es-HN"/>
        </w:rPr>
        <w:t xml:space="preserve">Caso </w:t>
      </w:r>
      <w:proofErr w:type="spellStart"/>
      <w:r w:rsidRPr="00333304">
        <w:rPr>
          <w:i/>
          <w:lang w:val="es-HN"/>
        </w:rPr>
        <w:t>Hirvisaari</w:t>
      </w:r>
      <w:proofErr w:type="spellEnd"/>
      <w:r w:rsidRPr="00333304">
        <w:rPr>
          <w:i/>
          <w:lang w:val="es-HN"/>
        </w:rPr>
        <w:t xml:space="preserve"> vs. Finlandia No</w:t>
      </w:r>
      <w:r>
        <w:rPr>
          <w:lang w:val="es-HN"/>
        </w:rPr>
        <w:t>. 49684/99. Sentencia de 27 de septiembre de 2011. Párr. 30</w:t>
      </w:r>
    </w:p>
  </w:footnote>
  <w:footnote w:id="170">
    <w:p w14:paraId="0853A4B3" w14:textId="1DC16D92" w:rsidR="00D86616" w:rsidRPr="009E6ED2" w:rsidRDefault="00D86616" w:rsidP="006A2D03">
      <w:pPr>
        <w:pStyle w:val="FootnoteText"/>
        <w:spacing w:after="0"/>
        <w:rPr>
          <w:lang w:val="es-MX"/>
        </w:rPr>
      </w:pPr>
      <w:r w:rsidRPr="00363DED">
        <w:rPr>
          <w:rStyle w:val="FootnoteReference"/>
          <w:sz w:val="16"/>
        </w:rPr>
        <w:footnoteRef/>
      </w:r>
      <w:r w:rsidRPr="009E6ED2">
        <w:rPr>
          <w:lang w:val="es-MX"/>
        </w:rPr>
        <w:t xml:space="preserve"> </w:t>
      </w:r>
      <w:r w:rsidRPr="009E6ED2">
        <w:rPr>
          <w:lang w:val="es-MX"/>
        </w:rPr>
        <w:tab/>
        <w:t>Las cursivas y negritas en el texto son añadidas.</w:t>
      </w:r>
    </w:p>
  </w:footnote>
  <w:footnote w:id="171">
    <w:p w14:paraId="3F7A32BA" w14:textId="27A64021" w:rsidR="00D86616" w:rsidRPr="009E6ED2" w:rsidRDefault="00D86616" w:rsidP="006A2D03">
      <w:pPr>
        <w:pStyle w:val="FootnoteText"/>
        <w:spacing w:after="0"/>
        <w:rPr>
          <w:lang w:val="es-MX"/>
        </w:rPr>
      </w:pPr>
      <w:r w:rsidRPr="004C3F47">
        <w:rPr>
          <w:rStyle w:val="FootnoteReference"/>
          <w:sz w:val="16"/>
        </w:rPr>
        <w:footnoteRef/>
      </w:r>
      <w:r w:rsidRPr="009E6ED2">
        <w:rPr>
          <w:lang w:val="es-MX"/>
        </w:rPr>
        <w:t xml:space="preserve"> </w:t>
      </w:r>
      <w:r w:rsidRPr="009E6ED2">
        <w:rPr>
          <w:lang w:val="es-MX"/>
        </w:rPr>
        <w:tab/>
        <w:t xml:space="preserve">Petición inicial ante la CIDH (expediente de prueba, trámite ante la CIDH, </w:t>
      </w:r>
      <w:proofErr w:type="spellStart"/>
      <w:r w:rsidRPr="009E6ED2">
        <w:rPr>
          <w:lang w:val="es-MX"/>
        </w:rPr>
        <w:t>ff</w:t>
      </w:r>
      <w:proofErr w:type="spellEnd"/>
      <w:r w:rsidRPr="009E6ED2">
        <w:rPr>
          <w:lang w:val="es-MX"/>
        </w:rPr>
        <w:t>. 271, 436, 439, 510, 558 a 561).</w:t>
      </w:r>
    </w:p>
  </w:footnote>
  <w:footnote w:id="172">
    <w:p w14:paraId="4DF8E2F6" w14:textId="7FC489ED" w:rsidR="00D86616" w:rsidRPr="00801513" w:rsidRDefault="00D86616" w:rsidP="006A2D03">
      <w:pPr>
        <w:jc w:val="both"/>
        <w:rPr>
          <w:rFonts w:ascii="Verdana" w:hAnsi="Verdana"/>
          <w:sz w:val="16"/>
          <w:szCs w:val="16"/>
          <w:lang w:val="es-CR"/>
        </w:rPr>
      </w:pPr>
      <w:r w:rsidRPr="00801513">
        <w:rPr>
          <w:rStyle w:val="FootnoteReference"/>
          <w:sz w:val="16"/>
          <w:szCs w:val="16"/>
        </w:rPr>
        <w:footnoteRef/>
      </w:r>
      <w:r>
        <w:rPr>
          <w:rFonts w:ascii="Verdana" w:hAnsi="Verdana"/>
          <w:sz w:val="16"/>
          <w:szCs w:val="16"/>
        </w:rPr>
        <w:t xml:space="preserve"> </w:t>
      </w:r>
      <w:r>
        <w:rPr>
          <w:rFonts w:ascii="Verdana" w:hAnsi="Verdana"/>
          <w:sz w:val="16"/>
          <w:szCs w:val="16"/>
        </w:rPr>
        <w:tab/>
      </w:r>
      <w:r w:rsidRPr="004C3F47">
        <w:rPr>
          <w:rFonts w:ascii="Verdana" w:hAnsi="Verdana"/>
          <w:sz w:val="16"/>
          <w:szCs w:val="16"/>
          <w:lang w:val="es-CR"/>
        </w:rPr>
        <w:t xml:space="preserve">Escrito presentado en la oficina de la OEA en Perú de fecha 30 de septiembre de 1994 </w:t>
      </w:r>
      <w:r>
        <w:rPr>
          <w:rFonts w:ascii="Verdana" w:hAnsi="Verdana"/>
          <w:sz w:val="16"/>
          <w:szCs w:val="16"/>
          <w:lang w:val="es-CR"/>
        </w:rPr>
        <w:t>(</w:t>
      </w:r>
      <w:r w:rsidRPr="004C3F47">
        <w:rPr>
          <w:rFonts w:ascii="Verdana" w:hAnsi="Verdana"/>
          <w:sz w:val="16"/>
          <w:szCs w:val="16"/>
          <w:lang w:val="es-CR"/>
        </w:rPr>
        <w:t xml:space="preserve">expediente de </w:t>
      </w:r>
      <w:r>
        <w:rPr>
          <w:rFonts w:ascii="Verdana" w:hAnsi="Verdana"/>
          <w:sz w:val="16"/>
          <w:szCs w:val="16"/>
          <w:lang w:val="es-CR"/>
        </w:rPr>
        <w:t>prueba</w:t>
      </w:r>
      <w:r w:rsidRPr="004C3F47">
        <w:rPr>
          <w:rFonts w:ascii="Verdana" w:hAnsi="Verdana"/>
          <w:sz w:val="16"/>
          <w:szCs w:val="16"/>
          <w:lang w:val="es-CR"/>
        </w:rPr>
        <w:t>,</w:t>
      </w:r>
      <w:r>
        <w:rPr>
          <w:rFonts w:ascii="Verdana" w:hAnsi="Verdana"/>
          <w:sz w:val="16"/>
          <w:szCs w:val="16"/>
          <w:lang w:val="es-CR"/>
        </w:rPr>
        <w:t xml:space="preserve"> trámite ante la CIDH,</w:t>
      </w:r>
      <w:r w:rsidRPr="004C3F47">
        <w:rPr>
          <w:rFonts w:ascii="Verdana" w:hAnsi="Verdana"/>
          <w:sz w:val="16"/>
          <w:szCs w:val="16"/>
          <w:lang w:val="es-CR"/>
        </w:rPr>
        <w:t xml:space="preserve"> </w:t>
      </w:r>
      <w:proofErr w:type="spellStart"/>
      <w:r w:rsidRPr="004E7321">
        <w:rPr>
          <w:rFonts w:ascii="Verdana" w:hAnsi="Verdana"/>
          <w:sz w:val="16"/>
          <w:szCs w:val="16"/>
          <w:lang w:val="es-CR"/>
        </w:rPr>
        <w:t>ff</w:t>
      </w:r>
      <w:proofErr w:type="spellEnd"/>
      <w:r w:rsidRPr="004E7321">
        <w:rPr>
          <w:rFonts w:ascii="Verdana" w:hAnsi="Verdana"/>
          <w:sz w:val="16"/>
          <w:szCs w:val="16"/>
          <w:lang w:val="es-CR"/>
        </w:rPr>
        <w:t>.</w:t>
      </w:r>
      <w:r w:rsidRPr="004C3F47">
        <w:rPr>
          <w:rFonts w:ascii="Verdana" w:hAnsi="Verdana"/>
          <w:sz w:val="16"/>
          <w:szCs w:val="16"/>
          <w:lang w:val="es-CR"/>
        </w:rPr>
        <w:t xml:space="preserve"> 516 y 594</w:t>
      </w:r>
      <w:r>
        <w:rPr>
          <w:rFonts w:ascii="Verdana" w:hAnsi="Verdana"/>
          <w:sz w:val="16"/>
          <w:szCs w:val="16"/>
          <w:lang w:val="es-CR"/>
        </w:rPr>
        <w:t>)</w:t>
      </w:r>
      <w:r w:rsidRPr="004C3F47">
        <w:rPr>
          <w:rFonts w:ascii="Verdana" w:hAnsi="Verdana"/>
          <w:sz w:val="16"/>
          <w:szCs w:val="16"/>
          <w:lang w:val="es-CR"/>
        </w:rPr>
        <w:t>.</w:t>
      </w:r>
    </w:p>
  </w:footnote>
  <w:footnote w:id="173">
    <w:p w14:paraId="6027C597" w14:textId="64C9408C" w:rsidR="00D86616" w:rsidRPr="009E6ED2" w:rsidRDefault="00D86616" w:rsidP="006A2D03">
      <w:pPr>
        <w:pStyle w:val="FootnoteText"/>
        <w:spacing w:after="0"/>
        <w:rPr>
          <w:lang w:val="es-MX"/>
        </w:rPr>
      </w:pPr>
      <w:r w:rsidRPr="004C3F47">
        <w:rPr>
          <w:rStyle w:val="FootnoteReference"/>
          <w:sz w:val="16"/>
        </w:rPr>
        <w:footnoteRef/>
      </w:r>
      <w:r w:rsidRPr="009E6ED2">
        <w:rPr>
          <w:lang w:val="es-MX"/>
        </w:rPr>
        <w:t xml:space="preserve"> </w:t>
      </w:r>
      <w:r w:rsidRPr="009E6ED2">
        <w:rPr>
          <w:lang w:val="es-MX"/>
        </w:rPr>
        <w:tab/>
        <w:t>Escrito de la FETIMP de fecha 04 de junio de 1997 (expediente de prueba, trámite ante la CIDH, f. 525).</w:t>
      </w:r>
    </w:p>
  </w:footnote>
  <w:footnote w:id="174">
    <w:p w14:paraId="70D423F8" w14:textId="666E3A1F" w:rsidR="00D86616" w:rsidRPr="009E6ED2" w:rsidRDefault="00D86616" w:rsidP="006A2D03">
      <w:pPr>
        <w:pStyle w:val="FootnoteText"/>
        <w:spacing w:after="0"/>
        <w:rPr>
          <w:lang w:val="es-MX"/>
        </w:rPr>
      </w:pPr>
      <w:r w:rsidRPr="004C3F47">
        <w:rPr>
          <w:rStyle w:val="FootnoteReference"/>
          <w:sz w:val="16"/>
        </w:rPr>
        <w:footnoteRef/>
      </w:r>
      <w:r w:rsidRPr="009E6ED2">
        <w:rPr>
          <w:lang w:val="es-MX"/>
        </w:rPr>
        <w:t xml:space="preserve"> </w:t>
      </w:r>
      <w:r w:rsidRPr="009E6ED2">
        <w:rPr>
          <w:lang w:val="es-MX"/>
        </w:rPr>
        <w:tab/>
        <w:t xml:space="preserve">Petición presentada ante la CIDH (expediente de prueba, trámite ante la CIDH, </w:t>
      </w:r>
      <w:proofErr w:type="spellStart"/>
      <w:r w:rsidRPr="009E6ED2">
        <w:rPr>
          <w:lang w:val="es-MX"/>
        </w:rPr>
        <w:t>ff</w:t>
      </w:r>
      <w:proofErr w:type="spellEnd"/>
      <w:r w:rsidRPr="009E6ED2">
        <w:rPr>
          <w:lang w:val="es-MX"/>
        </w:rPr>
        <w:t>. 371 y 377).</w:t>
      </w:r>
    </w:p>
  </w:footnote>
  <w:footnote w:id="175">
    <w:p w14:paraId="1574D370" w14:textId="6036AD16" w:rsidR="00D86616" w:rsidRPr="009E6ED2" w:rsidRDefault="00D86616" w:rsidP="006A2D03">
      <w:pPr>
        <w:pStyle w:val="FootnoteText"/>
        <w:spacing w:after="0"/>
        <w:rPr>
          <w:lang w:val="es-MX"/>
        </w:rPr>
      </w:pPr>
      <w:r w:rsidRPr="004C3F47">
        <w:rPr>
          <w:rStyle w:val="FootnoteReference"/>
          <w:sz w:val="16"/>
        </w:rPr>
        <w:footnoteRef/>
      </w:r>
      <w:r w:rsidRPr="009E6ED2">
        <w:rPr>
          <w:lang w:val="es-MX"/>
        </w:rPr>
        <w:t xml:space="preserve"> </w:t>
      </w:r>
      <w:r w:rsidRPr="009E6ED2">
        <w:rPr>
          <w:lang w:val="es-MX"/>
        </w:rPr>
        <w:tab/>
        <w:t>Escrito de la CIDH de fecha 2 de septiembre de 1997 (expediente de prueba, trámite ante la CIDH, f. 182).</w:t>
      </w:r>
    </w:p>
  </w:footnote>
  <w:footnote w:id="176">
    <w:p w14:paraId="3DE02A35" w14:textId="31C7BC55" w:rsidR="00D86616" w:rsidRPr="009E6ED2" w:rsidRDefault="00D86616" w:rsidP="006A2D03">
      <w:pPr>
        <w:pStyle w:val="FootnoteText"/>
        <w:spacing w:after="0"/>
        <w:rPr>
          <w:lang w:val="es-MX"/>
        </w:rPr>
      </w:pPr>
      <w:r w:rsidRPr="004C3F47">
        <w:rPr>
          <w:rStyle w:val="FootnoteReference"/>
          <w:sz w:val="16"/>
        </w:rPr>
        <w:footnoteRef/>
      </w:r>
      <w:r w:rsidRPr="009E6ED2">
        <w:rPr>
          <w:lang w:val="es-MX"/>
        </w:rPr>
        <w:t xml:space="preserve"> </w:t>
      </w:r>
      <w:r w:rsidRPr="009E6ED2">
        <w:rPr>
          <w:lang w:val="es-MX"/>
        </w:rPr>
        <w:tab/>
        <w:t xml:space="preserve">Denuncia actualizada y regularizada dirigida a la CIDH de 22 de Julio de 1998 (expediente de prueba, trámite ante la CIDH, </w:t>
      </w:r>
      <w:proofErr w:type="spellStart"/>
      <w:r w:rsidRPr="009E6ED2">
        <w:rPr>
          <w:lang w:val="es-MX"/>
        </w:rPr>
        <w:t>ff</w:t>
      </w:r>
      <w:proofErr w:type="spellEnd"/>
      <w:r w:rsidRPr="009E6ED2">
        <w:rPr>
          <w:lang w:val="es-MX"/>
        </w:rPr>
        <w:t>. 186, 192, 426, 432, 451 y 457).</w:t>
      </w:r>
    </w:p>
  </w:footnote>
  <w:footnote w:id="177">
    <w:p w14:paraId="5BC007C6" w14:textId="44B9D3B5" w:rsidR="00D86616" w:rsidRPr="009E6ED2" w:rsidRDefault="00D86616" w:rsidP="006A2D03">
      <w:pPr>
        <w:pStyle w:val="FootnoteText"/>
        <w:spacing w:after="0"/>
        <w:rPr>
          <w:lang w:val="es-MX"/>
        </w:rPr>
      </w:pPr>
      <w:r w:rsidRPr="00363DED">
        <w:rPr>
          <w:rStyle w:val="FootnoteReference"/>
          <w:sz w:val="16"/>
        </w:rPr>
        <w:footnoteRef/>
      </w:r>
      <w:r w:rsidRPr="009E6ED2">
        <w:rPr>
          <w:lang w:val="es-MX"/>
        </w:rPr>
        <w:t xml:space="preserve"> </w:t>
      </w:r>
      <w:r w:rsidRPr="009E6ED2">
        <w:rPr>
          <w:lang w:val="es-MX"/>
        </w:rPr>
        <w:tab/>
        <w:t>Escrito presentado ante la CIDH de 21 de enero del 2002 (expediente de prueba, trámite ante la CIDH, f. 380).</w:t>
      </w:r>
    </w:p>
  </w:footnote>
  <w:footnote w:id="178">
    <w:p w14:paraId="70F70C92" w14:textId="28F7CE32" w:rsidR="00D86616" w:rsidRPr="009E6ED2" w:rsidRDefault="00D86616" w:rsidP="006A2D03">
      <w:pPr>
        <w:pStyle w:val="FootnoteText"/>
        <w:spacing w:after="0"/>
        <w:rPr>
          <w:lang w:val="es-MX"/>
        </w:rPr>
      </w:pPr>
      <w:r w:rsidRPr="00363DED">
        <w:rPr>
          <w:rStyle w:val="FootnoteReference"/>
          <w:sz w:val="16"/>
        </w:rPr>
        <w:footnoteRef/>
      </w:r>
      <w:r w:rsidRPr="009E6ED2">
        <w:rPr>
          <w:lang w:val="es-MX"/>
        </w:rPr>
        <w:t xml:space="preserve"> </w:t>
      </w:r>
      <w:r w:rsidRPr="009E6ED2">
        <w:rPr>
          <w:lang w:val="es-MX"/>
        </w:rPr>
        <w:tab/>
        <w:t xml:space="preserve">Escrito presentado ante la CIDH de 20 de febrero del 2003 (expediente de prueba, trámite ante la CIDH, </w:t>
      </w:r>
      <w:proofErr w:type="spellStart"/>
      <w:r w:rsidRPr="009E6ED2">
        <w:rPr>
          <w:lang w:val="es-MX"/>
        </w:rPr>
        <w:t>ff</w:t>
      </w:r>
      <w:proofErr w:type="spellEnd"/>
      <w:r w:rsidRPr="009E6ED2">
        <w:rPr>
          <w:lang w:val="es-MX"/>
        </w:rPr>
        <w:t xml:space="preserve">. 272 y 296). </w:t>
      </w:r>
    </w:p>
  </w:footnote>
  <w:footnote w:id="179">
    <w:p w14:paraId="50AA2E7B" w14:textId="194E431E" w:rsidR="00D86616" w:rsidRPr="004C3F47" w:rsidRDefault="00D86616" w:rsidP="006A2D03">
      <w:pPr>
        <w:pStyle w:val="FootnoteText"/>
        <w:spacing w:after="0"/>
        <w:rPr>
          <w:lang w:val="es-ES"/>
        </w:rPr>
      </w:pPr>
      <w:r w:rsidRPr="00363DED">
        <w:rPr>
          <w:rStyle w:val="FootnoteReference"/>
          <w:rFonts w:eastAsia="Calibri"/>
          <w:sz w:val="16"/>
        </w:rPr>
        <w:footnoteRef/>
      </w:r>
      <w:r w:rsidRPr="004C3F47">
        <w:rPr>
          <w:lang w:val="es-ES"/>
        </w:rPr>
        <w:t xml:space="preserve"> </w:t>
      </w:r>
      <w:r w:rsidRPr="004C3F47">
        <w:rPr>
          <w:lang w:val="es-ES"/>
        </w:rPr>
        <w:tab/>
      </w:r>
      <w:r w:rsidRPr="009E6ED2">
        <w:rPr>
          <w:lang w:val="es-MX"/>
        </w:rPr>
        <w:t xml:space="preserve">Informe No. </w:t>
      </w:r>
      <w:r w:rsidRPr="004C3F47">
        <w:rPr>
          <w:bCs/>
          <w:lang w:val="es-ES"/>
        </w:rPr>
        <w:t xml:space="preserve">21-2003-JUS/CNDH-SE </w:t>
      </w:r>
      <w:r w:rsidRPr="009E6ED2">
        <w:rPr>
          <w:lang w:val="es-MX"/>
        </w:rPr>
        <w:t xml:space="preserve">de </w:t>
      </w:r>
      <w:r w:rsidRPr="004C3F47">
        <w:rPr>
          <w:lang w:val="es-ES"/>
        </w:rPr>
        <w:t>la Secretaría Ejecutiva del Consejo Nacional de Derechos Humanos</w:t>
      </w:r>
      <w:r w:rsidRPr="009E6ED2">
        <w:rPr>
          <w:lang w:val="es-MX"/>
        </w:rPr>
        <w:t xml:space="preserve"> de Perú de fecha 7 de marzo de 2003 (expediente de prueba, trámite ante la CIDH, f. 224) e Informe Nro. 57-2007-JUS/CNDH/SE/CESAPI de la Comisión Especial de Seguimiento y Atención de Procedimientos Internacionales de 15 de mayo de 2007 (expediente de prueba, trámite ante la CIDH, f. 947).</w:t>
      </w:r>
    </w:p>
  </w:footnote>
  <w:footnote w:id="180">
    <w:p w14:paraId="2BC5FEAD" w14:textId="342AC580" w:rsidR="00D86616" w:rsidRPr="009E6ED2" w:rsidRDefault="00D86616" w:rsidP="006A2D03">
      <w:pPr>
        <w:pStyle w:val="FootnoteText"/>
        <w:spacing w:after="0"/>
        <w:rPr>
          <w:lang w:val="es-MX"/>
        </w:rPr>
      </w:pPr>
      <w:r w:rsidRPr="004C3F47">
        <w:rPr>
          <w:rStyle w:val="FootnoteReference"/>
          <w:sz w:val="16"/>
        </w:rPr>
        <w:footnoteRef/>
      </w:r>
      <w:r w:rsidRPr="009E6ED2">
        <w:rPr>
          <w:lang w:val="es-MX"/>
        </w:rPr>
        <w:t xml:space="preserve"> </w:t>
      </w:r>
      <w:r w:rsidRPr="009E6ED2">
        <w:rPr>
          <w:lang w:val="es-MX"/>
        </w:rPr>
        <w:tab/>
        <w:t>Comunicación de la CIDH de 12 de noviembre de 2010 (expediente de prueba, trámite ante la CIDH, f. 773).</w:t>
      </w:r>
    </w:p>
  </w:footnote>
  <w:footnote w:id="181">
    <w:p w14:paraId="65C7EC17" w14:textId="62C65263" w:rsidR="00D86616" w:rsidRPr="009E6ED2" w:rsidRDefault="00D86616" w:rsidP="006A2D03">
      <w:pPr>
        <w:pStyle w:val="FootnoteText"/>
        <w:spacing w:after="0"/>
        <w:rPr>
          <w:lang w:val="es-MX"/>
        </w:rPr>
      </w:pPr>
      <w:r w:rsidRPr="00363DED">
        <w:rPr>
          <w:rStyle w:val="FootnoteReference"/>
          <w:sz w:val="16"/>
        </w:rPr>
        <w:footnoteRef/>
      </w:r>
      <w:r w:rsidRPr="009E6ED2">
        <w:rPr>
          <w:lang w:val="es-MX"/>
        </w:rPr>
        <w:t xml:space="preserve"> </w:t>
      </w:r>
      <w:r w:rsidRPr="009E6ED2">
        <w:rPr>
          <w:lang w:val="es-MX"/>
        </w:rPr>
        <w:tab/>
        <w:t xml:space="preserve">Informe de Admisibilidad No. 152/10 aprobado el 1 de noviembre de 2010 (expediente de prueba, trámite ante la CIDH, </w:t>
      </w:r>
      <w:proofErr w:type="spellStart"/>
      <w:r w:rsidRPr="009E6ED2">
        <w:rPr>
          <w:lang w:val="es-MX"/>
        </w:rPr>
        <w:t>ff</w:t>
      </w:r>
      <w:proofErr w:type="spellEnd"/>
      <w:r w:rsidRPr="009E6ED2">
        <w:rPr>
          <w:lang w:val="es-MX"/>
        </w:rPr>
        <w:t>. 776 y 784).</w:t>
      </w:r>
    </w:p>
  </w:footnote>
  <w:footnote w:id="182">
    <w:p w14:paraId="41B925DE" w14:textId="5F8BC685" w:rsidR="00D86616" w:rsidRPr="009E6ED2" w:rsidRDefault="00D86616" w:rsidP="006A2D03">
      <w:pPr>
        <w:pStyle w:val="FootnoteText"/>
        <w:spacing w:after="0"/>
        <w:rPr>
          <w:lang w:val="es-MX"/>
        </w:rPr>
      </w:pPr>
      <w:r w:rsidRPr="004C3F47">
        <w:rPr>
          <w:rStyle w:val="FootnoteReference"/>
          <w:sz w:val="16"/>
        </w:rPr>
        <w:footnoteRef/>
      </w:r>
      <w:r w:rsidRPr="009E6ED2">
        <w:rPr>
          <w:lang w:val="es-MX"/>
        </w:rPr>
        <w:t xml:space="preserve"> </w:t>
      </w:r>
      <w:r w:rsidRPr="009E6ED2">
        <w:rPr>
          <w:lang w:val="es-MX"/>
        </w:rPr>
        <w:tab/>
        <w:t>Escrito elaborado por APRODEH en representación del Señor Lagos del Campo de 16 de marzo de 2011 (expediente de prueba, trámite ante la CIDH, f. 703).</w:t>
      </w:r>
    </w:p>
  </w:footnote>
  <w:footnote w:id="183">
    <w:p w14:paraId="76EE849F" w14:textId="7C6AFA60" w:rsidR="00D86616" w:rsidRPr="009E6ED2" w:rsidRDefault="00D86616" w:rsidP="006A2D03">
      <w:pPr>
        <w:pStyle w:val="FootnoteText"/>
        <w:spacing w:after="0"/>
        <w:rPr>
          <w:lang w:val="es-MX"/>
        </w:rPr>
      </w:pPr>
      <w:r w:rsidRPr="0018405A">
        <w:rPr>
          <w:rStyle w:val="FootnoteReference"/>
          <w:sz w:val="16"/>
        </w:rPr>
        <w:footnoteRef/>
      </w:r>
      <w:r w:rsidRPr="009E6ED2">
        <w:rPr>
          <w:lang w:val="es-MX"/>
        </w:rPr>
        <w:t xml:space="preserve"> </w:t>
      </w:r>
      <w:r w:rsidRPr="009E6ED2">
        <w:rPr>
          <w:lang w:val="es-MX"/>
        </w:rPr>
        <w:tab/>
        <w:t>En su demanda ante el Tribunal del Trabajo se evidencia la controversia laboral. En su petitorio se señala que “[s]</w:t>
      </w:r>
      <w:proofErr w:type="spellStart"/>
      <w:r w:rsidRPr="009E6ED2">
        <w:rPr>
          <w:lang w:val="es-MX"/>
        </w:rPr>
        <w:t>iendo</w:t>
      </w:r>
      <w:proofErr w:type="spellEnd"/>
      <w:r w:rsidRPr="009E6ED2">
        <w:rPr>
          <w:lang w:val="es-MX"/>
        </w:rPr>
        <w:t xml:space="preserve"> notorio el carácter improcedente e injustificado del despido que […] </w:t>
      </w:r>
      <w:proofErr w:type="spellStart"/>
      <w:r w:rsidRPr="009E6ED2">
        <w:rPr>
          <w:lang w:val="es-MX"/>
        </w:rPr>
        <w:t>solicit</w:t>
      </w:r>
      <w:proofErr w:type="spellEnd"/>
      <w:r w:rsidRPr="009E6ED2">
        <w:rPr>
          <w:lang w:val="es-MX"/>
        </w:rPr>
        <w:t>[</w:t>
      </w:r>
      <w:proofErr w:type="spellStart"/>
      <w:r w:rsidRPr="009E6ED2">
        <w:rPr>
          <w:lang w:val="es-MX"/>
        </w:rPr>
        <w:t>ó</w:t>
      </w:r>
      <w:proofErr w:type="spellEnd"/>
      <w:r w:rsidRPr="009E6ED2">
        <w:rPr>
          <w:lang w:val="es-MX"/>
        </w:rPr>
        <w:t>] al Juzgado […] ordenar la suspensión del despido y [su] reincorporación [a su] puesto habitual de trabajo” (expediente de prueba, trámite ante la CIDH, f. 27).</w:t>
      </w:r>
    </w:p>
  </w:footnote>
  <w:footnote w:id="184">
    <w:p w14:paraId="3762B2D6" w14:textId="0ED14F59" w:rsidR="00D86616" w:rsidRPr="009E6ED2" w:rsidRDefault="00D86616" w:rsidP="006A2D03">
      <w:pPr>
        <w:pStyle w:val="FootnoteText"/>
        <w:spacing w:after="0"/>
        <w:rPr>
          <w:lang w:val="es-MX"/>
        </w:rPr>
      </w:pPr>
      <w:r w:rsidRPr="0018405A">
        <w:rPr>
          <w:rStyle w:val="FootnoteReference"/>
          <w:sz w:val="16"/>
        </w:rPr>
        <w:footnoteRef/>
      </w:r>
      <w:r w:rsidRPr="009E6ED2">
        <w:rPr>
          <w:lang w:val="es-MX"/>
        </w:rPr>
        <w:t xml:space="preserve"> </w:t>
      </w:r>
      <w:r w:rsidRPr="009E6ED2">
        <w:rPr>
          <w:lang w:val="es-MX"/>
        </w:rPr>
        <w:tab/>
        <w:t>En particular, la Corte resalta que desde su primer escrito de 13 de octubre dirigido a la Comisión Interamericana, el peticionario precisó, entre otros, que se había violado “[su] derecho a la [e]</w:t>
      </w:r>
      <w:proofErr w:type="spellStart"/>
      <w:r w:rsidRPr="009E6ED2">
        <w:rPr>
          <w:lang w:val="es-MX"/>
        </w:rPr>
        <w:t>stabilidad</w:t>
      </w:r>
      <w:proofErr w:type="spellEnd"/>
      <w:r w:rsidRPr="009E6ED2">
        <w:rPr>
          <w:lang w:val="es-MX"/>
        </w:rPr>
        <w:t xml:space="preserve"> en el [t]</w:t>
      </w:r>
      <w:proofErr w:type="spellStart"/>
      <w:r w:rsidRPr="009E6ED2">
        <w:rPr>
          <w:lang w:val="es-MX"/>
        </w:rPr>
        <w:t>rabajo</w:t>
      </w:r>
      <w:proofErr w:type="spellEnd"/>
      <w:r w:rsidRPr="009E6ED2">
        <w:rPr>
          <w:lang w:val="es-MX"/>
        </w:rPr>
        <w:t>, señalado en el [a]</w:t>
      </w:r>
      <w:proofErr w:type="spellStart"/>
      <w:proofErr w:type="gramStart"/>
      <w:r w:rsidRPr="009E6ED2">
        <w:rPr>
          <w:lang w:val="es-MX"/>
        </w:rPr>
        <w:t>rt</w:t>
      </w:r>
      <w:proofErr w:type="spellEnd"/>
      <w:r w:rsidRPr="009E6ED2">
        <w:rPr>
          <w:lang w:val="es-MX"/>
        </w:rPr>
        <w:t>[</w:t>
      </w:r>
      <w:proofErr w:type="spellStart"/>
      <w:proofErr w:type="gramEnd"/>
      <w:r w:rsidRPr="009E6ED2">
        <w:rPr>
          <w:lang w:val="es-MX"/>
        </w:rPr>
        <w:t>ículo</w:t>
      </w:r>
      <w:proofErr w:type="spellEnd"/>
      <w:r w:rsidRPr="009E6ED2">
        <w:rPr>
          <w:lang w:val="es-MX"/>
        </w:rPr>
        <w:t>] 48 de la Constitución y [a]</w:t>
      </w:r>
      <w:proofErr w:type="spellStart"/>
      <w:r w:rsidRPr="009E6ED2">
        <w:rPr>
          <w:lang w:val="es-MX"/>
        </w:rPr>
        <w:t>rt</w:t>
      </w:r>
      <w:proofErr w:type="spellEnd"/>
      <w:r w:rsidRPr="009E6ED2">
        <w:rPr>
          <w:lang w:val="es-MX"/>
        </w:rPr>
        <w:t>[</w:t>
      </w:r>
      <w:proofErr w:type="spellStart"/>
      <w:r w:rsidRPr="009E6ED2">
        <w:rPr>
          <w:lang w:val="es-MX"/>
        </w:rPr>
        <w:t>ículos</w:t>
      </w:r>
      <w:proofErr w:type="spellEnd"/>
      <w:r w:rsidRPr="009E6ED2">
        <w:rPr>
          <w:lang w:val="es-MX"/>
        </w:rPr>
        <w:t>] 27 y 28 del [n]</w:t>
      </w:r>
      <w:proofErr w:type="spellStart"/>
      <w:r w:rsidRPr="009E6ED2">
        <w:rPr>
          <w:lang w:val="es-MX"/>
        </w:rPr>
        <w:t>uevo</w:t>
      </w:r>
      <w:proofErr w:type="spellEnd"/>
      <w:r w:rsidRPr="009E6ED2">
        <w:rPr>
          <w:lang w:val="es-MX"/>
        </w:rPr>
        <w:t xml:space="preserve"> proyecto”. Petición inicial ante la CIDH (expediente de prueba, trámite ante la CIDH, f. 439).</w:t>
      </w:r>
    </w:p>
  </w:footnote>
  <w:footnote w:id="185">
    <w:p w14:paraId="607384F2" w14:textId="0E137452" w:rsidR="00D86616" w:rsidRPr="009E6ED2" w:rsidRDefault="00D86616" w:rsidP="006A2D03">
      <w:pPr>
        <w:pStyle w:val="FootnoteText"/>
        <w:spacing w:after="0"/>
        <w:rPr>
          <w:lang w:val="es-MX"/>
        </w:rPr>
      </w:pPr>
      <w:r w:rsidRPr="0018405A">
        <w:rPr>
          <w:rStyle w:val="FootnoteReference"/>
          <w:color w:val="000000"/>
          <w:sz w:val="16"/>
        </w:rPr>
        <w:footnoteRef/>
      </w:r>
      <w:r w:rsidRPr="006D5D16">
        <w:rPr>
          <w:lang w:val="pt-BR"/>
        </w:rPr>
        <w:tab/>
      </w:r>
      <w:r w:rsidRPr="00A032B8">
        <w:rPr>
          <w:i/>
          <w:lang w:val="pt-BR"/>
        </w:rPr>
        <w:t xml:space="preserve">Cfr. </w:t>
      </w:r>
      <w:r w:rsidRPr="00A032B8">
        <w:rPr>
          <w:bCs/>
          <w:i/>
          <w:lang w:val="pt-BR"/>
        </w:rPr>
        <w:t xml:space="preserve">Caso Godínez Cruz Vs. </w:t>
      </w:r>
      <w:r w:rsidRPr="009E6ED2">
        <w:rPr>
          <w:bCs/>
          <w:i/>
          <w:lang w:val="es-MX"/>
        </w:rPr>
        <w:t>Honduras.</w:t>
      </w:r>
      <w:r w:rsidRPr="009E6ED2">
        <w:rPr>
          <w:b/>
          <w:bCs/>
          <w:i/>
          <w:lang w:val="es-MX"/>
        </w:rPr>
        <w:t xml:space="preserve"> </w:t>
      </w:r>
      <w:r w:rsidRPr="009E6ED2">
        <w:rPr>
          <w:i/>
          <w:lang w:val="es-MX"/>
        </w:rPr>
        <w:t xml:space="preserve">Fondo. </w:t>
      </w:r>
      <w:r w:rsidRPr="009E6ED2">
        <w:rPr>
          <w:lang w:val="es-MX"/>
        </w:rPr>
        <w:t xml:space="preserve">Sentencia de 20 de enero de 1989. Serie C No. 5, párr. 172; y </w:t>
      </w:r>
      <w:r w:rsidRPr="009E6ED2">
        <w:rPr>
          <w:bCs/>
          <w:i/>
          <w:lang w:val="es-MX"/>
        </w:rPr>
        <w:t xml:space="preserve">Caso Comunidad Indígena </w:t>
      </w:r>
      <w:proofErr w:type="spellStart"/>
      <w:r w:rsidRPr="009E6ED2">
        <w:rPr>
          <w:bCs/>
          <w:i/>
          <w:lang w:val="es-MX"/>
        </w:rPr>
        <w:t>Sawhoyamaxa</w:t>
      </w:r>
      <w:proofErr w:type="spellEnd"/>
      <w:r w:rsidRPr="009E6ED2">
        <w:rPr>
          <w:bCs/>
          <w:i/>
          <w:lang w:val="es-MX"/>
        </w:rPr>
        <w:t xml:space="preserve"> Vs. Paraguay. </w:t>
      </w:r>
      <w:r w:rsidRPr="009E6ED2">
        <w:rPr>
          <w:i/>
          <w:lang w:val="es-MX"/>
        </w:rPr>
        <w:t xml:space="preserve">Fondo, Reparaciones y Costas. </w:t>
      </w:r>
      <w:r w:rsidRPr="009E6ED2">
        <w:rPr>
          <w:lang w:val="es-MX"/>
        </w:rPr>
        <w:t>Sentencia de 29 de marzo de 2006. Serie C No. 146, párr. 186.</w:t>
      </w:r>
    </w:p>
  </w:footnote>
  <w:footnote w:id="186">
    <w:p w14:paraId="4AC02383" w14:textId="17505D29" w:rsidR="00D86616" w:rsidRPr="00222642" w:rsidRDefault="00D86616" w:rsidP="006A2D03">
      <w:pPr>
        <w:widowControl w:val="0"/>
        <w:tabs>
          <w:tab w:val="left" w:pos="630"/>
        </w:tabs>
        <w:autoSpaceDE w:val="0"/>
        <w:autoSpaceDN w:val="0"/>
        <w:adjustRightInd w:val="0"/>
        <w:ind w:right="4"/>
        <w:jc w:val="both"/>
        <w:rPr>
          <w:rFonts w:ascii="Verdana" w:hAnsi="Verdana" w:cs="Times"/>
          <w:sz w:val="16"/>
          <w:szCs w:val="16"/>
        </w:rPr>
      </w:pPr>
      <w:r w:rsidRPr="00CF7867">
        <w:rPr>
          <w:rStyle w:val="FootnoteReference"/>
          <w:sz w:val="16"/>
          <w:szCs w:val="16"/>
        </w:rPr>
        <w:footnoteRef/>
      </w:r>
      <w:r w:rsidRPr="00CF7867">
        <w:rPr>
          <w:rFonts w:ascii="Verdana" w:hAnsi="Verdana"/>
          <w:sz w:val="16"/>
          <w:szCs w:val="16"/>
        </w:rPr>
        <w:t xml:space="preserve"> </w:t>
      </w:r>
      <w:r>
        <w:rPr>
          <w:rFonts w:ascii="Verdana" w:hAnsi="Verdana"/>
          <w:sz w:val="16"/>
          <w:szCs w:val="16"/>
        </w:rPr>
        <w:tab/>
      </w:r>
      <w:r w:rsidRPr="00F77B70">
        <w:rPr>
          <w:rFonts w:ascii="Verdana" w:hAnsi="Verdana"/>
          <w:i/>
          <w:sz w:val="16"/>
          <w:szCs w:val="16"/>
        </w:rPr>
        <w:t>Cfr.</w:t>
      </w:r>
      <w:r w:rsidRPr="00B0392D">
        <w:rPr>
          <w:rFonts w:ascii="Verdana" w:hAnsi="Verdana"/>
          <w:sz w:val="16"/>
          <w:szCs w:val="16"/>
        </w:rPr>
        <w:t xml:space="preserve"> </w:t>
      </w:r>
      <w:r w:rsidRPr="00B0392D">
        <w:rPr>
          <w:rFonts w:ascii="Verdana" w:hAnsi="Verdana"/>
          <w:sz w:val="16"/>
          <w:szCs w:val="16"/>
          <w:lang w:eastAsia="es-MX"/>
        </w:rPr>
        <w:t>Congreso de la República de Perú. Constitución Política del Perú</w:t>
      </w:r>
      <w:r>
        <w:rPr>
          <w:rFonts w:ascii="Verdana" w:hAnsi="Verdana"/>
          <w:sz w:val="16"/>
          <w:szCs w:val="16"/>
          <w:lang w:eastAsia="es-MX"/>
        </w:rPr>
        <w:t xml:space="preserve"> de</w:t>
      </w:r>
      <w:r w:rsidRPr="00B0392D">
        <w:rPr>
          <w:rFonts w:ascii="Verdana" w:hAnsi="Verdana"/>
          <w:sz w:val="16"/>
          <w:szCs w:val="16"/>
          <w:lang w:eastAsia="es-MX"/>
        </w:rPr>
        <w:t xml:space="preserve"> 12 de julio de 1979.</w:t>
      </w:r>
      <w:r w:rsidRPr="00DE5D83">
        <w:rPr>
          <w:rFonts w:ascii="Verdana" w:hAnsi="Verdana"/>
          <w:sz w:val="16"/>
          <w:szCs w:val="16"/>
          <w:lang w:eastAsia="es-MX"/>
        </w:rPr>
        <w:t xml:space="preserve"> </w:t>
      </w:r>
      <w:r w:rsidRPr="00333304">
        <w:rPr>
          <w:rFonts w:ascii="Verdana" w:hAnsi="Verdana"/>
          <w:bCs/>
          <w:sz w:val="16"/>
          <w:szCs w:val="16"/>
          <w:shd w:val="clear" w:color="auto" w:fill="FFFFFF"/>
        </w:rPr>
        <w:t xml:space="preserve">Artículo 48 </w:t>
      </w:r>
      <w:r>
        <w:rPr>
          <w:rFonts w:ascii="Verdana" w:hAnsi="Verdana"/>
          <w:bCs/>
          <w:color w:val="191970"/>
          <w:sz w:val="16"/>
          <w:szCs w:val="16"/>
          <w:shd w:val="clear" w:color="auto" w:fill="FFFFFF"/>
        </w:rPr>
        <w:t>“</w:t>
      </w:r>
      <w:r w:rsidRPr="00B0392D">
        <w:rPr>
          <w:rFonts w:ascii="Verdana" w:hAnsi="Verdana"/>
          <w:bCs/>
          <w:color w:val="191970"/>
          <w:sz w:val="16"/>
          <w:szCs w:val="16"/>
          <w:shd w:val="clear" w:color="auto" w:fill="FFFFFF"/>
        </w:rPr>
        <w:softHyphen/>
      </w:r>
      <w:r w:rsidRPr="00B0392D">
        <w:rPr>
          <w:rFonts w:ascii="Verdana" w:hAnsi="Verdana"/>
          <w:color w:val="000000"/>
          <w:sz w:val="16"/>
          <w:szCs w:val="16"/>
          <w:shd w:val="clear" w:color="auto" w:fill="FFFFFF"/>
        </w:rPr>
        <w:t>El Estado reconoce el derecho de estabilidad en el trabajo.</w:t>
      </w:r>
      <w:r>
        <w:rPr>
          <w:rFonts w:ascii="Verdana" w:hAnsi="Verdana"/>
          <w:color w:val="000000"/>
          <w:sz w:val="16"/>
          <w:szCs w:val="16"/>
          <w:shd w:val="clear" w:color="auto" w:fill="FFFFFF"/>
        </w:rPr>
        <w:t xml:space="preserve"> […]”;</w:t>
      </w:r>
      <w:r>
        <w:rPr>
          <w:rFonts w:ascii="Verdana" w:hAnsi="Verdana" w:cs="Times"/>
          <w:sz w:val="16"/>
          <w:szCs w:val="16"/>
        </w:rPr>
        <w:t xml:space="preserve"> </w:t>
      </w:r>
      <w:r w:rsidRPr="00B0392D">
        <w:rPr>
          <w:rFonts w:ascii="Verdana" w:hAnsi="Verdana"/>
          <w:sz w:val="16"/>
          <w:szCs w:val="16"/>
          <w:lang w:eastAsia="es-MX"/>
        </w:rPr>
        <w:t xml:space="preserve">Congreso de la República de Perú. Constitución Política del Perú </w:t>
      </w:r>
      <w:r>
        <w:rPr>
          <w:rFonts w:ascii="Verdana" w:hAnsi="Verdana"/>
          <w:sz w:val="16"/>
          <w:szCs w:val="16"/>
          <w:lang w:eastAsia="es-MX"/>
        </w:rPr>
        <w:t>de 29 de diciembre</w:t>
      </w:r>
      <w:r w:rsidRPr="00B0392D">
        <w:rPr>
          <w:rFonts w:ascii="Verdana" w:hAnsi="Verdana"/>
          <w:sz w:val="16"/>
          <w:szCs w:val="16"/>
          <w:lang w:eastAsia="es-MX"/>
        </w:rPr>
        <w:t xml:space="preserve"> de </w:t>
      </w:r>
      <w:r>
        <w:rPr>
          <w:rFonts w:ascii="Verdana" w:hAnsi="Verdana"/>
          <w:sz w:val="16"/>
          <w:szCs w:val="16"/>
          <w:lang w:eastAsia="es-MX"/>
        </w:rPr>
        <w:t xml:space="preserve">1993. </w:t>
      </w:r>
      <w:r w:rsidRPr="00CF7867">
        <w:rPr>
          <w:rFonts w:ascii="Verdana" w:hAnsi="Verdana" w:cs="Arial"/>
          <w:bCs/>
          <w:color w:val="000000"/>
          <w:sz w:val="16"/>
          <w:szCs w:val="16"/>
        </w:rPr>
        <w:t>Artículo 22</w:t>
      </w:r>
      <w:r w:rsidRPr="00CF7867">
        <w:rPr>
          <w:rFonts w:ascii="Verdana" w:hAnsi="Verdana" w:cs="Arial"/>
          <w:color w:val="000000"/>
          <w:sz w:val="16"/>
          <w:szCs w:val="16"/>
        </w:rPr>
        <w:t xml:space="preserve">.- </w:t>
      </w:r>
      <w:r>
        <w:rPr>
          <w:rFonts w:ascii="Verdana" w:hAnsi="Verdana" w:cs="Arial"/>
          <w:color w:val="000000"/>
          <w:sz w:val="16"/>
          <w:szCs w:val="16"/>
        </w:rPr>
        <w:t>“</w:t>
      </w:r>
      <w:r w:rsidRPr="00CF7867">
        <w:rPr>
          <w:rFonts w:ascii="Verdana" w:hAnsi="Verdana" w:cs="Arial"/>
          <w:color w:val="000000"/>
          <w:sz w:val="16"/>
          <w:szCs w:val="16"/>
        </w:rPr>
        <w:t>El trabajo es un deber y un derecho. Es base del bienestar social y un medio de realización de la persona</w:t>
      </w:r>
      <w:r>
        <w:rPr>
          <w:rFonts w:ascii="Verdana" w:hAnsi="Verdana" w:cs="Arial"/>
          <w:color w:val="000000"/>
          <w:sz w:val="16"/>
          <w:szCs w:val="16"/>
        </w:rPr>
        <w:t>”</w:t>
      </w:r>
      <w:r w:rsidRPr="00CF7867">
        <w:rPr>
          <w:rFonts w:ascii="Verdana" w:hAnsi="Verdana" w:cs="Arial"/>
          <w:color w:val="000000"/>
          <w:sz w:val="16"/>
          <w:szCs w:val="16"/>
        </w:rPr>
        <w:t xml:space="preserve"> y en </w:t>
      </w:r>
      <w:r>
        <w:rPr>
          <w:rFonts w:ascii="Verdana" w:hAnsi="Verdana" w:cs="Arial"/>
          <w:color w:val="000000"/>
          <w:sz w:val="16"/>
          <w:szCs w:val="16"/>
        </w:rPr>
        <w:t xml:space="preserve">el </w:t>
      </w:r>
      <w:r w:rsidRPr="00222642">
        <w:rPr>
          <w:rFonts w:ascii="Verdana" w:hAnsi="Verdana" w:cs="Arial"/>
          <w:bCs/>
          <w:sz w:val="16"/>
          <w:szCs w:val="16"/>
        </w:rPr>
        <w:t>Artículo 27</w:t>
      </w:r>
      <w:r w:rsidRPr="00222642">
        <w:rPr>
          <w:rFonts w:ascii="Verdana" w:hAnsi="Verdana" w:cs="Arial"/>
          <w:sz w:val="16"/>
          <w:szCs w:val="16"/>
        </w:rPr>
        <w:t xml:space="preserve">.- </w:t>
      </w:r>
      <w:r>
        <w:rPr>
          <w:rFonts w:ascii="Verdana" w:hAnsi="Verdana" w:cs="Arial"/>
          <w:sz w:val="16"/>
          <w:szCs w:val="16"/>
        </w:rPr>
        <w:t>“</w:t>
      </w:r>
      <w:r w:rsidRPr="00222642">
        <w:rPr>
          <w:rFonts w:ascii="Verdana" w:hAnsi="Verdana" w:cs="Arial"/>
          <w:sz w:val="16"/>
          <w:szCs w:val="16"/>
        </w:rPr>
        <w:t>La ley otorga al trabajador adecuada protección contra el despido arbitrario</w:t>
      </w:r>
      <w:r>
        <w:rPr>
          <w:rFonts w:ascii="Verdana" w:hAnsi="Verdana" w:cs="Arial"/>
          <w:sz w:val="16"/>
          <w:szCs w:val="16"/>
        </w:rPr>
        <w:t>”</w:t>
      </w:r>
      <w:r w:rsidRPr="00222642">
        <w:rPr>
          <w:rFonts w:ascii="Verdana" w:hAnsi="Verdana" w:cs="Arial"/>
          <w:sz w:val="16"/>
          <w:szCs w:val="16"/>
        </w:rPr>
        <w:t xml:space="preserve"> </w:t>
      </w:r>
      <w:r>
        <w:rPr>
          <w:rFonts w:ascii="Verdana" w:hAnsi="Verdana" w:cs="Arial"/>
          <w:sz w:val="16"/>
          <w:szCs w:val="16"/>
        </w:rPr>
        <w:t xml:space="preserve">y </w:t>
      </w:r>
      <w:r w:rsidRPr="00890B43">
        <w:rPr>
          <w:rFonts w:ascii="Verdana" w:hAnsi="Verdana"/>
          <w:sz w:val="16"/>
          <w:szCs w:val="16"/>
          <w:lang w:eastAsia="es-MX"/>
        </w:rPr>
        <w:t>Congreso de la República de Perú</w:t>
      </w:r>
      <w:r>
        <w:rPr>
          <w:rFonts w:ascii="Verdana" w:hAnsi="Verdana" w:cs="Arial Narrow"/>
          <w:sz w:val="16"/>
          <w:szCs w:val="16"/>
          <w:lang w:eastAsia="es-MX"/>
        </w:rPr>
        <w:t>.</w:t>
      </w:r>
      <w:r w:rsidRPr="00222642">
        <w:rPr>
          <w:rFonts w:ascii="Verdana" w:hAnsi="Verdana" w:cs="Arial Narrow"/>
          <w:sz w:val="16"/>
          <w:szCs w:val="16"/>
          <w:lang w:eastAsia="es-MX"/>
        </w:rPr>
        <w:t xml:space="preserve"> Ley N°24514. Artículo 2</w:t>
      </w:r>
      <w:r>
        <w:rPr>
          <w:rFonts w:ascii="Verdana" w:hAnsi="Verdana" w:cs="Arial Narrow"/>
          <w:sz w:val="16"/>
          <w:szCs w:val="16"/>
          <w:vertAlign w:val="superscript"/>
          <w:lang w:eastAsia="es-MX"/>
        </w:rPr>
        <w:t>o</w:t>
      </w:r>
      <w:r w:rsidRPr="00222642">
        <w:rPr>
          <w:rFonts w:ascii="Verdana" w:hAnsi="Verdana" w:cs="Arial Narrow"/>
          <w:sz w:val="16"/>
          <w:szCs w:val="16"/>
          <w:lang w:eastAsia="es-MX"/>
        </w:rPr>
        <w:t xml:space="preserve">.- </w:t>
      </w:r>
      <w:r>
        <w:rPr>
          <w:rFonts w:ascii="Verdana" w:hAnsi="Verdana" w:cs="Arial Narrow"/>
          <w:sz w:val="16"/>
          <w:szCs w:val="16"/>
          <w:lang w:eastAsia="es-MX"/>
        </w:rPr>
        <w:t>“</w:t>
      </w:r>
      <w:r w:rsidRPr="00222642">
        <w:rPr>
          <w:rFonts w:ascii="Verdana" w:hAnsi="Verdana" w:cs="Arial Narrow"/>
          <w:sz w:val="16"/>
          <w:szCs w:val="16"/>
          <w:lang w:eastAsia="es-MX"/>
        </w:rPr>
        <w:t xml:space="preserve">Están amparados por la presente </w:t>
      </w:r>
      <w:r>
        <w:rPr>
          <w:rFonts w:ascii="Verdana" w:hAnsi="Verdana" w:cs="Arial Narrow"/>
          <w:sz w:val="16"/>
          <w:szCs w:val="16"/>
          <w:lang w:eastAsia="es-MX"/>
        </w:rPr>
        <w:t>[</w:t>
      </w:r>
      <w:r w:rsidRPr="00222642">
        <w:rPr>
          <w:rFonts w:ascii="Verdana" w:hAnsi="Verdana" w:cs="Arial Narrow"/>
          <w:sz w:val="16"/>
          <w:szCs w:val="16"/>
          <w:lang w:eastAsia="es-MX"/>
        </w:rPr>
        <w:t>l</w:t>
      </w:r>
      <w:r>
        <w:rPr>
          <w:rFonts w:ascii="Verdana" w:hAnsi="Verdana" w:cs="Arial Narrow"/>
          <w:sz w:val="16"/>
          <w:szCs w:val="16"/>
          <w:lang w:eastAsia="es-MX"/>
        </w:rPr>
        <w:t>]</w:t>
      </w:r>
      <w:proofErr w:type="spellStart"/>
      <w:r w:rsidRPr="00222642">
        <w:rPr>
          <w:rFonts w:ascii="Verdana" w:hAnsi="Verdana" w:cs="Arial Narrow"/>
          <w:sz w:val="16"/>
          <w:szCs w:val="16"/>
          <w:lang w:eastAsia="es-MX"/>
        </w:rPr>
        <w:t>ey</w:t>
      </w:r>
      <w:proofErr w:type="spellEnd"/>
      <w:r w:rsidRPr="00222642">
        <w:rPr>
          <w:rFonts w:ascii="Verdana" w:hAnsi="Verdana" w:cs="Arial Narrow"/>
          <w:sz w:val="16"/>
          <w:szCs w:val="16"/>
          <w:lang w:eastAsia="es-MX"/>
        </w:rPr>
        <w:t xml:space="preserve"> los trabajadores sujetos al régimen laboral de la actividad privada o de las empresas públicas sometidas al régimen de la actividad privada </w:t>
      </w:r>
      <w:r>
        <w:rPr>
          <w:rFonts w:ascii="Verdana" w:hAnsi="Verdana" w:cs="Arial Narrow"/>
          <w:sz w:val="16"/>
          <w:szCs w:val="16"/>
          <w:lang w:eastAsia="es-MX"/>
        </w:rPr>
        <w:t>[</w:t>
      </w:r>
      <w:r w:rsidRPr="00222642">
        <w:rPr>
          <w:rFonts w:ascii="Verdana" w:hAnsi="Verdana" w:cs="Arial Narrow"/>
          <w:sz w:val="16"/>
          <w:szCs w:val="16"/>
          <w:lang w:eastAsia="es-MX"/>
        </w:rPr>
        <w:t>…</w:t>
      </w:r>
      <w:r>
        <w:rPr>
          <w:rFonts w:ascii="Verdana" w:hAnsi="Verdana" w:cs="Arial Narrow"/>
          <w:sz w:val="16"/>
          <w:szCs w:val="16"/>
          <w:lang w:eastAsia="es-MX"/>
        </w:rPr>
        <w:t>]”</w:t>
      </w:r>
      <w:r w:rsidRPr="00890B43">
        <w:rPr>
          <w:rFonts w:ascii="Verdana" w:hAnsi="Verdana"/>
          <w:sz w:val="16"/>
          <w:szCs w:val="16"/>
        </w:rPr>
        <w:t>.</w:t>
      </w:r>
    </w:p>
  </w:footnote>
  <w:footnote w:id="187">
    <w:p w14:paraId="42F7B620" w14:textId="6AA6644C" w:rsidR="00D86616" w:rsidRPr="00333304" w:rsidRDefault="00D86616" w:rsidP="006A2D03">
      <w:pPr>
        <w:pStyle w:val="FootnoteText"/>
        <w:spacing w:after="0"/>
        <w:rPr>
          <w:color w:val="000000"/>
          <w:lang w:val="es-MX"/>
        </w:rPr>
      </w:pPr>
      <w:r w:rsidRPr="00664C48">
        <w:rPr>
          <w:rStyle w:val="FootnoteReference"/>
          <w:sz w:val="16"/>
        </w:rPr>
        <w:footnoteRef/>
      </w:r>
      <w:r w:rsidRPr="009E6ED2">
        <w:rPr>
          <w:lang w:val="es-MX"/>
        </w:rPr>
        <w:t xml:space="preserve"> </w:t>
      </w:r>
      <w:r w:rsidRPr="009E6ED2">
        <w:rPr>
          <w:lang w:val="es-MX"/>
        </w:rPr>
        <w:tab/>
      </w:r>
      <w:r w:rsidRPr="007F3588">
        <w:rPr>
          <w:i/>
          <w:lang w:val="es-MX"/>
        </w:rPr>
        <w:t xml:space="preserve">Cfr. TPJI, Caso del Vapor “Lotus” (Francia Vs. Turquía). </w:t>
      </w:r>
      <w:r w:rsidRPr="009E6ED2">
        <w:rPr>
          <w:lang w:val="es-MX"/>
        </w:rPr>
        <w:t xml:space="preserve">Sentencia No. 9, 7 de septiembre de 1927. Serie A; </w:t>
      </w:r>
      <w:r w:rsidRPr="007F3588">
        <w:rPr>
          <w:i/>
          <w:lang w:val="es-MX"/>
        </w:rPr>
        <w:t xml:space="preserve">TPJI, Caso relativo a la competencia territorial de la Comisión internacional del río </w:t>
      </w:r>
      <w:proofErr w:type="spellStart"/>
      <w:r w:rsidRPr="007F3588">
        <w:rPr>
          <w:i/>
          <w:lang w:val="es-MX"/>
        </w:rPr>
        <w:t>Oder</w:t>
      </w:r>
      <w:proofErr w:type="spellEnd"/>
      <w:r w:rsidRPr="007F3588">
        <w:rPr>
          <w:i/>
          <w:lang w:val="es-MX"/>
        </w:rPr>
        <w:t xml:space="preserve"> (Gran Bretaña, Checoeslovaquia, Dinamarca, Francia, Alemania, Suecia; Polonia).</w:t>
      </w:r>
      <w:r w:rsidRPr="009E6ED2">
        <w:rPr>
          <w:lang w:val="es-MX"/>
        </w:rPr>
        <w:t xml:space="preserve"> Sentencia No. 23, 10 de septiembre de 1929. Serie A; TPJI, </w:t>
      </w:r>
      <w:r w:rsidRPr="007F3588">
        <w:rPr>
          <w:i/>
          <w:lang w:val="es-MX"/>
        </w:rPr>
        <w:t xml:space="preserve">Caso relativo a las Zonas francas de la Alta Saboya y del País de </w:t>
      </w:r>
      <w:proofErr w:type="spellStart"/>
      <w:r w:rsidRPr="007F3588">
        <w:rPr>
          <w:i/>
          <w:lang w:val="es-MX"/>
        </w:rPr>
        <w:t>Gex</w:t>
      </w:r>
      <w:proofErr w:type="spellEnd"/>
      <w:r w:rsidRPr="007F3588">
        <w:rPr>
          <w:i/>
          <w:lang w:val="es-MX"/>
        </w:rPr>
        <w:t xml:space="preserve"> (Francia Vs. Suiza).</w:t>
      </w:r>
      <w:r w:rsidRPr="009E6ED2">
        <w:rPr>
          <w:lang w:val="es-MX"/>
        </w:rPr>
        <w:t xml:space="preserve"> Sentencia No. 46, 7 de junio de 1932. Serie A/B; </w:t>
      </w:r>
      <w:r w:rsidRPr="004868B2">
        <w:rPr>
          <w:lang w:val="es-MX"/>
        </w:rPr>
        <w:t>TEDH</w:t>
      </w:r>
      <w:r w:rsidRPr="007F3588">
        <w:rPr>
          <w:i/>
          <w:lang w:val="es-MX"/>
        </w:rPr>
        <w:t>, Caso de Guerra y otros Vs. Italia.</w:t>
      </w:r>
      <w:r w:rsidRPr="009E6ED2">
        <w:rPr>
          <w:bCs/>
          <w:lang w:val="es-MX"/>
        </w:rPr>
        <w:t xml:space="preserve"> No. 14967/89. Sentencia de 19 de febrero de 1998, párr. 45. Ver también: </w:t>
      </w:r>
      <w:r w:rsidRPr="004868B2">
        <w:rPr>
          <w:bCs/>
          <w:lang w:val="es-MX"/>
        </w:rPr>
        <w:t>TEDH</w:t>
      </w:r>
      <w:r w:rsidRPr="007F3588">
        <w:rPr>
          <w:bCs/>
          <w:i/>
          <w:lang w:val="es-MX"/>
        </w:rPr>
        <w:t xml:space="preserve">, </w:t>
      </w:r>
      <w:r w:rsidRPr="007F3588">
        <w:rPr>
          <w:i/>
          <w:lang w:val="es-MX"/>
        </w:rPr>
        <w:t xml:space="preserve">Caso de </w:t>
      </w:r>
      <w:proofErr w:type="spellStart"/>
      <w:r w:rsidRPr="007F3588">
        <w:rPr>
          <w:i/>
          <w:lang w:val="es-MX"/>
        </w:rPr>
        <w:t>Handyside</w:t>
      </w:r>
      <w:proofErr w:type="spellEnd"/>
      <w:r w:rsidRPr="007F3588">
        <w:rPr>
          <w:i/>
          <w:lang w:val="es-MX"/>
        </w:rPr>
        <w:t xml:space="preserve"> Vs. Reino Unido</w:t>
      </w:r>
      <w:r w:rsidRPr="009E6ED2">
        <w:rPr>
          <w:bCs/>
          <w:lang w:val="es-MX"/>
        </w:rPr>
        <w:t xml:space="preserve">. No. 5493/72. Sentencia de 7 de diciembre de 1976, párr. </w:t>
      </w:r>
      <w:r w:rsidRPr="00333304">
        <w:rPr>
          <w:bCs/>
          <w:lang w:val="es-MX"/>
        </w:rPr>
        <w:t xml:space="preserve">41, y </w:t>
      </w:r>
      <w:r w:rsidRPr="004868B2">
        <w:rPr>
          <w:lang w:val="es-MX"/>
        </w:rPr>
        <w:t>TEDH</w:t>
      </w:r>
      <w:r w:rsidRPr="007F3588">
        <w:rPr>
          <w:i/>
          <w:lang w:val="es-MX"/>
        </w:rPr>
        <w:t xml:space="preserve">, Caso de </w:t>
      </w:r>
      <w:proofErr w:type="spellStart"/>
      <w:r w:rsidRPr="007F3588">
        <w:rPr>
          <w:i/>
          <w:lang w:val="es-MX"/>
        </w:rPr>
        <w:t>Philis</w:t>
      </w:r>
      <w:proofErr w:type="spellEnd"/>
      <w:r w:rsidRPr="007F3588">
        <w:rPr>
          <w:i/>
          <w:lang w:val="es-MX"/>
        </w:rPr>
        <w:t xml:space="preserve"> Vs. Grecia</w:t>
      </w:r>
      <w:r w:rsidRPr="00333304">
        <w:rPr>
          <w:lang w:val="es-MX"/>
        </w:rPr>
        <w:t>.</w:t>
      </w:r>
      <w:r w:rsidRPr="00333304">
        <w:rPr>
          <w:bCs/>
          <w:lang w:val="es-MX"/>
        </w:rPr>
        <w:t xml:space="preserve"> Nos. </w:t>
      </w:r>
      <w:r w:rsidRPr="00333304">
        <w:rPr>
          <w:lang w:val="es-MX"/>
        </w:rPr>
        <w:t>12750/87, 13780/88 y 14003/88</w:t>
      </w:r>
      <w:r w:rsidRPr="00333304">
        <w:rPr>
          <w:bCs/>
          <w:lang w:val="es-MX"/>
        </w:rPr>
        <w:t>. Sentencia de 27 de agosto de 1991, párr. 56.</w:t>
      </w:r>
    </w:p>
  </w:footnote>
  <w:footnote w:id="188">
    <w:p w14:paraId="3005B222" w14:textId="4CAD7EAD" w:rsidR="00D86616" w:rsidRPr="009E6ED2" w:rsidRDefault="00D86616" w:rsidP="006A2D03">
      <w:pPr>
        <w:pStyle w:val="FootnoteText"/>
        <w:spacing w:after="0"/>
        <w:rPr>
          <w:lang w:val="es-MX"/>
        </w:rPr>
      </w:pPr>
      <w:r w:rsidRPr="0018405A">
        <w:rPr>
          <w:rStyle w:val="FootnoteReference"/>
          <w:color w:val="000000"/>
          <w:sz w:val="16"/>
        </w:rPr>
        <w:footnoteRef/>
      </w:r>
      <w:r w:rsidRPr="009E6ED2">
        <w:rPr>
          <w:lang w:val="es-MX"/>
        </w:rPr>
        <w:tab/>
      </w:r>
      <w:r w:rsidRPr="007F3588">
        <w:rPr>
          <w:i/>
          <w:lang w:val="es-MX"/>
        </w:rPr>
        <w:t xml:space="preserve">Cfr. Inter </w:t>
      </w:r>
      <w:proofErr w:type="spellStart"/>
      <w:r w:rsidRPr="007F3588">
        <w:rPr>
          <w:i/>
          <w:lang w:val="es-MX"/>
        </w:rPr>
        <w:t>alia</w:t>
      </w:r>
      <w:proofErr w:type="spellEnd"/>
      <w:r w:rsidRPr="007F3588">
        <w:rPr>
          <w:i/>
          <w:lang w:val="es-MX"/>
        </w:rPr>
        <w:t>, Caso Velásquez Rodríguez Vs. Honduras</w:t>
      </w:r>
      <w:r w:rsidRPr="009E6ED2">
        <w:rPr>
          <w:lang w:val="es-MX"/>
        </w:rPr>
        <w:t xml:space="preserve">. </w:t>
      </w:r>
      <w:r w:rsidRPr="007F3588">
        <w:rPr>
          <w:i/>
          <w:lang w:val="es-MX"/>
        </w:rPr>
        <w:t>Fondo</w:t>
      </w:r>
      <w:r w:rsidRPr="009E6ED2">
        <w:rPr>
          <w:lang w:val="es-MX"/>
        </w:rPr>
        <w:t xml:space="preserve">, </w:t>
      </w:r>
      <w:r w:rsidRPr="00844874">
        <w:rPr>
          <w:i/>
          <w:lang w:val="es-MX"/>
        </w:rPr>
        <w:t>supra</w:t>
      </w:r>
      <w:r w:rsidRPr="009E6ED2">
        <w:rPr>
          <w:lang w:val="es-MX"/>
        </w:rPr>
        <w:t xml:space="preserve">, párr. 163, y </w:t>
      </w:r>
      <w:r w:rsidRPr="007F3588">
        <w:rPr>
          <w:i/>
          <w:lang w:val="es-CR"/>
        </w:rPr>
        <w:t>Caso Acosta y otros Vs. Nicaragua, supra</w:t>
      </w:r>
      <w:r w:rsidRPr="00730D77">
        <w:rPr>
          <w:lang w:val="es-CR"/>
        </w:rPr>
        <w:t xml:space="preserve">, párr. </w:t>
      </w:r>
      <w:r w:rsidRPr="00882FB7">
        <w:rPr>
          <w:lang w:val="es-CR"/>
        </w:rPr>
        <w:t>189.</w:t>
      </w:r>
    </w:p>
  </w:footnote>
  <w:footnote w:id="189">
    <w:p w14:paraId="7532B4FD" w14:textId="019C945B" w:rsidR="00D86616" w:rsidRDefault="00D86616" w:rsidP="006A2D03">
      <w:pPr>
        <w:tabs>
          <w:tab w:val="left" w:pos="540"/>
        </w:tabs>
        <w:autoSpaceDE w:val="0"/>
        <w:autoSpaceDN w:val="0"/>
        <w:adjustRightInd w:val="0"/>
        <w:jc w:val="both"/>
        <w:rPr>
          <w:rFonts w:ascii="Verdana" w:hAnsi="Verdana"/>
          <w:sz w:val="16"/>
          <w:szCs w:val="16"/>
        </w:rPr>
      </w:pPr>
      <w:r w:rsidRPr="00324BCC">
        <w:rPr>
          <w:rStyle w:val="FootnoteReference"/>
          <w:sz w:val="16"/>
          <w:szCs w:val="16"/>
        </w:rPr>
        <w:footnoteRef/>
      </w:r>
      <w:r w:rsidRPr="0082700F">
        <w:rPr>
          <w:sz w:val="16"/>
          <w:szCs w:val="16"/>
        </w:rPr>
        <w:t xml:space="preserve"> </w:t>
      </w:r>
      <w:r w:rsidRPr="0082700F">
        <w:rPr>
          <w:sz w:val="16"/>
          <w:szCs w:val="16"/>
        </w:rPr>
        <w:tab/>
      </w:r>
      <w:r w:rsidRPr="00F77B70">
        <w:rPr>
          <w:rFonts w:ascii="Verdana" w:hAnsi="Verdana"/>
          <w:i/>
          <w:sz w:val="16"/>
          <w:szCs w:val="16"/>
        </w:rPr>
        <w:t>Cfr.</w:t>
      </w:r>
      <w:r w:rsidRPr="0082700F">
        <w:rPr>
          <w:rFonts w:ascii="Verdana" w:hAnsi="Verdana"/>
          <w:sz w:val="16"/>
          <w:szCs w:val="16"/>
        </w:rPr>
        <w:t xml:space="preserve"> </w:t>
      </w:r>
      <w:r w:rsidRPr="00F51B19">
        <w:rPr>
          <w:rFonts w:ascii="Verdana" w:hAnsi="Verdana"/>
          <w:sz w:val="16"/>
          <w:szCs w:val="16"/>
        </w:rPr>
        <w:t>En este sentido, el artículo 29</w:t>
      </w:r>
      <w:r>
        <w:rPr>
          <w:rFonts w:ascii="Verdana" w:hAnsi="Verdana"/>
          <w:sz w:val="16"/>
          <w:szCs w:val="16"/>
        </w:rPr>
        <w:t xml:space="preserve"> </w:t>
      </w:r>
      <w:r w:rsidRPr="00F51B19">
        <w:rPr>
          <w:rFonts w:ascii="Verdana" w:hAnsi="Verdana"/>
          <w:sz w:val="16"/>
          <w:szCs w:val="16"/>
        </w:rPr>
        <w:t>b</w:t>
      </w:r>
      <w:r>
        <w:rPr>
          <w:rFonts w:ascii="Verdana" w:hAnsi="Verdana"/>
          <w:sz w:val="16"/>
          <w:szCs w:val="16"/>
        </w:rPr>
        <w:t>) y d)</w:t>
      </w:r>
      <w:r w:rsidRPr="00F51B19">
        <w:rPr>
          <w:rFonts w:ascii="Verdana" w:hAnsi="Verdana"/>
          <w:sz w:val="16"/>
          <w:szCs w:val="16"/>
        </w:rPr>
        <w:t xml:space="preserve"> de la Convención establece que: “[n]</w:t>
      </w:r>
      <w:proofErr w:type="spellStart"/>
      <w:r w:rsidRPr="00F51B19">
        <w:rPr>
          <w:rFonts w:ascii="Verdana" w:hAnsi="Verdana"/>
          <w:sz w:val="16"/>
          <w:szCs w:val="16"/>
        </w:rPr>
        <w:t>inguna</w:t>
      </w:r>
      <w:proofErr w:type="spellEnd"/>
      <w:r w:rsidRPr="00F51B19">
        <w:rPr>
          <w:rFonts w:ascii="Verdana" w:hAnsi="Verdana"/>
          <w:sz w:val="16"/>
          <w:szCs w:val="16"/>
        </w:rPr>
        <w:t xml:space="preserve"> disposición de la presente Convención puede ser interpretada en el sentido de: […] b) limitar el goce y ejercicio de cualquier derecho o libertad que pueda estar reconocido de acuerdo con las leyes de cualquiera de los Estados Partes o de acuerdo con otra convención en que sea parte uno de dichos Estados</w:t>
      </w:r>
      <w:r>
        <w:rPr>
          <w:rFonts w:ascii="Verdana" w:hAnsi="Verdana"/>
          <w:sz w:val="16"/>
          <w:szCs w:val="16"/>
        </w:rPr>
        <w:t xml:space="preserve">; […] </w:t>
      </w:r>
      <w:r w:rsidRPr="007A549D">
        <w:rPr>
          <w:rFonts w:ascii="Verdana" w:hAnsi="Verdana"/>
          <w:sz w:val="16"/>
          <w:szCs w:val="16"/>
        </w:rPr>
        <w:t>d) excluir o limitar el efecto que puedan producir la Declaración Americana de Derechos y Deberes del Hombre y otros actos interna</w:t>
      </w:r>
      <w:r>
        <w:rPr>
          <w:rFonts w:ascii="Verdana" w:hAnsi="Verdana"/>
          <w:sz w:val="16"/>
          <w:szCs w:val="16"/>
        </w:rPr>
        <w:t>cionales de la misma naturaleza</w:t>
      </w:r>
      <w:r w:rsidRPr="00F51B19">
        <w:rPr>
          <w:rFonts w:ascii="Verdana" w:hAnsi="Verdana"/>
          <w:sz w:val="16"/>
          <w:szCs w:val="16"/>
        </w:rPr>
        <w:t xml:space="preserve">”. </w:t>
      </w:r>
    </w:p>
    <w:p w14:paraId="0A53B611" w14:textId="181563E2" w:rsidR="00D86616" w:rsidRPr="008E104E" w:rsidRDefault="00D86616" w:rsidP="006A2D03">
      <w:pPr>
        <w:autoSpaceDE w:val="0"/>
        <w:autoSpaceDN w:val="0"/>
        <w:adjustRightInd w:val="0"/>
        <w:jc w:val="both"/>
        <w:rPr>
          <w:rFonts w:ascii="Verdana" w:hAnsi="Verdana"/>
          <w:sz w:val="16"/>
          <w:szCs w:val="16"/>
        </w:rPr>
      </w:pPr>
      <w:r w:rsidRPr="00F51B19">
        <w:rPr>
          <w:rFonts w:ascii="Verdana" w:hAnsi="Verdana"/>
          <w:sz w:val="16"/>
          <w:szCs w:val="16"/>
        </w:rPr>
        <w:t>Es así que conforme al referido artículo 29, los derechos laborales tal como el derecho a la estabilidad en el trabajo reconocido por la Constitución de Perú de 1979 y 1993, se deben incorpora</w:t>
      </w:r>
      <w:r>
        <w:rPr>
          <w:rFonts w:ascii="Verdana" w:hAnsi="Verdana"/>
          <w:sz w:val="16"/>
          <w:szCs w:val="16"/>
        </w:rPr>
        <w:t>r</w:t>
      </w:r>
      <w:r w:rsidRPr="00F51B19">
        <w:rPr>
          <w:rFonts w:ascii="Verdana" w:hAnsi="Verdana"/>
          <w:sz w:val="16"/>
          <w:szCs w:val="16"/>
        </w:rPr>
        <w:t>, para efectos del presente caso, a la interpretación y alcance del derecho tutelado en el artículo 26 de la Convención Americana</w:t>
      </w:r>
      <w:r>
        <w:rPr>
          <w:rFonts w:ascii="Verdana" w:hAnsi="Verdana"/>
          <w:sz w:val="16"/>
          <w:szCs w:val="16"/>
        </w:rPr>
        <w:t>.</w:t>
      </w:r>
      <w:r>
        <w:rPr>
          <w:rFonts w:ascii="Verdana" w:hAnsi="Verdana"/>
          <w:i/>
          <w:sz w:val="16"/>
          <w:szCs w:val="16"/>
        </w:rPr>
        <w:t xml:space="preserve"> </w:t>
      </w:r>
      <w:r w:rsidRPr="00F77B70">
        <w:rPr>
          <w:rFonts w:ascii="Verdana" w:hAnsi="Verdana"/>
          <w:i/>
          <w:sz w:val="16"/>
          <w:szCs w:val="16"/>
        </w:rPr>
        <w:t>Cfr.</w:t>
      </w:r>
      <w:r w:rsidRPr="002D2C40">
        <w:rPr>
          <w:rFonts w:ascii="Verdana" w:hAnsi="Verdana"/>
          <w:sz w:val="16"/>
          <w:szCs w:val="16"/>
        </w:rPr>
        <w:t xml:space="preserve"> </w:t>
      </w:r>
      <w:r w:rsidRPr="002D2C40">
        <w:rPr>
          <w:rFonts w:ascii="Verdana" w:hAnsi="Verdana"/>
          <w:i/>
          <w:iCs/>
          <w:sz w:val="16"/>
          <w:szCs w:val="16"/>
          <w:lang w:val="es-EC"/>
        </w:rPr>
        <w:t>La Colegiación Obligatoria de Periodistas. Opinión Consultiva OC-5/85 de 13 de noviembre de 1985</w:t>
      </w:r>
      <w:r w:rsidRPr="00E755D8">
        <w:rPr>
          <w:rFonts w:ascii="Verdana" w:hAnsi="Verdana"/>
          <w:sz w:val="16"/>
          <w:szCs w:val="16"/>
          <w:lang w:val="es-EC"/>
        </w:rPr>
        <w:t xml:space="preserve">, </w:t>
      </w:r>
      <w:r>
        <w:rPr>
          <w:rFonts w:ascii="Verdana" w:hAnsi="Verdana"/>
          <w:sz w:val="16"/>
          <w:szCs w:val="16"/>
          <w:lang w:val="es-EC"/>
        </w:rPr>
        <w:t xml:space="preserve">Serie A No. 5, </w:t>
      </w:r>
      <w:r w:rsidRPr="00E755D8">
        <w:rPr>
          <w:rFonts w:ascii="Verdana" w:hAnsi="Verdana"/>
          <w:sz w:val="16"/>
          <w:szCs w:val="16"/>
          <w:lang w:val="es-EC"/>
        </w:rPr>
        <w:t>pár</w:t>
      </w:r>
      <w:r w:rsidRPr="006C4CF8">
        <w:rPr>
          <w:rFonts w:ascii="Verdana" w:hAnsi="Verdana"/>
          <w:sz w:val="16"/>
          <w:szCs w:val="16"/>
          <w:lang w:val="es-EC"/>
        </w:rPr>
        <w:t>r. 44</w:t>
      </w:r>
      <w:r>
        <w:rPr>
          <w:rFonts w:ascii="Verdana" w:hAnsi="Verdana"/>
          <w:sz w:val="16"/>
          <w:szCs w:val="16"/>
          <w:lang w:val="es-EC"/>
        </w:rPr>
        <w:t>.</w:t>
      </w:r>
    </w:p>
  </w:footnote>
  <w:footnote w:id="190">
    <w:p w14:paraId="7EFE4E3B" w14:textId="137CC0EB" w:rsidR="00D86616" w:rsidRPr="009E6ED2" w:rsidRDefault="00D86616" w:rsidP="006A2D03">
      <w:pPr>
        <w:pStyle w:val="FootnoteText"/>
        <w:spacing w:after="0"/>
        <w:rPr>
          <w:lang w:val="es-MX"/>
        </w:rPr>
      </w:pPr>
      <w:r w:rsidRPr="0018405A">
        <w:rPr>
          <w:rStyle w:val="FootnoteReference"/>
          <w:color w:val="000000"/>
          <w:sz w:val="16"/>
        </w:rPr>
        <w:footnoteRef/>
      </w:r>
      <w:r w:rsidRPr="009E6ED2">
        <w:rPr>
          <w:lang w:val="es-MX"/>
        </w:rPr>
        <w:t xml:space="preserve"> </w:t>
      </w:r>
      <w:r w:rsidRPr="009E6ED2">
        <w:rPr>
          <w:lang w:val="es-MX"/>
        </w:rPr>
        <w:tab/>
      </w:r>
      <w:r w:rsidRPr="007F3588">
        <w:rPr>
          <w:i/>
          <w:lang w:val="es-MX"/>
        </w:rPr>
        <w:t>Cfr. Caso Acevedo Buendía y otros (“Cesantes y Jubilados de la Contraloría”) Vs. Perú. Excepción Preliminar, Fondo, Reparaciones y Costas.</w:t>
      </w:r>
      <w:r w:rsidRPr="009E6ED2">
        <w:rPr>
          <w:lang w:val="es-MX"/>
        </w:rPr>
        <w:t xml:space="preserve"> Sentencia de 1 de julio de 2009 Serie C No. 198, párr. 101; </w:t>
      </w:r>
      <w:r w:rsidRPr="007F3588">
        <w:rPr>
          <w:i/>
          <w:lang w:val="es-MX"/>
        </w:rPr>
        <w:t>Caso Suárez Peralta Vs. Ecuador. Excepciones Preliminares, Fondo, Reparaciones y Costas</w:t>
      </w:r>
      <w:r w:rsidRPr="009E6ED2">
        <w:rPr>
          <w:lang w:val="es-MX"/>
        </w:rPr>
        <w:t xml:space="preserve">. Sentencia de 21 de mayo de 2013. Serie C No. 261, párr. 131, y </w:t>
      </w:r>
      <w:r w:rsidRPr="007F3588">
        <w:rPr>
          <w:i/>
          <w:lang w:val="es-MX"/>
        </w:rPr>
        <w:t xml:space="preserve">Caso Gonzales </w:t>
      </w:r>
      <w:proofErr w:type="spellStart"/>
      <w:r w:rsidRPr="007F3588">
        <w:rPr>
          <w:i/>
          <w:lang w:val="es-MX"/>
        </w:rPr>
        <w:t>Lluy</w:t>
      </w:r>
      <w:proofErr w:type="spellEnd"/>
      <w:r w:rsidRPr="007F3588">
        <w:rPr>
          <w:i/>
          <w:lang w:val="es-MX"/>
        </w:rPr>
        <w:t xml:space="preserve"> y otros Vs. Ecuador. Excepciones Preliminares, Fondo, Reparaciones y Costas.</w:t>
      </w:r>
      <w:r>
        <w:rPr>
          <w:lang w:val="es-MX"/>
        </w:rPr>
        <w:t xml:space="preserve"> Sentencia de </w:t>
      </w:r>
      <w:r w:rsidRPr="009E6ED2">
        <w:rPr>
          <w:lang w:val="es-MX"/>
        </w:rPr>
        <w:t xml:space="preserve">1 de septiembre de 2015. Serie C No. 298, párr. 172. </w:t>
      </w:r>
      <w:r>
        <w:rPr>
          <w:lang w:val="es-MX"/>
        </w:rPr>
        <w:t xml:space="preserve">Preámbulo de la Convención Americana. </w:t>
      </w:r>
    </w:p>
    <w:p w14:paraId="7D0C1CB3" w14:textId="0C629C04" w:rsidR="00D86616" w:rsidRPr="009E6ED2" w:rsidRDefault="00D86616" w:rsidP="006A2D03">
      <w:pPr>
        <w:pStyle w:val="FootnoteText"/>
        <w:spacing w:after="0"/>
        <w:rPr>
          <w:b/>
          <w:lang w:val="es-MX"/>
        </w:rPr>
      </w:pPr>
      <w:r w:rsidRPr="009E6ED2">
        <w:rPr>
          <w:lang w:val="es-MX"/>
        </w:rPr>
        <w:t xml:space="preserve">En el mismo sentido: </w:t>
      </w:r>
      <w:r w:rsidRPr="009E6ED2">
        <w:rPr>
          <w:i/>
          <w:iCs/>
          <w:lang w:val="es-MX"/>
        </w:rPr>
        <w:t>Cfr.</w:t>
      </w:r>
      <w:r w:rsidRPr="009E6ED2">
        <w:rPr>
          <w:iCs/>
          <w:lang w:val="es-MX"/>
        </w:rPr>
        <w:t xml:space="preserve"> ONU.</w:t>
      </w:r>
      <w:r w:rsidRPr="009E6ED2">
        <w:rPr>
          <w:lang w:val="es-MX"/>
        </w:rPr>
        <w:t xml:space="preserve"> Comité de Derechos Económicos, Sociales y Culturales, </w:t>
      </w:r>
      <w:r w:rsidRPr="009E6ED2">
        <w:rPr>
          <w:i/>
          <w:lang w:val="es-MX"/>
        </w:rPr>
        <w:t>Observación General N</w:t>
      </w:r>
      <w:r w:rsidRPr="009E6ED2">
        <w:rPr>
          <w:i/>
          <w:vertAlign w:val="superscript"/>
          <w:lang w:val="es-MX"/>
        </w:rPr>
        <w:t>o</w:t>
      </w:r>
      <w:r w:rsidRPr="009E6ED2">
        <w:rPr>
          <w:i/>
          <w:lang w:val="es-MX"/>
        </w:rPr>
        <w:t xml:space="preserve"> 9</w:t>
      </w:r>
      <w:r w:rsidRPr="009E6ED2">
        <w:rPr>
          <w:lang w:val="es-MX"/>
        </w:rPr>
        <w:t xml:space="preserve">, E/C.12/1998/24, 3 de diciembre de 1998, párr. 10. Véase también: </w:t>
      </w:r>
      <w:r w:rsidRPr="004868B2">
        <w:rPr>
          <w:lang w:val="es-MX"/>
        </w:rPr>
        <w:t>TEDH</w:t>
      </w:r>
      <w:r w:rsidRPr="007F3588">
        <w:rPr>
          <w:i/>
          <w:lang w:val="es-MX"/>
        </w:rPr>
        <w:t xml:space="preserve">, </w:t>
      </w:r>
      <w:r w:rsidRPr="007F3588">
        <w:rPr>
          <w:i/>
          <w:iCs/>
          <w:lang w:val="es-MX"/>
        </w:rPr>
        <w:t xml:space="preserve">Caso </w:t>
      </w:r>
      <w:proofErr w:type="spellStart"/>
      <w:r w:rsidRPr="007F3588">
        <w:rPr>
          <w:i/>
          <w:iCs/>
          <w:lang w:val="es-MX"/>
        </w:rPr>
        <w:t>Airey</w:t>
      </w:r>
      <w:proofErr w:type="spellEnd"/>
      <w:r w:rsidRPr="007F3588">
        <w:rPr>
          <w:i/>
          <w:iCs/>
          <w:lang w:val="es-MX"/>
        </w:rPr>
        <w:t xml:space="preserve"> Vs. Irlanda</w:t>
      </w:r>
      <w:r w:rsidRPr="007F3588">
        <w:rPr>
          <w:i/>
          <w:lang w:val="es-MX"/>
        </w:rPr>
        <w:t xml:space="preserve">, </w:t>
      </w:r>
      <w:r w:rsidRPr="009E6ED2">
        <w:rPr>
          <w:lang w:val="es-MX"/>
        </w:rPr>
        <w:t xml:space="preserve">No. 6289/73. Sentencia de 9 de octubre de 1979, párr. 26 y </w:t>
      </w:r>
      <w:r w:rsidRPr="009E6ED2">
        <w:rPr>
          <w:i/>
          <w:iCs/>
          <w:lang w:val="es-MX"/>
        </w:rPr>
        <w:t xml:space="preserve">Caso </w:t>
      </w:r>
      <w:proofErr w:type="spellStart"/>
      <w:r w:rsidRPr="009E6ED2">
        <w:rPr>
          <w:i/>
          <w:iCs/>
          <w:lang w:val="es-MX"/>
        </w:rPr>
        <w:t>Sidabras</w:t>
      </w:r>
      <w:proofErr w:type="spellEnd"/>
      <w:r w:rsidRPr="009E6ED2">
        <w:rPr>
          <w:i/>
          <w:iCs/>
          <w:lang w:val="es-MX"/>
        </w:rPr>
        <w:t xml:space="preserve"> y </w:t>
      </w:r>
      <w:proofErr w:type="spellStart"/>
      <w:r w:rsidRPr="009E6ED2">
        <w:rPr>
          <w:i/>
          <w:iCs/>
          <w:lang w:val="es-MX"/>
        </w:rPr>
        <w:t>Dziautas</w:t>
      </w:r>
      <w:proofErr w:type="spellEnd"/>
      <w:r w:rsidRPr="009E6ED2">
        <w:rPr>
          <w:i/>
          <w:iCs/>
          <w:lang w:val="es-MX"/>
        </w:rPr>
        <w:t xml:space="preserve"> Vs. Lituania</w:t>
      </w:r>
      <w:r w:rsidRPr="009E6ED2">
        <w:rPr>
          <w:lang w:val="es-MX"/>
        </w:rPr>
        <w:t xml:space="preserve">, Nos. 55480/00 y 59330/00. Sentencia de 27 de julio de 2004, párr. 47. En el </w:t>
      </w:r>
      <w:r w:rsidRPr="007F3588">
        <w:rPr>
          <w:i/>
          <w:lang w:val="es-MX"/>
        </w:rPr>
        <w:t xml:space="preserve">Caso </w:t>
      </w:r>
      <w:proofErr w:type="spellStart"/>
      <w:r w:rsidRPr="007F3588">
        <w:rPr>
          <w:i/>
          <w:iCs/>
          <w:lang w:val="es-MX"/>
        </w:rPr>
        <w:t>Airey</w:t>
      </w:r>
      <w:proofErr w:type="spellEnd"/>
      <w:r w:rsidRPr="007F3588">
        <w:rPr>
          <w:i/>
          <w:iCs/>
          <w:lang w:val="es-MX"/>
        </w:rPr>
        <w:t xml:space="preserve"> Vs. Irlanda</w:t>
      </w:r>
      <w:r w:rsidRPr="009E6ED2">
        <w:rPr>
          <w:iCs/>
          <w:lang w:val="es-MX"/>
        </w:rPr>
        <w:t xml:space="preserve">, </w:t>
      </w:r>
      <w:r w:rsidRPr="009E6ED2">
        <w:rPr>
          <w:lang w:val="es-MX"/>
        </w:rPr>
        <w:t xml:space="preserve">el Tribunal Europeo señaló que “[s]i bien el Convenio recoge derechos esencialmente civiles y políticos, gran parte de ellos tienen implicaciones de naturaleza económica y social. Por eso, el Tribunal estima, como lo hace la Comisión, que el hecho de que una interpretación del Convenio pueda extenderse a la esfera de los derechos sociales y económicos no es factor decisivo en contra de dicha interpretación, ya que no existe una separación tajante entre esa esfera y el campo cubierto por el Convenio”.  </w:t>
      </w:r>
    </w:p>
  </w:footnote>
  <w:footnote w:id="191">
    <w:p w14:paraId="54B5F530" w14:textId="0A89BE64" w:rsidR="00D86616" w:rsidRPr="009E6ED2" w:rsidRDefault="00D86616" w:rsidP="006A2D03">
      <w:pPr>
        <w:pStyle w:val="FootnoteText"/>
        <w:spacing w:after="0"/>
        <w:rPr>
          <w:color w:val="000000"/>
          <w:lang w:val="es-MX"/>
        </w:rPr>
      </w:pPr>
      <w:r w:rsidRPr="0018405A">
        <w:rPr>
          <w:rStyle w:val="FootnoteReference"/>
          <w:color w:val="000000"/>
          <w:sz w:val="16"/>
        </w:rPr>
        <w:footnoteRef/>
      </w:r>
      <w:r w:rsidRPr="009E6ED2">
        <w:rPr>
          <w:color w:val="000000"/>
          <w:lang w:val="es-MX"/>
        </w:rPr>
        <w:t xml:space="preserve"> </w:t>
      </w:r>
      <w:r w:rsidRPr="009E6ED2">
        <w:rPr>
          <w:color w:val="000000"/>
          <w:lang w:val="es-MX"/>
        </w:rPr>
        <w:tab/>
      </w:r>
      <w:r w:rsidRPr="007F3588">
        <w:rPr>
          <w:i/>
          <w:color w:val="000000"/>
          <w:lang w:val="es-MX"/>
        </w:rPr>
        <w:t xml:space="preserve">Cfr. </w:t>
      </w:r>
      <w:r w:rsidRPr="007F3588">
        <w:rPr>
          <w:i/>
          <w:lang w:val="es-MX"/>
        </w:rPr>
        <w:t>Caso Acevedo Buendía y otros (“Cesantes y Jubilados de la Contraloría”) Vs. Perú, supra</w:t>
      </w:r>
      <w:r w:rsidRPr="009E6ED2">
        <w:rPr>
          <w:lang w:val="es-MX"/>
        </w:rPr>
        <w:t xml:space="preserve">, </w:t>
      </w:r>
      <w:proofErr w:type="spellStart"/>
      <w:r w:rsidRPr="009E6ED2">
        <w:rPr>
          <w:color w:val="000000"/>
          <w:lang w:val="es-MX"/>
        </w:rPr>
        <w:t>párrs</w:t>
      </w:r>
      <w:proofErr w:type="spellEnd"/>
      <w:r w:rsidRPr="009E6ED2">
        <w:rPr>
          <w:color w:val="000000"/>
          <w:lang w:val="es-MX"/>
        </w:rPr>
        <w:t xml:space="preserve">. </w:t>
      </w:r>
      <w:r w:rsidRPr="00A532BE">
        <w:rPr>
          <w:color w:val="000000"/>
          <w:lang w:val="es-MX"/>
        </w:rPr>
        <w:t>16, 17</w:t>
      </w:r>
      <w:r w:rsidRPr="009E6ED2">
        <w:rPr>
          <w:color w:val="000000"/>
          <w:lang w:val="es-MX"/>
        </w:rPr>
        <w:t xml:space="preserve"> y 100.</w:t>
      </w:r>
    </w:p>
  </w:footnote>
  <w:footnote w:id="192">
    <w:p w14:paraId="638C1D82" w14:textId="7BFD2A15" w:rsidR="00D86616" w:rsidRPr="00CF7867" w:rsidRDefault="00D86616" w:rsidP="006A2D03">
      <w:pPr>
        <w:tabs>
          <w:tab w:val="left" w:pos="540"/>
        </w:tabs>
        <w:autoSpaceDE w:val="0"/>
        <w:autoSpaceDN w:val="0"/>
        <w:adjustRightInd w:val="0"/>
        <w:contextualSpacing/>
        <w:jc w:val="both"/>
        <w:rPr>
          <w:rFonts w:ascii="Verdana" w:hAnsi="Verdana" w:cs="Verdana"/>
          <w:color w:val="000000"/>
          <w:sz w:val="16"/>
          <w:szCs w:val="16"/>
          <w:lang w:eastAsia="es-MX"/>
        </w:rPr>
      </w:pPr>
      <w:r w:rsidRPr="00CF7867">
        <w:rPr>
          <w:rStyle w:val="FootnoteReference"/>
          <w:color w:val="000000"/>
          <w:sz w:val="16"/>
          <w:szCs w:val="16"/>
        </w:rPr>
        <w:footnoteRef/>
      </w:r>
      <w:r w:rsidRPr="00CF7867">
        <w:rPr>
          <w:rFonts w:ascii="Verdana" w:hAnsi="Verdana"/>
          <w:color w:val="000000"/>
          <w:sz w:val="16"/>
          <w:szCs w:val="16"/>
        </w:rPr>
        <w:t xml:space="preserve"> </w:t>
      </w:r>
      <w:r w:rsidRPr="00CF7867">
        <w:rPr>
          <w:rFonts w:ascii="Verdana" w:hAnsi="Verdana"/>
          <w:color w:val="000000"/>
          <w:sz w:val="16"/>
          <w:szCs w:val="16"/>
        </w:rPr>
        <w:tab/>
      </w:r>
      <w:r w:rsidRPr="00F77B70">
        <w:rPr>
          <w:rFonts w:ascii="Verdana" w:hAnsi="Verdana" w:cs="Verdana"/>
          <w:i/>
          <w:iCs/>
          <w:color w:val="000000"/>
          <w:sz w:val="16"/>
          <w:szCs w:val="16"/>
          <w:lang w:eastAsia="es-MX"/>
        </w:rPr>
        <w:t>Cfr.</w:t>
      </w:r>
      <w:r w:rsidRPr="00CF7867">
        <w:rPr>
          <w:rFonts w:ascii="Verdana" w:hAnsi="Verdana" w:cs="Verdana"/>
          <w:color w:val="000000"/>
          <w:sz w:val="16"/>
          <w:szCs w:val="16"/>
          <w:lang w:eastAsia="es-MX"/>
        </w:rPr>
        <w:t xml:space="preserve"> </w:t>
      </w:r>
      <w:r w:rsidRPr="00CF7867">
        <w:rPr>
          <w:rFonts w:ascii="Verdana" w:hAnsi="Verdana" w:cs="Verdana"/>
          <w:i/>
          <w:iCs/>
          <w:color w:val="000000"/>
          <w:sz w:val="16"/>
          <w:szCs w:val="16"/>
          <w:lang w:eastAsia="es-MX"/>
        </w:rPr>
        <w:t xml:space="preserve">Caso </w:t>
      </w:r>
      <w:proofErr w:type="spellStart"/>
      <w:r w:rsidRPr="00CF7867">
        <w:rPr>
          <w:rFonts w:ascii="Verdana" w:hAnsi="Verdana" w:cs="Verdana"/>
          <w:i/>
          <w:iCs/>
          <w:color w:val="000000"/>
          <w:sz w:val="16"/>
          <w:szCs w:val="16"/>
          <w:lang w:eastAsia="es-MX"/>
        </w:rPr>
        <w:t>Ivcher</w:t>
      </w:r>
      <w:proofErr w:type="spellEnd"/>
      <w:r w:rsidRPr="00CF7867">
        <w:rPr>
          <w:rFonts w:ascii="Verdana" w:hAnsi="Verdana" w:cs="Verdana"/>
          <w:i/>
          <w:iCs/>
          <w:color w:val="000000"/>
          <w:sz w:val="16"/>
          <w:szCs w:val="16"/>
          <w:lang w:eastAsia="es-MX"/>
        </w:rPr>
        <w:t xml:space="preserve"> </w:t>
      </w:r>
      <w:proofErr w:type="spellStart"/>
      <w:r w:rsidRPr="00CF7867">
        <w:rPr>
          <w:rFonts w:ascii="Verdana" w:hAnsi="Verdana" w:cs="Verdana"/>
          <w:i/>
          <w:iCs/>
          <w:color w:val="000000"/>
          <w:sz w:val="16"/>
          <w:szCs w:val="16"/>
          <w:lang w:eastAsia="es-MX"/>
        </w:rPr>
        <w:t>Bronstein</w:t>
      </w:r>
      <w:proofErr w:type="spellEnd"/>
      <w:r w:rsidRPr="00CF7867">
        <w:rPr>
          <w:rFonts w:ascii="Verdana" w:hAnsi="Verdana" w:cs="Verdana"/>
          <w:i/>
          <w:iCs/>
          <w:color w:val="000000"/>
          <w:sz w:val="16"/>
          <w:szCs w:val="16"/>
          <w:lang w:eastAsia="es-MX"/>
        </w:rPr>
        <w:t xml:space="preserve"> Vs. Perú. Competencia. </w:t>
      </w:r>
      <w:r w:rsidRPr="00CF7867">
        <w:rPr>
          <w:rFonts w:ascii="Verdana" w:hAnsi="Verdana" w:cs="Verdana"/>
          <w:color w:val="000000"/>
          <w:sz w:val="16"/>
          <w:szCs w:val="16"/>
          <w:lang w:eastAsia="es-MX"/>
        </w:rPr>
        <w:t xml:space="preserve">Sentencia de 24 de septiembre de 1999. Serie C No. 54, </w:t>
      </w:r>
      <w:proofErr w:type="spellStart"/>
      <w:r w:rsidRPr="00CF7867">
        <w:rPr>
          <w:rFonts w:ascii="Verdana" w:hAnsi="Verdana" w:cs="Verdana"/>
          <w:color w:val="000000"/>
          <w:sz w:val="16"/>
          <w:szCs w:val="16"/>
          <w:lang w:eastAsia="es-MX"/>
        </w:rPr>
        <w:t>párrs</w:t>
      </w:r>
      <w:proofErr w:type="spellEnd"/>
      <w:r w:rsidRPr="00CF7867">
        <w:rPr>
          <w:rFonts w:ascii="Verdana" w:hAnsi="Verdana" w:cs="Verdana"/>
          <w:color w:val="000000"/>
          <w:sz w:val="16"/>
          <w:szCs w:val="16"/>
          <w:lang w:eastAsia="es-MX"/>
        </w:rPr>
        <w:t>. 32 y 34</w:t>
      </w:r>
      <w:r>
        <w:rPr>
          <w:rFonts w:ascii="Verdana" w:hAnsi="Verdana" w:cs="Verdana"/>
          <w:color w:val="000000"/>
          <w:sz w:val="16"/>
          <w:szCs w:val="16"/>
          <w:lang w:eastAsia="es-MX"/>
        </w:rPr>
        <w:t xml:space="preserve">, y </w:t>
      </w:r>
      <w:r w:rsidRPr="00333304">
        <w:rPr>
          <w:rFonts w:ascii="Verdana" w:hAnsi="Verdana" w:cs="Verdana"/>
          <w:i/>
          <w:color w:val="000000"/>
          <w:sz w:val="16"/>
          <w:szCs w:val="16"/>
          <w:lang w:eastAsia="es-MX"/>
        </w:rPr>
        <w:t>Caso Espinoza Gonzáles Vs. Perú. Excepciones Preliminares, Fondo, Reparaciones y Costas.</w:t>
      </w:r>
      <w:r>
        <w:rPr>
          <w:rFonts w:ascii="Verdana" w:hAnsi="Verdana" w:cs="Verdana"/>
          <w:color w:val="000000"/>
          <w:sz w:val="16"/>
          <w:szCs w:val="16"/>
          <w:lang w:eastAsia="es-MX"/>
        </w:rPr>
        <w:t xml:space="preserve"> Sentencia de 20 de noviembre de 2014. Serie C No. 289, párr. 27.</w:t>
      </w:r>
    </w:p>
  </w:footnote>
  <w:footnote w:id="193">
    <w:p w14:paraId="1154F3B9" w14:textId="25F420D2" w:rsidR="00D86616" w:rsidRPr="00CF7867" w:rsidRDefault="00D86616" w:rsidP="006A2D03">
      <w:pPr>
        <w:tabs>
          <w:tab w:val="left" w:pos="540"/>
        </w:tabs>
        <w:autoSpaceDE w:val="0"/>
        <w:autoSpaceDN w:val="0"/>
        <w:adjustRightInd w:val="0"/>
        <w:contextualSpacing/>
        <w:jc w:val="both"/>
        <w:rPr>
          <w:rFonts w:ascii="Verdana" w:hAnsi="Verdana" w:cs="Verdana"/>
          <w:color w:val="000000"/>
          <w:sz w:val="16"/>
          <w:szCs w:val="16"/>
          <w:lang w:eastAsia="es-MX"/>
        </w:rPr>
      </w:pPr>
      <w:r w:rsidRPr="00CF7867">
        <w:rPr>
          <w:rStyle w:val="FootnoteReference"/>
          <w:color w:val="000000"/>
          <w:sz w:val="16"/>
          <w:szCs w:val="16"/>
        </w:rPr>
        <w:footnoteRef/>
      </w:r>
      <w:r w:rsidRPr="00CF7867">
        <w:rPr>
          <w:rFonts w:ascii="Verdana" w:hAnsi="Verdana"/>
          <w:color w:val="000000"/>
          <w:sz w:val="16"/>
          <w:szCs w:val="16"/>
        </w:rPr>
        <w:t xml:space="preserve"> </w:t>
      </w:r>
      <w:r w:rsidRPr="00CF7867">
        <w:rPr>
          <w:rFonts w:ascii="Verdana" w:hAnsi="Verdana"/>
          <w:color w:val="000000"/>
          <w:sz w:val="16"/>
          <w:szCs w:val="16"/>
        </w:rPr>
        <w:tab/>
      </w:r>
      <w:r w:rsidRPr="00F77B70">
        <w:rPr>
          <w:rFonts w:ascii="Verdana" w:hAnsi="Verdana" w:cs="Verdana"/>
          <w:i/>
          <w:iCs/>
          <w:color w:val="000000"/>
          <w:sz w:val="16"/>
          <w:szCs w:val="16"/>
          <w:lang w:eastAsia="es-MX"/>
        </w:rPr>
        <w:t>Cfr.</w:t>
      </w:r>
      <w:r w:rsidRPr="00CF7867">
        <w:rPr>
          <w:rFonts w:ascii="Verdana" w:hAnsi="Verdana" w:cs="Verdana"/>
          <w:color w:val="000000"/>
          <w:sz w:val="16"/>
          <w:szCs w:val="16"/>
          <w:lang w:eastAsia="es-MX"/>
        </w:rPr>
        <w:t xml:space="preserve"> </w:t>
      </w:r>
      <w:r w:rsidRPr="00CF7867">
        <w:rPr>
          <w:rFonts w:ascii="Verdana" w:hAnsi="Verdana" w:cs="Verdana"/>
          <w:i/>
          <w:iCs/>
          <w:color w:val="000000"/>
          <w:sz w:val="16"/>
          <w:szCs w:val="16"/>
          <w:lang w:eastAsia="es-MX"/>
        </w:rPr>
        <w:t>Caso Velásquez Rodríguez Vs. Honduras. Excepciones Preliminares</w:t>
      </w:r>
      <w:r>
        <w:rPr>
          <w:rFonts w:ascii="Verdana" w:hAnsi="Verdana" w:cs="Verdana"/>
          <w:i/>
          <w:iCs/>
          <w:color w:val="000000"/>
          <w:sz w:val="16"/>
          <w:szCs w:val="16"/>
          <w:lang w:eastAsia="es-MX"/>
        </w:rPr>
        <w:t xml:space="preserve">, </w:t>
      </w:r>
      <w:r w:rsidRPr="002F31BD">
        <w:rPr>
          <w:rFonts w:ascii="Verdana" w:hAnsi="Verdana" w:cs="Verdana"/>
          <w:i/>
          <w:iCs/>
          <w:color w:val="000000"/>
          <w:sz w:val="16"/>
          <w:szCs w:val="16"/>
          <w:lang w:eastAsia="es-MX"/>
        </w:rPr>
        <w:t>supra</w:t>
      </w:r>
      <w:r>
        <w:rPr>
          <w:rFonts w:ascii="Verdana" w:hAnsi="Verdana" w:cs="Verdana"/>
          <w:i/>
          <w:iCs/>
          <w:color w:val="000000"/>
          <w:sz w:val="16"/>
          <w:szCs w:val="16"/>
          <w:lang w:eastAsia="es-MX"/>
        </w:rPr>
        <w:t xml:space="preserve">, </w:t>
      </w:r>
      <w:r w:rsidRPr="00CF7867">
        <w:rPr>
          <w:rFonts w:ascii="Verdana" w:hAnsi="Verdana" w:cs="Verdana"/>
          <w:color w:val="000000"/>
          <w:sz w:val="16"/>
          <w:szCs w:val="16"/>
          <w:lang w:eastAsia="es-MX"/>
        </w:rPr>
        <w:t xml:space="preserve">párr. 29, y </w:t>
      </w:r>
      <w:r w:rsidRPr="00CF7867">
        <w:rPr>
          <w:rFonts w:ascii="Verdana" w:hAnsi="Verdana" w:cs="Verdana"/>
          <w:i/>
          <w:iCs/>
          <w:color w:val="000000"/>
          <w:sz w:val="16"/>
          <w:szCs w:val="16"/>
          <w:lang w:eastAsia="es-MX"/>
        </w:rPr>
        <w:t xml:space="preserve">Caso </w:t>
      </w:r>
      <w:r>
        <w:rPr>
          <w:rFonts w:ascii="Verdana" w:hAnsi="Verdana" w:cs="Verdana"/>
          <w:i/>
          <w:iCs/>
          <w:color w:val="000000"/>
          <w:sz w:val="16"/>
          <w:szCs w:val="16"/>
          <w:lang w:eastAsia="es-MX"/>
        </w:rPr>
        <w:t xml:space="preserve">Garibaldi </w:t>
      </w:r>
      <w:r w:rsidRPr="00CF7867">
        <w:rPr>
          <w:rFonts w:ascii="Verdana" w:hAnsi="Verdana" w:cs="Verdana"/>
          <w:i/>
          <w:iCs/>
          <w:color w:val="000000"/>
          <w:sz w:val="16"/>
          <w:szCs w:val="16"/>
          <w:lang w:eastAsia="es-MX"/>
        </w:rPr>
        <w:t xml:space="preserve">Vs. </w:t>
      </w:r>
      <w:r>
        <w:rPr>
          <w:rFonts w:ascii="Verdana" w:hAnsi="Verdana" w:cs="Verdana"/>
          <w:i/>
          <w:iCs/>
          <w:color w:val="000000"/>
          <w:sz w:val="16"/>
          <w:szCs w:val="16"/>
          <w:lang w:eastAsia="es-MX"/>
        </w:rPr>
        <w:t>Brasil</w:t>
      </w:r>
      <w:r w:rsidRPr="00CF7867">
        <w:rPr>
          <w:rFonts w:ascii="Verdana" w:hAnsi="Verdana" w:cs="Verdana"/>
          <w:i/>
          <w:iCs/>
          <w:color w:val="000000"/>
          <w:sz w:val="16"/>
          <w:szCs w:val="16"/>
          <w:lang w:eastAsia="es-MX"/>
        </w:rPr>
        <w:t>. Excepci</w:t>
      </w:r>
      <w:r>
        <w:rPr>
          <w:rFonts w:ascii="Verdana" w:hAnsi="Verdana" w:cs="Verdana"/>
          <w:i/>
          <w:iCs/>
          <w:color w:val="000000"/>
          <w:sz w:val="16"/>
          <w:szCs w:val="16"/>
          <w:lang w:eastAsia="es-MX"/>
        </w:rPr>
        <w:t>o</w:t>
      </w:r>
      <w:r w:rsidRPr="00CF7867">
        <w:rPr>
          <w:rFonts w:ascii="Verdana" w:hAnsi="Verdana" w:cs="Verdana"/>
          <w:i/>
          <w:iCs/>
          <w:color w:val="000000"/>
          <w:sz w:val="16"/>
          <w:szCs w:val="16"/>
          <w:lang w:eastAsia="es-MX"/>
        </w:rPr>
        <w:t>n</w:t>
      </w:r>
      <w:r>
        <w:rPr>
          <w:rFonts w:ascii="Verdana" w:hAnsi="Verdana" w:cs="Verdana"/>
          <w:i/>
          <w:iCs/>
          <w:color w:val="000000"/>
          <w:sz w:val="16"/>
          <w:szCs w:val="16"/>
          <w:lang w:eastAsia="es-MX"/>
        </w:rPr>
        <w:t>es</w:t>
      </w:r>
      <w:r w:rsidRPr="00CF7867">
        <w:rPr>
          <w:rFonts w:ascii="Verdana" w:hAnsi="Verdana" w:cs="Verdana"/>
          <w:i/>
          <w:iCs/>
          <w:color w:val="000000"/>
          <w:sz w:val="16"/>
          <w:szCs w:val="16"/>
          <w:lang w:eastAsia="es-MX"/>
        </w:rPr>
        <w:t xml:space="preserve"> Preliminar</w:t>
      </w:r>
      <w:r>
        <w:rPr>
          <w:rFonts w:ascii="Verdana" w:hAnsi="Verdana" w:cs="Verdana"/>
          <w:i/>
          <w:iCs/>
          <w:color w:val="000000"/>
          <w:sz w:val="16"/>
          <w:szCs w:val="16"/>
          <w:lang w:eastAsia="es-MX"/>
        </w:rPr>
        <w:t>es, Fondo, Reparaciones y Costas</w:t>
      </w:r>
      <w:r w:rsidRPr="00CF7867">
        <w:rPr>
          <w:rFonts w:ascii="Verdana" w:hAnsi="Verdana" w:cs="Verdana"/>
          <w:i/>
          <w:iCs/>
          <w:color w:val="000000"/>
          <w:sz w:val="16"/>
          <w:szCs w:val="16"/>
          <w:lang w:eastAsia="es-MX"/>
        </w:rPr>
        <w:t xml:space="preserve">. </w:t>
      </w:r>
      <w:r w:rsidRPr="00CF7867">
        <w:rPr>
          <w:rFonts w:ascii="Verdana" w:hAnsi="Verdana" w:cs="Verdana"/>
          <w:color w:val="000000"/>
          <w:sz w:val="16"/>
          <w:szCs w:val="16"/>
          <w:lang w:eastAsia="es-MX"/>
        </w:rPr>
        <w:t xml:space="preserve">Sentencia de </w:t>
      </w:r>
      <w:r>
        <w:rPr>
          <w:rFonts w:ascii="Verdana" w:hAnsi="Verdana" w:cs="Verdana"/>
          <w:color w:val="000000"/>
          <w:sz w:val="16"/>
          <w:szCs w:val="16"/>
          <w:lang w:eastAsia="es-MX"/>
        </w:rPr>
        <w:t>23</w:t>
      </w:r>
      <w:r w:rsidRPr="00CF7867">
        <w:rPr>
          <w:rFonts w:ascii="Verdana" w:hAnsi="Verdana" w:cs="Verdana"/>
          <w:color w:val="000000"/>
          <w:sz w:val="16"/>
          <w:szCs w:val="16"/>
          <w:lang w:eastAsia="es-MX"/>
        </w:rPr>
        <w:t xml:space="preserve"> de </w:t>
      </w:r>
      <w:r>
        <w:rPr>
          <w:rFonts w:ascii="Verdana" w:hAnsi="Verdana" w:cs="Verdana"/>
          <w:color w:val="000000"/>
          <w:sz w:val="16"/>
          <w:szCs w:val="16"/>
          <w:lang w:eastAsia="es-MX"/>
        </w:rPr>
        <w:t>septiembre</w:t>
      </w:r>
      <w:r w:rsidRPr="00CF7867">
        <w:rPr>
          <w:rFonts w:ascii="Verdana" w:hAnsi="Verdana" w:cs="Verdana"/>
          <w:color w:val="000000"/>
          <w:sz w:val="16"/>
          <w:szCs w:val="16"/>
          <w:lang w:eastAsia="es-MX"/>
        </w:rPr>
        <w:t xml:space="preserve"> de 200</w:t>
      </w:r>
      <w:r>
        <w:rPr>
          <w:rFonts w:ascii="Verdana" w:hAnsi="Verdana" w:cs="Verdana"/>
          <w:color w:val="000000"/>
          <w:sz w:val="16"/>
          <w:szCs w:val="16"/>
          <w:lang w:eastAsia="es-MX"/>
        </w:rPr>
        <w:t>9</w:t>
      </w:r>
      <w:r w:rsidRPr="00CF7867">
        <w:rPr>
          <w:rFonts w:ascii="Verdana" w:hAnsi="Verdana" w:cs="Verdana"/>
          <w:color w:val="000000"/>
          <w:sz w:val="16"/>
          <w:szCs w:val="16"/>
          <w:lang w:eastAsia="es-MX"/>
        </w:rPr>
        <w:t xml:space="preserve">. Serie C No. </w:t>
      </w:r>
      <w:r>
        <w:rPr>
          <w:rFonts w:ascii="Verdana" w:hAnsi="Verdana" w:cs="Verdana"/>
          <w:color w:val="000000"/>
          <w:sz w:val="16"/>
          <w:szCs w:val="16"/>
          <w:lang w:eastAsia="es-MX"/>
        </w:rPr>
        <w:t>20</w:t>
      </w:r>
      <w:r w:rsidRPr="00CF7867">
        <w:rPr>
          <w:rFonts w:ascii="Verdana" w:hAnsi="Verdana" w:cs="Verdana"/>
          <w:color w:val="000000"/>
          <w:sz w:val="16"/>
          <w:szCs w:val="16"/>
          <w:lang w:eastAsia="es-MX"/>
        </w:rPr>
        <w:t xml:space="preserve">3, párr. </w:t>
      </w:r>
      <w:r>
        <w:rPr>
          <w:rFonts w:ascii="Verdana" w:hAnsi="Verdana" w:cs="Verdana"/>
          <w:color w:val="000000"/>
          <w:sz w:val="16"/>
          <w:szCs w:val="16"/>
          <w:lang w:eastAsia="es-MX"/>
        </w:rPr>
        <w:t>41</w:t>
      </w:r>
      <w:r w:rsidRPr="00CF7867">
        <w:rPr>
          <w:rFonts w:ascii="Verdana" w:hAnsi="Verdana" w:cs="Verdana"/>
          <w:color w:val="000000"/>
          <w:sz w:val="16"/>
          <w:szCs w:val="16"/>
          <w:lang w:eastAsia="es-MX"/>
        </w:rPr>
        <w:t>.</w:t>
      </w:r>
    </w:p>
  </w:footnote>
  <w:footnote w:id="194">
    <w:p w14:paraId="0316BE7A" w14:textId="3AD9CAAA" w:rsidR="00D86616" w:rsidRPr="009E6ED2" w:rsidRDefault="00D86616" w:rsidP="006A2D03">
      <w:pPr>
        <w:pStyle w:val="FootnoteText"/>
        <w:spacing w:after="0"/>
        <w:rPr>
          <w:b/>
          <w:color w:val="000000"/>
          <w:lang w:val="es-MX"/>
        </w:rPr>
      </w:pPr>
      <w:r w:rsidRPr="0018405A">
        <w:rPr>
          <w:rStyle w:val="FootnoteReference"/>
          <w:color w:val="000000"/>
          <w:sz w:val="16"/>
        </w:rPr>
        <w:footnoteRef/>
      </w:r>
      <w:r>
        <w:rPr>
          <w:color w:val="000000"/>
          <w:lang w:val="es-MX"/>
        </w:rPr>
        <w:t xml:space="preserve"> </w:t>
      </w:r>
      <w:r>
        <w:rPr>
          <w:color w:val="000000"/>
          <w:lang w:val="es-MX"/>
        </w:rPr>
        <w:tab/>
      </w:r>
      <w:r w:rsidRPr="003C6062">
        <w:rPr>
          <w:i/>
          <w:color w:val="000000"/>
          <w:lang w:val="es-MX"/>
        </w:rPr>
        <w:t>Cfr.</w:t>
      </w:r>
      <w:r>
        <w:rPr>
          <w:color w:val="000000"/>
          <w:lang w:val="es-MX"/>
        </w:rPr>
        <w:t xml:space="preserve"> </w:t>
      </w:r>
      <w:r w:rsidRPr="009E6ED2">
        <w:rPr>
          <w:i/>
          <w:lang w:val="es-MX"/>
        </w:rPr>
        <w:t>Caso Acevedo Buendía y otros (“Cesantes y Jubilados de la Contraloría”), supra</w:t>
      </w:r>
      <w:r w:rsidRPr="009E6ED2">
        <w:rPr>
          <w:lang w:val="es-MX"/>
        </w:rPr>
        <w:t xml:space="preserve">, </w:t>
      </w:r>
      <w:proofErr w:type="spellStart"/>
      <w:r w:rsidRPr="009E6ED2">
        <w:rPr>
          <w:lang w:val="es-MX"/>
        </w:rPr>
        <w:t>párr</w:t>
      </w:r>
      <w:r>
        <w:rPr>
          <w:lang w:val="es-MX"/>
        </w:rPr>
        <w:t>s</w:t>
      </w:r>
      <w:proofErr w:type="spellEnd"/>
      <w:r w:rsidRPr="009E6ED2">
        <w:rPr>
          <w:lang w:val="es-MX"/>
        </w:rPr>
        <w:t xml:space="preserve">. </w:t>
      </w:r>
      <w:r>
        <w:rPr>
          <w:lang w:val="es-MX"/>
        </w:rPr>
        <w:t xml:space="preserve">99 y </w:t>
      </w:r>
      <w:r w:rsidRPr="009E6ED2">
        <w:rPr>
          <w:lang w:val="es-MX"/>
        </w:rPr>
        <w:t>100</w:t>
      </w:r>
      <w:r>
        <w:rPr>
          <w:lang w:val="es-MX"/>
        </w:rPr>
        <w:t xml:space="preserve">. </w:t>
      </w:r>
      <w:r w:rsidRPr="00A532BE">
        <w:rPr>
          <w:i/>
          <w:lang w:val="es-MX"/>
        </w:rPr>
        <w:t>Cfr.</w:t>
      </w:r>
      <w:r w:rsidRPr="00A532BE">
        <w:rPr>
          <w:lang w:val="es-MX"/>
        </w:rPr>
        <w:t xml:space="preserve"> ONU. Comité de Derechos Económicos, Sociales y Culturales, </w:t>
      </w:r>
      <w:r w:rsidRPr="00A532BE">
        <w:rPr>
          <w:i/>
          <w:lang w:val="es-MX"/>
        </w:rPr>
        <w:t>Observación General N</w:t>
      </w:r>
      <w:r w:rsidRPr="00A532BE">
        <w:rPr>
          <w:i/>
          <w:vertAlign w:val="superscript"/>
          <w:lang w:val="es-MX"/>
        </w:rPr>
        <w:t>o</w:t>
      </w:r>
      <w:r w:rsidRPr="00A532BE">
        <w:rPr>
          <w:i/>
          <w:lang w:val="es-MX"/>
        </w:rPr>
        <w:t xml:space="preserve"> 1</w:t>
      </w:r>
      <w:r>
        <w:rPr>
          <w:i/>
          <w:lang w:val="es-MX"/>
        </w:rPr>
        <w:t>8</w:t>
      </w:r>
      <w:r w:rsidRPr="00A532BE">
        <w:rPr>
          <w:lang w:val="es-MX"/>
        </w:rPr>
        <w:t>, E/</w:t>
      </w:r>
      <w:r>
        <w:rPr>
          <w:lang w:val="es-MX"/>
        </w:rPr>
        <w:t>G</w:t>
      </w:r>
      <w:r w:rsidRPr="00A532BE">
        <w:rPr>
          <w:lang w:val="es-MX"/>
        </w:rPr>
        <w:t>C.1</w:t>
      </w:r>
      <w:r>
        <w:rPr>
          <w:lang w:val="es-MX"/>
        </w:rPr>
        <w:t>8</w:t>
      </w:r>
      <w:r w:rsidRPr="00A532BE">
        <w:rPr>
          <w:lang w:val="es-MX"/>
        </w:rPr>
        <w:t>/</w:t>
      </w:r>
      <w:r>
        <w:rPr>
          <w:lang w:val="es-MX"/>
        </w:rPr>
        <w:t>2005</w:t>
      </w:r>
      <w:r w:rsidRPr="00A532BE">
        <w:rPr>
          <w:lang w:val="es-MX"/>
        </w:rPr>
        <w:t xml:space="preserve">, </w:t>
      </w:r>
      <w:r>
        <w:rPr>
          <w:lang w:val="es-MX"/>
        </w:rPr>
        <w:t>24</w:t>
      </w:r>
      <w:r w:rsidRPr="00A532BE">
        <w:rPr>
          <w:lang w:val="es-MX"/>
        </w:rPr>
        <w:t xml:space="preserve"> de </w:t>
      </w:r>
      <w:r>
        <w:rPr>
          <w:lang w:val="es-MX"/>
        </w:rPr>
        <w:t>noviembre</w:t>
      </w:r>
      <w:r w:rsidRPr="00A532BE">
        <w:rPr>
          <w:lang w:val="es-MX"/>
        </w:rPr>
        <w:t xml:space="preserve"> de </w:t>
      </w:r>
      <w:r>
        <w:rPr>
          <w:lang w:val="es-MX"/>
        </w:rPr>
        <w:t>2005</w:t>
      </w:r>
      <w:r w:rsidRPr="00A532BE">
        <w:rPr>
          <w:lang w:val="es-MX"/>
        </w:rPr>
        <w:t xml:space="preserve">, </w:t>
      </w:r>
      <w:proofErr w:type="spellStart"/>
      <w:r w:rsidRPr="00A532BE">
        <w:rPr>
          <w:lang w:val="es-MX"/>
        </w:rPr>
        <w:t>párr</w:t>
      </w:r>
      <w:r>
        <w:rPr>
          <w:lang w:val="es-MX"/>
        </w:rPr>
        <w:t>s</w:t>
      </w:r>
      <w:proofErr w:type="spellEnd"/>
      <w:r w:rsidRPr="00A532BE">
        <w:rPr>
          <w:lang w:val="es-MX"/>
        </w:rPr>
        <w:t xml:space="preserve">. </w:t>
      </w:r>
      <w:r>
        <w:rPr>
          <w:lang w:val="es-MX"/>
        </w:rPr>
        <w:t xml:space="preserve">48 a </w:t>
      </w:r>
      <w:r w:rsidRPr="00A532BE">
        <w:rPr>
          <w:lang w:val="es-MX"/>
        </w:rPr>
        <w:t>50</w:t>
      </w:r>
      <w:r>
        <w:rPr>
          <w:lang w:val="es-MX"/>
        </w:rPr>
        <w:t xml:space="preserve"> ∞</w:t>
      </w:r>
      <w:r w:rsidRPr="00A532BE">
        <w:rPr>
          <w:lang w:val="es-MX"/>
        </w:rPr>
        <w:t>.</w:t>
      </w:r>
    </w:p>
  </w:footnote>
  <w:footnote w:id="195">
    <w:p w14:paraId="1A95FFA0" w14:textId="066B7FDA" w:rsidR="00D86616" w:rsidRPr="00E86831" w:rsidRDefault="00D86616" w:rsidP="006A2D03">
      <w:pPr>
        <w:pStyle w:val="style11"/>
        <w:shd w:val="clear" w:color="auto" w:fill="FFFFFF"/>
        <w:spacing w:before="0" w:after="0"/>
        <w:ind w:left="0"/>
        <w:contextualSpacing/>
        <w:rPr>
          <w:rFonts w:ascii="Verdana" w:hAnsi="Verdana" w:cs="Tahoma"/>
          <w:color w:val="000000"/>
          <w:sz w:val="16"/>
          <w:szCs w:val="16"/>
          <w:lang w:val="es-ES_tradnl"/>
        </w:rPr>
      </w:pPr>
      <w:r w:rsidRPr="00CF7867">
        <w:rPr>
          <w:rStyle w:val="FootnoteReference"/>
          <w:color w:val="000000"/>
          <w:sz w:val="16"/>
          <w:szCs w:val="16"/>
        </w:rPr>
        <w:footnoteRef/>
      </w:r>
      <w:r w:rsidRPr="00CF7867">
        <w:rPr>
          <w:rFonts w:ascii="Verdana" w:hAnsi="Verdana"/>
          <w:color w:val="000000"/>
          <w:sz w:val="16"/>
          <w:szCs w:val="16"/>
          <w:lang w:val="es-ES_tradnl"/>
        </w:rPr>
        <w:t xml:space="preserve"> </w:t>
      </w:r>
      <w:r w:rsidRPr="00CF7867">
        <w:rPr>
          <w:rFonts w:ascii="Verdana" w:hAnsi="Verdana"/>
          <w:color w:val="000000"/>
          <w:sz w:val="16"/>
          <w:szCs w:val="16"/>
          <w:lang w:val="es-ES_tradnl"/>
        </w:rPr>
        <w:tab/>
      </w:r>
      <w:r w:rsidRPr="00CF7867">
        <w:rPr>
          <w:rFonts w:ascii="Verdana" w:hAnsi="Verdana" w:cs="Tahoma"/>
          <w:color w:val="000000"/>
          <w:sz w:val="16"/>
          <w:szCs w:val="16"/>
          <w:lang w:val="es-ES_tradnl"/>
        </w:rPr>
        <w:t xml:space="preserve">Artículo 45 </w:t>
      </w:r>
      <w:r>
        <w:rPr>
          <w:rFonts w:ascii="Verdana" w:hAnsi="Verdana" w:cs="Tahoma"/>
          <w:color w:val="000000"/>
          <w:sz w:val="16"/>
          <w:szCs w:val="16"/>
          <w:lang w:val="es-ES_tradnl"/>
        </w:rPr>
        <w:t xml:space="preserve">de la Carta de la OEA. </w:t>
      </w:r>
      <w:r w:rsidRPr="00CF7867">
        <w:rPr>
          <w:rFonts w:ascii="Verdana" w:hAnsi="Verdana" w:cs="Tahoma"/>
          <w:color w:val="000000"/>
          <w:sz w:val="16"/>
          <w:szCs w:val="16"/>
          <w:lang w:val="es-ES_tradnl"/>
        </w:rPr>
        <w:t>-</w:t>
      </w:r>
      <w:r>
        <w:rPr>
          <w:rFonts w:ascii="Verdana" w:hAnsi="Verdana" w:cs="Tahoma"/>
          <w:color w:val="000000"/>
          <w:sz w:val="16"/>
          <w:szCs w:val="16"/>
          <w:lang w:val="es-ES_tradnl"/>
        </w:rPr>
        <w:t xml:space="preserve"> </w:t>
      </w:r>
      <w:r w:rsidRPr="00CF7867">
        <w:rPr>
          <w:rFonts w:ascii="Verdana" w:hAnsi="Verdana" w:cs="Tahoma"/>
          <w:color w:val="000000"/>
          <w:sz w:val="16"/>
          <w:szCs w:val="16"/>
          <w:lang w:val="es-ES_tradnl"/>
        </w:rPr>
        <w:t>Los Estados miembros, convencidos de que el hombre sólo puede alcanzar la plena realización de sus aspiraciones dentro de un orden social justo, acompañado de desarrollo económico y verdadera paz, convienen en dedicar sus máximos esfuerzos a la aplicación de los siguientes principios y mecanismos:</w:t>
      </w:r>
      <w:r w:rsidRPr="00CF7867">
        <w:rPr>
          <w:rFonts w:ascii="Verdana" w:hAnsi="Verdana" w:cs="Tahoma"/>
          <w:color w:val="333333"/>
          <w:sz w:val="16"/>
          <w:szCs w:val="16"/>
          <w:lang w:val="es-ES_tradnl"/>
        </w:rPr>
        <w:t xml:space="preserve"> </w:t>
      </w:r>
      <w:r>
        <w:rPr>
          <w:rFonts w:ascii="Verdana" w:hAnsi="Verdana" w:cs="Tahoma"/>
          <w:color w:val="333333"/>
          <w:sz w:val="16"/>
          <w:szCs w:val="16"/>
          <w:lang w:val="es-ES_tradnl"/>
        </w:rPr>
        <w:t xml:space="preserve">[…] </w:t>
      </w:r>
      <w:r w:rsidRPr="00CF7867">
        <w:rPr>
          <w:rFonts w:ascii="Verdana" w:hAnsi="Verdana" w:cs="Tahoma"/>
          <w:color w:val="000000"/>
          <w:sz w:val="16"/>
          <w:szCs w:val="16"/>
          <w:lang w:val="es-ES_tradnl"/>
        </w:rPr>
        <w:t>b) El trabajo es un derecho y un deber social, otorga dignidad a quien lo realiza y debe prestarse en condiciones que, incluyendo un régimen de salarios justos, aseguren la vida, la salud y un nivel económico decoroso para el trabajador y su familia, tanto en sus años de trabajo como en su vejez, o cuando cualquier circunstancia lo prive de la posibilidad de trabajar;</w:t>
      </w:r>
      <w:r>
        <w:rPr>
          <w:rFonts w:ascii="Verdana" w:hAnsi="Verdana" w:cs="Tahoma"/>
          <w:color w:val="000000"/>
          <w:sz w:val="16"/>
          <w:szCs w:val="16"/>
          <w:lang w:val="es-ES_tradnl"/>
        </w:rPr>
        <w:t xml:space="preserve"> </w:t>
      </w:r>
      <w:r w:rsidRPr="00333304">
        <w:rPr>
          <w:rFonts w:ascii="Verdana" w:hAnsi="Verdana" w:cs="Tahoma"/>
          <w:sz w:val="16"/>
          <w:szCs w:val="16"/>
          <w:lang w:val="es-ES_tradnl"/>
        </w:rPr>
        <w:t>c) Los empleadores y los trabajadores, tanto rurales como urbanos, tienen el derecho de asociarse libremente para la defensa y promoción de sus intereses, incluyendo el derecho de negociación colectiva y el de huelga por parte de los trabajadores, el reconocimiento de la personería jurídica de las asociaciones y la protección de su libertad e independencia, todo de conformidad con la legislación respectiva</w:t>
      </w:r>
      <w:r>
        <w:rPr>
          <w:rFonts w:ascii="Verdana" w:hAnsi="Verdana" w:cs="Tahoma"/>
          <w:sz w:val="16"/>
          <w:szCs w:val="16"/>
          <w:lang w:val="es-ES_tradnl"/>
        </w:rPr>
        <w:t xml:space="preserve"> […].</w:t>
      </w:r>
    </w:p>
  </w:footnote>
  <w:footnote w:id="196">
    <w:p w14:paraId="077C648A" w14:textId="0034482D" w:rsidR="00D86616" w:rsidRPr="009E6ED2" w:rsidRDefault="00D86616" w:rsidP="006A2D03">
      <w:pPr>
        <w:pStyle w:val="FootnoteText"/>
        <w:spacing w:after="0"/>
        <w:rPr>
          <w:lang w:val="es-MX"/>
        </w:rPr>
      </w:pPr>
      <w:r w:rsidRPr="0018405A">
        <w:rPr>
          <w:rStyle w:val="FootnoteReference"/>
          <w:sz w:val="16"/>
        </w:rPr>
        <w:footnoteRef/>
      </w:r>
      <w:r w:rsidRPr="009E6ED2">
        <w:rPr>
          <w:lang w:val="es-MX"/>
        </w:rPr>
        <w:t xml:space="preserve"> </w:t>
      </w:r>
      <w:r w:rsidRPr="009E6ED2">
        <w:rPr>
          <w:lang w:val="es-MX"/>
        </w:rPr>
        <w:tab/>
        <w:t>Artículo 46 de la Carta de la OEA. - Los Estados miembros reconocen que, para facilitar el proceso de la integración regional latinoamericana, es necesario armonizar la legislación social de los países en desarrollo, especialmente en el campo laboral y de la seguridad social, a fin de que los derechos de los trabajadores sean igualmente protegidos, y convienen en realizar los máximos esfuerzos para alcanzar esta finalidad.</w:t>
      </w:r>
    </w:p>
  </w:footnote>
  <w:footnote w:id="197">
    <w:p w14:paraId="4A29AA38" w14:textId="69F88D2F" w:rsidR="00D86616" w:rsidRPr="009E6ED2" w:rsidRDefault="00D86616" w:rsidP="006A2D03">
      <w:pPr>
        <w:pStyle w:val="FootnoteText"/>
        <w:spacing w:after="0"/>
        <w:rPr>
          <w:lang w:val="es-MX"/>
        </w:rPr>
      </w:pPr>
      <w:r w:rsidRPr="0018405A">
        <w:rPr>
          <w:rStyle w:val="FootnoteReference"/>
          <w:color w:val="000000"/>
          <w:sz w:val="16"/>
        </w:rPr>
        <w:footnoteRef/>
      </w:r>
      <w:r w:rsidRPr="009E6ED2">
        <w:rPr>
          <w:lang w:val="es-MX"/>
        </w:rPr>
        <w:t xml:space="preserve"> </w:t>
      </w:r>
      <w:r w:rsidRPr="009E6ED2">
        <w:rPr>
          <w:lang w:val="es-MX"/>
        </w:rPr>
        <w:tab/>
        <w:t>Artículo 34.g de la Carta de la OEA. - Los Estados miembros convienen en que la igualdad de oportunidades, la eliminación de la pobreza crítica y la distribución equitativa de la riqueza y del ingreso, así como la plena participación de sus pueblos en las decisiones relativas a su propio desarrollo, son, entre otros, objetivos básicos del desarrollo integral. Para lograrlos, convienen asimismo en dedicar sus máximos esfuerzos a la consecución de las siguientes metas básicas: […] g) Salarios justos, oportunidades de empleo y condiciones de trabajo aceptables para todos.</w:t>
      </w:r>
    </w:p>
  </w:footnote>
  <w:footnote w:id="198">
    <w:p w14:paraId="3B740700" w14:textId="101F2789" w:rsidR="00D86616" w:rsidRPr="009E6ED2" w:rsidRDefault="00D86616" w:rsidP="006A2D03">
      <w:pPr>
        <w:pStyle w:val="FootnoteText"/>
        <w:spacing w:after="0"/>
        <w:rPr>
          <w:lang w:val="es-MX"/>
        </w:rPr>
      </w:pPr>
      <w:r w:rsidRPr="0018405A">
        <w:rPr>
          <w:rStyle w:val="FootnoteReference"/>
          <w:sz w:val="16"/>
        </w:rPr>
        <w:footnoteRef/>
      </w:r>
      <w:r w:rsidRPr="009E6ED2">
        <w:rPr>
          <w:lang w:val="es-MX"/>
        </w:rPr>
        <w:t xml:space="preserve"> </w:t>
      </w:r>
      <w:r w:rsidRPr="009E6ED2">
        <w:rPr>
          <w:lang w:val="es-MX"/>
        </w:rPr>
        <w:tab/>
      </w:r>
      <w:r w:rsidRPr="00A532BE">
        <w:rPr>
          <w:i/>
          <w:lang w:val="es-MX"/>
        </w:rPr>
        <w:t>Interpretación de la Declaración Americana de los Derechos y Deberes del Hombre en el marco del artículo 64 de la Convención Americana sobre Derechos Humanos</w:t>
      </w:r>
      <w:r w:rsidRPr="009E6ED2">
        <w:rPr>
          <w:lang w:val="es-MX"/>
        </w:rPr>
        <w:t>. Opinión Consultiva OC-10/89 de 14 de julio de 1989. Serie A No. 10, párr. 43.</w:t>
      </w:r>
    </w:p>
  </w:footnote>
  <w:footnote w:id="199">
    <w:p w14:paraId="6D3D70FA" w14:textId="3FFFF4CD" w:rsidR="00D86616" w:rsidRPr="009E6ED2" w:rsidRDefault="00D86616" w:rsidP="006A2D03">
      <w:pPr>
        <w:pStyle w:val="FootnoteText"/>
        <w:spacing w:after="0"/>
        <w:rPr>
          <w:color w:val="000000"/>
          <w:lang w:val="es-MX"/>
        </w:rPr>
      </w:pPr>
      <w:r w:rsidRPr="00CF7867">
        <w:rPr>
          <w:rStyle w:val="FootnoteReference"/>
          <w:color w:val="000000"/>
        </w:rPr>
        <w:footnoteRef/>
      </w:r>
      <w:r w:rsidRPr="009E6ED2">
        <w:rPr>
          <w:color w:val="000000"/>
          <w:lang w:val="es-MX"/>
        </w:rPr>
        <w:t xml:space="preserve"> </w:t>
      </w:r>
      <w:r w:rsidRPr="009E6ED2">
        <w:rPr>
          <w:color w:val="000000"/>
          <w:lang w:val="es-MX"/>
        </w:rPr>
        <w:tab/>
      </w:r>
      <w:r w:rsidRPr="007F3588">
        <w:rPr>
          <w:i/>
          <w:lang w:val="es-MX"/>
        </w:rPr>
        <w:t>Cfr</w:t>
      </w:r>
      <w:r>
        <w:rPr>
          <w:lang w:val="es-MX"/>
        </w:rPr>
        <w:t xml:space="preserve">. </w:t>
      </w:r>
      <w:r w:rsidRPr="00A532BE">
        <w:rPr>
          <w:i/>
          <w:lang w:val="es-MX"/>
        </w:rPr>
        <w:t>OC-10/89, supra</w:t>
      </w:r>
      <w:r w:rsidRPr="009E6ED2">
        <w:rPr>
          <w:lang w:val="es-MX"/>
        </w:rPr>
        <w:t xml:space="preserve">, </w:t>
      </w:r>
      <w:proofErr w:type="spellStart"/>
      <w:r w:rsidRPr="009E6ED2">
        <w:rPr>
          <w:lang w:val="es-MX"/>
        </w:rPr>
        <w:t>párrs</w:t>
      </w:r>
      <w:proofErr w:type="spellEnd"/>
      <w:r w:rsidRPr="009E6ED2">
        <w:rPr>
          <w:lang w:val="es-MX"/>
        </w:rPr>
        <w:t>. 43 y 45.</w:t>
      </w:r>
    </w:p>
  </w:footnote>
  <w:footnote w:id="200">
    <w:p w14:paraId="692408D3" w14:textId="595F34A9" w:rsidR="00D86616" w:rsidRPr="009E6ED2" w:rsidRDefault="00D86616" w:rsidP="006A2D03">
      <w:pPr>
        <w:pStyle w:val="FootnoteText"/>
        <w:spacing w:after="0"/>
        <w:rPr>
          <w:lang w:val="es-MX"/>
        </w:rPr>
      </w:pPr>
      <w:r w:rsidRPr="0018405A">
        <w:rPr>
          <w:rStyle w:val="FootnoteReference"/>
          <w:sz w:val="16"/>
        </w:rPr>
        <w:footnoteRef/>
      </w:r>
      <w:r w:rsidRPr="009E6ED2">
        <w:rPr>
          <w:lang w:val="es-MX"/>
        </w:rPr>
        <w:t xml:space="preserve"> </w:t>
      </w:r>
      <w:r w:rsidRPr="009E6ED2">
        <w:rPr>
          <w:lang w:val="es-MX"/>
        </w:rPr>
        <w:tab/>
        <w:t>Entre las normas constitucionales de los Estados parte de la Convención Americana que refieren de alguna forma a la protección del derecho al trabajo, se encuentran: Argentina (art. 14 bis), Bolivia (art. 46 y 48), Brasil (art. 6), Colombia (art. 25), Costa Ri</w:t>
      </w:r>
      <w:r>
        <w:rPr>
          <w:lang w:val="es-MX"/>
        </w:rPr>
        <w:t xml:space="preserve">ca (art. 56), Chile (art. 19), </w:t>
      </w:r>
      <w:r w:rsidRPr="009E6ED2">
        <w:rPr>
          <w:lang w:val="es-MX"/>
        </w:rPr>
        <w:t>Ecuador (art. 33), El Salvador (art. 37 y 38), Guatemala (art. 101), Haití (art. 35), Honduras (arts. 127 y 129), México (art. 123), Nicaragua (arts. 57 y 80), Panamá (art. 64), Paraguay (art. 86), Perú (art. 2), República Dominicana (art. 62), Surinam (art. 4), y Uruguay (art.36), y Venezuela (art. 87).</w:t>
      </w:r>
    </w:p>
  </w:footnote>
  <w:footnote w:id="201">
    <w:p w14:paraId="267376F9" w14:textId="4AC6A3E5" w:rsidR="00D86616" w:rsidRDefault="00D86616" w:rsidP="006A2D03">
      <w:pPr>
        <w:tabs>
          <w:tab w:val="left" w:pos="567"/>
        </w:tabs>
        <w:contextualSpacing/>
        <w:jc w:val="both"/>
        <w:rPr>
          <w:rFonts w:ascii="Verdana" w:hAnsi="Verdana"/>
          <w:color w:val="000000"/>
          <w:sz w:val="16"/>
          <w:szCs w:val="16"/>
        </w:rPr>
      </w:pPr>
      <w:r>
        <w:rPr>
          <w:rStyle w:val="FootnoteReference"/>
          <w:color w:val="000000"/>
          <w:sz w:val="16"/>
          <w:szCs w:val="16"/>
        </w:rPr>
        <w:footnoteRef/>
      </w:r>
      <w:r>
        <w:rPr>
          <w:rFonts w:ascii="Verdana" w:hAnsi="Verdana"/>
          <w:color w:val="000000"/>
          <w:sz w:val="16"/>
          <w:szCs w:val="16"/>
        </w:rPr>
        <w:t xml:space="preserve"> </w:t>
      </w:r>
      <w:r>
        <w:rPr>
          <w:rFonts w:ascii="Verdana" w:hAnsi="Verdana" w:cs="Arial"/>
          <w:color w:val="000000"/>
          <w:sz w:val="16"/>
          <w:szCs w:val="16"/>
        </w:rPr>
        <w:tab/>
        <w:t xml:space="preserve">Artículo 6.1. Los Estados Partes en el presente Pacto reconocen el </w:t>
      </w:r>
      <w:r w:rsidRPr="00333304">
        <w:rPr>
          <w:rFonts w:ascii="Verdana" w:hAnsi="Verdana" w:cs="Arial"/>
          <w:color w:val="000000"/>
          <w:sz w:val="16"/>
          <w:szCs w:val="16"/>
        </w:rPr>
        <w:t>derecho a trabajar</w:t>
      </w:r>
      <w:r>
        <w:rPr>
          <w:rFonts w:ascii="Verdana" w:hAnsi="Verdana" w:cs="Arial"/>
          <w:color w:val="000000"/>
          <w:sz w:val="16"/>
          <w:szCs w:val="16"/>
        </w:rPr>
        <w:t>, que comprende el derecho de toda persona a tener la oportunidad de ganarse la vida mediante un trabajo libremente escogido o aceptado, y tomarán medidas adecuadas para garantizar este derecho […].</w:t>
      </w:r>
    </w:p>
  </w:footnote>
  <w:footnote w:id="202">
    <w:p w14:paraId="36A7ECA6" w14:textId="418A5E36" w:rsidR="00D86616" w:rsidRDefault="00D86616" w:rsidP="006A2D03">
      <w:pPr>
        <w:tabs>
          <w:tab w:val="left" w:pos="567"/>
        </w:tabs>
        <w:jc w:val="both"/>
        <w:rPr>
          <w:rFonts w:ascii="Verdana" w:hAnsi="Verdana"/>
          <w:sz w:val="16"/>
          <w:szCs w:val="16"/>
        </w:rPr>
      </w:pPr>
      <w:r>
        <w:rPr>
          <w:rStyle w:val="FootnoteReference"/>
          <w:sz w:val="16"/>
          <w:szCs w:val="16"/>
        </w:rPr>
        <w:footnoteRef/>
      </w:r>
      <w:r>
        <w:rPr>
          <w:rFonts w:ascii="Verdana" w:hAnsi="Verdana" w:cs="Arial"/>
          <w:sz w:val="16"/>
          <w:szCs w:val="16"/>
        </w:rPr>
        <w:t xml:space="preserve"> </w:t>
      </w:r>
      <w:r>
        <w:rPr>
          <w:rFonts w:ascii="Verdana" w:hAnsi="Verdana" w:cs="Arial"/>
          <w:sz w:val="16"/>
          <w:szCs w:val="16"/>
        </w:rPr>
        <w:tab/>
      </w:r>
      <w:r>
        <w:rPr>
          <w:rFonts w:ascii="Verdana" w:hAnsi="Verdana"/>
          <w:bCs/>
          <w:color w:val="000000"/>
          <w:sz w:val="16"/>
          <w:szCs w:val="16"/>
        </w:rPr>
        <w:t>Artículo 23</w:t>
      </w:r>
      <w:r>
        <w:rPr>
          <w:rFonts w:ascii="Verdana" w:hAnsi="Verdana" w:cs="Tahoma"/>
          <w:color w:val="000000"/>
          <w:sz w:val="16"/>
          <w:szCs w:val="16"/>
        </w:rPr>
        <w:t xml:space="preserve">. </w:t>
      </w:r>
      <w:r w:rsidRPr="00333304">
        <w:rPr>
          <w:rFonts w:ascii="Verdana" w:hAnsi="Verdana"/>
          <w:color w:val="000000"/>
          <w:sz w:val="16"/>
          <w:szCs w:val="16"/>
        </w:rPr>
        <w:t>Toda persona tiene derecho al trabajo</w:t>
      </w:r>
      <w:r w:rsidRPr="00A75D24">
        <w:rPr>
          <w:rFonts w:ascii="Verdana" w:hAnsi="Verdana"/>
          <w:color w:val="000000"/>
          <w:sz w:val="16"/>
          <w:szCs w:val="16"/>
        </w:rPr>
        <w:t>,</w:t>
      </w:r>
      <w:r>
        <w:rPr>
          <w:rFonts w:ascii="Verdana" w:hAnsi="Verdana"/>
          <w:color w:val="000000"/>
          <w:sz w:val="16"/>
          <w:szCs w:val="16"/>
        </w:rPr>
        <w:t xml:space="preserve"> a la libre elección de su trabajo, a condiciones equitativas y satisfactorias de trabajo y a la protección contra el desempleo.</w:t>
      </w:r>
      <w:r>
        <w:rPr>
          <w:rFonts w:ascii="Verdana" w:hAnsi="Verdana" w:cs="Arial"/>
          <w:sz w:val="16"/>
          <w:szCs w:val="16"/>
        </w:rPr>
        <w:t xml:space="preserve"> </w:t>
      </w:r>
      <w:r>
        <w:rPr>
          <w:rFonts w:ascii="Verdana" w:hAnsi="Verdana"/>
          <w:color w:val="000000"/>
          <w:sz w:val="16"/>
          <w:szCs w:val="16"/>
        </w:rPr>
        <w:t>Toda persona tiene derecho, sin discriminación alguna, a igual salario por trabajo igual.</w:t>
      </w:r>
      <w:r>
        <w:rPr>
          <w:rFonts w:ascii="Verdana" w:hAnsi="Verdana" w:cs="Arial"/>
          <w:sz w:val="16"/>
          <w:szCs w:val="16"/>
        </w:rPr>
        <w:t xml:space="preserve"> </w:t>
      </w:r>
      <w:r>
        <w:rPr>
          <w:rFonts w:ascii="Verdana" w:hAnsi="Verdana"/>
          <w:color w:val="000000"/>
          <w:sz w:val="16"/>
          <w:szCs w:val="16"/>
        </w:rPr>
        <w:t xml:space="preserve">Toda persona que trabaja tiene derecho a una remuneración equitativa y satisfactoria, que le asegure, así como a su familia, una existencia conforme a la dignidad humana y que será completada, en caso necesario, por cualesquiera otros medios de protección </w:t>
      </w:r>
      <w:r w:rsidRPr="00486092">
        <w:rPr>
          <w:rFonts w:ascii="Verdana" w:hAnsi="Verdana"/>
          <w:color w:val="000000"/>
          <w:sz w:val="16"/>
          <w:szCs w:val="16"/>
        </w:rPr>
        <w:t>social</w:t>
      </w:r>
      <w:r w:rsidRPr="00333304">
        <w:rPr>
          <w:rFonts w:ascii="Verdana" w:hAnsi="Verdana"/>
          <w:color w:val="000000"/>
          <w:sz w:val="16"/>
        </w:rPr>
        <w:t>.</w:t>
      </w:r>
      <w:r w:rsidRPr="00333304">
        <w:rPr>
          <w:rFonts w:ascii="Verdana" w:hAnsi="Verdana"/>
          <w:sz w:val="16"/>
        </w:rPr>
        <w:t xml:space="preserve"> </w:t>
      </w:r>
    </w:p>
  </w:footnote>
  <w:footnote w:id="203">
    <w:p w14:paraId="632E6D00" w14:textId="744D052C" w:rsidR="00D86616" w:rsidRPr="009E6ED2" w:rsidRDefault="00D86616" w:rsidP="006A2D03">
      <w:pPr>
        <w:pStyle w:val="FootnoteText"/>
        <w:spacing w:after="0"/>
        <w:rPr>
          <w:bCs/>
          <w:lang w:val="es-MX"/>
        </w:rPr>
      </w:pPr>
      <w:r>
        <w:rPr>
          <w:rStyle w:val="FootnoteReference"/>
        </w:rPr>
        <w:footnoteRef/>
      </w:r>
      <w:r w:rsidRPr="009E6ED2">
        <w:rPr>
          <w:lang w:val="es-MX"/>
        </w:rPr>
        <w:t xml:space="preserve"> </w:t>
      </w:r>
      <w:r w:rsidRPr="009E6ED2">
        <w:rPr>
          <w:lang w:val="es-MX"/>
        </w:rPr>
        <w:tab/>
      </w:r>
      <w:r w:rsidRPr="009E6ED2">
        <w:rPr>
          <w:bCs/>
          <w:lang w:val="es-MX"/>
        </w:rPr>
        <w:t xml:space="preserve">Artículo 8. </w:t>
      </w:r>
      <w:r w:rsidRPr="009E6ED2">
        <w:rPr>
          <w:lang w:val="es-MX"/>
        </w:rPr>
        <w:t xml:space="preserve">La promoción del trabajo decente, la reducción del desempleo y del subempleo y la atención a los desafíos del trabajo informal son elementos esenciales para alcanzar el desarrollo económico con equidad. El respeto de los derechos de los trabajadores, la igualdad de oportunidades en el empleo y la mejora de las condiciones de trabajo son elementos esenciales para lograr la prosperidad. La cooperación y el diálogo social entre representantes de los gobiernos, los trabajadores, empleadores y otras partes interesadas promueven una buena gestión y una economía estable. </w:t>
      </w:r>
    </w:p>
  </w:footnote>
  <w:footnote w:id="204">
    <w:p w14:paraId="07188AE5" w14:textId="3EDB6B6A" w:rsidR="00D86616" w:rsidRDefault="00D86616" w:rsidP="006A2D03">
      <w:pPr>
        <w:tabs>
          <w:tab w:val="left" w:pos="567"/>
        </w:tabs>
        <w:jc w:val="both"/>
        <w:rPr>
          <w:rFonts w:ascii="Verdana" w:hAnsi="Verdana" w:cs="Arial"/>
          <w:sz w:val="16"/>
          <w:szCs w:val="16"/>
        </w:rPr>
      </w:pPr>
      <w:r>
        <w:rPr>
          <w:rStyle w:val="FootnoteReference"/>
          <w:sz w:val="16"/>
          <w:szCs w:val="16"/>
        </w:rPr>
        <w:footnoteRef/>
      </w:r>
      <w:r>
        <w:rPr>
          <w:rFonts w:ascii="Verdana" w:hAnsi="Verdana"/>
          <w:sz w:val="16"/>
          <w:szCs w:val="16"/>
        </w:rPr>
        <w:t xml:space="preserve"> </w:t>
      </w:r>
      <w:r>
        <w:rPr>
          <w:rFonts w:ascii="Verdana" w:hAnsi="Verdana"/>
          <w:sz w:val="16"/>
          <w:szCs w:val="16"/>
        </w:rPr>
        <w:tab/>
      </w:r>
      <w:r>
        <w:rPr>
          <w:rFonts w:ascii="Verdana" w:hAnsi="Verdana" w:cs="Arial"/>
          <w:sz w:val="16"/>
          <w:szCs w:val="16"/>
        </w:rPr>
        <w:t xml:space="preserve">Artículo 6. </w:t>
      </w:r>
      <w:r w:rsidRPr="00333304">
        <w:rPr>
          <w:rFonts w:ascii="Verdana" w:hAnsi="Verdana" w:cs="Arial"/>
          <w:sz w:val="16"/>
          <w:szCs w:val="16"/>
        </w:rPr>
        <w:t>Toda persona tiene derecho al trabajo</w:t>
      </w:r>
      <w:r w:rsidRPr="00A75D24">
        <w:rPr>
          <w:rFonts w:ascii="Verdana" w:hAnsi="Verdana" w:cs="Arial"/>
          <w:sz w:val="16"/>
          <w:szCs w:val="16"/>
        </w:rPr>
        <w:t>,</w:t>
      </w:r>
      <w:r>
        <w:rPr>
          <w:rFonts w:ascii="Verdana" w:hAnsi="Verdana" w:cs="Arial"/>
          <w:sz w:val="16"/>
          <w:szCs w:val="16"/>
        </w:rPr>
        <w:t xml:space="preserve"> el cual incluye la oportunidad de obtener los medios para llevar una vida digna y decorosa a través del desempeño de una actividad lícita libremente escogida o aceptada. Los Estados partes se comprometen a adoptar las medidas que garanticen plena efectividad al derecho al trabajo, en especial las referidas al logro del pleno empleo, a la orientación vocacional y al desarrollo de proyectos de capacitación técnico-profesional, particularmente aquellos destinados a los minusválidos […].</w:t>
      </w:r>
    </w:p>
    <w:p w14:paraId="53952A43" w14:textId="02B4A76A" w:rsidR="00D86616" w:rsidRPr="009E6ED2" w:rsidRDefault="00D86616" w:rsidP="006A2D03">
      <w:pPr>
        <w:pStyle w:val="FootnoteText"/>
        <w:spacing w:after="0"/>
        <w:rPr>
          <w:lang w:val="es-MX"/>
        </w:rPr>
      </w:pPr>
      <w:r w:rsidRPr="009E6ED2">
        <w:rPr>
          <w:lang w:val="es-MX"/>
        </w:rPr>
        <w:t>Artículo 7. Condiciones Justas, Equitativas y Satisfactorias de Trabajo - Los Estados partes en el presente Protocolo reconocen que el derecho al trabajo al que se refiere el artículo anterior, supone que toda persona goce del mismo en condiciones justas, equitativas y satisfactorias, para lo cual dichos Estados garantizarán en sus legislaciones nacionales, de manera particular: trabajo para lo cual se tendrán en cuenta sus calificaciones, competencia, probidad y tiempo de servicio; d. la estabilidad de los trabajadores en sus empleos, de acuerdo con las características de las industrias y profesiones y con las causas de justa separación. En casos de despido injustificado, el trabajador tendrá derecho a una indemnización o a la readmisión en el empleo o a cualquier otra prestación prevista por la legislación nacional […].</w:t>
      </w:r>
    </w:p>
  </w:footnote>
  <w:footnote w:id="205">
    <w:p w14:paraId="1C833996" w14:textId="4B02D327" w:rsidR="00D86616" w:rsidRDefault="00D86616" w:rsidP="006A2D03">
      <w:pPr>
        <w:tabs>
          <w:tab w:val="left" w:pos="567"/>
        </w:tabs>
        <w:jc w:val="both"/>
        <w:rPr>
          <w:rFonts w:ascii="Verdana" w:hAnsi="Verdana"/>
          <w:sz w:val="16"/>
          <w:szCs w:val="16"/>
        </w:rPr>
      </w:pPr>
      <w:r>
        <w:rPr>
          <w:rStyle w:val="FootnoteReference"/>
          <w:sz w:val="16"/>
          <w:szCs w:val="16"/>
        </w:rPr>
        <w:footnoteRef/>
      </w:r>
      <w:r>
        <w:rPr>
          <w:rFonts w:ascii="Verdana" w:hAnsi="Verdana"/>
          <w:sz w:val="16"/>
          <w:szCs w:val="16"/>
        </w:rPr>
        <w:t xml:space="preserve"> </w:t>
      </w:r>
      <w:r>
        <w:rPr>
          <w:rFonts w:ascii="Verdana" w:hAnsi="Verdana"/>
          <w:sz w:val="16"/>
          <w:szCs w:val="16"/>
        </w:rPr>
        <w:tab/>
      </w:r>
      <w:r>
        <w:rPr>
          <w:rFonts w:ascii="Verdana" w:hAnsi="Verdana"/>
          <w:bCs/>
          <w:color w:val="000000"/>
          <w:sz w:val="16"/>
          <w:szCs w:val="16"/>
        </w:rPr>
        <w:t xml:space="preserve">Artículo 11. </w:t>
      </w:r>
      <w:r>
        <w:rPr>
          <w:rFonts w:ascii="Verdana" w:hAnsi="Verdana"/>
          <w:color w:val="000000"/>
          <w:sz w:val="16"/>
          <w:szCs w:val="16"/>
        </w:rPr>
        <w:t>1. Los Estados Partes adoptarán todas las medidas apropiadas para eliminar la discriminación contra la mujer en la esfera del empleo a fin de asegurar, en condiciones de igualdad entre hombres y mujeres, los mismos derechos […]</w:t>
      </w:r>
      <w:r>
        <w:rPr>
          <w:rFonts w:ascii="Verdana" w:hAnsi="Verdana"/>
          <w:sz w:val="16"/>
          <w:szCs w:val="16"/>
        </w:rPr>
        <w:t>.</w:t>
      </w:r>
    </w:p>
  </w:footnote>
  <w:footnote w:id="206">
    <w:p w14:paraId="714502E2" w14:textId="1E81DC11" w:rsidR="00D86616" w:rsidRDefault="00D86616" w:rsidP="006A2D03">
      <w:pPr>
        <w:tabs>
          <w:tab w:val="left" w:pos="567"/>
        </w:tabs>
        <w:jc w:val="both"/>
        <w:rPr>
          <w:rFonts w:ascii="Verdana" w:hAnsi="Verdana"/>
          <w:sz w:val="16"/>
          <w:szCs w:val="16"/>
        </w:rPr>
      </w:pPr>
      <w:r>
        <w:rPr>
          <w:rStyle w:val="FootnoteReference"/>
          <w:sz w:val="16"/>
          <w:szCs w:val="16"/>
        </w:rPr>
        <w:footnoteRef/>
      </w:r>
      <w:r>
        <w:rPr>
          <w:rFonts w:ascii="Verdana" w:hAnsi="Verdana"/>
          <w:sz w:val="16"/>
          <w:szCs w:val="16"/>
        </w:rPr>
        <w:t xml:space="preserve"> </w:t>
      </w:r>
      <w:r>
        <w:rPr>
          <w:rFonts w:ascii="Verdana" w:hAnsi="Verdana"/>
          <w:sz w:val="16"/>
          <w:szCs w:val="16"/>
        </w:rPr>
        <w:tab/>
        <w:t xml:space="preserve">Artículo 32. </w:t>
      </w:r>
      <w:r w:rsidRPr="0015292E">
        <w:rPr>
          <w:rFonts w:ascii="Verdana" w:hAnsi="Verdana"/>
          <w:sz w:val="16"/>
          <w:szCs w:val="16"/>
        </w:rPr>
        <w:t xml:space="preserve">[…] </w:t>
      </w:r>
      <w:r>
        <w:rPr>
          <w:rFonts w:ascii="Verdana" w:hAnsi="Verdana"/>
          <w:sz w:val="16"/>
          <w:szCs w:val="16"/>
        </w:rPr>
        <w:t>2. Los Estados Partes adoptarán medidas legislativas, administrativas, sociales y educacionales para garantizar la aplicación del presente artículo. Con ese propósito y teniendo en cuenta las disposiciones pertinentes de otros instrumentos internacionales, los Estados Partes, en particular: a) Fijarán una edad o edades mínimas para trabajar; b) Dispondrán la reglamentación apropiada de los horarios y condiciones de trabajo; c) Estipularán las penalidades u otras sanciones apropiadas para asegurar la aplicación efectiva del presente artículo.</w:t>
      </w:r>
    </w:p>
  </w:footnote>
  <w:footnote w:id="207">
    <w:p w14:paraId="7F8C9EAB" w14:textId="2B7C8B0E" w:rsidR="00D86616" w:rsidRPr="009E6ED2" w:rsidRDefault="00D86616" w:rsidP="006A2D03">
      <w:pPr>
        <w:pStyle w:val="FootnoteText"/>
        <w:spacing w:after="0"/>
        <w:rPr>
          <w:lang w:val="es-MX"/>
        </w:rPr>
      </w:pPr>
      <w:r w:rsidRPr="0018405A">
        <w:rPr>
          <w:rStyle w:val="FootnoteReference"/>
          <w:sz w:val="16"/>
        </w:rPr>
        <w:footnoteRef/>
      </w:r>
      <w:r w:rsidRPr="009E6ED2">
        <w:rPr>
          <w:lang w:val="es-MX"/>
        </w:rPr>
        <w:t xml:space="preserve"> </w:t>
      </w:r>
      <w:r w:rsidRPr="009E6ED2">
        <w:rPr>
          <w:lang w:val="es-MX"/>
        </w:rPr>
        <w:tab/>
        <w:t>Artículo 1. Derecho al trabajo. Para garantizar el ejercicio efectivo del derecho al trabajo, las Partes Contratantes se comprometen: 1. A reconocer como uno de sus principales objetivos y responsabilidades la obtención y el mantenimiento de un nivel lo más elevado y estable posible del empleo, con el fin de lograr el pleno empleo. 2. A proteger de manera eficaz el derecho del trabajador a ganarse la vida mediante un trabajo libremente elegido. 3. A establecer o mantener servicios gratuitos de empleo para todos los trabajadores. 4. A proporcionar o promover una orientación, formación y readaptación profesionales adecuadas.</w:t>
      </w:r>
    </w:p>
  </w:footnote>
  <w:footnote w:id="208">
    <w:p w14:paraId="50B00F04" w14:textId="72B630FE" w:rsidR="00D86616" w:rsidRPr="009E6ED2" w:rsidRDefault="00D86616" w:rsidP="006A2D03">
      <w:pPr>
        <w:pStyle w:val="FootnoteText"/>
        <w:spacing w:after="0"/>
        <w:rPr>
          <w:lang w:val="es-MX"/>
        </w:rPr>
      </w:pPr>
      <w:r w:rsidRPr="0018405A">
        <w:rPr>
          <w:rStyle w:val="FootnoteReference"/>
          <w:sz w:val="16"/>
        </w:rPr>
        <w:footnoteRef/>
      </w:r>
      <w:r w:rsidRPr="009E6ED2">
        <w:rPr>
          <w:lang w:val="es-MX"/>
        </w:rPr>
        <w:t xml:space="preserve"> </w:t>
      </w:r>
      <w:r w:rsidRPr="009E6ED2">
        <w:rPr>
          <w:lang w:val="es-MX"/>
        </w:rPr>
        <w:tab/>
        <w:t>Artículo 15. Todo individuo tendrá derecho a trabajar en condiciones justas y satisfactorias, y recibirá igual paga por igual trabajo.</w:t>
      </w:r>
    </w:p>
  </w:footnote>
  <w:footnote w:id="209">
    <w:p w14:paraId="0D3CE0E7" w14:textId="0EC82046" w:rsidR="00D86616" w:rsidRPr="004C3F47" w:rsidRDefault="00D86616" w:rsidP="006A2D03">
      <w:pPr>
        <w:widowControl w:val="0"/>
        <w:autoSpaceDE w:val="0"/>
        <w:autoSpaceDN w:val="0"/>
        <w:adjustRightInd w:val="0"/>
        <w:contextualSpacing/>
        <w:jc w:val="both"/>
        <w:rPr>
          <w:rFonts w:ascii="Verdana" w:hAnsi="Verdana" w:cs="Times"/>
          <w:sz w:val="16"/>
          <w:szCs w:val="16"/>
        </w:rPr>
      </w:pPr>
      <w:r w:rsidRPr="00CF7867">
        <w:rPr>
          <w:rStyle w:val="FootnoteReference"/>
          <w:sz w:val="16"/>
          <w:szCs w:val="16"/>
        </w:rPr>
        <w:footnoteRef/>
      </w:r>
      <w:r w:rsidRPr="00CF7867">
        <w:rPr>
          <w:rFonts w:ascii="Verdana" w:hAnsi="Verdana"/>
          <w:sz w:val="16"/>
          <w:szCs w:val="16"/>
        </w:rPr>
        <w:t xml:space="preserve"> </w:t>
      </w:r>
      <w:r w:rsidRPr="00CF7867">
        <w:rPr>
          <w:rFonts w:ascii="Verdana" w:hAnsi="Verdana"/>
          <w:sz w:val="16"/>
          <w:szCs w:val="16"/>
        </w:rPr>
        <w:tab/>
      </w:r>
      <w:r w:rsidRPr="00F77B70">
        <w:rPr>
          <w:rFonts w:ascii="Verdana" w:hAnsi="Verdana" w:cs="Times"/>
          <w:i/>
          <w:color w:val="1A1718"/>
          <w:sz w:val="16"/>
          <w:szCs w:val="16"/>
        </w:rPr>
        <w:t>Cfr.</w:t>
      </w:r>
      <w:r w:rsidRPr="00333304">
        <w:rPr>
          <w:rFonts w:ascii="Verdana" w:hAnsi="Verdana" w:cs="Times"/>
          <w:i/>
          <w:color w:val="1A1718"/>
          <w:sz w:val="16"/>
          <w:szCs w:val="16"/>
        </w:rPr>
        <w:t xml:space="preserve"> </w:t>
      </w:r>
      <w:r w:rsidRPr="0075627E">
        <w:rPr>
          <w:rFonts w:ascii="Verdana" w:hAnsi="Verdana" w:cs="Times"/>
          <w:i/>
          <w:color w:val="1A1718"/>
          <w:sz w:val="16"/>
          <w:szCs w:val="16"/>
        </w:rPr>
        <w:t>La Colegiaci</w:t>
      </w:r>
      <w:r w:rsidRPr="00B53BD8">
        <w:rPr>
          <w:rFonts w:ascii="Verdana" w:hAnsi="Verdana" w:cs="Times"/>
          <w:i/>
          <w:color w:val="1A1718"/>
          <w:sz w:val="16"/>
          <w:szCs w:val="16"/>
        </w:rPr>
        <w:t xml:space="preserve">ón Obligatoria de Periodistas (arts. 13 y 29 Convención Americana sobre Derechos Humanos), </w:t>
      </w:r>
      <w:r w:rsidRPr="00333304">
        <w:rPr>
          <w:rFonts w:ascii="Verdana" w:hAnsi="Verdana" w:cs="Times"/>
          <w:i/>
          <w:color w:val="1A1718"/>
          <w:sz w:val="16"/>
          <w:szCs w:val="16"/>
        </w:rPr>
        <w:t>OC-5/85</w:t>
      </w:r>
      <w:r w:rsidRPr="0075627E">
        <w:rPr>
          <w:rFonts w:ascii="Verdana" w:hAnsi="Verdana" w:cs="Times"/>
          <w:i/>
          <w:color w:val="1A1718"/>
          <w:sz w:val="16"/>
          <w:szCs w:val="16"/>
        </w:rPr>
        <w:t xml:space="preserve">, </w:t>
      </w:r>
      <w:r w:rsidRPr="002F31BD">
        <w:rPr>
          <w:rFonts w:ascii="Verdana" w:hAnsi="Verdana" w:cs="Times"/>
          <w:i/>
          <w:color w:val="1A1718"/>
          <w:sz w:val="16"/>
          <w:szCs w:val="16"/>
        </w:rPr>
        <w:t>supra</w:t>
      </w:r>
      <w:r w:rsidRPr="00333304">
        <w:rPr>
          <w:rFonts w:ascii="Verdana" w:hAnsi="Verdana" w:cs="Times"/>
          <w:i/>
          <w:color w:val="1A1718"/>
          <w:sz w:val="16"/>
          <w:szCs w:val="16"/>
        </w:rPr>
        <w:t xml:space="preserve">, </w:t>
      </w:r>
      <w:proofErr w:type="spellStart"/>
      <w:r w:rsidRPr="000B0EBE">
        <w:rPr>
          <w:rFonts w:ascii="Verdana" w:hAnsi="Verdana" w:cs="Times"/>
          <w:color w:val="1A1718"/>
          <w:sz w:val="16"/>
          <w:szCs w:val="16"/>
        </w:rPr>
        <w:t>párrs</w:t>
      </w:r>
      <w:proofErr w:type="spellEnd"/>
      <w:r w:rsidRPr="000B0EBE">
        <w:rPr>
          <w:rFonts w:ascii="Verdana" w:hAnsi="Verdana" w:cs="Times"/>
          <w:color w:val="1A1718"/>
          <w:sz w:val="16"/>
          <w:szCs w:val="16"/>
        </w:rPr>
        <w:t>. 51 y 52</w:t>
      </w:r>
      <w:r>
        <w:rPr>
          <w:rFonts w:ascii="Verdana" w:hAnsi="Verdana" w:cs="Times"/>
          <w:color w:val="1A1718"/>
          <w:sz w:val="16"/>
          <w:szCs w:val="16"/>
        </w:rPr>
        <w:t xml:space="preserve">; </w:t>
      </w:r>
      <w:r w:rsidRPr="00333304">
        <w:rPr>
          <w:rFonts w:ascii="Verdana" w:hAnsi="Verdana" w:cs="Times"/>
          <w:i/>
          <w:color w:val="1A1718"/>
          <w:sz w:val="16"/>
          <w:szCs w:val="16"/>
        </w:rPr>
        <w:t>Condición jurídica y derechos de los migrantes indocumentado</w:t>
      </w:r>
      <w:r w:rsidRPr="00A75D24">
        <w:rPr>
          <w:rFonts w:ascii="Verdana" w:hAnsi="Verdana" w:cs="Times"/>
          <w:color w:val="1A1718"/>
          <w:sz w:val="16"/>
          <w:szCs w:val="16"/>
        </w:rPr>
        <w:t>s</w:t>
      </w:r>
      <w:r>
        <w:rPr>
          <w:rFonts w:ascii="Verdana" w:hAnsi="Verdana" w:cs="Times"/>
          <w:color w:val="1A1718"/>
          <w:sz w:val="16"/>
          <w:szCs w:val="16"/>
        </w:rPr>
        <w:t xml:space="preserve">, </w:t>
      </w:r>
      <w:r w:rsidRPr="00333304">
        <w:rPr>
          <w:rFonts w:ascii="Verdana" w:hAnsi="Verdana"/>
          <w:i/>
          <w:color w:val="1A1718"/>
          <w:sz w:val="16"/>
        </w:rPr>
        <w:t>OC-18/2003</w:t>
      </w:r>
      <w:r>
        <w:rPr>
          <w:rFonts w:ascii="Verdana" w:hAnsi="Verdana" w:cs="Times"/>
          <w:color w:val="1A1718"/>
          <w:sz w:val="16"/>
          <w:szCs w:val="16"/>
        </w:rPr>
        <w:t xml:space="preserve"> de 17 de septiembre de 2003. Serie A No. 18</w:t>
      </w:r>
      <w:r w:rsidRPr="00CF7867">
        <w:rPr>
          <w:rFonts w:ascii="Verdana" w:hAnsi="Verdana" w:cs="Times"/>
          <w:color w:val="1A1718"/>
          <w:sz w:val="16"/>
          <w:szCs w:val="16"/>
        </w:rPr>
        <w:t>, párr</w:t>
      </w:r>
      <w:r>
        <w:rPr>
          <w:rFonts w:ascii="Verdana" w:hAnsi="Verdana" w:cs="Times"/>
          <w:color w:val="1A1718"/>
          <w:sz w:val="16"/>
          <w:szCs w:val="16"/>
        </w:rPr>
        <w:t>.</w:t>
      </w:r>
      <w:r w:rsidRPr="00CF7867">
        <w:rPr>
          <w:rFonts w:ascii="Verdana" w:hAnsi="Verdana" w:cs="Times"/>
          <w:color w:val="1A1718"/>
          <w:sz w:val="16"/>
          <w:szCs w:val="16"/>
        </w:rPr>
        <w:t xml:space="preserve"> 155. </w:t>
      </w:r>
      <w:r w:rsidRPr="00CF7867">
        <w:rPr>
          <w:rFonts w:ascii="Verdana" w:hAnsi="Verdana" w:cs="Times"/>
          <w:sz w:val="16"/>
          <w:szCs w:val="16"/>
        </w:rPr>
        <w:t>“</w:t>
      </w:r>
      <w:r w:rsidRPr="00CF7867">
        <w:rPr>
          <w:rFonts w:ascii="Verdana" w:hAnsi="Verdana" w:cs="Times"/>
          <w:color w:val="1A1718"/>
          <w:sz w:val="16"/>
          <w:szCs w:val="16"/>
        </w:rPr>
        <w:t xml:space="preserve">En </w:t>
      </w:r>
      <w:r w:rsidRPr="004C3F47">
        <w:rPr>
          <w:rFonts w:ascii="Verdana" w:hAnsi="Verdana" w:cs="Times"/>
          <w:color w:val="1A1718"/>
          <w:sz w:val="16"/>
          <w:szCs w:val="16"/>
        </w:rPr>
        <w:t>cuanto al alcance de los derechos laborales, amén de identificar un grupo de derechos que asumen una importancia central para los trabajadores migrantes,</w:t>
      </w:r>
      <w:r w:rsidRPr="004C3F47">
        <w:rPr>
          <w:rFonts w:ascii="Verdana" w:hAnsi="Verdana" w:cs="Times"/>
          <w:color w:val="1A1718"/>
          <w:position w:val="8"/>
          <w:sz w:val="16"/>
          <w:szCs w:val="16"/>
        </w:rPr>
        <w:t xml:space="preserve"> </w:t>
      </w:r>
      <w:r w:rsidRPr="004C3F47">
        <w:rPr>
          <w:rFonts w:ascii="Verdana" w:hAnsi="Verdana" w:cs="Times"/>
          <w:color w:val="1A1718"/>
          <w:sz w:val="16"/>
          <w:szCs w:val="16"/>
        </w:rPr>
        <w:t xml:space="preserve">la Corte aplico el principio </w:t>
      </w:r>
      <w:proofErr w:type="spellStart"/>
      <w:r w:rsidRPr="004C3F47">
        <w:rPr>
          <w:rFonts w:ascii="Verdana" w:hAnsi="Verdana" w:cs="Times"/>
          <w:i/>
          <w:iCs/>
          <w:color w:val="1A1718"/>
          <w:sz w:val="16"/>
          <w:szCs w:val="16"/>
        </w:rPr>
        <w:t>pro</w:t>
      </w:r>
      <w:proofErr w:type="spellEnd"/>
      <w:r w:rsidRPr="004C3F47">
        <w:rPr>
          <w:rFonts w:ascii="Verdana" w:hAnsi="Verdana" w:cs="Times"/>
          <w:i/>
          <w:iCs/>
          <w:color w:val="1A1718"/>
          <w:sz w:val="16"/>
          <w:szCs w:val="16"/>
        </w:rPr>
        <w:t xml:space="preserve"> </w:t>
      </w:r>
      <w:r>
        <w:rPr>
          <w:rFonts w:ascii="Verdana" w:hAnsi="Verdana" w:cs="Times"/>
          <w:i/>
          <w:iCs/>
          <w:color w:val="1A1718"/>
          <w:sz w:val="16"/>
          <w:szCs w:val="16"/>
        </w:rPr>
        <w:t>persona</w:t>
      </w:r>
      <w:r w:rsidRPr="004C3F47">
        <w:rPr>
          <w:rFonts w:ascii="Verdana" w:hAnsi="Verdana" w:cs="Times"/>
          <w:color w:val="1A1718"/>
          <w:sz w:val="16"/>
          <w:szCs w:val="16"/>
        </w:rPr>
        <w:t>, señalando que en caso de existir varios instrumentos que regulen la misma situación, ha de preferirse el instrumento interno o internacional que mejor proteja al trabajador”</w:t>
      </w:r>
      <w:r>
        <w:rPr>
          <w:rFonts w:ascii="Verdana" w:hAnsi="Verdana" w:cs="Times"/>
          <w:color w:val="1A1718"/>
          <w:sz w:val="16"/>
          <w:szCs w:val="16"/>
        </w:rPr>
        <w:t>.</w:t>
      </w:r>
    </w:p>
  </w:footnote>
  <w:footnote w:id="210">
    <w:p w14:paraId="738CA63A" w14:textId="10A947BE" w:rsidR="00D86616" w:rsidRPr="009E6ED2" w:rsidRDefault="00D86616" w:rsidP="006A2D03">
      <w:pPr>
        <w:pStyle w:val="FootnoteText"/>
        <w:spacing w:after="0"/>
        <w:rPr>
          <w:lang w:val="es-MX"/>
        </w:rPr>
      </w:pPr>
      <w:r w:rsidRPr="00363DED">
        <w:rPr>
          <w:rStyle w:val="FootnoteReference"/>
          <w:sz w:val="16"/>
        </w:rPr>
        <w:footnoteRef/>
      </w:r>
      <w:r w:rsidRPr="009E6ED2">
        <w:rPr>
          <w:lang w:val="es-MX"/>
        </w:rPr>
        <w:t xml:space="preserve"> </w:t>
      </w:r>
      <w:r w:rsidRPr="009E6ED2">
        <w:rPr>
          <w:lang w:val="es-MX"/>
        </w:rPr>
        <w:tab/>
      </w:r>
      <w:r w:rsidRPr="007F3588">
        <w:rPr>
          <w:i/>
          <w:lang w:val="es-MX"/>
        </w:rPr>
        <w:t>Cfr. Caso Baena Ricardo y otros Vs. Panamá. Fondo, Reparaciones y Costas.</w:t>
      </w:r>
      <w:r w:rsidRPr="009E6ED2">
        <w:rPr>
          <w:lang w:val="es-MX"/>
        </w:rPr>
        <w:t xml:space="preserve"> Sentencia de 2 de febrero de 2001. Serie C No. 72, párr. 134.</w:t>
      </w:r>
    </w:p>
  </w:footnote>
  <w:footnote w:id="211">
    <w:p w14:paraId="75D1F4A1" w14:textId="408801CF" w:rsidR="00D86616" w:rsidRPr="009E6ED2" w:rsidRDefault="00D86616" w:rsidP="006A2D03">
      <w:pPr>
        <w:pStyle w:val="FootnoteText"/>
        <w:spacing w:after="0"/>
        <w:rPr>
          <w:lang w:val="es-MX"/>
        </w:rPr>
      </w:pPr>
      <w:r w:rsidRPr="00363DED">
        <w:rPr>
          <w:rStyle w:val="FootnoteReference"/>
          <w:color w:val="000000"/>
          <w:sz w:val="16"/>
        </w:rPr>
        <w:footnoteRef/>
      </w:r>
      <w:r w:rsidRPr="009E6ED2">
        <w:rPr>
          <w:lang w:val="es-MX"/>
        </w:rPr>
        <w:t xml:space="preserve"> </w:t>
      </w:r>
      <w:r w:rsidRPr="009E6ED2">
        <w:rPr>
          <w:lang w:val="es-MX"/>
        </w:rPr>
        <w:tab/>
        <w:t xml:space="preserve">ONU. Comité de Derechos Económicos, Sociales y Culturales, </w:t>
      </w:r>
      <w:r w:rsidRPr="009E6ED2">
        <w:rPr>
          <w:i/>
          <w:lang w:val="es-MX"/>
        </w:rPr>
        <w:t>Observación General N</w:t>
      </w:r>
      <w:r w:rsidRPr="009E6ED2">
        <w:rPr>
          <w:i/>
          <w:vertAlign w:val="superscript"/>
          <w:lang w:val="es-MX"/>
        </w:rPr>
        <w:t xml:space="preserve">o </w:t>
      </w:r>
      <w:r w:rsidRPr="009E6ED2">
        <w:rPr>
          <w:i/>
          <w:lang w:val="es-MX"/>
        </w:rPr>
        <w:t>18: El derecho al Trabajo</w:t>
      </w:r>
      <w:r w:rsidRPr="009E6ED2">
        <w:rPr>
          <w:lang w:val="es-MX"/>
        </w:rPr>
        <w:t>, U.N. Doc. E/C.12/GC/18, 24 de noviembre de 2005.</w:t>
      </w:r>
    </w:p>
  </w:footnote>
  <w:footnote w:id="212">
    <w:p w14:paraId="12A2C48B" w14:textId="44AEC717" w:rsidR="00D86616" w:rsidRPr="009E6ED2" w:rsidRDefault="00D86616" w:rsidP="006A2D03">
      <w:pPr>
        <w:pStyle w:val="FootnoteText"/>
        <w:spacing w:after="0"/>
        <w:rPr>
          <w:lang w:val="es-MX"/>
        </w:rPr>
      </w:pPr>
      <w:r w:rsidRPr="00363DED">
        <w:rPr>
          <w:rStyle w:val="FootnoteReference"/>
          <w:color w:val="000000"/>
          <w:sz w:val="16"/>
        </w:rPr>
        <w:footnoteRef/>
      </w:r>
      <w:r w:rsidRPr="009E6ED2">
        <w:rPr>
          <w:lang w:val="es-MX"/>
        </w:rPr>
        <w:t xml:space="preserve"> </w:t>
      </w:r>
      <w:r w:rsidRPr="009E6ED2">
        <w:rPr>
          <w:lang w:val="es-MX"/>
        </w:rPr>
        <w:tab/>
        <w:t xml:space="preserve">ONU. Comité de Derechos Económicos, Sociales y Culturales, </w:t>
      </w:r>
      <w:r w:rsidRPr="009E6ED2">
        <w:rPr>
          <w:i/>
          <w:lang w:val="es-MX"/>
        </w:rPr>
        <w:t>Observación General N</w:t>
      </w:r>
      <w:r w:rsidRPr="009E6ED2">
        <w:rPr>
          <w:i/>
          <w:vertAlign w:val="superscript"/>
          <w:lang w:val="es-MX"/>
        </w:rPr>
        <w:t>o</w:t>
      </w:r>
      <w:r w:rsidRPr="009E6ED2">
        <w:rPr>
          <w:i/>
          <w:lang w:val="es-MX"/>
        </w:rPr>
        <w:t>18: El derecho al Trabajo, supra.</w:t>
      </w:r>
    </w:p>
  </w:footnote>
  <w:footnote w:id="213">
    <w:p w14:paraId="095ACC4F" w14:textId="34742F95" w:rsidR="00D86616" w:rsidRPr="009E6ED2" w:rsidRDefault="00D86616" w:rsidP="006A2D03">
      <w:pPr>
        <w:pStyle w:val="FootnoteText"/>
        <w:spacing w:after="0"/>
        <w:rPr>
          <w:i/>
          <w:lang w:val="es-MX"/>
        </w:rPr>
      </w:pPr>
      <w:r w:rsidRPr="00363DED">
        <w:rPr>
          <w:rStyle w:val="FootnoteReference"/>
          <w:color w:val="000000"/>
          <w:sz w:val="16"/>
        </w:rPr>
        <w:footnoteRef/>
      </w:r>
      <w:r w:rsidRPr="009E6ED2">
        <w:rPr>
          <w:lang w:val="es-MX"/>
        </w:rPr>
        <w:t xml:space="preserve"> </w:t>
      </w:r>
      <w:r w:rsidRPr="009E6ED2">
        <w:rPr>
          <w:lang w:val="es-MX"/>
        </w:rPr>
        <w:tab/>
        <w:t>OIT. Convenio sobre la terminación de la relación de trabajo por iniciativa del empleador</w:t>
      </w:r>
      <w:r>
        <w:rPr>
          <w:lang w:val="es-MX"/>
        </w:rPr>
        <w:t>.</w:t>
      </w:r>
      <w:r w:rsidRPr="009E6ED2">
        <w:rPr>
          <w:lang w:val="es-MX"/>
        </w:rPr>
        <w:t xml:space="preserve"> No. 158, 23 noviembre 1985. Cabe señalar que, tal como lo señaló el Estado peruano, el Convenio No. 158 no ha sido ratificada por Perú.</w:t>
      </w:r>
    </w:p>
  </w:footnote>
  <w:footnote w:id="214">
    <w:p w14:paraId="7B5CB4EF" w14:textId="42DA55C3" w:rsidR="00D86616" w:rsidRPr="004C3F47" w:rsidRDefault="00D86616" w:rsidP="006A2D03">
      <w:pPr>
        <w:shd w:val="clear" w:color="auto" w:fill="FFFFFF"/>
        <w:contextualSpacing/>
        <w:jc w:val="both"/>
        <w:rPr>
          <w:rFonts w:ascii="Verdana" w:eastAsia="Times New Roman" w:hAnsi="Verdana" w:cs="Arial"/>
          <w:color w:val="000000"/>
          <w:sz w:val="16"/>
          <w:szCs w:val="16"/>
          <w:lang w:eastAsia="es-MX"/>
        </w:rPr>
      </w:pPr>
      <w:r w:rsidRPr="004C3F47">
        <w:rPr>
          <w:rStyle w:val="FootnoteReference"/>
          <w:color w:val="000000"/>
          <w:sz w:val="16"/>
          <w:szCs w:val="16"/>
        </w:rPr>
        <w:footnoteRef/>
      </w:r>
      <w:r w:rsidRPr="004C3F47">
        <w:rPr>
          <w:rFonts w:ascii="Verdana" w:hAnsi="Verdana"/>
          <w:color w:val="000000"/>
          <w:sz w:val="16"/>
          <w:szCs w:val="16"/>
        </w:rPr>
        <w:t xml:space="preserve"> </w:t>
      </w:r>
      <w:r w:rsidRPr="004C3F47">
        <w:rPr>
          <w:rFonts w:ascii="Verdana" w:hAnsi="Verdana"/>
          <w:color w:val="000000"/>
          <w:sz w:val="16"/>
          <w:szCs w:val="16"/>
        </w:rPr>
        <w:tab/>
      </w:r>
      <w:r w:rsidRPr="004C3F47">
        <w:rPr>
          <w:rFonts w:ascii="Verdana" w:eastAsia="Times New Roman" w:hAnsi="Verdana" w:cs="Arial"/>
          <w:color w:val="000000"/>
          <w:sz w:val="16"/>
          <w:szCs w:val="16"/>
          <w:lang w:eastAsia="es-MX"/>
        </w:rPr>
        <w:t xml:space="preserve">Artículo 4 </w:t>
      </w:r>
      <w:r>
        <w:rPr>
          <w:rFonts w:ascii="Verdana" w:eastAsia="Times New Roman" w:hAnsi="Verdana" w:cs="Arial"/>
          <w:color w:val="000000"/>
          <w:sz w:val="16"/>
          <w:szCs w:val="16"/>
          <w:lang w:eastAsia="es-MX"/>
        </w:rPr>
        <w:t xml:space="preserve">del Convenio No. 158 </w:t>
      </w:r>
      <w:r w:rsidRPr="004C3F47">
        <w:rPr>
          <w:rFonts w:ascii="Verdana" w:eastAsia="Times New Roman" w:hAnsi="Verdana" w:cs="Arial"/>
          <w:color w:val="000000"/>
          <w:sz w:val="16"/>
          <w:szCs w:val="16"/>
          <w:lang w:eastAsia="es-MX"/>
        </w:rPr>
        <w:t>- No se pondrá término a la relación de trabajo de un trabajador a menos que exista para ello una causa justificada relacionada con su capacidad o su conducta o basada en las necesidades de funcionamiento de la empresa, establecimiento o servicio.</w:t>
      </w:r>
    </w:p>
  </w:footnote>
  <w:footnote w:id="215">
    <w:p w14:paraId="2E96248B" w14:textId="206E7AF1" w:rsidR="00D86616" w:rsidRPr="004C3F47" w:rsidRDefault="00D86616" w:rsidP="006A2D03">
      <w:pPr>
        <w:shd w:val="clear" w:color="auto" w:fill="FFFFFF"/>
        <w:tabs>
          <w:tab w:val="left" w:pos="630"/>
        </w:tabs>
        <w:contextualSpacing/>
        <w:jc w:val="both"/>
        <w:rPr>
          <w:rFonts w:ascii="Verdana" w:eastAsia="Times New Roman" w:hAnsi="Verdana" w:cs="Arial"/>
          <w:color w:val="000000"/>
          <w:sz w:val="16"/>
          <w:szCs w:val="16"/>
          <w:lang w:eastAsia="es-MX"/>
        </w:rPr>
      </w:pPr>
      <w:r w:rsidRPr="004C3F47">
        <w:rPr>
          <w:rStyle w:val="FootnoteReference"/>
          <w:color w:val="000000"/>
          <w:sz w:val="16"/>
          <w:szCs w:val="16"/>
        </w:rPr>
        <w:footnoteRef/>
      </w:r>
      <w:r w:rsidRPr="004C3F47">
        <w:rPr>
          <w:rFonts w:ascii="Verdana" w:hAnsi="Verdana"/>
          <w:color w:val="000000"/>
          <w:sz w:val="16"/>
          <w:szCs w:val="16"/>
        </w:rPr>
        <w:t xml:space="preserve"> </w:t>
      </w:r>
      <w:r w:rsidRPr="004C3F47">
        <w:rPr>
          <w:rFonts w:ascii="Verdana" w:hAnsi="Verdana"/>
          <w:color w:val="000000"/>
          <w:sz w:val="16"/>
          <w:szCs w:val="16"/>
        </w:rPr>
        <w:tab/>
      </w:r>
      <w:r w:rsidRPr="004C3F47">
        <w:rPr>
          <w:rFonts w:ascii="Verdana" w:eastAsia="Times New Roman" w:hAnsi="Verdana" w:cs="Arial"/>
          <w:color w:val="000000"/>
          <w:sz w:val="16"/>
          <w:szCs w:val="16"/>
          <w:lang w:eastAsia="es-MX"/>
        </w:rPr>
        <w:t xml:space="preserve">Artículo 5 </w:t>
      </w:r>
      <w:r>
        <w:rPr>
          <w:rFonts w:ascii="Verdana" w:eastAsia="Times New Roman" w:hAnsi="Verdana" w:cs="Arial"/>
          <w:color w:val="000000"/>
          <w:sz w:val="16"/>
          <w:szCs w:val="16"/>
          <w:lang w:eastAsia="es-MX"/>
        </w:rPr>
        <w:t xml:space="preserve">del Convenio No. 158 </w:t>
      </w:r>
      <w:r w:rsidRPr="004C3F47">
        <w:rPr>
          <w:rFonts w:ascii="Verdana" w:eastAsia="Times New Roman" w:hAnsi="Verdana" w:cs="Arial"/>
          <w:color w:val="000000"/>
          <w:sz w:val="16"/>
          <w:szCs w:val="16"/>
          <w:lang w:eastAsia="es-MX"/>
        </w:rPr>
        <w:t>- Entre los motivos que no constituirán causa justificada para la terminación de la relación de trabajo figuran los siguientes: (a) la afiliación a un sindicato o la participación en actividades sindicales fuera de las horas de trabajo o, con el consentimiento del empleador, durante las horas de trabajo; (b) ser candidato a representante de los trabajadores o actuar o haber actuado en esa calidad; (c) presentar una queja o participar en un procedimiento entablado contra un empleador por supuestas violaciones de leyes o reglamentos, o recurrir ante las autoridades administrativas competente</w:t>
      </w:r>
      <w:r w:rsidRPr="00950CFF">
        <w:rPr>
          <w:rFonts w:ascii="Verdana" w:eastAsia="Times New Roman" w:hAnsi="Verdana" w:cs="Arial"/>
          <w:color w:val="000000"/>
          <w:sz w:val="16"/>
          <w:szCs w:val="16"/>
          <w:lang w:eastAsia="es-MX"/>
        </w:rPr>
        <w:t xml:space="preserve">s; </w:t>
      </w:r>
      <w:r w:rsidRPr="00333304">
        <w:rPr>
          <w:rFonts w:ascii="Verdana" w:eastAsia="Times New Roman" w:hAnsi="Verdana" w:cs="Arial"/>
          <w:color w:val="000000"/>
          <w:sz w:val="16"/>
          <w:szCs w:val="16"/>
          <w:lang w:eastAsia="es-MX"/>
        </w:rPr>
        <w:t>[…].</w:t>
      </w:r>
    </w:p>
  </w:footnote>
  <w:footnote w:id="216">
    <w:p w14:paraId="6880762B" w14:textId="0A0757A6" w:rsidR="00D86616" w:rsidRPr="009E6ED2" w:rsidRDefault="00D86616" w:rsidP="006A2D03">
      <w:pPr>
        <w:pStyle w:val="FootnoteText"/>
        <w:spacing w:after="0"/>
        <w:rPr>
          <w:lang w:val="es-MX"/>
        </w:rPr>
      </w:pPr>
      <w:r w:rsidRPr="00D265A8">
        <w:rPr>
          <w:rStyle w:val="FootnoteReference"/>
          <w:sz w:val="16"/>
        </w:rPr>
        <w:footnoteRef/>
      </w:r>
      <w:r w:rsidRPr="009E6ED2">
        <w:rPr>
          <w:lang w:val="es-MX"/>
        </w:rPr>
        <w:t xml:space="preserve"> </w:t>
      </w:r>
      <w:r w:rsidRPr="009E6ED2">
        <w:rPr>
          <w:lang w:val="es-MX"/>
        </w:rPr>
        <w:tab/>
      </w:r>
      <w:r w:rsidRPr="009E6ED2">
        <w:rPr>
          <w:i/>
          <w:lang w:val="es-MX"/>
        </w:rPr>
        <w:t xml:space="preserve">Cfr. </w:t>
      </w:r>
      <w:r w:rsidRPr="009E6ED2">
        <w:rPr>
          <w:lang w:val="es-MX"/>
        </w:rPr>
        <w:t xml:space="preserve">OIT, Recomendación sobre la protección y facilidades que deben otorgarse a los representantes de los trabajadores en la empresa. No. 143. Sesión de la Conferencia: 56,23 de junio de 1971. </w:t>
      </w:r>
    </w:p>
    <w:p w14:paraId="3D4B9962" w14:textId="0EB0672B" w:rsidR="00D86616" w:rsidRPr="009E6ED2" w:rsidRDefault="00D86616" w:rsidP="006A2D03">
      <w:pPr>
        <w:pStyle w:val="FootnoteText"/>
        <w:spacing w:after="0"/>
        <w:rPr>
          <w:lang w:val="es-MX"/>
        </w:rPr>
      </w:pPr>
      <w:r w:rsidRPr="009E6ED2">
        <w:rPr>
          <w:lang w:val="es-MX"/>
        </w:rPr>
        <w:t>A saber: Punto 5: Los representantes de los trabajadores en la empresa deberían gozar de protección eficaz contra todo acto que pueda perjudicarlos, incluido el despido por razón de su condición de representantes de los trabajadores, de sus actividades como tales representantes, de su afiliación al sindicato, o de su participación en la actividad sindical, siempre que dichos representantes actúen conforme a las leyes, contratos colectivos u otros acuerdos comunes en vigor. Punto 6: (1) Cuando no existan suficientes medidas apropiadas de protección aplicables a los trabajadores en general, deberían adoptarse disposiciones específicas para garantizar la protección efectiva de los representantes de los trabajadores. (2) Tales disposiciones podrían incluir medidas como las siguientes: (a) definición detallada y precisa de los motivos que pueden justificar la terminación de la relación de trabajo de los representantes de los trabajadores; (b) exigencia de consulta, dictamen o acuerdo de un organismo independiente, público o privado, o de un organismo paritario antes de que el despido de un trabajador sea definitivo; (c) procedimiento especial de recurso accesible a los representantes de los trabajadores que consideren que se ha puesto fin injustamente a su relación de trabajo, o que sus condiciones de empleo han sido modificadas desfavorablemente, o que han sido objeto de trato injusto; (d) por lo que se refiere a la terminación injustificada de la relación de trabajo de los representantes de los trabajadores, el establecimiento de una reparación eficaz que comprenda, a menos que ello sea contrario a los principios fundamentales de derecho del país interesado, la reintegración de dichos representantes en su puesto, con el pago de los salarios no cobrados y el mantenimiento de sus derechos adquiridos; (e) imponer al empleador, cuando se alegue que el despido de un representante de los trabajadores o cualquier cambio desfavorable en sus condiciones de empleo tiene un carácter discriminatorio, la obligación de probar que dicho acto estaba justificado; (f) reconocer la prioridad que ha de darse a los representantes de los trabajadores respecto de su continuación en el empleo en caso de reducción del personal.</w:t>
      </w:r>
    </w:p>
  </w:footnote>
  <w:footnote w:id="217">
    <w:p w14:paraId="2796C456" w14:textId="20729F3C" w:rsidR="00D86616" w:rsidRPr="009E6ED2" w:rsidRDefault="00D86616" w:rsidP="006A2D03">
      <w:pPr>
        <w:pStyle w:val="FootnoteText"/>
        <w:spacing w:after="0"/>
        <w:rPr>
          <w:lang w:val="es-MX"/>
        </w:rPr>
      </w:pPr>
      <w:r w:rsidRPr="00950CFF">
        <w:rPr>
          <w:rStyle w:val="FootnoteReference"/>
          <w:sz w:val="16"/>
        </w:rPr>
        <w:footnoteRef/>
      </w:r>
      <w:r w:rsidRPr="009E6ED2">
        <w:rPr>
          <w:lang w:val="es-MX"/>
        </w:rPr>
        <w:t xml:space="preserve"> </w:t>
      </w:r>
      <w:r w:rsidRPr="009E6ED2">
        <w:rPr>
          <w:lang w:val="es-MX"/>
        </w:rPr>
        <w:tab/>
        <w:t xml:space="preserve">Asimismo, la Asamblea General de las Naciones Unidas adoptó la Agenda 2030, la cual cuenta con 17 Objetivos de Desarrollo Sostenible y 169 metas en favor de las personas, el planeta y la prosperidad. En particular, el objetivo 8 promueve el crecimiento económico sostenido, inclusivo y sostenible, el empleo pleno y productivo y el trabajo decente para todos. Las metas 8.5 y 8.8 están enfocados en proteger los derechos de los trabajadores y promover un entorno de trabajo seguro. </w:t>
      </w:r>
    </w:p>
  </w:footnote>
  <w:footnote w:id="218">
    <w:p w14:paraId="6DDD886F" w14:textId="25AC2900" w:rsidR="00D86616" w:rsidRPr="009E6ED2" w:rsidRDefault="00D86616" w:rsidP="006A2D03">
      <w:pPr>
        <w:pStyle w:val="FootnoteText"/>
        <w:spacing w:after="0"/>
        <w:rPr>
          <w:lang w:val="es-MX"/>
        </w:rPr>
      </w:pPr>
      <w:r w:rsidRPr="004C3F47">
        <w:rPr>
          <w:rStyle w:val="FootnoteReference"/>
          <w:sz w:val="16"/>
        </w:rPr>
        <w:footnoteRef/>
      </w:r>
      <w:r w:rsidRPr="009E6ED2">
        <w:rPr>
          <w:lang w:val="es-MX"/>
        </w:rPr>
        <w:t xml:space="preserve"> </w:t>
      </w:r>
      <w:r w:rsidRPr="009E6ED2">
        <w:rPr>
          <w:lang w:val="es-MX"/>
        </w:rPr>
        <w:tab/>
      </w:r>
      <w:r w:rsidRPr="008D6117">
        <w:rPr>
          <w:i/>
          <w:lang w:val="es-MX"/>
        </w:rPr>
        <w:t xml:space="preserve">Mutatis </w:t>
      </w:r>
      <w:proofErr w:type="spellStart"/>
      <w:r w:rsidRPr="008D6117">
        <w:rPr>
          <w:i/>
          <w:lang w:val="es-MX"/>
        </w:rPr>
        <w:t>mutandi</w:t>
      </w:r>
      <w:proofErr w:type="spellEnd"/>
      <w:r w:rsidRPr="008D6117">
        <w:rPr>
          <w:i/>
          <w:lang w:val="es-MX"/>
        </w:rPr>
        <w:t xml:space="preserve">, Caso </w:t>
      </w:r>
      <w:proofErr w:type="spellStart"/>
      <w:r w:rsidRPr="008D6117">
        <w:rPr>
          <w:i/>
          <w:lang w:val="es-MX"/>
        </w:rPr>
        <w:t>Ximenes</w:t>
      </w:r>
      <w:proofErr w:type="spellEnd"/>
      <w:r w:rsidRPr="008D6117">
        <w:rPr>
          <w:i/>
          <w:lang w:val="es-MX"/>
        </w:rPr>
        <w:t xml:space="preserve"> </w:t>
      </w:r>
      <w:proofErr w:type="spellStart"/>
      <w:r w:rsidRPr="008D6117">
        <w:rPr>
          <w:i/>
          <w:lang w:val="es-MX"/>
        </w:rPr>
        <w:t>Lopes</w:t>
      </w:r>
      <w:proofErr w:type="spellEnd"/>
      <w:r w:rsidRPr="008D6117">
        <w:rPr>
          <w:i/>
          <w:lang w:val="es-MX"/>
        </w:rPr>
        <w:t xml:space="preserve"> Vs</w:t>
      </w:r>
      <w:r w:rsidRPr="008D6117">
        <w:rPr>
          <w:i/>
          <w:iCs/>
          <w:lang w:val="es-MX"/>
        </w:rPr>
        <w:t>.</w:t>
      </w:r>
      <w:r w:rsidRPr="008D6117">
        <w:rPr>
          <w:i/>
          <w:lang w:val="es-MX"/>
        </w:rPr>
        <w:t xml:space="preserve"> Brasil.</w:t>
      </w:r>
      <w:r w:rsidRPr="009E6ED2">
        <w:rPr>
          <w:lang w:val="es-MX"/>
        </w:rPr>
        <w:t xml:space="preserve"> Sentencia de 4 de julio de 2006. Serie C No. 149, párr. 99; </w:t>
      </w:r>
      <w:r w:rsidRPr="008D6117">
        <w:rPr>
          <w:i/>
          <w:lang w:val="es-MX"/>
        </w:rPr>
        <w:t>Caso Suárez Peralta Vs. Ecuador, supra</w:t>
      </w:r>
      <w:r w:rsidRPr="009E6ED2">
        <w:rPr>
          <w:lang w:val="es-MX"/>
        </w:rPr>
        <w:t xml:space="preserve">, párr. 133, y </w:t>
      </w:r>
      <w:r w:rsidRPr="008D6117">
        <w:rPr>
          <w:i/>
          <w:lang w:val="es-MX"/>
        </w:rPr>
        <w:t xml:space="preserve">Caso </w:t>
      </w:r>
      <w:proofErr w:type="spellStart"/>
      <w:r w:rsidRPr="008D6117">
        <w:rPr>
          <w:i/>
          <w:lang w:val="es-MX"/>
        </w:rPr>
        <w:t>Kaliña</w:t>
      </w:r>
      <w:proofErr w:type="spellEnd"/>
      <w:r w:rsidRPr="008D6117">
        <w:rPr>
          <w:i/>
          <w:lang w:val="es-MX"/>
        </w:rPr>
        <w:t xml:space="preserve"> y </w:t>
      </w:r>
      <w:proofErr w:type="spellStart"/>
      <w:r w:rsidRPr="008D6117">
        <w:rPr>
          <w:i/>
          <w:lang w:val="es-MX"/>
        </w:rPr>
        <w:t>Lokono</w:t>
      </w:r>
      <w:proofErr w:type="spellEnd"/>
      <w:r w:rsidRPr="008D6117">
        <w:rPr>
          <w:i/>
          <w:lang w:val="es-MX"/>
        </w:rPr>
        <w:t xml:space="preserve"> Vs. Surinam. Fondo, Reparaciones y Costas. </w:t>
      </w:r>
      <w:r w:rsidRPr="009E6ED2">
        <w:rPr>
          <w:lang w:val="es-MX"/>
        </w:rPr>
        <w:t>Sentencia de 25 de noviembre de 2015, Serie C No. 309, párr. 216.</w:t>
      </w:r>
    </w:p>
  </w:footnote>
  <w:footnote w:id="219">
    <w:p w14:paraId="487C6B70" w14:textId="1A264ACF" w:rsidR="00D86616" w:rsidRPr="009E6ED2" w:rsidRDefault="00D86616" w:rsidP="006A2D03">
      <w:pPr>
        <w:pStyle w:val="FootnoteText"/>
        <w:spacing w:after="0"/>
        <w:rPr>
          <w:lang w:val="es-MX"/>
        </w:rPr>
      </w:pPr>
      <w:r w:rsidRPr="00F23D52">
        <w:rPr>
          <w:rStyle w:val="FootnoteReference"/>
          <w:sz w:val="16"/>
        </w:rPr>
        <w:footnoteRef/>
      </w:r>
      <w:r w:rsidRPr="009E6ED2">
        <w:rPr>
          <w:lang w:val="es-MX"/>
        </w:rPr>
        <w:t xml:space="preserve"> </w:t>
      </w:r>
      <w:r w:rsidRPr="009E6ED2">
        <w:rPr>
          <w:lang w:val="es-MX"/>
        </w:rPr>
        <w:tab/>
      </w:r>
      <w:r w:rsidRPr="008D6117">
        <w:rPr>
          <w:i/>
          <w:lang w:val="es-MX"/>
        </w:rPr>
        <w:t xml:space="preserve">Cfr. </w:t>
      </w:r>
      <w:r w:rsidRPr="008D6117">
        <w:rPr>
          <w:rStyle w:val="Strong"/>
          <w:b w:val="0"/>
          <w:i/>
          <w:color w:val="000000"/>
          <w:shd w:val="clear" w:color="auto" w:fill="FFFFFF"/>
          <w:lang w:val="es-CR"/>
        </w:rPr>
        <w:t xml:space="preserve">Caso </w:t>
      </w:r>
      <w:proofErr w:type="spellStart"/>
      <w:r w:rsidRPr="008D6117">
        <w:rPr>
          <w:rStyle w:val="Strong"/>
          <w:b w:val="0"/>
          <w:i/>
          <w:color w:val="000000"/>
          <w:shd w:val="clear" w:color="auto" w:fill="FFFFFF"/>
          <w:lang w:val="es-CR"/>
        </w:rPr>
        <w:t>Escher</w:t>
      </w:r>
      <w:proofErr w:type="spellEnd"/>
      <w:r w:rsidRPr="008D6117">
        <w:rPr>
          <w:rStyle w:val="Strong"/>
          <w:b w:val="0"/>
          <w:i/>
          <w:color w:val="000000"/>
          <w:shd w:val="clear" w:color="auto" w:fill="FFFFFF"/>
          <w:lang w:val="es-CR"/>
        </w:rPr>
        <w:t xml:space="preserve"> y otros Vs. Brasil</w:t>
      </w:r>
      <w:r w:rsidRPr="00333304">
        <w:rPr>
          <w:rStyle w:val="Strong"/>
          <w:b w:val="0"/>
          <w:i/>
          <w:color w:val="000000"/>
          <w:shd w:val="clear" w:color="auto" w:fill="FFFFFF"/>
          <w:lang w:val="es-CR"/>
        </w:rPr>
        <w:t>. Excepciones Preliminares, Fondo, Reparaciones y Costas.</w:t>
      </w:r>
      <w:r w:rsidRPr="00F23D52">
        <w:rPr>
          <w:rStyle w:val="Strong"/>
          <w:b w:val="0"/>
          <w:color w:val="000000"/>
          <w:shd w:val="clear" w:color="auto" w:fill="FFFFFF"/>
          <w:lang w:val="es-CR"/>
        </w:rPr>
        <w:t xml:space="preserve"> Sentencia de 6 de julio de 2009. Serie C No. 200, párr. 169.</w:t>
      </w:r>
    </w:p>
  </w:footnote>
  <w:footnote w:id="220">
    <w:p w14:paraId="2FE182D0" w14:textId="2CD48D06" w:rsidR="00D86616" w:rsidRPr="003B45F4" w:rsidRDefault="00D86616" w:rsidP="006A2D03">
      <w:pPr>
        <w:pStyle w:val="FootnoteText"/>
        <w:spacing w:after="0"/>
        <w:rPr>
          <w:lang w:val="es-MX"/>
        </w:rPr>
      </w:pPr>
      <w:r w:rsidRPr="00F23D52">
        <w:rPr>
          <w:rStyle w:val="FootnoteReference"/>
          <w:sz w:val="16"/>
        </w:rPr>
        <w:footnoteRef/>
      </w:r>
      <w:r w:rsidRPr="003B45F4">
        <w:rPr>
          <w:lang w:val="es-MX"/>
        </w:rPr>
        <w:t xml:space="preserve"> </w:t>
      </w:r>
      <w:r w:rsidRPr="00F23D52">
        <w:rPr>
          <w:rStyle w:val="apple-converted-space"/>
          <w:bCs/>
          <w:color w:val="000000"/>
          <w:shd w:val="clear" w:color="auto" w:fill="FFFFFF"/>
          <w:lang w:val="es-CR"/>
        </w:rPr>
        <w:tab/>
      </w:r>
      <w:r w:rsidRPr="00F77B70">
        <w:rPr>
          <w:rStyle w:val="apple-converted-space"/>
          <w:bCs/>
          <w:i/>
          <w:color w:val="000000"/>
          <w:shd w:val="clear" w:color="auto" w:fill="FFFFFF"/>
          <w:lang w:val="es-CR"/>
        </w:rPr>
        <w:t>Cfr.</w:t>
      </w:r>
      <w:r w:rsidRPr="00333304">
        <w:rPr>
          <w:rStyle w:val="apple-converted-space"/>
          <w:bCs/>
          <w:i/>
          <w:color w:val="000000"/>
          <w:shd w:val="clear" w:color="auto" w:fill="FFFFFF"/>
          <w:lang w:val="es-CR"/>
        </w:rPr>
        <w:t xml:space="preserve"> </w:t>
      </w:r>
      <w:r w:rsidRPr="00333304">
        <w:rPr>
          <w:rStyle w:val="Strong"/>
          <w:b w:val="0"/>
          <w:i/>
          <w:color w:val="000000"/>
          <w:shd w:val="clear" w:color="auto" w:fill="FFFFFF"/>
          <w:lang w:val="es-CR"/>
        </w:rPr>
        <w:t>Caso Baena Ricardo y otros Vs. Panamá</w:t>
      </w:r>
      <w:r>
        <w:rPr>
          <w:rStyle w:val="Strong"/>
          <w:b w:val="0"/>
          <w:i/>
          <w:color w:val="000000"/>
          <w:shd w:val="clear" w:color="auto" w:fill="FFFFFF"/>
          <w:lang w:val="es-CR"/>
        </w:rPr>
        <w:t xml:space="preserve">. Fondo, Reparaciones y Costas, </w:t>
      </w:r>
      <w:r w:rsidRPr="002F31BD">
        <w:rPr>
          <w:rStyle w:val="Strong"/>
          <w:b w:val="0"/>
          <w:i/>
          <w:color w:val="000000"/>
          <w:shd w:val="clear" w:color="auto" w:fill="FFFFFF"/>
          <w:lang w:val="es-CR"/>
        </w:rPr>
        <w:t>supra</w:t>
      </w:r>
      <w:r>
        <w:rPr>
          <w:rStyle w:val="Strong"/>
          <w:b w:val="0"/>
          <w:i/>
          <w:color w:val="000000"/>
          <w:shd w:val="clear" w:color="auto" w:fill="FFFFFF"/>
          <w:lang w:val="es-CR"/>
        </w:rPr>
        <w:t>,</w:t>
      </w:r>
      <w:r w:rsidRPr="00F23D52">
        <w:rPr>
          <w:rStyle w:val="Strong"/>
          <w:b w:val="0"/>
          <w:color w:val="000000"/>
          <w:shd w:val="clear" w:color="auto" w:fill="FFFFFF"/>
          <w:lang w:val="es-CR"/>
        </w:rPr>
        <w:t xml:space="preserve"> párr. 1</w:t>
      </w:r>
      <w:r>
        <w:rPr>
          <w:rStyle w:val="Strong"/>
          <w:b w:val="0"/>
          <w:color w:val="000000"/>
          <w:shd w:val="clear" w:color="auto" w:fill="FFFFFF"/>
          <w:lang w:val="es-CR"/>
        </w:rPr>
        <w:t>56</w:t>
      </w:r>
      <w:r w:rsidRPr="00F23D52">
        <w:rPr>
          <w:rStyle w:val="Strong"/>
          <w:b w:val="0"/>
          <w:color w:val="000000"/>
          <w:shd w:val="clear" w:color="auto" w:fill="FFFFFF"/>
          <w:lang w:val="es-CR"/>
        </w:rPr>
        <w:t xml:space="preserve">, y </w:t>
      </w:r>
      <w:r w:rsidRPr="00333304">
        <w:rPr>
          <w:rStyle w:val="Strong"/>
          <w:b w:val="0"/>
          <w:i/>
          <w:color w:val="000000"/>
          <w:shd w:val="clear" w:color="auto" w:fill="FFFFFF"/>
          <w:lang w:val="es-CR"/>
        </w:rPr>
        <w:t xml:space="preserve">Caso Miembros de la Aldea </w:t>
      </w:r>
      <w:proofErr w:type="spellStart"/>
      <w:r w:rsidRPr="00333304">
        <w:rPr>
          <w:rStyle w:val="Strong"/>
          <w:b w:val="0"/>
          <w:i/>
          <w:color w:val="000000"/>
          <w:shd w:val="clear" w:color="auto" w:fill="FFFFFF"/>
          <w:lang w:val="es-CR"/>
        </w:rPr>
        <w:t>Chichupac</w:t>
      </w:r>
      <w:proofErr w:type="spellEnd"/>
      <w:r w:rsidRPr="00333304">
        <w:rPr>
          <w:rStyle w:val="Strong"/>
          <w:b w:val="0"/>
          <w:i/>
          <w:color w:val="000000"/>
          <w:shd w:val="clear" w:color="auto" w:fill="FFFFFF"/>
          <w:lang w:val="es-CR"/>
        </w:rPr>
        <w:t xml:space="preserve"> y comunidades vecinas del Municipio de Rabinal Vs. Guatemala.</w:t>
      </w:r>
      <w:r w:rsidRPr="008638D8">
        <w:rPr>
          <w:rStyle w:val="Strong"/>
          <w:b w:val="0"/>
          <w:color w:val="000000"/>
          <w:shd w:val="clear" w:color="auto" w:fill="FFFFFF"/>
          <w:lang w:val="es-CR"/>
        </w:rPr>
        <w:t xml:space="preserve"> </w:t>
      </w:r>
      <w:r w:rsidRPr="00333304">
        <w:rPr>
          <w:rStyle w:val="Strong"/>
          <w:b w:val="0"/>
          <w:i/>
          <w:color w:val="000000"/>
          <w:shd w:val="clear" w:color="auto" w:fill="FFFFFF"/>
          <w:lang w:val="es-CR"/>
        </w:rPr>
        <w:t>Excepciones Preliminares, Fondo, Reparaciones y Costas.</w:t>
      </w:r>
      <w:r w:rsidRPr="008638D8">
        <w:rPr>
          <w:rStyle w:val="Strong"/>
          <w:b w:val="0"/>
          <w:color w:val="000000"/>
          <w:shd w:val="clear" w:color="auto" w:fill="FFFFFF"/>
          <w:lang w:val="es-CR"/>
        </w:rPr>
        <w:t xml:space="preserve"> Sentencia de 30 de noviembre de 2016. Serie C No. 328</w:t>
      </w:r>
      <w:r>
        <w:rPr>
          <w:rStyle w:val="Strong"/>
          <w:b w:val="0"/>
          <w:color w:val="000000"/>
          <w:shd w:val="clear" w:color="auto" w:fill="FFFFFF"/>
          <w:lang w:val="es-CR"/>
        </w:rPr>
        <w:t>, párr. 205</w:t>
      </w:r>
      <w:r w:rsidRPr="008638D8">
        <w:rPr>
          <w:rStyle w:val="Strong"/>
          <w:b w:val="0"/>
          <w:color w:val="000000"/>
          <w:shd w:val="clear" w:color="auto" w:fill="FFFFFF"/>
          <w:lang w:val="es-CR"/>
        </w:rPr>
        <w:t>.</w:t>
      </w:r>
    </w:p>
  </w:footnote>
  <w:footnote w:id="221">
    <w:p w14:paraId="796435BC" w14:textId="0081653C" w:rsidR="00D86616" w:rsidRPr="003B45F4" w:rsidRDefault="00D86616" w:rsidP="006A2D03">
      <w:pPr>
        <w:pStyle w:val="FootnoteText"/>
        <w:spacing w:after="0"/>
        <w:rPr>
          <w:lang w:val="es-MX"/>
        </w:rPr>
      </w:pPr>
      <w:r w:rsidRPr="00F23D52">
        <w:rPr>
          <w:rStyle w:val="FootnoteReference"/>
          <w:sz w:val="16"/>
        </w:rPr>
        <w:footnoteRef/>
      </w:r>
      <w:r w:rsidRPr="003B45F4">
        <w:rPr>
          <w:lang w:val="es-MX"/>
        </w:rPr>
        <w:t xml:space="preserve"> </w:t>
      </w:r>
      <w:r w:rsidRPr="003B45F4">
        <w:rPr>
          <w:lang w:val="es-MX"/>
        </w:rPr>
        <w:tab/>
      </w:r>
      <w:r w:rsidRPr="008D6117">
        <w:rPr>
          <w:i/>
          <w:lang w:val="es-MX"/>
        </w:rPr>
        <w:t>Cfr</w:t>
      </w:r>
      <w:r w:rsidRPr="00333304">
        <w:rPr>
          <w:lang w:val="es-MX"/>
        </w:rPr>
        <w:t>.</w:t>
      </w:r>
      <w:r w:rsidRPr="00341FCF">
        <w:rPr>
          <w:lang w:val="es-MX"/>
        </w:rPr>
        <w:t xml:space="preserve"> </w:t>
      </w:r>
      <w:r w:rsidRPr="00333304">
        <w:rPr>
          <w:rStyle w:val="Strong"/>
          <w:b w:val="0"/>
          <w:i/>
          <w:color w:val="000000"/>
          <w:shd w:val="clear" w:color="auto" w:fill="FFFFFF"/>
          <w:lang w:val="es-CR"/>
        </w:rPr>
        <w:t xml:space="preserve">Caso </w:t>
      </w:r>
      <w:proofErr w:type="spellStart"/>
      <w:r w:rsidRPr="00333304">
        <w:rPr>
          <w:rStyle w:val="Strong"/>
          <w:b w:val="0"/>
          <w:i/>
          <w:color w:val="000000"/>
          <w:shd w:val="clear" w:color="auto" w:fill="FFFFFF"/>
          <w:lang w:val="es-CR"/>
        </w:rPr>
        <w:t>Huilca</w:t>
      </w:r>
      <w:proofErr w:type="spellEnd"/>
      <w:r w:rsidRPr="00333304">
        <w:rPr>
          <w:rStyle w:val="Strong"/>
          <w:b w:val="0"/>
          <w:i/>
          <w:color w:val="000000"/>
          <w:shd w:val="clear" w:color="auto" w:fill="FFFFFF"/>
          <w:lang w:val="es-CR"/>
        </w:rPr>
        <w:t xml:space="preserve"> </w:t>
      </w:r>
      <w:proofErr w:type="spellStart"/>
      <w:r w:rsidRPr="00333304">
        <w:rPr>
          <w:rStyle w:val="Strong"/>
          <w:b w:val="0"/>
          <w:i/>
          <w:color w:val="000000"/>
          <w:shd w:val="clear" w:color="auto" w:fill="FFFFFF"/>
          <w:lang w:val="es-CR"/>
        </w:rPr>
        <w:t>Tecse</w:t>
      </w:r>
      <w:proofErr w:type="spellEnd"/>
      <w:r w:rsidRPr="00333304">
        <w:rPr>
          <w:rStyle w:val="Strong"/>
          <w:b w:val="0"/>
          <w:i/>
          <w:color w:val="000000"/>
          <w:shd w:val="clear" w:color="auto" w:fill="FFFFFF"/>
          <w:lang w:val="es-CR"/>
        </w:rPr>
        <w:t xml:space="preserve"> Vs. Perú. Fondo, Reparaciones y Costas.</w:t>
      </w:r>
      <w:r w:rsidRPr="00F23D52">
        <w:rPr>
          <w:rStyle w:val="Strong"/>
          <w:b w:val="0"/>
          <w:color w:val="000000"/>
          <w:shd w:val="clear" w:color="auto" w:fill="FFFFFF"/>
          <w:lang w:val="es-CR"/>
        </w:rPr>
        <w:t xml:space="preserve"> Sentencia de 3 de marzo de 2005. Serie C No. 121, párr. 121, y </w:t>
      </w:r>
      <w:r w:rsidRPr="00333304">
        <w:rPr>
          <w:rStyle w:val="Strong"/>
          <w:b w:val="0"/>
          <w:i/>
          <w:color w:val="000000"/>
          <w:shd w:val="clear" w:color="auto" w:fill="FFFFFF"/>
          <w:lang w:val="es-CR"/>
        </w:rPr>
        <w:t xml:space="preserve">Caso </w:t>
      </w:r>
      <w:proofErr w:type="spellStart"/>
      <w:r w:rsidRPr="00333304">
        <w:rPr>
          <w:rStyle w:val="Strong"/>
          <w:b w:val="0"/>
          <w:i/>
          <w:color w:val="000000"/>
          <w:shd w:val="clear" w:color="auto" w:fill="FFFFFF"/>
          <w:lang w:val="es-CR"/>
        </w:rPr>
        <w:t>Yarce</w:t>
      </w:r>
      <w:proofErr w:type="spellEnd"/>
      <w:r w:rsidRPr="00333304">
        <w:rPr>
          <w:rStyle w:val="Strong"/>
          <w:b w:val="0"/>
          <w:i/>
          <w:color w:val="000000"/>
          <w:shd w:val="clear" w:color="auto" w:fill="FFFFFF"/>
          <w:lang w:val="es-CR"/>
        </w:rPr>
        <w:t xml:space="preserve"> y otras Vs. Colombia</w:t>
      </w:r>
      <w:r>
        <w:rPr>
          <w:rStyle w:val="Strong"/>
          <w:b w:val="0"/>
          <w:i/>
          <w:color w:val="000000"/>
          <w:shd w:val="clear" w:color="auto" w:fill="FFFFFF"/>
          <w:lang w:val="es-CR"/>
        </w:rPr>
        <w:t xml:space="preserve">, </w:t>
      </w:r>
      <w:r w:rsidRPr="002F31BD">
        <w:rPr>
          <w:rStyle w:val="Strong"/>
          <w:b w:val="0"/>
          <w:i/>
          <w:color w:val="000000"/>
          <w:shd w:val="clear" w:color="auto" w:fill="FFFFFF"/>
          <w:lang w:val="es-CR"/>
        </w:rPr>
        <w:t>supra</w:t>
      </w:r>
      <w:r w:rsidRPr="00F23D52">
        <w:rPr>
          <w:rStyle w:val="Strong"/>
          <w:b w:val="0"/>
          <w:color w:val="000000"/>
          <w:shd w:val="clear" w:color="auto" w:fill="FFFFFF"/>
          <w:lang w:val="es-CR"/>
        </w:rPr>
        <w:t>, párr. 271.</w:t>
      </w:r>
    </w:p>
  </w:footnote>
  <w:footnote w:id="222">
    <w:p w14:paraId="146E54C7" w14:textId="739DF61C" w:rsidR="00D86616" w:rsidRPr="003B45F4" w:rsidRDefault="00D86616" w:rsidP="006A2D03">
      <w:pPr>
        <w:pStyle w:val="FootnoteText"/>
        <w:spacing w:after="0"/>
        <w:rPr>
          <w:b/>
          <w:lang w:val="es-MX"/>
        </w:rPr>
      </w:pPr>
      <w:r w:rsidRPr="00F23D52">
        <w:rPr>
          <w:rStyle w:val="FootnoteReference"/>
          <w:sz w:val="16"/>
        </w:rPr>
        <w:footnoteRef/>
      </w:r>
      <w:r w:rsidRPr="003B45F4">
        <w:rPr>
          <w:lang w:val="es-MX"/>
        </w:rPr>
        <w:t xml:space="preserve"> </w:t>
      </w:r>
      <w:r w:rsidRPr="003B45F4">
        <w:rPr>
          <w:lang w:val="es-MX"/>
        </w:rPr>
        <w:tab/>
      </w:r>
      <w:r w:rsidRPr="00F77B70">
        <w:rPr>
          <w:rStyle w:val="apple-converted-space"/>
          <w:bCs/>
          <w:i/>
          <w:color w:val="000000"/>
          <w:shd w:val="clear" w:color="auto" w:fill="FFFFFF"/>
          <w:lang w:val="es-CR"/>
        </w:rPr>
        <w:t>Cfr.</w:t>
      </w:r>
      <w:r w:rsidRPr="00333304">
        <w:rPr>
          <w:rStyle w:val="apple-converted-space"/>
          <w:b/>
          <w:bCs/>
          <w:i/>
          <w:color w:val="000000"/>
          <w:shd w:val="clear" w:color="auto" w:fill="FFFFFF"/>
          <w:lang w:val="es-CR"/>
        </w:rPr>
        <w:t xml:space="preserve"> </w:t>
      </w:r>
      <w:r w:rsidRPr="00333304">
        <w:rPr>
          <w:rStyle w:val="Strong"/>
          <w:b w:val="0"/>
          <w:i/>
          <w:color w:val="000000"/>
          <w:shd w:val="clear" w:color="auto" w:fill="FFFFFF"/>
          <w:lang w:val="es-CR"/>
        </w:rPr>
        <w:t>Caso Baena Ricardo y otros Vs. Panamá</w:t>
      </w:r>
      <w:r>
        <w:rPr>
          <w:rStyle w:val="Strong"/>
          <w:b w:val="0"/>
          <w:i/>
          <w:color w:val="000000"/>
          <w:shd w:val="clear" w:color="auto" w:fill="FFFFFF"/>
          <w:lang w:val="es-CR"/>
        </w:rPr>
        <w:t xml:space="preserve">. Fondo, Reparaciones y Costas, </w:t>
      </w:r>
      <w:r w:rsidRPr="002F31BD">
        <w:rPr>
          <w:rStyle w:val="Strong"/>
          <w:b w:val="0"/>
          <w:i/>
          <w:color w:val="000000"/>
          <w:shd w:val="clear" w:color="auto" w:fill="FFFFFF"/>
          <w:lang w:val="es-CR"/>
        </w:rPr>
        <w:t>supra</w:t>
      </w:r>
      <w:r>
        <w:rPr>
          <w:rStyle w:val="Strong"/>
          <w:b w:val="0"/>
          <w:i/>
          <w:color w:val="000000"/>
          <w:shd w:val="clear" w:color="auto" w:fill="FFFFFF"/>
          <w:lang w:val="es-CR"/>
        </w:rPr>
        <w:t>,</w:t>
      </w:r>
      <w:r w:rsidRPr="00F23D52">
        <w:rPr>
          <w:rStyle w:val="Strong"/>
          <w:b w:val="0"/>
          <w:color w:val="000000"/>
          <w:shd w:val="clear" w:color="auto" w:fill="FFFFFF"/>
          <w:lang w:val="es-CR"/>
        </w:rPr>
        <w:t xml:space="preserve"> párr. 156.</w:t>
      </w:r>
    </w:p>
  </w:footnote>
  <w:footnote w:id="223">
    <w:p w14:paraId="67B703EC" w14:textId="45FE5DAB" w:rsidR="00D86616" w:rsidRPr="003B45F4" w:rsidRDefault="00D86616" w:rsidP="006A2D03">
      <w:pPr>
        <w:pStyle w:val="FootnoteText"/>
        <w:spacing w:after="0"/>
        <w:rPr>
          <w:lang w:val="es-MX"/>
        </w:rPr>
      </w:pPr>
      <w:r w:rsidRPr="00F23D52">
        <w:rPr>
          <w:rStyle w:val="FootnoteReference"/>
          <w:sz w:val="16"/>
        </w:rPr>
        <w:footnoteRef/>
      </w:r>
      <w:r w:rsidRPr="003B45F4">
        <w:rPr>
          <w:lang w:val="es-MX"/>
        </w:rPr>
        <w:t xml:space="preserve"> </w:t>
      </w:r>
      <w:r w:rsidRPr="003B45F4">
        <w:rPr>
          <w:lang w:val="es-MX"/>
        </w:rPr>
        <w:tab/>
      </w:r>
      <w:r w:rsidRPr="00F77B70">
        <w:rPr>
          <w:rStyle w:val="apple-converted-space"/>
          <w:bCs/>
          <w:i/>
          <w:color w:val="000000"/>
          <w:shd w:val="clear" w:color="auto" w:fill="FFFFFF"/>
          <w:lang w:val="es-CR"/>
        </w:rPr>
        <w:t>Cfr.</w:t>
      </w:r>
      <w:r w:rsidRPr="00333304">
        <w:rPr>
          <w:rStyle w:val="apple-converted-space"/>
          <w:b/>
          <w:bCs/>
          <w:i/>
          <w:color w:val="000000"/>
          <w:shd w:val="clear" w:color="auto" w:fill="FFFFFF"/>
          <w:lang w:val="es-CR"/>
        </w:rPr>
        <w:t xml:space="preserve"> </w:t>
      </w:r>
      <w:r w:rsidRPr="00333304">
        <w:rPr>
          <w:rStyle w:val="Strong"/>
          <w:b w:val="0"/>
          <w:i/>
          <w:color w:val="000000"/>
          <w:shd w:val="clear" w:color="auto" w:fill="FFFFFF"/>
          <w:lang w:val="es-CR"/>
        </w:rPr>
        <w:t>Caso Baena Ricardo y otros Vs. Panamá</w:t>
      </w:r>
      <w:r>
        <w:rPr>
          <w:rStyle w:val="Strong"/>
          <w:b w:val="0"/>
          <w:i/>
          <w:color w:val="000000"/>
          <w:shd w:val="clear" w:color="auto" w:fill="FFFFFF"/>
          <w:lang w:val="es-CR"/>
        </w:rPr>
        <w:t xml:space="preserve">. Fondo, Reparaciones y Costas, </w:t>
      </w:r>
      <w:r w:rsidRPr="002F31BD">
        <w:rPr>
          <w:rStyle w:val="Strong"/>
          <w:b w:val="0"/>
          <w:i/>
          <w:color w:val="000000"/>
          <w:shd w:val="clear" w:color="auto" w:fill="FFFFFF"/>
          <w:lang w:val="es-CR"/>
        </w:rPr>
        <w:t>supra</w:t>
      </w:r>
      <w:r>
        <w:rPr>
          <w:rStyle w:val="Strong"/>
          <w:b w:val="0"/>
          <w:color w:val="000000"/>
          <w:shd w:val="clear" w:color="auto" w:fill="FFFFFF"/>
          <w:lang w:val="es-CR"/>
        </w:rPr>
        <w:t>,</w:t>
      </w:r>
      <w:r w:rsidRPr="00F23D52">
        <w:rPr>
          <w:rStyle w:val="Strong"/>
          <w:b w:val="0"/>
          <w:color w:val="000000"/>
          <w:shd w:val="clear" w:color="auto" w:fill="FFFFFF"/>
          <w:lang w:val="es-CR"/>
        </w:rPr>
        <w:t xml:space="preserve"> párr. 158.</w:t>
      </w:r>
    </w:p>
  </w:footnote>
  <w:footnote w:id="224">
    <w:p w14:paraId="731E6653" w14:textId="4BC7CFA2" w:rsidR="00D86616" w:rsidRPr="003B45F4" w:rsidRDefault="00D86616" w:rsidP="006A2D03">
      <w:pPr>
        <w:pStyle w:val="FootnoteText"/>
        <w:spacing w:after="0"/>
        <w:rPr>
          <w:lang w:val="es-MX"/>
        </w:rPr>
      </w:pPr>
      <w:r w:rsidRPr="00F23D52">
        <w:rPr>
          <w:rStyle w:val="FootnoteReference"/>
          <w:sz w:val="16"/>
        </w:rPr>
        <w:footnoteRef/>
      </w:r>
      <w:r w:rsidRPr="003B45F4">
        <w:rPr>
          <w:lang w:val="es-MX"/>
        </w:rPr>
        <w:t xml:space="preserve"> </w:t>
      </w:r>
      <w:r w:rsidRPr="003B45F4">
        <w:rPr>
          <w:lang w:val="es-MX"/>
        </w:rPr>
        <w:tab/>
      </w:r>
      <w:r w:rsidRPr="008D6117">
        <w:rPr>
          <w:i/>
          <w:lang w:val="es-MX"/>
        </w:rPr>
        <w:t>Cfr.</w:t>
      </w:r>
      <w:r w:rsidRPr="00341FCF">
        <w:rPr>
          <w:lang w:val="es-MX"/>
        </w:rPr>
        <w:t xml:space="preserve"> </w:t>
      </w:r>
      <w:r w:rsidRPr="00333304">
        <w:rPr>
          <w:rStyle w:val="Strong"/>
          <w:b w:val="0"/>
          <w:i/>
          <w:color w:val="000000"/>
          <w:shd w:val="clear" w:color="auto" w:fill="FFFFFF"/>
          <w:lang w:val="es-CR"/>
        </w:rPr>
        <w:t xml:space="preserve">Caso </w:t>
      </w:r>
      <w:proofErr w:type="spellStart"/>
      <w:r w:rsidRPr="00333304">
        <w:rPr>
          <w:rStyle w:val="Strong"/>
          <w:b w:val="0"/>
          <w:i/>
          <w:color w:val="000000"/>
          <w:shd w:val="clear" w:color="auto" w:fill="FFFFFF"/>
          <w:lang w:val="es-CR"/>
        </w:rPr>
        <w:t>Huilca</w:t>
      </w:r>
      <w:proofErr w:type="spellEnd"/>
      <w:r w:rsidRPr="00333304">
        <w:rPr>
          <w:rStyle w:val="Strong"/>
          <w:b w:val="0"/>
          <w:i/>
          <w:color w:val="000000"/>
          <w:shd w:val="clear" w:color="auto" w:fill="FFFFFF"/>
          <w:lang w:val="es-CR"/>
        </w:rPr>
        <w:t xml:space="preserve"> </w:t>
      </w:r>
      <w:proofErr w:type="spellStart"/>
      <w:r w:rsidRPr="00333304">
        <w:rPr>
          <w:rStyle w:val="Strong"/>
          <w:b w:val="0"/>
          <w:i/>
          <w:color w:val="000000"/>
          <w:shd w:val="clear" w:color="auto" w:fill="FFFFFF"/>
          <w:lang w:val="es-CR"/>
        </w:rPr>
        <w:t>Tecse</w:t>
      </w:r>
      <w:proofErr w:type="spellEnd"/>
      <w:r w:rsidRPr="00333304">
        <w:rPr>
          <w:rStyle w:val="Strong"/>
          <w:b w:val="0"/>
          <w:i/>
          <w:color w:val="000000"/>
          <w:shd w:val="clear" w:color="auto" w:fill="FFFFFF"/>
          <w:lang w:val="es-CR"/>
        </w:rPr>
        <w:t xml:space="preserve"> Vs. Perú</w:t>
      </w:r>
      <w:r>
        <w:rPr>
          <w:rStyle w:val="Strong"/>
          <w:b w:val="0"/>
          <w:i/>
          <w:color w:val="000000"/>
          <w:shd w:val="clear" w:color="auto" w:fill="FFFFFF"/>
          <w:lang w:val="es-CR"/>
        </w:rPr>
        <w:t xml:space="preserve">, </w:t>
      </w:r>
      <w:r w:rsidRPr="002F31BD">
        <w:rPr>
          <w:rStyle w:val="Strong"/>
          <w:b w:val="0"/>
          <w:i/>
          <w:color w:val="000000"/>
          <w:shd w:val="clear" w:color="auto" w:fill="FFFFFF"/>
          <w:lang w:val="es-CR"/>
        </w:rPr>
        <w:t>supra</w:t>
      </w:r>
      <w:r>
        <w:rPr>
          <w:rStyle w:val="Strong"/>
          <w:b w:val="0"/>
          <w:i/>
          <w:color w:val="000000"/>
          <w:shd w:val="clear" w:color="auto" w:fill="FFFFFF"/>
          <w:lang w:val="es-CR"/>
        </w:rPr>
        <w:t>,</w:t>
      </w:r>
      <w:r w:rsidRPr="00F23D52">
        <w:rPr>
          <w:rStyle w:val="Strong"/>
          <w:b w:val="0"/>
          <w:color w:val="000000"/>
          <w:shd w:val="clear" w:color="auto" w:fill="FFFFFF"/>
          <w:lang w:val="es-CR"/>
        </w:rPr>
        <w:t xml:space="preserve"> párr. 77, y </w:t>
      </w:r>
      <w:r w:rsidRPr="00333304">
        <w:rPr>
          <w:rStyle w:val="Strong"/>
          <w:b w:val="0"/>
          <w:i/>
          <w:color w:val="000000"/>
          <w:shd w:val="clear" w:color="auto" w:fill="FFFFFF"/>
          <w:lang w:val="es-CR"/>
        </w:rPr>
        <w:t xml:space="preserve">Caso Cantoral </w:t>
      </w:r>
      <w:proofErr w:type="spellStart"/>
      <w:r w:rsidRPr="00333304">
        <w:rPr>
          <w:rStyle w:val="Strong"/>
          <w:b w:val="0"/>
          <w:i/>
          <w:color w:val="000000"/>
          <w:shd w:val="clear" w:color="auto" w:fill="FFFFFF"/>
          <w:lang w:val="es-CR"/>
        </w:rPr>
        <w:t>Huamaní</w:t>
      </w:r>
      <w:proofErr w:type="spellEnd"/>
      <w:r w:rsidRPr="00333304">
        <w:rPr>
          <w:rStyle w:val="Strong"/>
          <w:b w:val="0"/>
          <w:i/>
          <w:color w:val="000000"/>
          <w:shd w:val="clear" w:color="auto" w:fill="FFFFFF"/>
          <w:lang w:val="es-CR"/>
        </w:rPr>
        <w:t xml:space="preserve"> y García Santa Cruz Vs. Perú. Excepción Preliminar, Fondo, Reparaciones y Costas.</w:t>
      </w:r>
      <w:r w:rsidRPr="00F23D52">
        <w:rPr>
          <w:rStyle w:val="Strong"/>
          <w:b w:val="0"/>
          <w:color w:val="000000"/>
          <w:shd w:val="clear" w:color="auto" w:fill="FFFFFF"/>
          <w:lang w:val="es-CR"/>
        </w:rPr>
        <w:t xml:space="preserve"> Sentencia de 10 de julio de 2007. Serie C No. 167, párr. 146.</w:t>
      </w:r>
    </w:p>
  </w:footnote>
  <w:footnote w:id="225">
    <w:p w14:paraId="70486613" w14:textId="17D38C09" w:rsidR="00D86616" w:rsidRPr="003B45F4" w:rsidRDefault="00D86616" w:rsidP="006A2D03">
      <w:pPr>
        <w:pStyle w:val="FootnoteText"/>
        <w:spacing w:after="0"/>
        <w:rPr>
          <w:lang w:val="es-MX"/>
        </w:rPr>
      </w:pPr>
      <w:r w:rsidRPr="00F23D52">
        <w:rPr>
          <w:rStyle w:val="FootnoteReference"/>
          <w:sz w:val="16"/>
        </w:rPr>
        <w:footnoteRef/>
      </w:r>
      <w:r w:rsidRPr="003B45F4">
        <w:rPr>
          <w:lang w:val="es-MX"/>
        </w:rPr>
        <w:t xml:space="preserve"> </w:t>
      </w:r>
      <w:r w:rsidRPr="003B45F4">
        <w:rPr>
          <w:lang w:val="es-MX"/>
        </w:rPr>
        <w:tab/>
      </w:r>
      <w:r w:rsidRPr="000C066A">
        <w:rPr>
          <w:i/>
          <w:lang w:val="es-MX"/>
        </w:rPr>
        <w:t xml:space="preserve">Cfr. </w:t>
      </w:r>
      <w:r w:rsidRPr="000C066A">
        <w:rPr>
          <w:rStyle w:val="Strong"/>
          <w:b w:val="0"/>
          <w:i/>
          <w:color w:val="000000"/>
          <w:shd w:val="clear" w:color="auto" w:fill="FFFFFF"/>
          <w:lang w:val="es-CR"/>
        </w:rPr>
        <w:t xml:space="preserve">Caso </w:t>
      </w:r>
      <w:proofErr w:type="spellStart"/>
      <w:r w:rsidRPr="000C066A">
        <w:rPr>
          <w:rStyle w:val="Strong"/>
          <w:b w:val="0"/>
          <w:i/>
          <w:color w:val="000000"/>
          <w:shd w:val="clear" w:color="auto" w:fill="FFFFFF"/>
          <w:lang w:val="es-CR"/>
        </w:rPr>
        <w:t>Huilca</w:t>
      </w:r>
      <w:proofErr w:type="spellEnd"/>
      <w:r w:rsidRPr="000C066A">
        <w:rPr>
          <w:rStyle w:val="Strong"/>
          <w:b w:val="0"/>
          <w:i/>
          <w:color w:val="000000"/>
          <w:shd w:val="clear" w:color="auto" w:fill="FFFFFF"/>
          <w:lang w:val="es-CR"/>
        </w:rPr>
        <w:t xml:space="preserve"> </w:t>
      </w:r>
      <w:proofErr w:type="spellStart"/>
      <w:r w:rsidRPr="000C066A">
        <w:rPr>
          <w:rStyle w:val="Strong"/>
          <w:b w:val="0"/>
          <w:i/>
          <w:color w:val="000000"/>
          <w:shd w:val="clear" w:color="auto" w:fill="FFFFFF"/>
          <w:lang w:val="es-CR"/>
        </w:rPr>
        <w:t>Tecse</w:t>
      </w:r>
      <w:proofErr w:type="spellEnd"/>
      <w:r w:rsidRPr="000C066A">
        <w:rPr>
          <w:rStyle w:val="Strong"/>
          <w:b w:val="0"/>
          <w:i/>
          <w:color w:val="000000"/>
          <w:shd w:val="clear" w:color="auto" w:fill="FFFFFF"/>
          <w:lang w:val="es-CR"/>
        </w:rPr>
        <w:t xml:space="preserve"> Vs. Perú, supra,</w:t>
      </w:r>
      <w:r w:rsidRPr="00F23D52">
        <w:rPr>
          <w:rStyle w:val="Strong"/>
          <w:b w:val="0"/>
          <w:color w:val="000000"/>
          <w:shd w:val="clear" w:color="auto" w:fill="FFFFFF"/>
          <w:lang w:val="es-CR"/>
        </w:rPr>
        <w:t xml:space="preserve"> párr. 70.</w:t>
      </w:r>
    </w:p>
  </w:footnote>
  <w:footnote w:id="226">
    <w:p w14:paraId="2480E4B5" w14:textId="7CE5DE96" w:rsidR="00D86616" w:rsidRPr="009E6ED2" w:rsidRDefault="00D86616" w:rsidP="006A2D03">
      <w:pPr>
        <w:pStyle w:val="FootnoteText"/>
        <w:spacing w:after="0"/>
        <w:rPr>
          <w:lang w:val="es-MX"/>
        </w:rPr>
      </w:pPr>
      <w:r w:rsidRPr="00F23D52">
        <w:rPr>
          <w:rStyle w:val="FootnoteReference"/>
          <w:sz w:val="16"/>
        </w:rPr>
        <w:footnoteRef/>
      </w:r>
      <w:r w:rsidRPr="003B45F4">
        <w:rPr>
          <w:lang w:val="es-MX"/>
        </w:rPr>
        <w:t xml:space="preserve"> </w:t>
      </w:r>
      <w:r w:rsidRPr="003B45F4">
        <w:rPr>
          <w:lang w:val="es-MX"/>
        </w:rPr>
        <w:tab/>
      </w:r>
      <w:r w:rsidRPr="00F77B70">
        <w:rPr>
          <w:rStyle w:val="apple-converted-space"/>
          <w:bCs/>
          <w:i/>
          <w:shd w:val="clear" w:color="auto" w:fill="FFFFFF"/>
          <w:lang w:val="es-CR"/>
        </w:rPr>
        <w:t>Cfr.</w:t>
      </w:r>
      <w:r w:rsidRPr="00333304">
        <w:rPr>
          <w:rStyle w:val="apple-converted-space"/>
          <w:bCs/>
          <w:i/>
          <w:shd w:val="clear" w:color="auto" w:fill="FFFFFF"/>
          <w:lang w:val="es-CR"/>
        </w:rPr>
        <w:t xml:space="preserve"> </w:t>
      </w:r>
      <w:r w:rsidRPr="00333304">
        <w:rPr>
          <w:rStyle w:val="Strong"/>
          <w:b w:val="0"/>
          <w:i/>
          <w:shd w:val="clear" w:color="auto" w:fill="FFFFFF"/>
          <w:lang w:val="es-CR"/>
        </w:rPr>
        <w:t>Caso Baena Ricardo y otros Vs. Panamá</w:t>
      </w:r>
      <w:r>
        <w:rPr>
          <w:rStyle w:val="Strong"/>
          <w:b w:val="0"/>
          <w:shd w:val="clear" w:color="auto" w:fill="FFFFFF"/>
          <w:lang w:val="es-CR"/>
        </w:rPr>
        <w:t xml:space="preserve">. </w:t>
      </w:r>
      <w:r>
        <w:rPr>
          <w:rStyle w:val="Strong"/>
          <w:b w:val="0"/>
          <w:i/>
          <w:color w:val="000000"/>
          <w:shd w:val="clear" w:color="auto" w:fill="FFFFFF"/>
          <w:lang w:val="es-CR"/>
        </w:rPr>
        <w:t xml:space="preserve">Fondo, </w:t>
      </w:r>
      <w:r w:rsidRPr="002F31BD">
        <w:rPr>
          <w:rStyle w:val="Strong"/>
          <w:b w:val="0"/>
          <w:i/>
          <w:shd w:val="clear" w:color="auto" w:fill="FFFFFF"/>
          <w:lang w:val="es-CR"/>
        </w:rPr>
        <w:t>supra</w:t>
      </w:r>
      <w:r>
        <w:rPr>
          <w:rStyle w:val="Strong"/>
          <w:b w:val="0"/>
          <w:shd w:val="clear" w:color="auto" w:fill="FFFFFF"/>
          <w:lang w:val="es-CR"/>
        </w:rPr>
        <w:t>,</w:t>
      </w:r>
      <w:r w:rsidRPr="00F23D52">
        <w:rPr>
          <w:rStyle w:val="Strong"/>
          <w:b w:val="0"/>
          <w:shd w:val="clear" w:color="auto" w:fill="FFFFFF"/>
          <w:lang w:val="es-CR"/>
        </w:rPr>
        <w:t xml:space="preserve"> párr. 156</w:t>
      </w:r>
      <w:r w:rsidRPr="009E6ED2">
        <w:rPr>
          <w:lang w:val="es-MX"/>
        </w:rPr>
        <w:t xml:space="preserve">, y </w:t>
      </w:r>
      <w:r w:rsidRPr="000C066A">
        <w:rPr>
          <w:i/>
          <w:lang w:val="es-MX"/>
        </w:rPr>
        <w:t xml:space="preserve">Caso Cantoral </w:t>
      </w:r>
      <w:proofErr w:type="spellStart"/>
      <w:r w:rsidRPr="000C066A">
        <w:rPr>
          <w:i/>
          <w:lang w:val="es-MX"/>
        </w:rPr>
        <w:t>Huamaní</w:t>
      </w:r>
      <w:proofErr w:type="spellEnd"/>
      <w:r w:rsidRPr="000C066A">
        <w:rPr>
          <w:i/>
          <w:lang w:val="es-MX"/>
        </w:rPr>
        <w:t xml:space="preserve"> y García Santa Cruz Vs. Perú, supra,</w:t>
      </w:r>
      <w:r w:rsidRPr="009E6ED2">
        <w:rPr>
          <w:lang w:val="es-MX"/>
        </w:rPr>
        <w:t xml:space="preserve"> </w:t>
      </w:r>
      <w:proofErr w:type="spellStart"/>
      <w:r w:rsidRPr="009E6ED2">
        <w:rPr>
          <w:lang w:val="es-MX"/>
        </w:rPr>
        <w:t>párrs</w:t>
      </w:r>
      <w:proofErr w:type="spellEnd"/>
      <w:r w:rsidRPr="009E6ED2">
        <w:rPr>
          <w:lang w:val="es-MX"/>
        </w:rPr>
        <w:t>. 144, 145, 146.</w:t>
      </w:r>
    </w:p>
  </w:footnote>
  <w:footnote w:id="227">
    <w:p w14:paraId="7FD2CCB1" w14:textId="199911A3" w:rsidR="00D86616" w:rsidRPr="009E6ED2" w:rsidRDefault="00D86616" w:rsidP="006A2D03">
      <w:pPr>
        <w:pStyle w:val="FootnoteText"/>
        <w:spacing w:after="0"/>
        <w:rPr>
          <w:lang w:val="es-MX"/>
        </w:rPr>
      </w:pPr>
      <w:r w:rsidRPr="00F23D52">
        <w:rPr>
          <w:rStyle w:val="FootnoteReference"/>
          <w:sz w:val="16"/>
        </w:rPr>
        <w:footnoteRef/>
      </w:r>
      <w:r w:rsidRPr="009E6ED2">
        <w:rPr>
          <w:lang w:val="es-MX"/>
        </w:rPr>
        <w:t xml:space="preserve"> </w:t>
      </w:r>
      <w:r w:rsidRPr="009E6ED2">
        <w:rPr>
          <w:lang w:val="es-MX"/>
        </w:rPr>
        <w:tab/>
      </w:r>
      <w:r w:rsidRPr="009E6ED2">
        <w:rPr>
          <w:i/>
          <w:lang w:val="es-MX"/>
        </w:rPr>
        <w:t>Cfr.</w:t>
      </w:r>
      <w:r w:rsidRPr="009E6ED2">
        <w:rPr>
          <w:lang w:val="es-MX"/>
        </w:rPr>
        <w:t xml:space="preserve"> OIT. Convenio Número 87 Relativo a la Libertad Sindical y a la Protección del Derecho de Sindicación, de 17 de junio de 1948 y Convenio Número 98 Relativo a la Aplicación de los Principios del Derecho de Sindicación y de Negociación Colectiva, de 8 de junio de 1949.</w:t>
      </w:r>
    </w:p>
  </w:footnote>
  <w:footnote w:id="228">
    <w:p w14:paraId="55039371" w14:textId="4786FA95" w:rsidR="00D86616" w:rsidRPr="003B45F4" w:rsidRDefault="00D86616" w:rsidP="006A2D03">
      <w:pPr>
        <w:pStyle w:val="FootnoteText"/>
        <w:spacing w:after="0"/>
        <w:rPr>
          <w:rFonts w:eastAsia="Calibri"/>
          <w:shd w:val="clear" w:color="auto" w:fill="FFFFFF"/>
          <w:lang w:val="es-MX" w:eastAsia="en-US"/>
        </w:rPr>
      </w:pPr>
      <w:r w:rsidRPr="00F23D52">
        <w:rPr>
          <w:rStyle w:val="FootnoteReference"/>
          <w:sz w:val="16"/>
        </w:rPr>
        <w:footnoteRef/>
      </w:r>
      <w:r w:rsidRPr="003B45F4">
        <w:rPr>
          <w:lang w:val="es-MX"/>
        </w:rPr>
        <w:t xml:space="preserve"> </w:t>
      </w:r>
      <w:r w:rsidRPr="003B45F4">
        <w:rPr>
          <w:lang w:val="es-MX"/>
        </w:rPr>
        <w:tab/>
      </w:r>
      <w:r w:rsidRPr="00F77B70">
        <w:rPr>
          <w:rStyle w:val="apple-converted-space"/>
          <w:bCs/>
          <w:i/>
          <w:color w:val="000000"/>
          <w:shd w:val="clear" w:color="auto" w:fill="FFFFFF"/>
          <w:lang w:val="es-CR"/>
        </w:rPr>
        <w:t>Cfr.</w:t>
      </w:r>
      <w:r w:rsidRPr="00333304">
        <w:rPr>
          <w:rStyle w:val="apple-converted-space"/>
          <w:b/>
          <w:bCs/>
          <w:i/>
          <w:color w:val="000000"/>
          <w:shd w:val="clear" w:color="auto" w:fill="FFFFFF"/>
          <w:lang w:val="es-CR"/>
        </w:rPr>
        <w:t xml:space="preserve"> </w:t>
      </w:r>
      <w:r w:rsidRPr="00333304">
        <w:rPr>
          <w:rStyle w:val="Strong"/>
          <w:b w:val="0"/>
          <w:i/>
          <w:color w:val="000000"/>
          <w:shd w:val="clear" w:color="auto" w:fill="FFFFFF"/>
          <w:lang w:val="es-CR"/>
        </w:rPr>
        <w:t>Caso Baena Ricardo y otros Vs. Panamá</w:t>
      </w:r>
      <w:r>
        <w:rPr>
          <w:rStyle w:val="Strong"/>
          <w:b w:val="0"/>
          <w:color w:val="000000"/>
          <w:shd w:val="clear" w:color="auto" w:fill="FFFFFF"/>
          <w:lang w:val="es-CR"/>
        </w:rPr>
        <w:t xml:space="preserve">. </w:t>
      </w:r>
      <w:r>
        <w:rPr>
          <w:rStyle w:val="Strong"/>
          <w:b w:val="0"/>
          <w:i/>
          <w:color w:val="000000"/>
          <w:shd w:val="clear" w:color="auto" w:fill="FFFFFF"/>
          <w:lang w:val="es-CR"/>
        </w:rPr>
        <w:t xml:space="preserve">Fondo, </w:t>
      </w:r>
      <w:r w:rsidRPr="002F31BD">
        <w:rPr>
          <w:rStyle w:val="Strong"/>
          <w:b w:val="0"/>
          <w:i/>
          <w:color w:val="000000"/>
          <w:shd w:val="clear" w:color="auto" w:fill="FFFFFF"/>
          <w:lang w:val="es-CR"/>
        </w:rPr>
        <w:t>supra</w:t>
      </w:r>
      <w:r>
        <w:rPr>
          <w:rStyle w:val="Strong"/>
          <w:b w:val="0"/>
          <w:i/>
          <w:color w:val="000000"/>
          <w:shd w:val="clear" w:color="auto" w:fill="FFFFFF"/>
          <w:lang w:val="es-CR"/>
        </w:rPr>
        <w:t>,</w:t>
      </w:r>
      <w:r>
        <w:rPr>
          <w:rStyle w:val="Strong"/>
          <w:b w:val="0"/>
          <w:color w:val="000000"/>
          <w:shd w:val="clear" w:color="auto" w:fill="FFFFFF"/>
          <w:lang w:val="es-CR"/>
        </w:rPr>
        <w:t xml:space="preserve"> párr. 158</w:t>
      </w:r>
      <w:r w:rsidRPr="00F23D52">
        <w:rPr>
          <w:rFonts w:cs="StempelSchneidler-Light"/>
          <w:lang w:val="es-EC"/>
        </w:rPr>
        <w:t>.</w:t>
      </w:r>
    </w:p>
  </w:footnote>
  <w:footnote w:id="229">
    <w:p w14:paraId="053C3A89" w14:textId="4942CCEB" w:rsidR="00D86616" w:rsidRPr="003B45F4" w:rsidRDefault="00D86616" w:rsidP="006A2D03">
      <w:pPr>
        <w:pStyle w:val="FootnoteText"/>
        <w:spacing w:after="0"/>
        <w:rPr>
          <w:lang w:val="es-MX"/>
        </w:rPr>
      </w:pPr>
      <w:r w:rsidRPr="00F23D52">
        <w:rPr>
          <w:rStyle w:val="FootnoteReference"/>
          <w:sz w:val="16"/>
        </w:rPr>
        <w:footnoteRef/>
      </w:r>
      <w:r w:rsidRPr="003B45F4">
        <w:rPr>
          <w:lang w:val="es-MX"/>
        </w:rPr>
        <w:t xml:space="preserve"> </w:t>
      </w:r>
      <w:r w:rsidRPr="003B45F4">
        <w:rPr>
          <w:lang w:val="es-MX"/>
        </w:rPr>
        <w:tab/>
      </w:r>
      <w:r w:rsidRPr="000C066A">
        <w:rPr>
          <w:i/>
          <w:lang w:val="es-MX"/>
        </w:rPr>
        <w:t>Cfr.</w:t>
      </w:r>
      <w:r w:rsidRPr="003B45F4">
        <w:rPr>
          <w:lang w:val="es-MX"/>
        </w:rPr>
        <w:t xml:space="preserve"> Protocolo de San Salvador, artículo 19.6</w:t>
      </w:r>
      <w:r>
        <w:rPr>
          <w:lang w:val="es-MX"/>
        </w:rPr>
        <w:t>;</w:t>
      </w:r>
      <w:r w:rsidRPr="003B45F4">
        <w:rPr>
          <w:lang w:val="es-MX"/>
        </w:rPr>
        <w:t xml:space="preserve"> </w:t>
      </w:r>
      <w:r w:rsidRPr="00333304">
        <w:rPr>
          <w:rStyle w:val="Strong"/>
          <w:b w:val="0"/>
          <w:i/>
          <w:color w:val="000000"/>
          <w:shd w:val="clear" w:color="auto" w:fill="FFFFFF"/>
          <w:lang w:val="es-CR"/>
        </w:rPr>
        <w:t>Titularidad de derechos de las personas jurídicas en el sistema interamericano de derechos humanos (Interpretación y alcance del artículo 1.2, en relación con los artículos 1.1, 8, 11.2, 13, 16, 21, 24, 25, 29, 30, 44, 46, y 62.3 de la Convención Americana sobre Derechos Humanos, así como del artículo 8.1 A y B del Protocolo de San Salvador).</w:t>
      </w:r>
      <w:r w:rsidRPr="00F23D52">
        <w:rPr>
          <w:rStyle w:val="Strong"/>
          <w:b w:val="0"/>
          <w:color w:val="000000"/>
          <w:shd w:val="clear" w:color="auto" w:fill="FFFFFF"/>
          <w:lang w:val="es-CR"/>
        </w:rPr>
        <w:t xml:space="preserve"> </w:t>
      </w:r>
      <w:r w:rsidRPr="000D6295">
        <w:rPr>
          <w:rStyle w:val="Strong"/>
          <w:b w:val="0"/>
          <w:i/>
          <w:color w:val="000000"/>
          <w:shd w:val="clear" w:color="auto" w:fill="FFFFFF"/>
          <w:lang w:val="es-CR"/>
        </w:rPr>
        <w:t>Opinión Consultiva OC-22/16</w:t>
      </w:r>
      <w:r w:rsidRPr="00F23D52">
        <w:rPr>
          <w:rStyle w:val="Strong"/>
          <w:b w:val="0"/>
          <w:color w:val="000000"/>
          <w:shd w:val="clear" w:color="auto" w:fill="FFFFFF"/>
          <w:lang w:val="es-CR"/>
        </w:rPr>
        <w:t xml:space="preserve"> de 26 de febrero de 2016. Serie A No. 22, párr. 87, y</w:t>
      </w:r>
      <w:r w:rsidRPr="003B45F4">
        <w:rPr>
          <w:lang w:val="es-MX"/>
        </w:rPr>
        <w:t xml:space="preserve"> </w:t>
      </w:r>
      <w:r w:rsidRPr="000D6295">
        <w:rPr>
          <w:i/>
          <w:lang w:val="es-MX"/>
        </w:rPr>
        <w:t xml:space="preserve">Caso </w:t>
      </w:r>
      <w:proofErr w:type="spellStart"/>
      <w:r w:rsidRPr="000D6295">
        <w:rPr>
          <w:i/>
          <w:lang w:val="es-MX"/>
        </w:rPr>
        <w:t>Huilca</w:t>
      </w:r>
      <w:proofErr w:type="spellEnd"/>
      <w:r w:rsidRPr="000D6295">
        <w:rPr>
          <w:i/>
          <w:lang w:val="es-MX"/>
        </w:rPr>
        <w:t xml:space="preserve"> </w:t>
      </w:r>
      <w:proofErr w:type="spellStart"/>
      <w:r w:rsidRPr="000D6295">
        <w:rPr>
          <w:i/>
          <w:lang w:val="es-MX"/>
        </w:rPr>
        <w:t>Tecse</w:t>
      </w:r>
      <w:proofErr w:type="spellEnd"/>
      <w:r w:rsidRPr="000D6295">
        <w:rPr>
          <w:i/>
          <w:lang w:val="es-MX"/>
        </w:rPr>
        <w:t xml:space="preserve"> Vs. Perú, supra</w:t>
      </w:r>
      <w:r w:rsidRPr="003B45F4">
        <w:rPr>
          <w:lang w:val="es-MX"/>
        </w:rPr>
        <w:t>, párr. 74</w:t>
      </w:r>
      <w:r w:rsidRPr="00392C24">
        <w:rPr>
          <w:rStyle w:val="Strong"/>
          <w:b w:val="0"/>
          <w:color w:val="000000"/>
          <w:shd w:val="clear" w:color="auto" w:fill="FFFFFF"/>
          <w:lang w:val="es-CR"/>
        </w:rPr>
        <w:t>.</w:t>
      </w:r>
    </w:p>
  </w:footnote>
  <w:footnote w:id="230">
    <w:p w14:paraId="729E3D22" w14:textId="520E15BF" w:rsidR="00D86616" w:rsidRPr="009E6ED2" w:rsidRDefault="00D86616" w:rsidP="006A2D03">
      <w:pPr>
        <w:pStyle w:val="FootnoteText"/>
        <w:spacing w:after="0"/>
        <w:rPr>
          <w:lang w:val="es-MX"/>
        </w:rPr>
      </w:pPr>
      <w:r w:rsidRPr="00F23D52">
        <w:rPr>
          <w:rStyle w:val="FootnoteReference"/>
          <w:sz w:val="16"/>
        </w:rPr>
        <w:footnoteRef/>
      </w:r>
      <w:r w:rsidRPr="009E6ED2">
        <w:rPr>
          <w:lang w:val="es-MX"/>
        </w:rPr>
        <w:t xml:space="preserve"> </w:t>
      </w:r>
      <w:r w:rsidRPr="009E6ED2">
        <w:rPr>
          <w:lang w:val="es-MX"/>
        </w:rPr>
        <w:tab/>
      </w:r>
      <w:r w:rsidRPr="009E6ED2">
        <w:rPr>
          <w:i/>
          <w:lang w:val="es-MX"/>
        </w:rPr>
        <w:t>Cfr.</w:t>
      </w:r>
      <w:r w:rsidRPr="009E6ED2">
        <w:rPr>
          <w:lang w:val="es-MX"/>
        </w:rPr>
        <w:t xml:space="preserve"> Declaración Americana de los Derechos y Deberes del Hombre, artículo XXII; Carta de la Organización de los Estados Americanos, artículo 45, inciso c); Carta Democrática Interamericana, Preámbulo, y Convenio sobre los representantes de los trabajadores, </w:t>
      </w:r>
      <w:r w:rsidRPr="009E6ED2">
        <w:rPr>
          <w:i/>
          <w:lang w:val="es-MX"/>
        </w:rPr>
        <w:t>supra</w:t>
      </w:r>
      <w:r w:rsidRPr="009E6ED2">
        <w:rPr>
          <w:lang w:val="es-MX"/>
        </w:rPr>
        <w:t xml:space="preserve">, artículo 3 (b). </w:t>
      </w:r>
    </w:p>
  </w:footnote>
  <w:footnote w:id="231">
    <w:p w14:paraId="3B9C375D" w14:textId="1FE546A6" w:rsidR="00D86616" w:rsidRPr="009E6ED2" w:rsidRDefault="00D86616" w:rsidP="006A2D03">
      <w:pPr>
        <w:pStyle w:val="FootnoteText"/>
        <w:spacing w:after="0"/>
        <w:rPr>
          <w:lang w:val="es-MX"/>
        </w:rPr>
      </w:pPr>
      <w:r w:rsidRPr="004C3F47">
        <w:rPr>
          <w:rStyle w:val="FootnoteReference"/>
          <w:sz w:val="16"/>
        </w:rPr>
        <w:footnoteRef/>
      </w:r>
      <w:r w:rsidRPr="009E6ED2">
        <w:rPr>
          <w:lang w:val="es-MX"/>
        </w:rPr>
        <w:t xml:space="preserve"> </w:t>
      </w:r>
      <w:r w:rsidRPr="009E6ED2">
        <w:rPr>
          <w:lang w:val="es-MX"/>
        </w:rPr>
        <w:tab/>
        <w:t xml:space="preserve">Convenio sobre los representantes de los trabajadores, </w:t>
      </w:r>
      <w:r w:rsidRPr="009E6ED2">
        <w:rPr>
          <w:i/>
          <w:lang w:val="es-MX"/>
        </w:rPr>
        <w:t>supra</w:t>
      </w:r>
      <w:r w:rsidRPr="009E6ED2">
        <w:rPr>
          <w:lang w:val="es-MX"/>
        </w:rPr>
        <w:t>, artículo 3 (b).</w:t>
      </w:r>
    </w:p>
  </w:footnote>
  <w:footnote w:id="232">
    <w:p w14:paraId="7304C7EB" w14:textId="1FBD9012" w:rsidR="00D86616" w:rsidRPr="009E6ED2" w:rsidRDefault="00D86616" w:rsidP="006A2D03">
      <w:pPr>
        <w:pStyle w:val="FootnoteText"/>
        <w:spacing w:after="0"/>
        <w:rPr>
          <w:lang w:val="es-MX"/>
        </w:rPr>
      </w:pPr>
      <w:r w:rsidRPr="004C3F47">
        <w:rPr>
          <w:rStyle w:val="FootnoteReference"/>
          <w:sz w:val="16"/>
        </w:rPr>
        <w:footnoteRef/>
      </w:r>
      <w:r w:rsidRPr="009E6ED2">
        <w:rPr>
          <w:lang w:val="es-MX"/>
        </w:rPr>
        <w:t xml:space="preserve"> </w:t>
      </w:r>
      <w:r w:rsidRPr="009E6ED2">
        <w:rPr>
          <w:lang w:val="es-MX"/>
        </w:rPr>
        <w:tab/>
      </w:r>
      <w:r w:rsidRPr="009E6ED2">
        <w:rPr>
          <w:i/>
          <w:lang w:val="es-MX"/>
        </w:rPr>
        <w:t>Cfr.</w:t>
      </w:r>
      <w:r w:rsidRPr="009E6ED2">
        <w:rPr>
          <w:lang w:val="es-MX"/>
        </w:rPr>
        <w:t xml:space="preserve"> Recomendación 143 sobre los representantes de los trabajadores, </w:t>
      </w:r>
      <w:r w:rsidRPr="009E6ED2">
        <w:rPr>
          <w:i/>
          <w:lang w:val="es-MX"/>
        </w:rPr>
        <w:t xml:space="preserve">supra, </w:t>
      </w:r>
      <w:r w:rsidRPr="009E6ED2">
        <w:rPr>
          <w:lang w:val="es-MX"/>
        </w:rPr>
        <w:t xml:space="preserve">punto 5, y </w:t>
      </w:r>
      <w:r w:rsidRPr="009E6ED2">
        <w:rPr>
          <w:i/>
          <w:lang w:val="es-MX"/>
        </w:rPr>
        <w:t xml:space="preserve">mutatis </w:t>
      </w:r>
      <w:proofErr w:type="spellStart"/>
      <w:r w:rsidRPr="009E6ED2">
        <w:rPr>
          <w:i/>
          <w:lang w:val="es-MX"/>
        </w:rPr>
        <w:t>mutandi</w:t>
      </w:r>
      <w:proofErr w:type="spellEnd"/>
      <w:r w:rsidRPr="009E6ED2">
        <w:rPr>
          <w:lang w:val="es-MX"/>
        </w:rPr>
        <w:t xml:space="preserve">, TEDH, </w:t>
      </w:r>
      <w:r w:rsidRPr="009E6ED2">
        <w:rPr>
          <w:i/>
          <w:lang w:val="es-MX"/>
        </w:rPr>
        <w:t xml:space="preserve">Caso </w:t>
      </w:r>
      <w:proofErr w:type="spellStart"/>
      <w:r w:rsidRPr="009E6ED2">
        <w:rPr>
          <w:i/>
          <w:lang w:val="es-MX"/>
        </w:rPr>
        <w:t>Csánics</w:t>
      </w:r>
      <w:proofErr w:type="spellEnd"/>
      <w:r w:rsidRPr="009E6ED2">
        <w:rPr>
          <w:i/>
          <w:lang w:val="es-MX"/>
        </w:rPr>
        <w:t xml:space="preserve"> Vs. </w:t>
      </w:r>
      <w:proofErr w:type="spellStart"/>
      <w:r w:rsidRPr="009E6ED2">
        <w:rPr>
          <w:i/>
          <w:lang w:val="es-MX"/>
        </w:rPr>
        <w:t>Hungria</w:t>
      </w:r>
      <w:proofErr w:type="spellEnd"/>
      <w:r w:rsidRPr="009E6ED2">
        <w:rPr>
          <w:lang w:val="es-MX"/>
        </w:rPr>
        <w:t xml:space="preserve">, No. 12188/06. Sentencia de 20 de enero de 2009; TEDH, </w:t>
      </w:r>
      <w:r w:rsidRPr="009E6ED2">
        <w:rPr>
          <w:i/>
          <w:lang w:val="es-MX"/>
        </w:rPr>
        <w:t xml:space="preserve">Caso </w:t>
      </w:r>
      <w:proofErr w:type="spellStart"/>
      <w:r w:rsidRPr="009E6ED2">
        <w:rPr>
          <w:i/>
          <w:lang w:val="es-MX"/>
        </w:rPr>
        <w:t>Szima</w:t>
      </w:r>
      <w:proofErr w:type="spellEnd"/>
      <w:r w:rsidRPr="009E6ED2">
        <w:rPr>
          <w:i/>
          <w:lang w:val="es-MX"/>
        </w:rPr>
        <w:t xml:space="preserve"> Vs. Hungría</w:t>
      </w:r>
      <w:r w:rsidRPr="009E6ED2">
        <w:rPr>
          <w:lang w:val="es-MX"/>
        </w:rPr>
        <w:t xml:space="preserve">, No. 29723/11. Sentencia de 9 de octubre de 2012, y TEDH, </w:t>
      </w:r>
      <w:r w:rsidRPr="009E6ED2">
        <w:rPr>
          <w:i/>
          <w:lang w:val="es-MX"/>
        </w:rPr>
        <w:t xml:space="preserve">Caso </w:t>
      </w:r>
      <w:proofErr w:type="spellStart"/>
      <w:r w:rsidRPr="009E6ED2">
        <w:rPr>
          <w:i/>
          <w:lang w:val="es-MX"/>
        </w:rPr>
        <w:t>Heinisch</w:t>
      </w:r>
      <w:proofErr w:type="spellEnd"/>
      <w:r w:rsidRPr="009E6ED2">
        <w:rPr>
          <w:i/>
          <w:lang w:val="es-MX"/>
        </w:rPr>
        <w:t xml:space="preserve"> Vs. Alemania</w:t>
      </w:r>
      <w:r w:rsidRPr="009E6ED2">
        <w:rPr>
          <w:lang w:val="es-MX"/>
        </w:rPr>
        <w:t>, No. 28274/08. Sentencia de 21 de julio de 2011.</w:t>
      </w:r>
    </w:p>
  </w:footnote>
  <w:footnote w:id="233">
    <w:p w14:paraId="19767A1C" w14:textId="32D8E6B4" w:rsidR="00D86616" w:rsidRPr="009E6ED2" w:rsidRDefault="00D86616" w:rsidP="006A2D03">
      <w:pPr>
        <w:pStyle w:val="FootnoteText"/>
        <w:spacing w:after="0"/>
        <w:rPr>
          <w:lang w:val="es-MX"/>
        </w:rPr>
      </w:pPr>
      <w:r w:rsidRPr="004C3F47">
        <w:rPr>
          <w:rStyle w:val="FootnoteReference"/>
          <w:sz w:val="16"/>
        </w:rPr>
        <w:footnoteRef/>
      </w:r>
      <w:r w:rsidRPr="009E6ED2">
        <w:rPr>
          <w:lang w:val="es-MX"/>
        </w:rPr>
        <w:t xml:space="preserve"> </w:t>
      </w:r>
      <w:r w:rsidRPr="009E6ED2">
        <w:rPr>
          <w:lang w:val="es-MX"/>
        </w:rPr>
        <w:tab/>
      </w:r>
      <w:r w:rsidRPr="004868B2">
        <w:rPr>
          <w:lang w:val="es-MX"/>
        </w:rPr>
        <w:t>TEDH</w:t>
      </w:r>
      <w:r>
        <w:rPr>
          <w:lang w:val="es-MX"/>
        </w:rPr>
        <w:t>.</w:t>
      </w:r>
      <w:r w:rsidRPr="009E6ED2">
        <w:rPr>
          <w:lang w:val="es-MX"/>
        </w:rPr>
        <w:t xml:space="preserve"> </w:t>
      </w:r>
      <w:r w:rsidRPr="000C066A">
        <w:rPr>
          <w:i/>
          <w:lang w:val="es-MX"/>
        </w:rPr>
        <w:t>Caso Palomo Sánchez y otros Vs. España [GS], supra</w:t>
      </w:r>
      <w:r w:rsidRPr="009E6ED2">
        <w:rPr>
          <w:lang w:val="es-MX"/>
        </w:rPr>
        <w:t>, párr. 56.</w:t>
      </w:r>
    </w:p>
  </w:footnote>
  <w:footnote w:id="234">
    <w:p w14:paraId="713741AF" w14:textId="7FB7E8BD" w:rsidR="00D86616" w:rsidRPr="00801513" w:rsidRDefault="00D86616" w:rsidP="006A2D03">
      <w:pPr>
        <w:pStyle w:val="FootnoteText"/>
        <w:spacing w:after="0"/>
        <w:rPr>
          <w:lang w:val="es-MX"/>
        </w:rPr>
      </w:pPr>
      <w:r w:rsidRPr="00363DED">
        <w:rPr>
          <w:rStyle w:val="FootnoteReference"/>
          <w:sz w:val="16"/>
        </w:rPr>
        <w:footnoteRef/>
      </w:r>
      <w:r w:rsidRPr="004C3F47">
        <w:rPr>
          <w:lang w:val="es-MX"/>
        </w:rPr>
        <w:t xml:space="preserve"> </w:t>
      </w:r>
      <w:r w:rsidRPr="004C3F47">
        <w:rPr>
          <w:lang w:val="es-MX"/>
        </w:rPr>
        <w:tab/>
      </w:r>
      <w:r w:rsidRPr="009E6ED2">
        <w:rPr>
          <w:i/>
          <w:lang w:val="es-MX"/>
        </w:rPr>
        <w:t xml:space="preserve">Cfr. </w:t>
      </w:r>
      <w:r w:rsidRPr="00333304">
        <w:rPr>
          <w:rStyle w:val="Strong"/>
          <w:b w:val="0"/>
          <w:i/>
          <w:color w:val="000000"/>
          <w:shd w:val="clear" w:color="auto" w:fill="FFFFFF"/>
          <w:lang w:val="es-CR"/>
        </w:rPr>
        <w:t xml:space="preserve">Caso </w:t>
      </w:r>
      <w:proofErr w:type="spellStart"/>
      <w:r w:rsidRPr="00333304">
        <w:rPr>
          <w:rStyle w:val="Strong"/>
          <w:b w:val="0"/>
          <w:i/>
          <w:color w:val="000000"/>
          <w:shd w:val="clear" w:color="auto" w:fill="FFFFFF"/>
          <w:lang w:val="es-CR"/>
        </w:rPr>
        <w:t>Huilca</w:t>
      </w:r>
      <w:proofErr w:type="spellEnd"/>
      <w:r w:rsidRPr="00333304">
        <w:rPr>
          <w:rStyle w:val="Strong"/>
          <w:b w:val="0"/>
          <w:i/>
          <w:color w:val="000000"/>
          <w:shd w:val="clear" w:color="auto" w:fill="FFFFFF"/>
          <w:lang w:val="es-CR"/>
        </w:rPr>
        <w:t xml:space="preserve"> </w:t>
      </w:r>
      <w:proofErr w:type="spellStart"/>
      <w:r w:rsidRPr="00333304">
        <w:rPr>
          <w:rStyle w:val="Strong"/>
          <w:b w:val="0"/>
          <w:i/>
          <w:color w:val="000000"/>
          <w:shd w:val="clear" w:color="auto" w:fill="FFFFFF"/>
          <w:lang w:val="es-CR"/>
        </w:rPr>
        <w:t>Tecse</w:t>
      </w:r>
      <w:proofErr w:type="spellEnd"/>
      <w:r w:rsidRPr="00333304">
        <w:rPr>
          <w:rStyle w:val="Strong"/>
          <w:b w:val="0"/>
          <w:i/>
          <w:color w:val="000000"/>
          <w:shd w:val="clear" w:color="auto" w:fill="FFFFFF"/>
          <w:lang w:val="es-CR"/>
        </w:rPr>
        <w:t xml:space="preserve"> Vs. Perú</w:t>
      </w:r>
      <w:r>
        <w:rPr>
          <w:rStyle w:val="Strong"/>
          <w:b w:val="0"/>
          <w:i/>
          <w:color w:val="000000"/>
          <w:shd w:val="clear" w:color="auto" w:fill="FFFFFF"/>
          <w:lang w:val="es-CR"/>
        </w:rPr>
        <w:t xml:space="preserve">, </w:t>
      </w:r>
      <w:r w:rsidRPr="002F31BD">
        <w:rPr>
          <w:rStyle w:val="Strong"/>
          <w:b w:val="0"/>
          <w:i/>
          <w:color w:val="000000"/>
          <w:shd w:val="clear" w:color="auto" w:fill="FFFFFF"/>
          <w:lang w:val="es-CR"/>
        </w:rPr>
        <w:t>supra</w:t>
      </w:r>
      <w:r>
        <w:rPr>
          <w:rStyle w:val="Strong"/>
          <w:b w:val="0"/>
          <w:i/>
          <w:color w:val="000000"/>
          <w:shd w:val="clear" w:color="auto" w:fill="FFFFFF"/>
          <w:lang w:val="es-CR"/>
        </w:rPr>
        <w:t xml:space="preserve">, </w:t>
      </w:r>
      <w:proofErr w:type="spellStart"/>
      <w:r w:rsidRPr="004C3F47">
        <w:rPr>
          <w:rStyle w:val="Strong"/>
          <w:b w:val="0"/>
          <w:color w:val="000000"/>
          <w:shd w:val="clear" w:color="auto" w:fill="FFFFFF"/>
          <w:lang w:val="es-CR"/>
        </w:rPr>
        <w:t>párr</w:t>
      </w:r>
      <w:r>
        <w:rPr>
          <w:rStyle w:val="Strong"/>
          <w:b w:val="0"/>
          <w:color w:val="000000"/>
          <w:shd w:val="clear" w:color="auto" w:fill="FFFFFF"/>
          <w:lang w:val="es-CR"/>
        </w:rPr>
        <w:t>s</w:t>
      </w:r>
      <w:proofErr w:type="spellEnd"/>
      <w:r w:rsidRPr="004C3F47">
        <w:rPr>
          <w:rStyle w:val="Strong"/>
          <w:b w:val="0"/>
          <w:color w:val="000000"/>
          <w:shd w:val="clear" w:color="auto" w:fill="FFFFFF"/>
          <w:lang w:val="es-CR"/>
        </w:rPr>
        <w:t>. 70</w:t>
      </w:r>
      <w:r>
        <w:rPr>
          <w:rStyle w:val="Strong"/>
          <w:b w:val="0"/>
          <w:color w:val="000000"/>
          <w:shd w:val="clear" w:color="auto" w:fill="FFFFFF"/>
          <w:lang w:val="es-CR"/>
        </w:rPr>
        <w:t xml:space="preserve"> a </w:t>
      </w:r>
      <w:r w:rsidRPr="004C3F47">
        <w:rPr>
          <w:rStyle w:val="Strong"/>
          <w:b w:val="0"/>
          <w:color w:val="000000"/>
          <w:shd w:val="clear" w:color="auto" w:fill="FFFFFF"/>
          <w:lang w:val="es-CR"/>
        </w:rPr>
        <w:t xml:space="preserve">72, y </w:t>
      </w:r>
      <w:r w:rsidRPr="00333304">
        <w:rPr>
          <w:rStyle w:val="Strong"/>
          <w:b w:val="0"/>
          <w:i/>
          <w:color w:val="000000"/>
          <w:shd w:val="clear" w:color="auto" w:fill="FFFFFF"/>
          <w:lang w:val="es-CR"/>
        </w:rPr>
        <w:t xml:space="preserve">Caso Cantoral </w:t>
      </w:r>
      <w:proofErr w:type="spellStart"/>
      <w:r w:rsidRPr="00333304">
        <w:rPr>
          <w:rStyle w:val="Strong"/>
          <w:b w:val="0"/>
          <w:i/>
          <w:color w:val="000000"/>
          <w:shd w:val="clear" w:color="auto" w:fill="FFFFFF"/>
          <w:lang w:val="es-CR"/>
        </w:rPr>
        <w:t>Huamaní</w:t>
      </w:r>
      <w:proofErr w:type="spellEnd"/>
      <w:r w:rsidRPr="00333304">
        <w:rPr>
          <w:rStyle w:val="Strong"/>
          <w:b w:val="0"/>
          <w:i/>
          <w:color w:val="000000"/>
          <w:shd w:val="clear" w:color="auto" w:fill="FFFFFF"/>
          <w:lang w:val="es-CR"/>
        </w:rPr>
        <w:t xml:space="preserve"> y García Santa Cruz Vs. Perú, </w:t>
      </w:r>
      <w:r w:rsidRPr="002F31BD">
        <w:rPr>
          <w:rStyle w:val="Strong"/>
          <w:b w:val="0"/>
          <w:i/>
          <w:color w:val="000000"/>
          <w:shd w:val="clear" w:color="auto" w:fill="FFFFFF"/>
          <w:lang w:val="es-CR"/>
        </w:rPr>
        <w:t>supra</w:t>
      </w:r>
      <w:r w:rsidRPr="00333304">
        <w:rPr>
          <w:rStyle w:val="Strong"/>
          <w:b w:val="0"/>
          <w:i/>
          <w:color w:val="000000"/>
          <w:shd w:val="clear" w:color="auto" w:fill="FFFFFF"/>
          <w:lang w:val="es-CR"/>
        </w:rPr>
        <w:t>,</w:t>
      </w:r>
      <w:r>
        <w:rPr>
          <w:rStyle w:val="Strong"/>
          <w:b w:val="0"/>
          <w:color w:val="000000"/>
          <w:shd w:val="clear" w:color="auto" w:fill="FFFFFF"/>
          <w:lang w:val="es-CR"/>
        </w:rPr>
        <w:t xml:space="preserve"> </w:t>
      </w:r>
      <w:r w:rsidRPr="004C3F47">
        <w:rPr>
          <w:rStyle w:val="Strong"/>
          <w:b w:val="0"/>
          <w:color w:val="000000"/>
          <w:shd w:val="clear" w:color="auto" w:fill="FFFFFF"/>
          <w:lang w:val="es-CR"/>
        </w:rPr>
        <w:t>párr. 148.</w:t>
      </w:r>
    </w:p>
  </w:footnote>
  <w:footnote w:id="235">
    <w:p w14:paraId="6FDFDBA5" w14:textId="3EED7A58" w:rsidR="00D86616" w:rsidRPr="003B45F4" w:rsidRDefault="00D86616" w:rsidP="006A2D03">
      <w:pPr>
        <w:pStyle w:val="FootnoteText"/>
        <w:spacing w:after="0"/>
        <w:rPr>
          <w:lang w:val="es-MX"/>
        </w:rPr>
      </w:pPr>
      <w:r w:rsidRPr="004C3F47">
        <w:rPr>
          <w:rStyle w:val="FootnoteReference"/>
          <w:sz w:val="16"/>
        </w:rPr>
        <w:footnoteRef/>
      </w:r>
      <w:r w:rsidRPr="004C3F47">
        <w:rPr>
          <w:lang w:val="es-MX"/>
        </w:rPr>
        <w:t xml:space="preserve"> </w:t>
      </w:r>
      <w:r w:rsidRPr="004C3F47">
        <w:rPr>
          <w:lang w:val="es-MX"/>
        </w:rPr>
        <w:tab/>
      </w:r>
      <w:r w:rsidRPr="009E6ED2">
        <w:rPr>
          <w:i/>
          <w:lang w:val="es-MX"/>
        </w:rPr>
        <w:t xml:space="preserve">Mutatis </w:t>
      </w:r>
      <w:proofErr w:type="spellStart"/>
      <w:r w:rsidRPr="009E6ED2">
        <w:rPr>
          <w:i/>
          <w:lang w:val="es-MX"/>
        </w:rPr>
        <w:t>mutandi</w:t>
      </w:r>
      <w:proofErr w:type="spellEnd"/>
      <w:r w:rsidRPr="004C3F47">
        <w:rPr>
          <w:lang w:val="es-MX"/>
        </w:rPr>
        <w:t xml:space="preserve">, </w:t>
      </w:r>
      <w:r w:rsidRPr="00333304">
        <w:rPr>
          <w:rStyle w:val="Strong"/>
          <w:b w:val="0"/>
          <w:i/>
          <w:color w:val="000000"/>
          <w:shd w:val="clear" w:color="auto" w:fill="FFFFFF"/>
          <w:lang w:val="es-CR"/>
        </w:rPr>
        <w:t xml:space="preserve">Caso </w:t>
      </w:r>
      <w:proofErr w:type="spellStart"/>
      <w:r w:rsidRPr="00333304">
        <w:rPr>
          <w:rStyle w:val="Strong"/>
          <w:b w:val="0"/>
          <w:i/>
          <w:color w:val="000000"/>
          <w:shd w:val="clear" w:color="auto" w:fill="FFFFFF"/>
          <w:lang w:val="es-CR"/>
        </w:rPr>
        <w:t>Chitay</w:t>
      </w:r>
      <w:proofErr w:type="spellEnd"/>
      <w:r w:rsidRPr="00333304">
        <w:rPr>
          <w:rStyle w:val="Strong"/>
          <w:b w:val="0"/>
          <w:i/>
          <w:color w:val="000000"/>
          <w:shd w:val="clear" w:color="auto" w:fill="FFFFFF"/>
          <w:lang w:val="es-CR"/>
        </w:rPr>
        <w:t xml:space="preserve"> </w:t>
      </w:r>
      <w:proofErr w:type="spellStart"/>
      <w:r w:rsidRPr="00333304">
        <w:rPr>
          <w:rStyle w:val="Strong"/>
          <w:b w:val="0"/>
          <w:i/>
          <w:color w:val="000000"/>
          <w:shd w:val="clear" w:color="auto" w:fill="FFFFFF"/>
          <w:lang w:val="es-CR"/>
        </w:rPr>
        <w:t>Nech</w:t>
      </w:r>
      <w:proofErr w:type="spellEnd"/>
      <w:r w:rsidRPr="00333304">
        <w:rPr>
          <w:rStyle w:val="Strong"/>
          <w:b w:val="0"/>
          <w:i/>
          <w:color w:val="000000"/>
          <w:shd w:val="clear" w:color="auto" w:fill="FFFFFF"/>
          <w:lang w:val="es-CR"/>
        </w:rPr>
        <w:t xml:space="preserve"> y otros Vs. Guatemala. Excepciones Preliminares, Fondo, Reparaciones y Costas.</w:t>
      </w:r>
      <w:r w:rsidRPr="004C3F47">
        <w:rPr>
          <w:rStyle w:val="Strong"/>
          <w:color w:val="000000"/>
          <w:shd w:val="clear" w:color="auto" w:fill="FFFFFF"/>
          <w:lang w:val="es-CR"/>
        </w:rPr>
        <w:t xml:space="preserve"> </w:t>
      </w:r>
      <w:r w:rsidRPr="004C3F47">
        <w:rPr>
          <w:rStyle w:val="Strong"/>
          <w:b w:val="0"/>
          <w:color w:val="000000"/>
          <w:shd w:val="clear" w:color="auto" w:fill="FFFFFF"/>
          <w:lang w:val="es-CR"/>
        </w:rPr>
        <w:t>Sentencia de 25 de mayo de 2010. Serie C No. 212</w:t>
      </w:r>
      <w:r w:rsidRPr="00795E3D">
        <w:rPr>
          <w:rStyle w:val="Strong"/>
          <w:b w:val="0"/>
          <w:color w:val="000000"/>
          <w:shd w:val="clear" w:color="auto" w:fill="FFFFFF"/>
          <w:lang w:val="es-CR"/>
        </w:rPr>
        <w:t>,</w:t>
      </w:r>
      <w:r w:rsidRPr="004C3F47">
        <w:rPr>
          <w:rStyle w:val="Strong"/>
          <w:color w:val="000000"/>
          <w:shd w:val="clear" w:color="auto" w:fill="FFFFFF"/>
          <w:lang w:val="es-CR"/>
        </w:rPr>
        <w:t xml:space="preserve"> </w:t>
      </w:r>
      <w:r w:rsidRPr="004C3F47">
        <w:rPr>
          <w:rStyle w:val="Strong"/>
          <w:b w:val="0"/>
          <w:color w:val="000000"/>
          <w:shd w:val="clear" w:color="auto" w:fill="FFFFFF"/>
          <w:lang w:val="es-CR"/>
        </w:rPr>
        <w:t>párr. 115.</w:t>
      </w:r>
    </w:p>
  </w:footnote>
  <w:footnote w:id="236">
    <w:p w14:paraId="6DC7EB71" w14:textId="2ED7DDB3" w:rsidR="00D86616" w:rsidRPr="009E6ED2" w:rsidRDefault="00D86616" w:rsidP="006A2D03">
      <w:pPr>
        <w:pStyle w:val="FootnoteText"/>
        <w:spacing w:after="0"/>
        <w:rPr>
          <w:lang w:val="es-MX"/>
        </w:rPr>
      </w:pPr>
      <w:r w:rsidRPr="004C3F47">
        <w:rPr>
          <w:rStyle w:val="FootnoteReference"/>
          <w:sz w:val="16"/>
        </w:rPr>
        <w:footnoteRef/>
      </w:r>
      <w:r w:rsidRPr="009E6ED2">
        <w:rPr>
          <w:lang w:val="es-MX"/>
        </w:rPr>
        <w:t xml:space="preserve"> </w:t>
      </w:r>
      <w:r w:rsidRPr="009E6ED2">
        <w:rPr>
          <w:lang w:val="es-MX"/>
        </w:rPr>
        <w:tab/>
      </w:r>
      <w:r w:rsidRPr="009E6ED2">
        <w:rPr>
          <w:i/>
          <w:lang w:val="es-MX"/>
        </w:rPr>
        <w:t>Cfr</w:t>
      </w:r>
      <w:r w:rsidRPr="009E6ED2">
        <w:rPr>
          <w:lang w:val="es-MX"/>
        </w:rPr>
        <w:t xml:space="preserve">. </w:t>
      </w:r>
      <w:r w:rsidRPr="009E6ED2">
        <w:rPr>
          <w:i/>
          <w:lang w:val="es-MX"/>
        </w:rPr>
        <w:t xml:space="preserve">Caso </w:t>
      </w:r>
      <w:proofErr w:type="spellStart"/>
      <w:r w:rsidRPr="009E6ED2">
        <w:rPr>
          <w:i/>
          <w:lang w:val="es-MX"/>
        </w:rPr>
        <w:t>Genie</w:t>
      </w:r>
      <w:proofErr w:type="spellEnd"/>
      <w:r w:rsidRPr="009E6ED2">
        <w:rPr>
          <w:i/>
          <w:lang w:val="es-MX"/>
        </w:rPr>
        <w:t xml:space="preserve"> Lacayo Vs. Nicaragua. Excepciones Preliminares.</w:t>
      </w:r>
      <w:r w:rsidRPr="009E6ED2">
        <w:rPr>
          <w:lang w:val="es-MX"/>
        </w:rPr>
        <w:t xml:space="preserve"> Sentencia de 27 de enero de 1995. Serie C No. 21, párr. 50, y </w:t>
      </w:r>
      <w:r w:rsidRPr="009E6ED2">
        <w:rPr>
          <w:i/>
          <w:lang w:val="es-MX"/>
        </w:rPr>
        <w:t>Caso J. Vs. Perú. supra</w:t>
      </w:r>
      <w:r w:rsidRPr="009E6ED2">
        <w:rPr>
          <w:lang w:val="es-MX"/>
        </w:rPr>
        <w:t>, párr. 213.</w:t>
      </w:r>
    </w:p>
  </w:footnote>
  <w:footnote w:id="237">
    <w:p w14:paraId="3916C15E" w14:textId="602A8C58" w:rsidR="00D86616" w:rsidRPr="009E6ED2" w:rsidRDefault="00D86616" w:rsidP="006A2D03">
      <w:pPr>
        <w:pStyle w:val="FootnoteText"/>
        <w:spacing w:after="0"/>
        <w:rPr>
          <w:lang w:val="es-MX"/>
        </w:rPr>
      </w:pPr>
      <w:r w:rsidRPr="00E66DD7">
        <w:rPr>
          <w:rStyle w:val="FootnoteReference"/>
          <w:sz w:val="16"/>
        </w:rPr>
        <w:footnoteRef/>
      </w:r>
      <w:r w:rsidRPr="009E6ED2">
        <w:rPr>
          <w:lang w:val="es-MX"/>
        </w:rPr>
        <w:t xml:space="preserve"> </w:t>
      </w:r>
      <w:r w:rsidRPr="009E6ED2">
        <w:rPr>
          <w:lang w:val="es-MX"/>
        </w:rPr>
        <w:tab/>
        <w:t>Cabe señalar que ante la Comisión alegaron las violaciones de los artículos 8 y 25 de la Convención, no obstante en la admisibilidad la CIDH declaró inadmisible el artículo 25, al considerar que no contó elementos de juicio que le permita inferir una presunta caracterización de violación de los artículos 24 y 25 de la Convención.</w:t>
      </w:r>
    </w:p>
  </w:footnote>
  <w:footnote w:id="238">
    <w:p w14:paraId="39050BA4" w14:textId="77777777" w:rsidR="00D86616" w:rsidRPr="009E6ED2" w:rsidRDefault="00D86616" w:rsidP="006A2D03">
      <w:pPr>
        <w:pStyle w:val="FootnoteText"/>
        <w:spacing w:after="0"/>
        <w:rPr>
          <w:lang w:val="es-MX"/>
        </w:rPr>
      </w:pPr>
      <w:r w:rsidRPr="00E66DD7">
        <w:rPr>
          <w:rStyle w:val="FootnoteReference"/>
          <w:sz w:val="16"/>
        </w:rPr>
        <w:footnoteRef/>
      </w:r>
      <w:r w:rsidRPr="009E6ED2">
        <w:rPr>
          <w:lang w:val="es-MX"/>
        </w:rPr>
        <w:t xml:space="preserve"> </w:t>
      </w:r>
      <w:r w:rsidRPr="009E6ED2">
        <w:rPr>
          <w:lang w:val="es-MX"/>
        </w:rPr>
        <w:tab/>
        <w:t>En su demanda ante el Tribunal del Trabajo se evidencia la controversia laboral. En su petitorio se señala que siendo notorio el carácter improcedente e injustificado del despido que […] solicitó al juzgado ordenar la suspensión del despido y su reincorporación a su puesto habitual de trabajo.</w:t>
      </w:r>
    </w:p>
  </w:footnote>
  <w:footnote w:id="239">
    <w:p w14:paraId="6832898B" w14:textId="1C29AB9A" w:rsidR="00D86616" w:rsidRPr="009E6ED2" w:rsidRDefault="00D86616" w:rsidP="006A2D03">
      <w:pPr>
        <w:pStyle w:val="FootnoteText"/>
        <w:spacing w:after="0"/>
        <w:rPr>
          <w:lang w:val="es-MX"/>
        </w:rPr>
      </w:pPr>
      <w:r w:rsidRPr="00E66DD7">
        <w:rPr>
          <w:rStyle w:val="FootnoteReference"/>
          <w:sz w:val="16"/>
        </w:rPr>
        <w:footnoteRef/>
      </w:r>
      <w:r w:rsidRPr="009E6ED2">
        <w:rPr>
          <w:lang w:val="es-MX"/>
        </w:rPr>
        <w:t xml:space="preserve"> </w:t>
      </w:r>
      <w:r w:rsidRPr="009E6ED2">
        <w:rPr>
          <w:lang w:val="es-MX"/>
        </w:rPr>
        <w:tab/>
        <w:t xml:space="preserve">En particular, la Corte resalta que desde su primer escrito de 13 de octubre dirigido a la Comisión Interamericana, el peticionario precisó, entre otros, que se había violado “[su] derecho a la estabilidad en el trabajo, señalado en el </w:t>
      </w:r>
      <w:proofErr w:type="gramStart"/>
      <w:r w:rsidRPr="009E6ED2">
        <w:rPr>
          <w:lang w:val="es-MX"/>
        </w:rPr>
        <w:t>art[</w:t>
      </w:r>
      <w:proofErr w:type="spellStart"/>
      <w:proofErr w:type="gramEnd"/>
      <w:r w:rsidRPr="009E6ED2">
        <w:rPr>
          <w:lang w:val="es-MX"/>
        </w:rPr>
        <w:t>ículo</w:t>
      </w:r>
      <w:proofErr w:type="spellEnd"/>
      <w:r w:rsidRPr="009E6ED2">
        <w:rPr>
          <w:lang w:val="es-MX"/>
        </w:rPr>
        <w:t>] 48 de la Constitución y art[</w:t>
      </w:r>
      <w:proofErr w:type="spellStart"/>
      <w:r w:rsidRPr="009E6ED2">
        <w:rPr>
          <w:lang w:val="es-MX"/>
        </w:rPr>
        <w:t>ículos</w:t>
      </w:r>
      <w:proofErr w:type="spellEnd"/>
      <w:r w:rsidRPr="009E6ED2">
        <w:rPr>
          <w:lang w:val="es-MX"/>
        </w:rPr>
        <w:t>] 27 y 26 del nuevo proyecto”. Petición inicial ante la CIDH (expediente de trámite ante la CIDH, f. 439).</w:t>
      </w:r>
    </w:p>
  </w:footnote>
  <w:footnote w:id="240">
    <w:p w14:paraId="3632167D" w14:textId="77777777" w:rsidR="00D86616" w:rsidRPr="00E66DD7" w:rsidRDefault="00D86616" w:rsidP="006A2D03">
      <w:pPr>
        <w:autoSpaceDE w:val="0"/>
        <w:autoSpaceDN w:val="0"/>
        <w:adjustRightInd w:val="0"/>
        <w:jc w:val="both"/>
        <w:rPr>
          <w:rFonts w:ascii="Verdana" w:hAnsi="Verdana"/>
          <w:i/>
          <w:iCs/>
          <w:sz w:val="16"/>
          <w:szCs w:val="16"/>
          <w:lang w:val="es-EC"/>
        </w:rPr>
      </w:pPr>
      <w:r w:rsidRPr="00E66DD7">
        <w:rPr>
          <w:rStyle w:val="FootnoteReference"/>
          <w:sz w:val="16"/>
          <w:szCs w:val="16"/>
        </w:rPr>
        <w:footnoteRef/>
      </w:r>
      <w:r w:rsidRPr="00E66DD7">
        <w:rPr>
          <w:sz w:val="16"/>
          <w:szCs w:val="16"/>
          <w:lang w:val="es-EC"/>
        </w:rPr>
        <w:t xml:space="preserve"> </w:t>
      </w:r>
      <w:r w:rsidRPr="00E66DD7">
        <w:rPr>
          <w:sz w:val="16"/>
          <w:szCs w:val="16"/>
          <w:lang w:val="es-EC"/>
        </w:rPr>
        <w:tab/>
      </w:r>
      <w:r w:rsidRPr="00E66DD7">
        <w:rPr>
          <w:rFonts w:ascii="Verdana" w:hAnsi="Verdana"/>
          <w:i/>
          <w:iCs/>
          <w:sz w:val="16"/>
          <w:szCs w:val="16"/>
          <w:lang w:val="es-EC"/>
        </w:rPr>
        <w:t>Caso Castillo Páez vs. Perú</w:t>
      </w:r>
      <w:r w:rsidRPr="00333304">
        <w:rPr>
          <w:rFonts w:ascii="Verdana" w:hAnsi="Verdana"/>
          <w:i/>
          <w:sz w:val="16"/>
          <w:szCs w:val="16"/>
          <w:lang w:val="es-EC"/>
        </w:rPr>
        <w:t>. Fondo.</w:t>
      </w:r>
      <w:r w:rsidRPr="00E66DD7">
        <w:rPr>
          <w:rFonts w:ascii="Verdana" w:hAnsi="Verdana"/>
          <w:sz w:val="16"/>
          <w:szCs w:val="16"/>
          <w:lang w:val="es-EC"/>
        </w:rPr>
        <w:t xml:space="preserve"> Sentencia de 3 de noviembre de 1997. Serie C No. 34, párr. 82, y </w:t>
      </w:r>
      <w:r w:rsidRPr="00E66DD7">
        <w:rPr>
          <w:rFonts w:ascii="Verdana" w:hAnsi="Verdana"/>
          <w:i/>
          <w:iCs/>
          <w:sz w:val="16"/>
          <w:szCs w:val="16"/>
          <w:lang w:val="es-EC"/>
        </w:rPr>
        <w:t xml:space="preserve">Caso Mohamed vs. Argentina. </w:t>
      </w:r>
      <w:r w:rsidRPr="00333304">
        <w:rPr>
          <w:rFonts w:ascii="Verdana" w:hAnsi="Verdana"/>
          <w:i/>
          <w:sz w:val="16"/>
          <w:szCs w:val="16"/>
          <w:lang w:val="es-EC"/>
        </w:rPr>
        <w:t>Excepción preliminar, Fondo, Reparaciones y Costas.</w:t>
      </w:r>
      <w:r w:rsidRPr="00E66DD7">
        <w:rPr>
          <w:rFonts w:ascii="Verdana" w:hAnsi="Verdana"/>
          <w:sz w:val="16"/>
          <w:szCs w:val="16"/>
          <w:lang w:val="es-EC"/>
        </w:rPr>
        <w:t xml:space="preserve"> Sentencia de 23 noviembre de 2012. Serie C No. 255, párr. 82.</w:t>
      </w:r>
    </w:p>
  </w:footnote>
  <w:footnote w:id="241">
    <w:p w14:paraId="3A9580E4" w14:textId="77777777" w:rsidR="00D86616" w:rsidRPr="00E66DD7" w:rsidRDefault="00D86616" w:rsidP="006A2D03">
      <w:pPr>
        <w:autoSpaceDE w:val="0"/>
        <w:autoSpaceDN w:val="0"/>
        <w:adjustRightInd w:val="0"/>
        <w:jc w:val="both"/>
        <w:rPr>
          <w:rFonts w:ascii="Verdana" w:hAnsi="Verdana"/>
          <w:sz w:val="16"/>
          <w:szCs w:val="16"/>
          <w:lang w:val="es-EC"/>
        </w:rPr>
      </w:pPr>
      <w:r w:rsidRPr="00E66DD7">
        <w:rPr>
          <w:rStyle w:val="FootnoteReference"/>
          <w:sz w:val="16"/>
          <w:szCs w:val="16"/>
        </w:rPr>
        <w:footnoteRef/>
      </w:r>
      <w:r w:rsidRPr="00E66DD7">
        <w:rPr>
          <w:sz w:val="16"/>
          <w:szCs w:val="16"/>
        </w:rPr>
        <w:t xml:space="preserve"> </w:t>
      </w:r>
      <w:r w:rsidRPr="00E66DD7">
        <w:rPr>
          <w:sz w:val="16"/>
          <w:szCs w:val="16"/>
        </w:rPr>
        <w:tab/>
      </w:r>
      <w:r w:rsidRPr="00E66DD7">
        <w:rPr>
          <w:rFonts w:ascii="Verdana" w:hAnsi="Verdana"/>
          <w:i/>
          <w:iCs/>
          <w:sz w:val="16"/>
          <w:szCs w:val="16"/>
          <w:lang w:val="es-EC"/>
        </w:rPr>
        <w:t xml:space="preserve">Caso </w:t>
      </w:r>
      <w:proofErr w:type="spellStart"/>
      <w:r w:rsidRPr="00E66DD7">
        <w:rPr>
          <w:rFonts w:ascii="Verdana" w:hAnsi="Verdana"/>
          <w:i/>
          <w:iCs/>
          <w:sz w:val="16"/>
          <w:szCs w:val="16"/>
          <w:lang w:val="es-EC"/>
        </w:rPr>
        <w:t>Goiburú</w:t>
      </w:r>
      <w:proofErr w:type="spellEnd"/>
      <w:r w:rsidRPr="00E66DD7">
        <w:rPr>
          <w:rFonts w:ascii="Verdana" w:hAnsi="Verdana"/>
          <w:i/>
          <w:iCs/>
          <w:sz w:val="16"/>
          <w:szCs w:val="16"/>
          <w:lang w:val="es-EC"/>
        </w:rPr>
        <w:t xml:space="preserve"> y otros vs. Paraguay</w:t>
      </w:r>
      <w:r w:rsidRPr="00E66DD7">
        <w:rPr>
          <w:rFonts w:ascii="Verdana" w:hAnsi="Verdana"/>
          <w:sz w:val="16"/>
          <w:szCs w:val="16"/>
          <w:lang w:val="es-EC"/>
        </w:rPr>
        <w:t xml:space="preserve">. </w:t>
      </w:r>
      <w:r w:rsidRPr="00333304">
        <w:rPr>
          <w:rFonts w:ascii="Verdana" w:hAnsi="Verdana"/>
          <w:i/>
          <w:sz w:val="16"/>
          <w:szCs w:val="16"/>
          <w:lang w:val="es-EC"/>
        </w:rPr>
        <w:t>Fondo, Reparaciones y Costas.</w:t>
      </w:r>
      <w:r w:rsidRPr="00E66DD7">
        <w:rPr>
          <w:rFonts w:ascii="Verdana" w:hAnsi="Verdana"/>
          <w:sz w:val="16"/>
          <w:szCs w:val="16"/>
          <w:lang w:val="es-EC"/>
        </w:rPr>
        <w:t xml:space="preserve"> Sentencia de 22 de septiembre de 2006. Serie C No. 153, párr. 131.</w:t>
      </w:r>
    </w:p>
  </w:footnote>
  <w:footnote w:id="242">
    <w:p w14:paraId="147E8F9C" w14:textId="461753E4" w:rsidR="00D86616" w:rsidRPr="00E66DD7" w:rsidRDefault="00D86616" w:rsidP="006A2D03">
      <w:pPr>
        <w:autoSpaceDE w:val="0"/>
        <w:autoSpaceDN w:val="0"/>
        <w:adjustRightInd w:val="0"/>
        <w:jc w:val="both"/>
        <w:rPr>
          <w:rFonts w:ascii="Verdana" w:hAnsi="Verdana"/>
          <w:sz w:val="16"/>
          <w:szCs w:val="16"/>
          <w:lang w:val="es-EC"/>
        </w:rPr>
      </w:pPr>
      <w:r w:rsidRPr="00E66DD7">
        <w:rPr>
          <w:rStyle w:val="FootnoteReference"/>
          <w:sz w:val="16"/>
          <w:szCs w:val="16"/>
        </w:rPr>
        <w:footnoteRef/>
      </w:r>
      <w:r w:rsidRPr="00E66DD7">
        <w:rPr>
          <w:rFonts w:ascii="Verdana" w:hAnsi="Verdana"/>
          <w:sz w:val="16"/>
          <w:szCs w:val="16"/>
        </w:rPr>
        <w:t xml:space="preserve"> </w:t>
      </w:r>
      <w:r w:rsidRPr="00E66DD7">
        <w:rPr>
          <w:rFonts w:ascii="Verdana" w:hAnsi="Verdana"/>
          <w:sz w:val="16"/>
          <w:szCs w:val="16"/>
          <w:lang w:val="es-EC"/>
        </w:rPr>
        <w:tab/>
      </w:r>
      <w:r w:rsidRPr="00F77B70">
        <w:rPr>
          <w:rFonts w:ascii="Verdana" w:hAnsi="Verdana"/>
          <w:i/>
          <w:sz w:val="16"/>
          <w:szCs w:val="16"/>
          <w:lang w:val="es-EC"/>
        </w:rPr>
        <w:t xml:space="preserve">Mutatis </w:t>
      </w:r>
      <w:proofErr w:type="spellStart"/>
      <w:r w:rsidRPr="00F77B70">
        <w:rPr>
          <w:rFonts w:ascii="Verdana" w:hAnsi="Verdana"/>
          <w:i/>
          <w:sz w:val="16"/>
          <w:szCs w:val="16"/>
          <w:lang w:val="es-EC"/>
        </w:rPr>
        <w:t>mutandi</w:t>
      </w:r>
      <w:proofErr w:type="spellEnd"/>
      <w:r w:rsidRPr="00E66DD7">
        <w:rPr>
          <w:rFonts w:ascii="Verdana" w:hAnsi="Verdana"/>
          <w:i/>
          <w:sz w:val="16"/>
          <w:szCs w:val="16"/>
          <w:lang w:val="es-EC"/>
        </w:rPr>
        <w:t>,</w:t>
      </w:r>
      <w:r w:rsidRPr="00E66DD7">
        <w:rPr>
          <w:rFonts w:ascii="Verdana" w:hAnsi="Verdana"/>
          <w:sz w:val="16"/>
          <w:szCs w:val="16"/>
          <w:lang w:val="es-EC"/>
        </w:rPr>
        <w:t xml:space="preserve"> </w:t>
      </w:r>
      <w:r w:rsidRPr="00E66DD7">
        <w:rPr>
          <w:rFonts w:ascii="Verdana" w:hAnsi="Verdana"/>
          <w:i/>
          <w:iCs/>
          <w:sz w:val="16"/>
          <w:szCs w:val="16"/>
          <w:lang w:val="es-EC"/>
        </w:rPr>
        <w:t xml:space="preserve">Caso Mejía </w:t>
      </w:r>
      <w:proofErr w:type="spellStart"/>
      <w:r w:rsidRPr="00E66DD7">
        <w:rPr>
          <w:rFonts w:ascii="Verdana" w:hAnsi="Verdana"/>
          <w:i/>
          <w:iCs/>
          <w:sz w:val="16"/>
          <w:szCs w:val="16"/>
          <w:lang w:val="es-EC"/>
        </w:rPr>
        <w:t>Idrovo</w:t>
      </w:r>
      <w:proofErr w:type="spellEnd"/>
      <w:r w:rsidRPr="00E66DD7">
        <w:rPr>
          <w:rFonts w:ascii="Verdana" w:hAnsi="Verdana"/>
          <w:i/>
          <w:iCs/>
          <w:sz w:val="16"/>
          <w:szCs w:val="16"/>
          <w:lang w:val="es-EC"/>
        </w:rPr>
        <w:t xml:space="preserve"> </w:t>
      </w:r>
      <w:r>
        <w:rPr>
          <w:rFonts w:ascii="Verdana" w:hAnsi="Verdana"/>
          <w:i/>
          <w:iCs/>
          <w:sz w:val="16"/>
          <w:szCs w:val="16"/>
          <w:lang w:val="es-EC"/>
        </w:rPr>
        <w:t>V</w:t>
      </w:r>
      <w:r w:rsidRPr="00E66DD7">
        <w:rPr>
          <w:rFonts w:ascii="Verdana" w:hAnsi="Verdana"/>
          <w:i/>
          <w:iCs/>
          <w:sz w:val="16"/>
          <w:szCs w:val="16"/>
          <w:lang w:val="es-EC"/>
        </w:rPr>
        <w:t>s. Ecuador</w:t>
      </w:r>
      <w:r w:rsidRPr="00E66DD7">
        <w:rPr>
          <w:rFonts w:ascii="Verdana" w:hAnsi="Verdana"/>
          <w:sz w:val="16"/>
          <w:szCs w:val="16"/>
          <w:lang w:val="es-EC"/>
        </w:rPr>
        <w:t xml:space="preserve">. </w:t>
      </w:r>
      <w:r w:rsidRPr="00E66DD7">
        <w:rPr>
          <w:rFonts w:ascii="Verdana" w:hAnsi="Verdana"/>
          <w:i/>
          <w:sz w:val="16"/>
          <w:szCs w:val="16"/>
          <w:lang w:val="es-EC"/>
        </w:rPr>
        <w:t>Excepciones preliminares, Fondo, Reparaciones y Costas</w:t>
      </w:r>
      <w:r w:rsidRPr="00E66DD7">
        <w:rPr>
          <w:rFonts w:ascii="Verdana" w:hAnsi="Verdana"/>
          <w:sz w:val="16"/>
          <w:szCs w:val="16"/>
          <w:lang w:val="es-EC"/>
        </w:rPr>
        <w:t>. Sentencia de 5 de julio de 2011. Serie</w:t>
      </w:r>
      <w:r w:rsidRPr="00E66DD7">
        <w:rPr>
          <w:rFonts w:ascii="Verdana" w:hAnsi="Verdana"/>
          <w:iCs/>
          <w:sz w:val="16"/>
          <w:szCs w:val="16"/>
          <w:lang w:val="es-EC"/>
        </w:rPr>
        <w:t xml:space="preserve"> C No.228</w:t>
      </w:r>
      <w:r w:rsidRPr="00E66DD7">
        <w:rPr>
          <w:rFonts w:ascii="Verdana" w:hAnsi="Verdana"/>
          <w:i/>
          <w:iCs/>
          <w:sz w:val="16"/>
          <w:szCs w:val="16"/>
          <w:lang w:val="es-EC"/>
        </w:rPr>
        <w:t xml:space="preserve">, </w:t>
      </w:r>
      <w:r w:rsidRPr="00E66DD7">
        <w:rPr>
          <w:rFonts w:ascii="Verdana" w:hAnsi="Verdana"/>
          <w:sz w:val="16"/>
          <w:szCs w:val="16"/>
          <w:lang w:val="es-EC"/>
        </w:rPr>
        <w:t xml:space="preserve">párr. 106, </w:t>
      </w:r>
      <w:r w:rsidRPr="0013567C">
        <w:rPr>
          <w:rFonts w:ascii="Verdana" w:hAnsi="Verdana"/>
          <w:sz w:val="16"/>
          <w:szCs w:val="16"/>
          <w:lang w:val="es-EC"/>
        </w:rPr>
        <w:t xml:space="preserve">y </w:t>
      </w:r>
      <w:r w:rsidRPr="00333304">
        <w:rPr>
          <w:rFonts w:ascii="Verdana" w:hAnsi="Verdana"/>
          <w:bCs/>
          <w:i/>
          <w:sz w:val="16"/>
          <w:szCs w:val="16"/>
        </w:rPr>
        <w:t xml:space="preserve">Caso </w:t>
      </w:r>
      <w:proofErr w:type="spellStart"/>
      <w:r w:rsidRPr="00333304">
        <w:rPr>
          <w:rFonts w:ascii="Verdana" w:hAnsi="Verdana"/>
          <w:bCs/>
          <w:i/>
          <w:sz w:val="16"/>
          <w:szCs w:val="16"/>
        </w:rPr>
        <w:t>Furlan</w:t>
      </w:r>
      <w:proofErr w:type="spellEnd"/>
      <w:r w:rsidRPr="00333304">
        <w:rPr>
          <w:rFonts w:ascii="Verdana" w:hAnsi="Verdana"/>
          <w:bCs/>
          <w:i/>
          <w:sz w:val="16"/>
          <w:szCs w:val="16"/>
        </w:rPr>
        <w:t xml:space="preserve"> y familiares Vs. Argentina. Excepciones Preliminares, Fondo, Reparaciones y Costas.</w:t>
      </w:r>
      <w:r w:rsidRPr="00333304">
        <w:rPr>
          <w:rFonts w:ascii="Verdana" w:hAnsi="Verdana"/>
          <w:bCs/>
          <w:sz w:val="16"/>
          <w:szCs w:val="16"/>
        </w:rPr>
        <w:t xml:space="preserve"> Sentencia de 31 de agosto de 2012. Serie C No. 246</w:t>
      </w:r>
      <w:r>
        <w:rPr>
          <w:rFonts w:ascii="Verdana" w:hAnsi="Verdana"/>
          <w:bCs/>
          <w:sz w:val="16"/>
          <w:szCs w:val="16"/>
        </w:rPr>
        <w:t>, párr. 211.</w:t>
      </w:r>
    </w:p>
  </w:footnote>
  <w:footnote w:id="243">
    <w:p w14:paraId="4F322191" w14:textId="67D95F69" w:rsidR="00D86616" w:rsidRPr="00E60C92" w:rsidRDefault="00D86616" w:rsidP="006A2D03">
      <w:pPr>
        <w:jc w:val="both"/>
        <w:rPr>
          <w:szCs w:val="16"/>
          <w:lang w:val="es-EC"/>
        </w:rPr>
      </w:pPr>
      <w:r w:rsidRPr="00E66DD7">
        <w:rPr>
          <w:rStyle w:val="FootnoteReference"/>
          <w:sz w:val="16"/>
          <w:szCs w:val="16"/>
        </w:rPr>
        <w:footnoteRef/>
      </w:r>
      <w:r w:rsidRPr="00E66DD7">
        <w:rPr>
          <w:sz w:val="16"/>
          <w:szCs w:val="16"/>
        </w:rPr>
        <w:t xml:space="preserve"> </w:t>
      </w:r>
      <w:r w:rsidRPr="00E66DD7">
        <w:rPr>
          <w:sz w:val="16"/>
          <w:szCs w:val="16"/>
        </w:rPr>
        <w:tab/>
      </w:r>
      <w:r w:rsidRPr="00F77B70">
        <w:rPr>
          <w:rFonts w:ascii="Verdana" w:hAnsi="Verdana"/>
          <w:i/>
          <w:sz w:val="16"/>
          <w:szCs w:val="16"/>
          <w:lang w:val="es-EC"/>
        </w:rPr>
        <w:t>Cfr.</w:t>
      </w:r>
      <w:r w:rsidRPr="0013567C">
        <w:rPr>
          <w:rFonts w:ascii="Verdana" w:hAnsi="Verdana"/>
          <w:i/>
          <w:sz w:val="16"/>
          <w:szCs w:val="16"/>
          <w:lang w:val="es-EC"/>
        </w:rPr>
        <w:t xml:space="preserve"> </w:t>
      </w:r>
      <w:r w:rsidRPr="00333304">
        <w:rPr>
          <w:rFonts w:ascii="Verdana" w:hAnsi="Verdana"/>
          <w:bCs/>
          <w:i/>
          <w:sz w:val="16"/>
          <w:szCs w:val="16"/>
        </w:rPr>
        <w:t>Caso V</w:t>
      </w:r>
      <w:r w:rsidRPr="00444E07">
        <w:rPr>
          <w:rFonts w:ascii="Verdana" w:hAnsi="Verdana"/>
          <w:bCs/>
          <w:i/>
          <w:sz w:val="16"/>
          <w:szCs w:val="16"/>
        </w:rPr>
        <w:t>elásquez Rodríguez Vs. Hondura</w:t>
      </w:r>
      <w:r>
        <w:rPr>
          <w:rFonts w:ascii="Verdana" w:hAnsi="Verdana"/>
          <w:bCs/>
          <w:i/>
          <w:sz w:val="16"/>
          <w:szCs w:val="16"/>
        </w:rPr>
        <w:t>s, supra nota 23,</w:t>
      </w:r>
      <w:r>
        <w:rPr>
          <w:rFonts w:ascii="Verdana" w:hAnsi="Verdana"/>
          <w:bCs/>
          <w:sz w:val="16"/>
          <w:szCs w:val="16"/>
        </w:rPr>
        <w:t xml:space="preserve"> </w:t>
      </w:r>
      <w:r w:rsidRPr="00333304">
        <w:rPr>
          <w:rFonts w:ascii="Verdana" w:hAnsi="Verdana"/>
          <w:bCs/>
          <w:sz w:val="16"/>
          <w:szCs w:val="16"/>
        </w:rPr>
        <w:t>párr. 219</w:t>
      </w:r>
      <w:r>
        <w:rPr>
          <w:rFonts w:ascii="Verdana" w:hAnsi="Verdana"/>
          <w:bCs/>
          <w:sz w:val="16"/>
          <w:szCs w:val="16"/>
        </w:rPr>
        <w:t>,</w:t>
      </w:r>
      <w:r w:rsidRPr="00333304">
        <w:rPr>
          <w:rFonts w:ascii="Verdana" w:hAnsi="Verdana"/>
          <w:bCs/>
          <w:sz w:val="16"/>
          <w:szCs w:val="16"/>
        </w:rPr>
        <w:t xml:space="preserve"> y </w:t>
      </w:r>
      <w:r w:rsidRPr="00E66DD7">
        <w:rPr>
          <w:rFonts w:ascii="Verdana" w:hAnsi="Verdana" w:cs="Helvetica"/>
          <w:i/>
          <w:sz w:val="16"/>
          <w:szCs w:val="16"/>
        </w:rPr>
        <w:t xml:space="preserve">Caso Duque Vs. Colombia. </w:t>
      </w:r>
      <w:r w:rsidRPr="00E66DD7">
        <w:rPr>
          <w:rFonts w:ascii="Verdana" w:hAnsi="Verdana"/>
          <w:i/>
          <w:sz w:val="16"/>
          <w:szCs w:val="16"/>
          <w:lang w:val="es-EC"/>
        </w:rPr>
        <w:t>Excepciones Preliminares, Fondo, Reparaciones y Costas</w:t>
      </w:r>
      <w:r w:rsidRPr="00E66DD7">
        <w:rPr>
          <w:rFonts w:ascii="Verdana" w:hAnsi="Verdana"/>
          <w:sz w:val="16"/>
          <w:szCs w:val="16"/>
          <w:lang w:val="es-EC"/>
        </w:rPr>
        <w:t>. Sentencia de 26 de febrero de 2016. Serie C No.</w:t>
      </w:r>
      <w:r>
        <w:rPr>
          <w:rFonts w:ascii="Verdana" w:hAnsi="Verdana"/>
          <w:sz w:val="16"/>
          <w:szCs w:val="16"/>
          <w:lang w:val="es-EC"/>
        </w:rPr>
        <w:t xml:space="preserve"> </w:t>
      </w:r>
      <w:r w:rsidRPr="00E66DD7">
        <w:rPr>
          <w:rFonts w:ascii="Verdana" w:hAnsi="Verdana"/>
          <w:sz w:val="16"/>
          <w:szCs w:val="16"/>
          <w:lang w:val="es-EC"/>
        </w:rPr>
        <w:t>310</w:t>
      </w:r>
      <w:r w:rsidRPr="00E66DD7">
        <w:rPr>
          <w:rFonts w:ascii="Verdana" w:hAnsi="Verdana" w:cs="Helvetica"/>
          <w:sz w:val="16"/>
          <w:szCs w:val="16"/>
        </w:rPr>
        <w:t>, párr. 148</w:t>
      </w:r>
      <w:r>
        <w:rPr>
          <w:rFonts w:ascii="Verdana" w:hAnsi="Verdana" w:cs="Helvetica"/>
          <w:sz w:val="16"/>
          <w:szCs w:val="16"/>
        </w:rPr>
        <w:t>.</w:t>
      </w:r>
    </w:p>
  </w:footnote>
  <w:footnote w:id="244">
    <w:p w14:paraId="0BDA5A2D" w14:textId="120027A6" w:rsidR="00D86616" w:rsidRPr="00E66DD7" w:rsidRDefault="00D86616" w:rsidP="006A2D03">
      <w:pPr>
        <w:contextualSpacing/>
        <w:jc w:val="both"/>
        <w:rPr>
          <w:rFonts w:ascii="Verdana" w:hAnsi="Verdana"/>
          <w:sz w:val="16"/>
          <w:szCs w:val="16"/>
        </w:rPr>
      </w:pPr>
      <w:r w:rsidRPr="00E66DD7">
        <w:rPr>
          <w:rStyle w:val="FootnoteReference"/>
          <w:sz w:val="16"/>
          <w:szCs w:val="16"/>
        </w:rPr>
        <w:footnoteRef/>
      </w:r>
      <w:r w:rsidRPr="00E66DD7">
        <w:rPr>
          <w:rFonts w:ascii="Verdana" w:hAnsi="Verdana"/>
          <w:sz w:val="16"/>
          <w:szCs w:val="16"/>
        </w:rPr>
        <w:t xml:space="preserve"> </w:t>
      </w:r>
      <w:r w:rsidRPr="00E66DD7">
        <w:rPr>
          <w:rFonts w:ascii="Verdana" w:hAnsi="Verdana"/>
          <w:sz w:val="16"/>
          <w:szCs w:val="16"/>
        </w:rPr>
        <w:tab/>
      </w:r>
      <w:r w:rsidRPr="00F77B70">
        <w:rPr>
          <w:rFonts w:ascii="Verdana" w:hAnsi="Verdana"/>
          <w:i/>
          <w:sz w:val="16"/>
          <w:szCs w:val="16"/>
        </w:rPr>
        <w:t>Cfr.</w:t>
      </w:r>
      <w:r w:rsidRPr="00E66DD7">
        <w:rPr>
          <w:rFonts w:ascii="Verdana" w:hAnsi="Verdana"/>
          <w:sz w:val="16"/>
          <w:szCs w:val="16"/>
        </w:rPr>
        <w:t xml:space="preserve"> </w:t>
      </w:r>
      <w:r w:rsidRPr="00E66DD7">
        <w:rPr>
          <w:rFonts w:ascii="Verdana" w:hAnsi="Verdana"/>
          <w:i/>
          <w:sz w:val="16"/>
          <w:szCs w:val="16"/>
        </w:rPr>
        <w:t>Caso Baena Ricardo y otros Vs. Panamá́</w:t>
      </w:r>
      <w:r w:rsidRPr="00333304">
        <w:rPr>
          <w:rFonts w:ascii="Verdana" w:hAnsi="Verdana"/>
          <w:i/>
          <w:sz w:val="16"/>
          <w:szCs w:val="16"/>
        </w:rPr>
        <w:t>. Competencia.</w:t>
      </w:r>
      <w:r w:rsidRPr="00E66DD7">
        <w:rPr>
          <w:rFonts w:ascii="Verdana" w:hAnsi="Verdana"/>
          <w:sz w:val="16"/>
          <w:szCs w:val="16"/>
        </w:rPr>
        <w:t xml:space="preserve"> Sentencia de 28 de noviembre de 2003. Serie C No 104. párr. 73</w:t>
      </w:r>
      <w:r>
        <w:rPr>
          <w:rFonts w:ascii="Verdana" w:hAnsi="Verdana"/>
          <w:sz w:val="16"/>
          <w:szCs w:val="16"/>
        </w:rPr>
        <w:t>, y</w:t>
      </w:r>
      <w:r w:rsidRPr="00E66DD7">
        <w:rPr>
          <w:rFonts w:ascii="Verdana" w:hAnsi="Verdana"/>
          <w:sz w:val="16"/>
          <w:szCs w:val="16"/>
        </w:rPr>
        <w:t xml:space="preserve"> </w:t>
      </w:r>
      <w:r w:rsidRPr="00E66DD7">
        <w:rPr>
          <w:rFonts w:ascii="Verdana" w:hAnsi="Verdana"/>
          <w:i/>
          <w:sz w:val="16"/>
          <w:szCs w:val="16"/>
        </w:rPr>
        <w:t>Caso Acevedo Buendía y otros (“Cesantes y Jubilados de la Contraloría”) Vs. Perú́</w:t>
      </w:r>
      <w:r>
        <w:rPr>
          <w:rFonts w:ascii="Verdana" w:hAnsi="Verdana"/>
          <w:i/>
          <w:sz w:val="16"/>
          <w:szCs w:val="16"/>
        </w:rPr>
        <w:t>,</w:t>
      </w:r>
      <w:r w:rsidRPr="00E66DD7">
        <w:rPr>
          <w:rFonts w:ascii="Verdana" w:hAnsi="Verdana"/>
          <w:sz w:val="16"/>
          <w:szCs w:val="16"/>
        </w:rPr>
        <w:t xml:space="preserve"> </w:t>
      </w:r>
      <w:r>
        <w:rPr>
          <w:rFonts w:ascii="Verdana" w:hAnsi="Verdana"/>
          <w:i/>
          <w:sz w:val="16"/>
          <w:szCs w:val="16"/>
        </w:rPr>
        <w:t>supra</w:t>
      </w:r>
      <w:r w:rsidRPr="00E66DD7">
        <w:rPr>
          <w:rFonts w:ascii="Verdana" w:hAnsi="Verdana"/>
          <w:sz w:val="16"/>
          <w:szCs w:val="16"/>
        </w:rPr>
        <w:t>, párr. 6</w:t>
      </w:r>
      <w:r>
        <w:rPr>
          <w:rFonts w:ascii="Verdana" w:hAnsi="Verdana"/>
          <w:sz w:val="16"/>
          <w:szCs w:val="16"/>
        </w:rPr>
        <w:t>9</w:t>
      </w:r>
      <w:r w:rsidRPr="00E66DD7">
        <w:rPr>
          <w:rFonts w:ascii="Verdana" w:hAnsi="Verdana"/>
          <w:sz w:val="16"/>
          <w:szCs w:val="16"/>
        </w:rPr>
        <w:t xml:space="preserve">. </w:t>
      </w:r>
    </w:p>
  </w:footnote>
  <w:footnote w:id="245">
    <w:p w14:paraId="52C2288B" w14:textId="2667C748" w:rsidR="00D86616" w:rsidRPr="00E66DD7" w:rsidRDefault="00D86616" w:rsidP="006A2D03">
      <w:pPr>
        <w:widowControl w:val="0"/>
        <w:autoSpaceDE w:val="0"/>
        <w:autoSpaceDN w:val="0"/>
        <w:adjustRightInd w:val="0"/>
        <w:ind w:right="4"/>
        <w:jc w:val="both"/>
        <w:rPr>
          <w:rFonts w:ascii="Verdana" w:hAnsi="Verdana" w:cs="Times"/>
          <w:sz w:val="16"/>
          <w:szCs w:val="16"/>
        </w:rPr>
      </w:pPr>
      <w:r w:rsidRPr="00E66DD7">
        <w:rPr>
          <w:rStyle w:val="FootnoteReference"/>
          <w:sz w:val="16"/>
          <w:szCs w:val="16"/>
        </w:rPr>
        <w:footnoteRef/>
      </w:r>
      <w:r w:rsidRPr="00E66DD7">
        <w:rPr>
          <w:rFonts w:ascii="Verdana" w:hAnsi="Verdana"/>
          <w:sz w:val="16"/>
          <w:szCs w:val="16"/>
        </w:rPr>
        <w:t xml:space="preserve"> </w:t>
      </w:r>
      <w:r w:rsidRPr="00E66DD7">
        <w:rPr>
          <w:rFonts w:ascii="Verdana" w:hAnsi="Verdana"/>
          <w:sz w:val="16"/>
          <w:szCs w:val="16"/>
        </w:rPr>
        <w:tab/>
      </w:r>
      <w:r w:rsidRPr="00F77B70">
        <w:rPr>
          <w:rFonts w:ascii="Verdana" w:hAnsi="Verdana"/>
          <w:i/>
          <w:sz w:val="16"/>
          <w:szCs w:val="16"/>
        </w:rPr>
        <w:t>Cfr.</w:t>
      </w:r>
      <w:r w:rsidRPr="00E66DD7">
        <w:rPr>
          <w:rFonts w:ascii="Verdana" w:hAnsi="Verdana"/>
          <w:sz w:val="16"/>
          <w:szCs w:val="16"/>
        </w:rPr>
        <w:t xml:space="preserve"> </w:t>
      </w:r>
      <w:r w:rsidRPr="00E66DD7">
        <w:rPr>
          <w:rFonts w:ascii="Verdana" w:hAnsi="Verdana"/>
          <w:sz w:val="16"/>
          <w:szCs w:val="16"/>
          <w:lang w:eastAsia="es-MX"/>
        </w:rPr>
        <w:t xml:space="preserve">Congreso de la República de Perú. Constitución Política del Perú 12 de julio de 1979. </w:t>
      </w:r>
      <w:r>
        <w:rPr>
          <w:rFonts w:ascii="Verdana" w:hAnsi="Verdana"/>
          <w:bCs/>
          <w:sz w:val="16"/>
          <w:szCs w:val="16"/>
          <w:shd w:val="clear" w:color="auto" w:fill="FFFFFF"/>
        </w:rPr>
        <w:t>Artículo 48 “</w:t>
      </w:r>
      <w:r w:rsidRPr="00E66DD7">
        <w:rPr>
          <w:rFonts w:ascii="Verdana" w:hAnsi="Verdana"/>
          <w:color w:val="000000"/>
          <w:sz w:val="16"/>
          <w:szCs w:val="16"/>
          <w:shd w:val="clear" w:color="auto" w:fill="FFFFFF"/>
        </w:rPr>
        <w:t>El Estado reconoce el derecho de estabilidad en el trabajo. El trabajador solo puede ser despedido por causa justa, señalada en la ley debidamente comprobada”.</w:t>
      </w:r>
      <w:r w:rsidRPr="00E66DD7">
        <w:rPr>
          <w:rFonts w:ascii="Verdana" w:hAnsi="Verdana" w:cs="Times"/>
          <w:sz w:val="16"/>
          <w:szCs w:val="16"/>
        </w:rPr>
        <w:t xml:space="preserve"> </w:t>
      </w:r>
      <w:r w:rsidRPr="00E66DD7">
        <w:rPr>
          <w:rFonts w:ascii="Verdana" w:hAnsi="Verdana"/>
          <w:sz w:val="16"/>
          <w:szCs w:val="16"/>
          <w:lang w:eastAsia="es-MX"/>
        </w:rPr>
        <w:t xml:space="preserve">Congreso de la República de Perú. Constitución Política del Perú 29 de diciembre de 1993 </w:t>
      </w:r>
      <w:r w:rsidRPr="00E66DD7">
        <w:rPr>
          <w:rFonts w:ascii="Verdana" w:hAnsi="Verdana" w:cs="Arial"/>
          <w:bCs/>
          <w:color w:val="000000"/>
          <w:sz w:val="16"/>
          <w:szCs w:val="16"/>
        </w:rPr>
        <w:t>Artículo 22°</w:t>
      </w:r>
      <w:r w:rsidRPr="00E66DD7">
        <w:rPr>
          <w:rFonts w:ascii="Verdana" w:hAnsi="Verdana" w:cs="Arial"/>
          <w:color w:val="000000"/>
          <w:sz w:val="16"/>
          <w:szCs w:val="16"/>
        </w:rPr>
        <w:t xml:space="preserve">.- El trabajo es un deber y un derecho. Es base del bienestar social y un medio de realización de la persona y en </w:t>
      </w:r>
      <w:r w:rsidRPr="00E66DD7">
        <w:rPr>
          <w:rFonts w:ascii="Verdana" w:hAnsi="Verdana" w:cs="Arial"/>
          <w:bCs/>
          <w:sz w:val="16"/>
          <w:szCs w:val="16"/>
        </w:rPr>
        <w:t>Artículo 27°</w:t>
      </w:r>
      <w:r w:rsidRPr="00E66DD7">
        <w:rPr>
          <w:rFonts w:ascii="Verdana" w:hAnsi="Verdana" w:cs="Arial"/>
          <w:sz w:val="16"/>
          <w:szCs w:val="16"/>
        </w:rPr>
        <w:t xml:space="preserve">.- La ley otorga al trabajador adecuada protección contra el despido arbitrario. </w:t>
      </w:r>
      <w:r w:rsidRPr="00E66DD7">
        <w:rPr>
          <w:rFonts w:ascii="Verdana" w:hAnsi="Verdana"/>
          <w:sz w:val="16"/>
          <w:szCs w:val="16"/>
          <w:lang w:eastAsia="es-MX"/>
        </w:rPr>
        <w:t>Congreso de la República de Perú</w:t>
      </w:r>
      <w:r w:rsidRPr="00E66DD7" w:rsidDel="0065052F">
        <w:rPr>
          <w:rFonts w:ascii="Verdana" w:hAnsi="Verdana" w:cs="Arial Narrow"/>
          <w:sz w:val="16"/>
          <w:szCs w:val="16"/>
          <w:lang w:eastAsia="es-MX"/>
        </w:rPr>
        <w:t xml:space="preserve"> </w:t>
      </w:r>
      <w:r w:rsidRPr="00E66DD7">
        <w:rPr>
          <w:rFonts w:ascii="Verdana" w:hAnsi="Verdana" w:cs="Arial Narrow"/>
          <w:sz w:val="16"/>
          <w:szCs w:val="16"/>
          <w:lang w:eastAsia="es-MX"/>
        </w:rPr>
        <w:t xml:space="preserve"> Ley N°24514. Artículo 2.- Están amparados por la presente ley los trabajadores sujetos al régimen laboral de la actividad privada o de las empresas públicas sometidas al régimen de la actividad privada </w:t>
      </w:r>
      <w:r>
        <w:rPr>
          <w:rFonts w:ascii="Verdana" w:hAnsi="Verdana" w:cs="Arial Narrow"/>
          <w:sz w:val="16"/>
          <w:szCs w:val="16"/>
          <w:lang w:eastAsia="es-MX"/>
        </w:rPr>
        <w:t>[</w:t>
      </w:r>
      <w:r w:rsidRPr="00E66DD7">
        <w:rPr>
          <w:rFonts w:ascii="Verdana" w:hAnsi="Verdana" w:cs="Arial Narrow"/>
          <w:sz w:val="16"/>
          <w:szCs w:val="16"/>
          <w:lang w:eastAsia="es-MX"/>
        </w:rPr>
        <w:t>…</w:t>
      </w:r>
      <w:r>
        <w:rPr>
          <w:rFonts w:ascii="Verdana" w:hAnsi="Verdana" w:cs="Arial Narrow"/>
          <w:sz w:val="16"/>
          <w:szCs w:val="16"/>
          <w:lang w:eastAsia="es-MX"/>
        </w:rPr>
        <w:t>].</w:t>
      </w:r>
    </w:p>
  </w:footnote>
  <w:footnote w:id="246">
    <w:p w14:paraId="7D9A3F2C" w14:textId="7654DB83" w:rsidR="00D86616" w:rsidRPr="009E6ED2" w:rsidRDefault="00D86616" w:rsidP="006A2D03">
      <w:pPr>
        <w:pStyle w:val="FootnoteText"/>
        <w:spacing w:after="0"/>
        <w:rPr>
          <w:lang w:val="es-MX"/>
        </w:rPr>
      </w:pPr>
      <w:r w:rsidRPr="00E66DD7">
        <w:rPr>
          <w:rStyle w:val="FootnoteReference"/>
          <w:sz w:val="16"/>
        </w:rPr>
        <w:footnoteRef/>
      </w:r>
      <w:r w:rsidRPr="009E6ED2">
        <w:rPr>
          <w:lang w:val="es-MX"/>
        </w:rPr>
        <w:t xml:space="preserve"> </w:t>
      </w:r>
      <w:r w:rsidRPr="009E6ED2">
        <w:rPr>
          <w:lang w:val="es-MX"/>
        </w:rPr>
        <w:tab/>
      </w:r>
      <w:r w:rsidRPr="009E6ED2">
        <w:rPr>
          <w:i/>
          <w:lang w:val="es-MX"/>
        </w:rPr>
        <w:t>Cfr. Caso de los “Niños de la Calle” (Villagrán Morales y otros) Vs. Guatemala. Fondo.</w:t>
      </w:r>
      <w:r w:rsidRPr="009E6ED2">
        <w:rPr>
          <w:lang w:val="es-MX"/>
        </w:rPr>
        <w:t xml:space="preserve"> Sentencia de 19 de noviembre de 1999. Serie C No. 63, párr. 237, </w:t>
      </w:r>
      <w:r w:rsidRPr="009E6ED2">
        <w:rPr>
          <w:i/>
          <w:lang w:val="es-MX"/>
        </w:rPr>
        <w:t xml:space="preserve">Caso </w:t>
      </w:r>
      <w:r w:rsidRPr="00333304">
        <w:rPr>
          <w:bCs/>
          <w:i/>
          <w:lang w:val="es-ES_tradnl"/>
        </w:rPr>
        <w:t xml:space="preserve">Duque Vs. Colombia, </w:t>
      </w:r>
      <w:r>
        <w:rPr>
          <w:bCs/>
          <w:i/>
          <w:lang w:val="es-ES_tradnl"/>
        </w:rPr>
        <w:t>s</w:t>
      </w:r>
      <w:r w:rsidRPr="00333304">
        <w:rPr>
          <w:bCs/>
          <w:i/>
          <w:lang w:val="es-ES_tradnl"/>
        </w:rPr>
        <w:t>upra</w:t>
      </w:r>
      <w:r>
        <w:rPr>
          <w:bCs/>
          <w:lang w:val="es-ES_tradnl"/>
        </w:rPr>
        <w:t xml:space="preserve">, párr. 177, y </w:t>
      </w:r>
      <w:r w:rsidRPr="009E6ED2">
        <w:rPr>
          <w:lang w:val="es-MX"/>
        </w:rPr>
        <w:t>Comisión Interamericana de Derechos Humanos. El acceso a la justicia como garantía de los derechos económicos, sociales y culturales. estudio de los estándares fijados por el sistema interamericano de derechos humanos, párr.</w:t>
      </w:r>
      <w:r>
        <w:rPr>
          <w:lang w:val="es-MX"/>
        </w:rPr>
        <w:t xml:space="preserve"> </w:t>
      </w:r>
      <w:r w:rsidRPr="009E6ED2">
        <w:rPr>
          <w:color w:val="000000"/>
          <w:lang w:val="es-MX"/>
        </w:rPr>
        <w:t>17.</w:t>
      </w:r>
    </w:p>
  </w:footnote>
  <w:footnote w:id="247">
    <w:p w14:paraId="217683A8" w14:textId="3EB3EA84" w:rsidR="00D86616" w:rsidRPr="009E6ED2" w:rsidRDefault="00D86616" w:rsidP="006A2D03">
      <w:pPr>
        <w:pStyle w:val="FootnoteText"/>
        <w:spacing w:after="0"/>
        <w:rPr>
          <w:lang w:val="es-MX"/>
        </w:rPr>
      </w:pPr>
      <w:r w:rsidRPr="00E66DD7">
        <w:rPr>
          <w:rStyle w:val="FootnoteReference"/>
          <w:sz w:val="16"/>
        </w:rPr>
        <w:footnoteRef/>
      </w:r>
      <w:r w:rsidRPr="009E6ED2">
        <w:rPr>
          <w:lang w:val="es-MX"/>
        </w:rPr>
        <w:t xml:space="preserve"> </w:t>
      </w:r>
      <w:r w:rsidRPr="009E6ED2">
        <w:rPr>
          <w:b/>
          <w:lang w:val="es-MX"/>
        </w:rPr>
        <w:tab/>
      </w:r>
      <w:r w:rsidRPr="009E6ED2">
        <w:rPr>
          <w:i/>
          <w:lang w:val="es-MX"/>
        </w:rPr>
        <w:t>Cfr. Caso Velásquez Rodríguez vs. Honduras, supra</w:t>
      </w:r>
      <w:r w:rsidRPr="009E6ED2">
        <w:rPr>
          <w:lang w:val="es-MX"/>
        </w:rPr>
        <w:t xml:space="preserve"> nota 12, párr. 91, y </w:t>
      </w:r>
      <w:r w:rsidRPr="009E6ED2">
        <w:rPr>
          <w:bCs/>
          <w:i/>
          <w:lang w:val="es-ES_tradnl"/>
        </w:rPr>
        <w:t xml:space="preserve">Caso Favela Nova </w:t>
      </w:r>
      <w:proofErr w:type="spellStart"/>
      <w:r w:rsidRPr="009E6ED2">
        <w:rPr>
          <w:bCs/>
          <w:i/>
          <w:lang w:val="es-ES_tradnl"/>
        </w:rPr>
        <w:t>Brasília</w:t>
      </w:r>
      <w:proofErr w:type="spellEnd"/>
      <w:r w:rsidRPr="009E6ED2">
        <w:rPr>
          <w:bCs/>
          <w:i/>
          <w:lang w:val="es-ES_tradnl"/>
        </w:rPr>
        <w:t xml:space="preserve"> Vs. Brasil, supra</w:t>
      </w:r>
      <w:r w:rsidRPr="00333304">
        <w:rPr>
          <w:bCs/>
          <w:lang w:val="es-ES_tradnl"/>
        </w:rPr>
        <w:t>,</w:t>
      </w:r>
      <w:r>
        <w:rPr>
          <w:bCs/>
          <w:lang w:val="es-ES_tradnl"/>
        </w:rPr>
        <w:t xml:space="preserve"> </w:t>
      </w:r>
      <w:r w:rsidRPr="00333304">
        <w:rPr>
          <w:bCs/>
          <w:lang w:val="es-ES_tradnl"/>
        </w:rPr>
        <w:t>párr. 183.</w:t>
      </w:r>
    </w:p>
  </w:footnote>
  <w:footnote w:id="248">
    <w:p w14:paraId="5AA5837F" w14:textId="71F68767" w:rsidR="00D86616" w:rsidRPr="00685D4D" w:rsidRDefault="00D86616" w:rsidP="006A2D03">
      <w:pPr>
        <w:widowControl w:val="0"/>
        <w:autoSpaceDE w:val="0"/>
        <w:autoSpaceDN w:val="0"/>
        <w:adjustRightInd w:val="0"/>
        <w:jc w:val="both"/>
        <w:rPr>
          <w:rFonts w:ascii="Verdana" w:hAnsi="Verdana" w:cs="Helvetica"/>
          <w:sz w:val="16"/>
          <w:szCs w:val="16"/>
        </w:rPr>
      </w:pPr>
      <w:r w:rsidRPr="00E66DD7">
        <w:rPr>
          <w:rStyle w:val="FootnoteReference"/>
          <w:sz w:val="16"/>
          <w:szCs w:val="16"/>
        </w:rPr>
        <w:footnoteRef/>
      </w:r>
      <w:r w:rsidRPr="00E66DD7">
        <w:rPr>
          <w:rFonts w:ascii="Verdana" w:hAnsi="Verdana"/>
          <w:sz w:val="16"/>
          <w:szCs w:val="16"/>
        </w:rPr>
        <w:t xml:space="preserve"> </w:t>
      </w:r>
      <w:r w:rsidRPr="00E66DD7">
        <w:rPr>
          <w:rFonts w:ascii="Verdana" w:hAnsi="Verdana"/>
          <w:sz w:val="16"/>
          <w:szCs w:val="16"/>
        </w:rPr>
        <w:tab/>
      </w:r>
      <w:r w:rsidRPr="00F77B70">
        <w:rPr>
          <w:rFonts w:ascii="Verdana" w:hAnsi="Verdana" w:cs="Times"/>
          <w:i/>
          <w:sz w:val="16"/>
          <w:szCs w:val="16"/>
        </w:rPr>
        <w:t>Cfr.</w:t>
      </w:r>
      <w:r w:rsidRPr="00E66DD7">
        <w:rPr>
          <w:rFonts w:ascii="Verdana" w:hAnsi="Verdana" w:cs="Times"/>
          <w:sz w:val="16"/>
          <w:szCs w:val="16"/>
        </w:rPr>
        <w:t xml:space="preserve"> </w:t>
      </w:r>
      <w:r w:rsidRPr="00E66DD7">
        <w:rPr>
          <w:rFonts w:ascii="Verdana" w:hAnsi="Verdana" w:cs="Times"/>
          <w:i/>
          <w:sz w:val="16"/>
          <w:szCs w:val="16"/>
        </w:rPr>
        <w:t>Caso López Álvarez Vs. Honduras.</w:t>
      </w:r>
      <w:r w:rsidRPr="00E66DD7">
        <w:rPr>
          <w:rFonts w:ascii="Verdana" w:hAnsi="Verdana" w:cs="Times"/>
          <w:sz w:val="16"/>
          <w:szCs w:val="16"/>
        </w:rPr>
        <w:t xml:space="preserve"> </w:t>
      </w:r>
      <w:r w:rsidRPr="00E66DD7">
        <w:rPr>
          <w:rFonts w:ascii="Verdana" w:hAnsi="Verdana" w:cs="Times"/>
          <w:i/>
          <w:sz w:val="16"/>
          <w:szCs w:val="16"/>
        </w:rPr>
        <w:t>Fondo, Reparaciones </w:t>
      </w:r>
      <w:r w:rsidRPr="00E66DD7">
        <w:rPr>
          <w:rFonts w:ascii="Verdana" w:hAnsi="Verdana" w:cs="Helvetica"/>
          <w:i/>
          <w:sz w:val="16"/>
          <w:szCs w:val="16"/>
        </w:rPr>
        <w:t>y Costas.</w:t>
      </w:r>
      <w:r w:rsidRPr="00E66DD7">
        <w:rPr>
          <w:rFonts w:ascii="Verdana" w:hAnsi="Verdana" w:cs="Helvetica"/>
          <w:sz w:val="16"/>
          <w:szCs w:val="16"/>
        </w:rPr>
        <w:t xml:space="preserve"> Sentencia de 1 de febrero de 2006. Serie C No. 141, párr. 96, y </w:t>
      </w:r>
      <w:r w:rsidRPr="00F1353C">
        <w:rPr>
          <w:rFonts w:ascii="Verdana" w:hAnsi="Verdana" w:cs="Helvetica"/>
          <w:bCs/>
          <w:i/>
          <w:sz w:val="16"/>
          <w:szCs w:val="16"/>
        </w:rPr>
        <w:t>Caso Zegarra Marín Vs. Perú</w:t>
      </w:r>
      <w:r w:rsidRPr="00333304">
        <w:rPr>
          <w:rFonts w:ascii="Verdana" w:hAnsi="Verdana" w:cs="Helvetica"/>
          <w:bCs/>
          <w:sz w:val="16"/>
          <w:szCs w:val="16"/>
        </w:rPr>
        <w:t>,</w:t>
      </w:r>
      <w:r>
        <w:rPr>
          <w:rFonts w:ascii="Verdana" w:hAnsi="Verdana" w:cs="Helvetica"/>
          <w:bCs/>
          <w:sz w:val="16"/>
          <w:szCs w:val="16"/>
        </w:rPr>
        <w:t xml:space="preserve"> </w:t>
      </w:r>
      <w:r w:rsidRPr="00333304">
        <w:rPr>
          <w:rFonts w:ascii="Verdana" w:hAnsi="Verdana" w:cs="Helvetica"/>
          <w:bCs/>
          <w:i/>
          <w:sz w:val="16"/>
          <w:szCs w:val="16"/>
        </w:rPr>
        <w:t>supra</w:t>
      </w:r>
      <w:r>
        <w:rPr>
          <w:rFonts w:ascii="Verdana" w:hAnsi="Verdana" w:cs="Helvetica"/>
          <w:bCs/>
          <w:sz w:val="16"/>
          <w:szCs w:val="16"/>
        </w:rPr>
        <w:t xml:space="preserve">, </w:t>
      </w:r>
      <w:r w:rsidRPr="00333304">
        <w:rPr>
          <w:rFonts w:ascii="Verdana" w:hAnsi="Verdana" w:cs="Helvetica"/>
          <w:bCs/>
          <w:sz w:val="16"/>
          <w:szCs w:val="16"/>
        </w:rPr>
        <w:t xml:space="preserve">párr. 179. </w:t>
      </w:r>
    </w:p>
  </w:footnote>
  <w:footnote w:id="249">
    <w:p w14:paraId="1AB27335" w14:textId="21270F17" w:rsidR="00D86616" w:rsidRPr="009E6ED2" w:rsidRDefault="00D86616" w:rsidP="006A2D03">
      <w:pPr>
        <w:pStyle w:val="FootnoteText"/>
        <w:spacing w:after="0"/>
        <w:rPr>
          <w:lang w:val="es-MX"/>
        </w:rPr>
      </w:pPr>
      <w:r w:rsidRPr="006F503A">
        <w:rPr>
          <w:rStyle w:val="FootnoteReference"/>
          <w:sz w:val="16"/>
        </w:rPr>
        <w:footnoteRef/>
      </w:r>
      <w:r w:rsidRPr="009E6ED2">
        <w:rPr>
          <w:lang w:val="es-MX"/>
        </w:rPr>
        <w:t xml:space="preserve"> </w:t>
      </w:r>
      <w:r w:rsidRPr="009E6ED2">
        <w:rPr>
          <w:lang w:val="es-MX"/>
        </w:rPr>
        <w:tab/>
        <w:t xml:space="preserve">Alegó que las expresiones vertidas en la revista “La Razón” le correspondían a Lagos del Campo, ya que no había atribuido dichas palabras como autoría del entrevistador, al momento de contestar la carta de formulación de cargos, únicamente había alegado que fueron vertidas en el ejercicio de su derecho constitucional a la libertad de expresión y en su calidad de Presidente del Comité Electoral. </w:t>
      </w:r>
      <w:r>
        <w:rPr>
          <w:lang w:val="es-ES_tradnl"/>
        </w:rPr>
        <w:t xml:space="preserve">(expediente de prueba, anexos al informe de fondo 9 y 10, </w:t>
      </w:r>
      <w:r w:rsidRPr="004E7321">
        <w:rPr>
          <w:lang w:val="es-ES_tradnl"/>
        </w:rPr>
        <w:t>f</w:t>
      </w:r>
      <w:r>
        <w:rPr>
          <w:lang w:val="es-ES_tradnl"/>
        </w:rPr>
        <w:t>olios 33 a 41</w:t>
      </w:r>
      <w:r w:rsidRPr="00752D43">
        <w:rPr>
          <w:lang w:val="es-ES_tradnl"/>
        </w:rPr>
        <w:t>)</w:t>
      </w:r>
      <w:r>
        <w:rPr>
          <w:lang w:val="es-ES_tradnl"/>
        </w:rPr>
        <w:t>.</w:t>
      </w:r>
    </w:p>
  </w:footnote>
  <w:footnote w:id="250">
    <w:p w14:paraId="4AFA8A73" w14:textId="19B566FE" w:rsidR="00D86616" w:rsidRPr="00E66DD7" w:rsidRDefault="00D86616" w:rsidP="006A2D03">
      <w:pPr>
        <w:autoSpaceDE w:val="0"/>
        <w:autoSpaceDN w:val="0"/>
        <w:adjustRightInd w:val="0"/>
        <w:jc w:val="both"/>
        <w:rPr>
          <w:rFonts w:ascii="Verdana" w:hAnsi="Verdana"/>
          <w:sz w:val="16"/>
          <w:szCs w:val="16"/>
        </w:rPr>
      </w:pPr>
      <w:r w:rsidRPr="00E66DD7">
        <w:rPr>
          <w:rStyle w:val="FootnoteReference"/>
          <w:sz w:val="16"/>
          <w:szCs w:val="16"/>
        </w:rPr>
        <w:footnoteRef/>
      </w:r>
      <w:r w:rsidRPr="00E66DD7">
        <w:rPr>
          <w:sz w:val="16"/>
          <w:szCs w:val="16"/>
        </w:rPr>
        <w:t xml:space="preserve"> </w:t>
      </w:r>
      <w:r w:rsidRPr="00E66DD7">
        <w:rPr>
          <w:sz w:val="16"/>
          <w:szCs w:val="16"/>
        </w:rPr>
        <w:tab/>
      </w:r>
      <w:r w:rsidRPr="00F77B70">
        <w:rPr>
          <w:rFonts w:ascii="Verdana" w:hAnsi="Verdana"/>
          <w:i/>
          <w:sz w:val="16"/>
          <w:szCs w:val="16"/>
        </w:rPr>
        <w:t>Cfr.</w:t>
      </w:r>
      <w:r w:rsidRPr="00E66DD7">
        <w:rPr>
          <w:rFonts w:ascii="Verdana" w:hAnsi="Verdana"/>
          <w:sz w:val="16"/>
          <w:szCs w:val="16"/>
        </w:rPr>
        <w:t xml:space="preserve"> </w:t>
      </w:r>
      <w:r w:rsidRPr="00E66DD7">
        <w:rPr>
          <w:rFonts w:ascii="Verdana" w:hAnsi="Verdana"/>
          <w:sz w:val="16"/>
          <w:szCs w:val="16"/>
          <w:lang w:eastAsia="es-MX"/>
        </w:rPr>
        <w:t xml:space="preserve">Escrito de contestación al recurso de apelación dirigido por el señor Lagos del Campo al Segundo Tribunal de Trabajo de Lima. 1 de agosto de 1991, Expediente No. 839-91. </w:t>
      </w:r>
      <w:r>
        <w:rPr>
          <w:rFonts w:ascii="Verdana" w:hAnsi="Verdana"/>
          <w:sz w:val="16"/>
          <w:szCs w:val="16"/>
          <w:lang w:eastAsia="es-MX"/>
        </w:rPr>
        <w:t>A</w:t>
      </w:r>
      <w:r w:rsidRPr="00E66DD7">
        <w:rPr>
          <w:rFonts w:ascii="Verdana" w:hAnsi="Verdana"/>
          <w:sz w:val="16"/>
          <w:szCs w:val="16"/>
          <w:lang w:eastAsia="es-MX"/>
        </w:rPr>
        <w:t xml:space="preserve">nexos a la comunicación de los peticionarios de fecha 23 de julio de 1998 </w:t>
      </w:r>
      <w:r w:rsidRPr="00E66DD7">
        <w:rPr>
          <w:rFonts w:ascii="Verdana" w:hAnsi="Verdana"/>
          <w:sz w:val="16"/>
          <w:szCs w:val="16"/>
        </w:rPr>
        <w:t>(expediente de prueba</w:t>
      </w:r>
      <w:r>
        <w:rPr>
          <w:rFonts w:ascii="Verdana" w:hAnsi="Verdana"/>
          <w:sz w:val="16"/>
          <w:szCs w:val="16"/>
        </w:rPr>
        <w:t xml:space="preserve">, </w:t>
      </w:r>
      <w:proofErr w:type="spellStart"/>
      <w:r w:rsidRPr="004E7321">
        <w:rPr>
          <w:rFonts w:ascii="Verdana" w:hAnsi="Verdana"/>
          <w:sz w:val="16"/>
          <w:szCs w:val="16"/>
        </w:rPr>
        <w:t>ff</w:t>
      </w:r>
      <w:proofErr w:type="spellEnd"/>
      <w:r w:rsidRPr="004E7321">
        <w:rPr>
          <w:rFonts w:ascii="Verdana" w:hAnsi="Verdana"/>
          <w:sz w:val="16"/>
          <w:szCs w:val="16"/>
        </w:rPr>
        <w:t>.</w:t>
      </w:r>
      <w:r>
        <w:rPr>
          <w:rFonts w:ascii="Verdana" w:hAnsi="Verdana"/>
          <w:sz w:val="16"/>
          <w:szCs w:val="16"/>
        </w:rPr>
        <w:t xml:space="preserve"> </w:t>
      </w:r>
      <w:r w:rsidRPr="00E66DD7">
        <w:rPr>
          <w:rFonts w:ascii="Verdana" w:hAnsi="Verdana"/>
          <w:sz w:val="16"/>
          <w:szCs w:val="16"/>
        </w:rPr>
        <w:t xml:space="preserve">43 a 45).  </w:t>
      </w:r>
    </w:p>
    <w:p w14:paraId="089E4196" w14:textId="77777777" w:rsidR="00D86616" w:rsidRPr="00E66DD7" w:rsidRDefault="00D86616" w:rsidP="006A2D03">
      <w:pPr>
        <w:autoSpaceDE w:val="0"/>
        <w:autoSpaceDN w:val="0"/>
        <w:adjustRightInd w:val="0"/>
        <w:jc w:val="both"/>
        <w:rPr>
          <w:rFonts w:ascii="Verdana" w:hAnsi="Verdana"/>
          <w:sz w:val="16"/>
          <w:szCs w:val="16"/>
        </w:rPr>
      </w:pPr>
      <w:r w:rsidRPr="00E66DD7">
        <w:rPr>
          <w:rFonts w:ascii="Verdana" w:hAnsi="Verdana"/>
          <w:sz w:val="16"/>
          <w:szCs w:val="16"/>
        </w:rPr>
        <w:t xml:space="preserve">Mediante el cual señaló, alegó que tanto en la carta de descargo como en el escrito de la demanda, había afirmado que la entrevista no era de su autoría, por ende la responsabilidad de la publicación de la entrevista correspondía al periodista y Director de “La Razón”. Respecto del escrito presentado por la empresa el 25 de junio de 1991, Lagos del Campo mencionó que la empresa le atribuyó como autor de palabras que no se encontraban en la publicación de la entrevista en la revista “La Razón”. </w:t>
      </w:r>
    </w:p>
  </w:footnote>
  <w:footnote w:id="251">
    <w:p w14:paraId="12976CA8" w14:textId="3567D2E1" w:rsidR="00D86616" w:rsidRPr="00E66DD7" w:rsidRDefault="00D86616" w:rsidP="006A2D03">
      <w:pPr>
        <w:pStyle w:val="FootnoteText"/>
        <w:spacing w:after="0"/>
        <w:rPr>
          <w:lang w:val="es-EC"/>
        </w:rPr>
      </w:pPr>
      <w:r w:rsidRPr="00E66DD7">
        <w:rPr>
          <w:rStyle w:val="FootnoteReference"/>
          <w:sz w:val="16"/>
        </w:rPr>
        <w:footnoteRef/>
      </w:r>
      <w:r w:rsidRPr="009E6ED2">
        <w:rPr>
          <w:lang w:val="es-MX"/>
        </w:rPr>
        <w:t xml:space="preserve"> </w:t>
      </w:r>
      <w:r w:rsidRPr="009E6ED2">
        <w:rPr>
          <w:lang w:val="es-MX"/>
        </w:rPr>
        <w:tab/>
      </w:r>
      <w:r w:rsidRPr="009E6ED2">
        <w:rPr>
          <w:i/>
          <w:lang w:val="es-MX"/>
        </w:rPr>
        <w:t>Cfr.</w:t>
      </w:r>
      <w:r w:rsidRPr="009E6ED2">
        <w:rPr>
          <w:lang w:val="es-MX"/>
        </w:rPr>
        <w:t xml:space="preserve"> </w:t>
      </w:r>
      <w:r w:rsidRPr="009E6ED2">
        <w:rPr>
          <w:lang w:val="es-MX" w:eastAsia="es-MX"/>
        </w:rPr>
        <w:t xml:space="preserve">Constitución Política del Perú 12 de julio de 1979. </w:t>
      </w:r>
      <w:r w:rsidRPr="009E6ED2">
        <w:rPr>
          <w:lang w:val="es-MX"/>
        </w:rPr>
        <w:t xml:space="preserve">Artículo 233, buena administración de justicia: numeral 4.- La motivación escrita de las resoluciones, en todas las instancias, con mención expresa de la ley aplicable y de los fundamentos en que se sustentan; </w:t>
      </w:r>
      <w:r w:rsidRPr="009E6ED2">
        <w:rPr>
          <w:lang w:val="es-MX" w:eastAsia="es-MX"/>
        </w:rPr>
        <w:t xml:space="preserve">Congreso de la República de Perú. Ley 24514. Ley del derecho de estabilidad en el trabajo. 4 de junio de 1986. </w:t>
      </w:r>
      <w:r w:rsidRPr="009E6ED2">
        <w:rPr>
          <w:lang w:val="es-MX"/>
        </w:rPr>
        <w:t xml:space="preserve">(expediente de prueba, </w:t>
      </w:r>
      <w:proofErr w:type="spellStart"/>
      <w:r w:rsidRPr="009E6ED2">
        <w:rPr>
          <w:lang w:val="es-MX"/>
        </w:rPr>
        <w:t>ff</w:t>
      </w:r>
      <w:proofErr w:type="spellEnd"/>
      <w:r w:rsidRPr="009E6ED2">
        <w:rPr>
          <w:lang w:val="es-MX"/>
        </w:rPr>
        <w:t>. 33bis a 38bis</w:t>
      </w:r>
      <w:r w:rsidRPr="009E6ED2">
        <w:rPr>
          <w:i/>
          <w:lang w:val="es-MX"/>
        </w:rPr>
        <w:t>.</w:t>
      </w:r>
      <w:r w:rsidRPr="009E6ED2">
        <w:rPr>
          <w:lang w:val="es-MX"/>
        </w:rPr>
        <w:t>) Artículo 3.- Los trabajadores a que se refiere el Art.</w:t>
      </w:r>
      <w:r>
        <w:rPr>
          <w:lang w:val="es-MX"/>
        </w:rPr>
        <w:t xml:space="preserve"> </w:t>
      </w:r>
      <w:r w:rsidRPr="009E6ED2">
        <w:rPr>
          <w:lang w:val="es-MX"/>
        </w:rPr>
        <w:t>2, solo podrán ser despedidos por causa justa señalada en la presente Ley y debidamente motivada.</w:t>
      </w:r>
    </w:p>
  </w:footnote>
  <w:footnote w:id="252">
    <w:p w14:paraId="56302CC4" w14:textId="690D2CEB" w:rsidR="00D86616" w:rsidRPr="009E6ED2" w:rsidRDefault="00D86616" w:rsidP="006A2D03">
      <w:pPr>
        <w:pStyle w:val="FootnoteText"/>
        <w:spacing w:after="0"/>
        <w:rPr>
          <w:lang w:val="es-MX"/>
        </w:rPr>
      </w:pPr>
      <w:r w:rsidRPr="00E66DD7">
        <w:rPr>
          <w:rStyle w:val="FootnoteReference"/>
          <w:rFonts w:eastAsia="Calibri"/>
          <w:sz w:val="16"/>
        </w:rPr>
        <w:footnoteRef/>
      </w:r>
      <w:r w:rsidRPr="009E6ED2">
        <w:rPr>
          <w:lang w:val="es-MX"/>
        </w:rPr>
        <w:t xml:space="preserve"> </w:t>
      </w:r>
      <w:r w:rsidRPr="009E6ED2">
        <w:rPr>
          <w:lang w:val="es-MX"/>
        </w:rPr>
        <w:tab/>
        <w:t>A saber: a) demanda de calificación de despido el 26 de julio de 1989; b)  recurso de "revisión y reconsideración" el 26 de agosto de 1991; c) recurso de nulidad el 2 de septiembre 1991; d) acción de amparo el 8 de noviembre de 1991; e) recurso de nulidad el 26 de agosto de 1992; f) oficio ante el Presidente de la Sala de Derecho Constitucional y Social de la Corte Suprema de Justicia el 30 de marzo de 1993; g) recurso de revisión para que su asunto fuera conocido en la Sala Plena de la Corte Suprema de Justicia el 28 de abril y 4 de mayo de 1993; h) recurso de apelación el 18 de julio de 1997; i) recurso de queja el 19 de agosto de 1997; j) recurso de queja ante el Presidente del Tribunal Constitucional, el 2 de octubre de 1997.</w:t>
      </w:r>
    </w:p>
  </w:footnote>
  <w:footnote w:id="253">
    <w:p w14:paraId="11323CD6" w14:textId="6B11C77F" w:rsidR="00D86616" w:rsidRPr="009E6ED2" w:rsidRDefault="00D86616" w:rsidP="006A2D03">
      <w:pPr>
        <w:pStyle w:val="FootnoteText"/>
        <w:spacing w:after="0"/>
        <w:rPr>
          <w:lang w:val="es-MX"/>
        </w:rPr>
      </w:pPr>
      <w:r w:rsidRPr="00E66DD7">
        <w:rPr>
          <w:rStyle w:val="FootnoteReference"/>
          <w:sz w:val="16"/>
        </w:rPr>
        <w:footnoteRef/>
      </w:r>
      <w:r w:rsidRPr="009E6ED2">
        <w:rPr>
          <w:lang w:val="es-MX"/>
        </w:rPr>
        <w:t xml:space="preserve"> </w:t>
      </w:r>
      <w:r w:rsidRPr="009E6ED2">
        <w:rPr>
          <w:lang w:val="es-MX"/>
        </w:rPr>
        <w:tab/>
        <w:t xml:space="preserve">Decreto Supremo 03-80-TR. Acciones en el fuero de trabajo y Comunidades Laborales. Art. </w:t>
      </w:r>
      <w:r w:rsidRPr="009E6ED2">
        <w:rPr>
          <w:rFonts w:eastAsia="HiddenHorzOCR" w:cs="HiddenHorzOCR"/>
          <w:lang w:val="es-MX"/>
        </w:rPr>
        <w:t xml:space="preserve">9.- </w:t>
      </w:r>
      <w:r w:rsidRPr="009E6ED2">
        <w:rPr>
          <w:lang w:val="es-MX"/>
        </w:rPr>
        <w:t xml:space="preserve">Los escritos que </w:t>
      </w:r>
      <w:r w:rsidRPr="009E6ED2">
        <w:rPr>
          <w:rFonts w:eastAsia="HiddenHorzOCR" w:cs="HiddenHorzOCR"/>
          <w:lang w:val="es-MX"/>
        </w:rPr>
        <w:t xml:space="preserve">presenten las partes a los terceros se </w:t>
      </w:r>
      <w:r w:rsidRPr="009E6ED2">
        <w:rPr>
          <w:iCs/>
          <w:lang w:val="es-MX"/>
        </w:rPr>
        <w:t>proveerán</w:t>
      </w:r>
      <w:r w:rsidRPr="009E6ED2">
        <w:rPr>
          <w:i/>
          <w:iCs/>
          <w:lang w:val="es-MX"/>
        </w:rPr>
        <w:t xml:space="preserve"> </w:t>
      </w:r>
      <w:r w:rsidRPr="009E6ED2">
        <w:rPr>
          <w:lang w:val="es-MX"/>
        </w:rPr>
        <w:t xml:space="preserve">dentro </w:t>
      </w:r>
      <w:r w:rsidRPr="009E6ED2">
        <w:rPr>
          <w:rFonts w:eastAsia="HiddenHorzOCR" w:cs="HiddenHorzOCR"/>
          <w:lang w:val="es-MX"/>
        </w:rPr>
        <w:t>de las</w:t>
      </w:r>
      <w:r w:rsidRPr="009E6ED2">
        <w:rPr>
          <w:lang w:val="es-MX"/>
        </w:rPr>
        <w:t xml:space="preserve"> 48 horas siguientes a su recepción bajo responsabilidad. (expediente de prueba, anexo 2 del trámite ante la CIDH, folio 720)</w:t>
      </w:r>
      <w:r>
        <w:rPr>
          <w:lang w:val="es-MX"/>
        </w:rPr>
        <w:t>.</w:t>
      </w:r>
    </w:p>
  </w:footnote>
  <w:footnote w:id="254">
    <w:p w14:paraId="4F54AB38" w14:textId="6C21C382" w:rsidR="00D86616" w:rsidRPr="00E66DD7" w:rsidRDefault="00D86616" w:rsidP="006A2D03">
      <w:pPr>
        <w:pStyle w:val="NormalWeb"/>
        <w:spacing w:before="0" w:beforeAutospacing="0" w:after="0" w:afterAutospacing="0"/>
        <w:jc w:val="both"/>
        <w:rPr>
          <w:rFonts w:ascii="Verdana" w:hAnsi="Verdana"/>
          <w:color w:val="000000"/>
          <w:sz w:val="16"/>
          <w:szCs w:val="16"/>
          <w:lang w:val="es-EC"/>
        </w:rPr>
      </w:pPr>
      <w:r w:rsidRPr="00E66DD7">
        <w:rPr>
          <w:rStyle w:val="FootnoteReference"/>
          <w:sz w:val="16"/>
          <w:szCs w:val="16"/>
        </w:rPr>
        <w:footnoteRef/>
      </w:r>
      <w:r w:rsidRPr="00E66DD7">
        <w:rPr>
          <w:sz w:val="16"/>
          <w:szCs w:val="16"/>
        </w:rPr>
        <w:t xml:space="preserve"> </w:t>
      </w:r>
      <w:r w:rsidRPr="00E66DD7">
        <w:rPr>
          <w:sz w:val="16"/>
          <w:szCs w:val="16"/>
        </w:rPr>
        <w:tab/>
      </w:r>
      <w:r w:rsidRPr="00F77B70">
        <w:rPr>
          <w:rFonts w:ascii="Verdana" w:hAnsi="Verdana"/>
          <w:i/>
          <w:sz w:val="16"/>
          <w:szCs w:val="16"/>
          <w:lang w:val="es-EC"/>
        </w:rPr>
        <w:t>Cfr.</w:t>
      </w:r>
      <w:r w:rsidRPr="00E66DD7">
        <w:rPr>
          <w:rFonts w:ascii="Verdana" w:hAnsi="Verdana"/>
          <w:sz w:val="16"/>
          <w:szCs w:val="16"/>
          <w:lang w:val="es-EC"/>
        </w:rPr>
        <w:t xml:space="preserve"> Congreso de la República de Perú. Constitución Política del Perú 12 de julio de 1979. </w:t>
      </w:r>
      <w:r w:rsidRPr="00E66DD7">
        <w:rPr>
          <w:rFonts w:ascii="Verdana" w:hAnsi="Verdana"/>
          <w:bCs/>
          <w:color w:val="000000"/>
          <w:sz w:val="16"/>
          <w:szCs w:val="16"/>
          <w:lang w:val="es-EC"/>
        </w:rPr>
        <w:t>Artículo 295.</w:t>
      </w:r>
      <w:r w:rsidRPr="00E66DD7">
        <w:rPr>
          <w:rFonts w:ascii="Verdana" w:hAnsi="Verdana"/>
          <w:bCs/>
          <w:color w:val="000000"/>
          <w:sz w:val="16"/>
          <w:szCs w:val="16"/>
          <w:lang w:val="es-EC"/>
        </w:rPr>
        <w:softHyphen/>
      </w:r>
      <w:r w:rsidRPr="00E66DD7">
        <w:rPr>
          <w:rFonts w:ascii="Verdana" w:hAnsi="Verdana"/>
          <w:color w:val="000000"/>
          <w:sz w:val="16"/>
          <w:szCs w:val="16"/>
          <w:lang w:val="es-EC"/>
        </w:rPr>
        <w:t xml:space="preserve"> La acción de amparo cautela los derechos reconocidos por la Constitución que sean vulnerados o amenazados por cualquier autoridad, funcionario o persona. La acción de amparo tiene el mismo trámite que la acción de habeas corpus en los que es aplicable.</w:t>
      </w:r>
    </w:p>
  </w:footnote>
  <w:footnote w:id="255">
    <w:p w14:paraId="7E395623" w14:textId="1B45AD8F" w:rsidR="00D86616" w:rsidRPr="00474F8F" w:rsidRDefault="00D86616" w:rsidP="006A2D03">
      <w:pPr>
        <w:contextualSpacing/>
        <w:jc w:val="both"/>
        <w:rPr>
          <w:rFonts w:ascii="Verdana" w:hAnsi="Verdana" w:cs="Verdana"/>
          <w:color w:val="000000"/>
          <w:sz w:val="16"/>
          <w:szCs w:val="16"/>
        </w:rPr>
      </w:pPr>
      <w:r w:rsidRPr="00E66DD7">
        <w:rPr>
          <w:rStyle w:val="FootnoteReference"/>
          <w:sz w:val="16"/>
          <w:szCs w:val="16"/>
        </w:rPr>
        <w:footnoteRef/>
      </w:r>
      <w:r w:rsidRPr="00E66DD7">
        <w:rPr>
          <w:sz w:val="16"/>
          <w:szCs w:val="16"/>
        </w:rPr>
        <w:t xml:space="preserve"> </w:t>
      </w:r>
      <w:r w:rsidRPr="00E66DD7">
        <w:rPr>
          <w:sz w:val="16"/>
          <w:szCs w:val="16"/>
          <w:lang w:val="es-CR"/>
        </w:rPr>
        <w:tab/>
      </w:r>
      <w:r w:rsidRPr="00E66DD7">
        <w:rPr>
          <w:rFonts w:ascii="Verdana" w:hAnsi="Verdana"/>
          <w:sz w:val="16"/>
          <w:szCs w:val="16"/>
          <w:lang w:val="es-EC"/>
        </w:rPr>
        <w:t>El Tribunal ha resaltado que la obligación del artículo 25 supone</w:t>
      </w:r>
      <w:r w:rsidRPr="00E66DD7">
        <w:rPr>
          <w:rFonts w:ascii="Verdana" w:hAnsi="Verdana"/>
          <w:sz w:val="16"/>
          <w:szCs w:val="16"/>
        </w:rPr>
        <w:t xml:space="preserve"> </w:t>
      </w:r>
      <w:r w:rsidRPr="00E66DD7">
        <w:rPr>
          <w:rFonts w:ascii="Verdana" w:hAnsi="Verdana" w:cs="TimesNewRomanPSMT"/>
          <w:sz w:val="16"/>
          <w:szCs w:val="16"/>
          <w:lang w:val="es-EC"/>
        </w:rPr>
        <w:t xml:space="preserve">que el recurso sea “adecuado”, lo cual significa que la función de éste dentro del sistema del </w:t>
      </w:r>
      <w:r w:rsidRPr="00E66DD7">
        <w:rPr>
          <w:rFonts w:ascii="Verdana" w:hAnsi="Verdana"/>
          <w:sz w:val="16"/>
          <w:szCs w:val="16"/>
          <w:lang w:val="es-EC"/>
        </w:rPr>
        <w:t>derecho</w:t>
      </w:r>
      <w:r w:rsidRPr="00E66DD7">
        <w:rPr>
          <w:rFonts w:ascii="Verdana" w:hAnsi="Verdana"/>
          <w:sz w:val="16"/>
          <w:szCs w:val="16"/>
        </w:rPr>
        <w:t xml:space="preserve"> </w:t>
      </w:r>
      <w:r w:rsidRPr="00E66DD7">
        <w:rPr>
          <w:rFonts w:ascii="Verdana" w:hAnsi="Verdana"/>
          <w:sz w:val="16"/>
          <w:szCs w:val="16"/>
          <w:lang w:val="es-EC"/>
        </w:rPr>
        <w:t>interno debe ser “idónea” para proteger la situación jurídica infringida</w:t>
      </w:r>
      <w:r w:rsidRPr="00E66DD7">
        <w:rPr>
          <w:rStyle w:val="FootnoteReference"/>
          <w:sz w:val="16"/>
          <w:szCs w:val="16"/>
          <w:lang w:val="es-EC"/>
        </w:rPr>
        <w:footnoteRef/>
      </w:r>
      <w:r w:rsidRPr="00E66DD7">
        <w:rPr>
          <w:rFonts w:ascii="Verdana" w:hAnsi="Verdana"/>
          <w:sz w:val="16"/>
          <w:szCs w:val="16"/>
          <w:lang w:val="es-EC"/>
        </w:rPr>
        <w:t xml:space="preserve">. </w:t>
      </w:r>
      <w:r w:rsidRPr="009E6ED2">
        <w:rPr>
          <w:rFonts w:ascii="Verdana" w:hAnsi="Verdana"/>
          <w:i/>
          <w:sz w:val="16"/>
          <w:szCs w:val="16"/>
        </w:rPr>
        <w:t xml:space="preserve">Cfr. </w:t>
      </w:r>
      <w:r w:rsidRPr="009E6ED2">
        <w:rPr>
          <w:rFonts w:ascii="Verdana" w:hAnsi="Verdana"/>
          <w:i/>
          <w:iCs/>
          <w:sz w:val="16"/>
          <w:szCs w:val="16"/>
          <w:lang w:val="es-EC"/>
        </w:rPr>
        <w:t>Caso Velásquez Rodríguez vs. Honduras</w:t>
      </w:r>
      <w:r w:rsidRPr="009E6ED2">
        <w:rPr>
          <w:rFonts w:ascii="Verdana" w:hAnsi="Verdana"/>
          <w:i/>
          <w:sz w:val="16"/>
          <w:szCs w:val="16"/>
          <w:lang w:val="es-EC"/>
        </w:rPr>
        <w:t>, supra</w:t>
      </w:r>
      <w:r>
        <w:rPr>
          <w:rFonts w:ascii="Verdana" w:hAnsi="Verdana"/>
          <w:i/>
          <w:sz w:val="16"/>
          <w:szCs w:val="16"/>
          <w:lang w:val="es-EC"/>
        </w:rPr>
        <w:t>,</w:t>
      </w:r>
      <w:r w:rsidRPr="00E66DD7">
        <w:rPr>
          <w:rFonts w:ascii="Verdana" w:hAnsi="Verdana"/>
          <w:i/>
          <w:iCs/>
          <w:sz w:val="16"/>
          <w:szCs w:val="16"/>
          <w:lang w:val="es-EC"/>
        </w:rPr>
        <w:t xml:space="preserve"> </w:t>
      </w:r>
      <w:r w:rsidRPr="00E66DD7">
        <w:rPr>
          <w:rFonts w:ascii="Verdana" w:hAnsi="Verdana"/>
          <w:sz w:val="16"/>
          <w:szCs w:val="16"/>
          <w:lang w:val="es-EC"/>
        </w:rPr>
        <w:t xml:space="preserve">párr. 64, y </w:t>
      </w:r>
      <w:r w:rsidRPr="009E6ED2">
        <w:rPr>
          <w:rFonts w:ascii="Verdana" w:hAnsi="Verdana"/>
          <w:bCs/>
          <w:i/>
          <w:iCs/>
          <w:sz w:val="16"/>
          <w:szCs w:val="16"/>
        </w:rPr>
        <w:t xml:space="preserve">Caso </w:t>
      </w:r>
      <w:r w:rsidRPr="00333304">
        <w:rPr>
          <w:rFonts w:ascii="Verdana" w:hAnsi="Verdana"/>
          <w:bCs/>
          <w:i/>
          <w:iCs/>
          <w:sz w:val="16"/>
          <w:szCs w:val="16"/>
        </w:rPr>
        <w:t>Maldonado Ordóñez Vs. Guatemala. Excepción Preliminar, Fondo, Reparaciones y Costas.</w:t>
      </w:r>
      <w:r w:rsidRPr="00333304">
        <w:rPr>
          <w:rFonts w:ascii="Verdana" w:hAnsi="Verdana"/>
          <w:bCs/>
          <w:iCs/>
          <w:sz w:val="16"/>
          <w:szCs w:val="16"/>
        </w:rPr>
        <w:t xml:space="preserve"> Sentencia de 3 de mayo de </w:t>
      </w:r>
      <w:r w:rsidRPr="00474F8F">
        <w:rPr>
          <w:rFonts w:ascii="Verdana" w:hAnsi="Verdana"/>
          <w:bCs/>
          <w:iCs/>
          <w:sz w:val="16"/>
          <w:szCs w:val="16"/>
        </w:rPr>
        <w:t>2016. Serie C No. 311</w:t>
      </w:r>
      <w:r>
        <w:rPr>
          <w:rFonts w:ascii="Verdana" w:hAnsi="Verdana"/>
          <w:bCs/>
          <w:iCs/>
          <w:sz w:val="16"/>
          <w:szCs w:val="16"/>
        </w:rPr>
        <w:t>, párr. 109.</w:t>
      </w:r>
    </w:p>
  </w:footnote>
  <w:footnote w:id="256">
    <w:p w14:paraId="78AA71E6" w14:textId="58C93B8E" w:rsidR="00D86616" w:rsidRPr="009E6ED2" w:rsidRDefault="00D86616" w:rsidP="006A2D03">
      <w:pPr>
        <w:pStyle w:val="FootnoteText"/>
        <w:spacing w:after="0"/>
        <w:rPr>
          <w:lang w:val="es-MX"/>
        </w:rPr>
      </w:pPr>
      <w:r w:rsidRPr="00E66DD7">
        <w:rPr>
          <w:rStyle w:val="FootnoteReference"/>
          <w:sz w:val="16"/>
        </w:rPr>
        <w:footnoteRef/>
      </w:r>
      <w:r w:rsidRPr="009E6ED2">
        <w:rPr>
          <w:lang w:val="es-MX"/>
        </w:rPr>
        <w:t xml:space="preserve"> </w:t>
      </w:r>
      <w:r w:rsidRPr="009E6ED2">
        <w:rPr>
          <w:lang w:val="es-MX"/>
        </w:rPr>
        <w:tab/>
      </w:r>
      <w:r w:rsidRPr="009E6ED2">
        <w:rPr>
          <w:i/>
          <w:lang w:val="es-MX"/>
        </w:rPr>
        <w:t>Cfr. Caso Duque Vs. Colombia. supra</w:t>
      </w:r>
      <w:r w:rsidRPr="009E6ED2">
        <w:rPr>
          <w:lang w:val="es-MX"/>
        </w:rPr>
        <w:t xml:space="preserve">, párr. 96, y </w:t>
      </w:r>
      <w:r w:rsidRPr="009E6ED2">
        <w:rPr>
          <w:bCs/>
          <w:i/>
          <w:lang w:val="es-ES_tradnl"/>
        </w:rPr>
        <w:t xml:space="preserve">Caso Favela Nova </w:t>
      </w:r>
      <w:proofErr w:type="spellStart"/>
      <w:r w:rsidRPr="009E6ED2">
        <w:rPr>
          <w:bCs/>
          <w:i/>
          <w:lang w:val="es-ES_tradnl"/>
        </w:rPr>
        <w:t>Brasília</w:t>
      </w:r>
      <w:proofErr w:type="spellEnd"/>
      <w:r w:rsidRPr="009E6ED2">
        <w:rPr>
          <w:bCs/>
          <w:i/>
          <w:lang w:val="es-ES_tradnl"/>
        </w:rPr>
        <w:t xml:space="preserve"> Vs. Brasil, supra</w:t>
      </w:r>
      <w:r w:rsidRPr="00333304">
        <w:rPr>
          <w:bCs/>
          <w:lang w:val="es-ES_tradnl"/>
        </w:rPr>
        <w:t>,</w:t>
      </w:r>
      <w:r w:rsidRPr="00843EB1">
        <w:rPr>
          <w:bCs/>
          <w:lang w:val="es-ES_tradnl"/>
        </w:rPr>
        <w:t xml:space="preserve"> p</w:t>
      </w:r>
      <w:r>
        <w:rPr>
          <w:bCs/>
          <w:lang w:val="es-ES_tradnl"/>
        </w:rPr>
        <w:t>árr. 233.</w:t>
      </w:r>
      <w:r w:rsidRPr="009E6ED2">
        <w:rPr>
          <w:lang w:val="es-MX"/>
        </w:rPr>
        <w:t xml:space="preserve">   </w:t>
      </w:r>
    </w:p>
  </w:footnote>
  <w:footnote w:id="257">
    <w:p w14:paraId="3DE0880E" w14:textId="67E34908" w:rsidR="00D86616" w:rsidRPr="00E66DD7" w:rsidRDefault="00D86616" w:rsidP="006A2D03">
      <w:pPr>
        <w:autoSpaceDE w:val="0"/>
        <w:autoSpaceDN w:val="0"/>
        <w:adjustRightInd w:val="0"/>
        <w:jc w:val="both"/>
        <w:rPr>
          <w:rFonts w:ascii="Verdana" w:hAnsi="Verdana"/>
          <w:sz w:val="16"/>
          <w:szCs w:val="16"/>
        </w:rPr>
      </w:pPr>
      <w:r w:rsidRPr="00E66DD7">
        <w:rPr>
          <w:rStyle w:val="FootnoteReference"/>
          <w:sz w:val="16"/>
          <w:szCs w:val="16"/>
        </w:rPr>
        <w:footnoteRef/>
      </w:r>
      <w:r w:rsidRPr="00E66DD7">
        <w:rPr>
          <w:rFonts w:ascii="Verdana" w:hAnsi="Verdana"/>
          <w:sz w:val="16"/>
          <w:szCs w:val="16"/>
        </w:rPr>
        <w:t xml:space="preserve"> </w:t>
      </w:r>
      <w:r w:rsidRPr="00E66DD7">
        <w:rPr>
          <w:rFonts w:ascii="Verdana" w:hAnsi="Verdana"/>
          <w:sz w:val="16"/>
          <w:szCs w:val="16"/>
        </w:rPr>
        <w:tab/>
        <w:t xml:space="preserve">Ver por ejemplo, </w:t>
      </w:r>
      <w:r w:rsidRPr="00E66DD7">
        <w:rPr>
          <w:rFonts w:ascii="Verdana" w:hAnsi="Verdana" w:cs="Verdana"/>
          <w:bCs/>
          <w:i/>
          <w:sz w:val="16"/>
          <w:szCs w:val="16"/>
          <w:lang w:eastAsia="es-MX"/>
        </w:rPr>
        <w:t xml:space="preserve">Caso Trabajadores Cesados del Congreso (Aguado Alfaro y otros) </w:t>
      </w:r>
      <w:r w:rsidRPr="00E66DD7">
        <w:rPr>
          <w:rFonts w:ascii="Verdana" w:hAnsi="Verdana" w:cs="Verdana"/>
          <w:bCs/>
          <w:i/>
          <w:iCs/>
          <w:sz w:val="16"/>
          <w:szCs w:val="16"/>
          <w:lang w:eastAsia="es-MX"/>
        </w:rPr>
        <w:t>Vs</w:t>
      </w:r>
      <w:r w:rsidRPr="00E66DD7">
        <w:rPr>
          <w:rFonts w:ascii="Verdana" w:hAnsi="Verdana" w:cs="Verdana"/>
          <w:bCs/>
          <w:i/>
          <w:sz w:val="16"/>
          <w:szCs w:val="16"/>
          <w:lang w:eastAsia="es-MX"/>
        </w:rPr>
        <w:t>. Perú</w:t>
      </w:r>
      <w:r>
        <w:rPr>
          <w:rFonts w:ascii="Verdana" w:hAnsi="Verdana" w:cs="Verdana"/>
          <w:bCs/>
          <w:i/>
          <w:sz w:val="16"/>
          <w:szCs w:val="16"/>
          <w:lang w:eastAsia="es-MX"/>
        </w:rPr>
        <w:t>,</w:t>
      </w:r>
      <w:r w:rsidRPr="00E66DD7">
        <w:rPr>
          <w:rFonts w:ascii="Verdana" w:hAnsi="Verdana" w:cs="Verdana"/>
          <w:bCs/>
          <w:i/>
          <w:sz w:val="16"/>
          <w:szCs w:val="16"/>
          <w:lang w:eastAsia="es-MX"/>
        </w:rPr>
        <w:t xml:space="preserve"> </w:t>
      </w:r>
      <w:r>
        <w:rPr>
          <w:rFonts w:ascii="Verdana" w:hAnsi="Verdana" w:cs="Verdana"/>
          <w:bCs/>
          <w:i/>
          <w:iCs/>
          <w:sz w:val="16"/>
          <w:szCs w:val="16"/>
          <w:lang w:eastAsia="es-MX"/>
        </w:rPr>
        <w:t>supra,</w:t>
      </w:r>
      <w:r w:rsidRPr="00E66DD7">
        <w:rPr>
          <w:rFonts w:ascii="Verdana" w:hAnsi="Verdana" w:cs="Verdana"/>
          <w:bCs/>
          <w:sz w:val="16"/>
          <w:szCs w:val="16"/>
          <w:lang w:eastAsia="es-MX"/>
        </w:rPr>
        <w:t xml:space="preserve"> </w:t>
      </w:r>
      <w:r>
        <w:rPr>
          <w:rFonts w:ascii="Verdana" w:hAnsi="Verdana" w:cs="Verdana"/>
          <w:bCs/>
          <w:sz w:val="16"/>
          <w:szCs w:val="16"/>
          <w:lang w:eastAsia="es-MX"/>
        </w:rPr>
        <w:t>pá</w:t>
      </w:r>
      <w:r w:rsidRPr="00E66DD7">
        <w:rPr>
          <w:rFonts w:ascii="Verdana" w:hAnsi="Verdana" w:cs="Verdana"/>
          <w:bCs/>
          <w:sz w:val="16"/>
          <w:szCs w:val="16"/>
          <w:lang w:eastAsia="es-MX"/>
        </w:rPr>
        <w:t>rr. 89.2</w:t>
      </w:r>
      <w:r>
        <w:rPr>
          <w:rFonts w:ascii="Verdana" w:hAnsi="Verdana" w:cs="Verdana"/>
          <w:bCs/>
          <w:sz w:val="16"/>
          <w:szCs w:val="16"/>
          <w:lang w:eastAsia="es-MX"/>
        </w:rPr>
        <w:t>.</w:t>
      </w:r>
      <w:r w:rsidRPr="00E66DD7">
        <w:rPr>
          <w:rFonts w:ascii="Verdana" w:hAnsi="Verdana" w:cs="Verdana"/>
          <w:bCs/>
          <w:sz w:val="16"/>
          <w:szCs w:val="16"/>
          <w:lang w:eastAsia="es-MX"/>
        </w:rPr>
        <w:t xml:space="preserve"> </w:t>
      </w:r>
      <w:r w:rsidRPr="00E66DD7">
        <w:rPr>
          <w:rStyle w:val="st1"/>
          <w:rFonts w:ascii="Verdana" w:hAnsi="Verdana" w:cs="Arial"/>
          <w:color w:val="000000"/>
          <w:sz w:val="16"/>
          <w:szCs w:val="16"/>
          <w:lang w:val="es-CR"/>
        </w:rPr>
        <w:t>“</w:t>
      </w:r>
      <w:r w:rsidRPr="00E66DD7">
        <w:rPr>
          <w:rFonts w:ascii="Verdana" w:hAnsi="Verdana" w:cs="Verdana"/>
          <w:sz w:val="16"/>
          <w:szCs w:val="16"/>
          <w:lang w:eastAsia="es-MX"/>
        </w:rPr>
        <w:t>El 5 de abril de 1992 el Presidente Fujimori transmitió el “Manifiesto</w:t>
      </w:r>
      <w:r w:rsidRPr="00E66DD7">
        <w:rPr>
          <w:rFonts w:ascii="Verdana" w:hAnsi="Verdana" w:cs="Verdana"/>
          <w:bCs/>
          <w:sz w:val="16"/>
          <w:szCs w:val="16"/>
          <w:lang w:eastAsia="es-MX"/>
        </w:rPr>
        <w:t xml:space="preserve"> </w:t>
      </w:r>
      <w:r w:rsidRPr="00E66DD7">
        <w:rPr>
          <w:rFonts w:ascii="Verdana" w:hAnsi="Verdana" w:cs="Verdana"/>
          <w:sz w:val="16"/>
          <w:szCs w:val="16"/>
          <w:lang w:eastAsia="es-MX"/>
        </w:rPr>
        <w:t xml:space="preserve">a la Nación” en el cual expresó, </w:t>
      </w:r>
      <w:r w:rsidRPr="00F77B70">
        <w:rPr>
          <w:rFonts w:ascii="Verdana" w:hAnsi="Verdana" w:cs="Verdana"/>
          <w:i/>
          <w:iCs/>
          <w:sz w:val="16"/>
          <w:szCs w:val="16"/>
          <w:lang w:eastAsia="es-MX"/>
        </w:rPr>
        <w:t xml:space="preserve">inter </w:t>
      </w:r>
      <w:proofErr w:type="spellStart"/>
      <w:r w:rsidRPr="00F77B70">
        <w:rPr>
          <w:rFonts w:ascii="Verdana" w:hAnsi="Verdana" w:cs="Verdana"/>
          <w:i/>
          <w:iCs/>
          <w:sz w:val="16"/>
          <w:szCs w:val="16"/>
          <w:lang w:eastAsia="es-MX"/>
        </w:rPr>
        <w:t>alia</w:t>
      </w:r>
      <w:proofErr w:type="spellEnd"/>
      <w:r w:rsidRPr="00E66DD7">
        <w:rPr>
          <w:rFonts w:ascii="Verdana" w:hAnsi="Verdana" w:cs="Verdana"/>
          <w:sz w:val="16"/>
          <w:szCs w:val="16"/>
          <w:lang w:eastAsia="es-MX"/>
        </w:rPr>
        <w:t>, que se sentía “en la responsabilidad de</w:t>
      </w:r>
      <w:r w:rsidRPr="00E66DD7">
        <w:rPr>
          <w:rFonts w:ascii="Verdana" w:hAnsi="Verdana" w:cs="Verdana"/>
          <w:bCs/>
          <w:sz w:val="16"/>
          <w:szCs w:val="16"/>
          <w:lang w:eastAsia="es-MX"/>
        </w:rPr>
        <w:t xml:space="preserve"> </w:t>
      </w:r>
      <w:r w:rsidRPr="00E66DD7">
        <w:rPr>
          <w:rFonts w:ascii="Verdana" w:hAnsi="Verdana" w:cs="Verdana"/>
          <w:sz w:val="16"/>
          <w:szCs w:val="16"/>
          <w:lang w:eastAsia="es-MX"/>
        </w:rPr>
        <w:t>asumir una actitud de excepción para procurar aligerar el proceso de […]</w:t>
      </w:r>
      <w:r w:rsidRPr="00E66DD7">
        <w:rPr>
          <w:rFonts w:ascii="Verdana" w:hAnsi="Verdana" w:cs="Verdana"/>
          <w:bCs/>
          <w:sz w:val="16"/>
          <w:szCs w:val="16"/>
          <w:lang w:eastAsia="es-MX"/>
        </w:rPr>
        <w:t xml:space="preserve"> </w:t>
      </w:r>
      <w:r w:rsidRPr="00E66DD7">
        <w:rPr>
          <w:rFonts w:ascii="Verdana" w:hAnsi="Verdana" w:cs="Verdana"/>
          <w:sz w:val="16"/>
          <w:szCs w:val="16"/>
          <w:lang w:eastAsia="es-MX"/>
        </w:rPr>
        <w:t xml:space="preserve">reconstrucción nacional, por lo que […] </w:t>
      </w:r>
      <w:proofErr w:type="spellStart"/>
      <w:r w:rsidRPr="00E66DD7">
        <w:rPr>
          <w:rFonts w:ascii="Verdana" w:hAnsi="Verdana" w:cs="Verdana"/>
          <w:sz w:val="16"/>
          <w:szCs w:val="16"/>
          <w:lang w:eastAsia="es-MX"/>
        </w:rPr>
        <w:t>decidi</w:t>
      </w:r>
      <w:proofErr w:type="spellEnd"/>
      <w:r w:rsidRPr="00E66DD7">
        <w:rPr>
          <w:rFonts w:ascii="Verdana" w:hAnsi="Verdana" w:cs="Verdana"/>
          <w:sz w:val="16"/>
          <w:szCs w:val="16"/>
          <w:lang w:eastAsia="es-MX"/>
        </w:rPr>
        <w:t>[</w:t>
      </w:r>
      <w:proofErr w:type="spellStart"/>
      <w:r w:rsidRPr="00E66DD7">
        <w:rPr>
          <w:rFonts w:ascii="Verdana" w:hAnsi="Verdana" w:cs="Verdana"/>
          <w:sz w:val="16"/>
          <w:szCs w:val="16"/>
          <w:lang w:eastAsia="es-MX"/>
        </w:rPr>
        <w:t>ó</w:t>
      </w:r>
      <w:proofErr w:type="spellEnd"/>
      <w:r w:rsidRPr="00E66DD7">
        <w:rPr>
          <w:rFonts w:ascii="Verdana" w:hAnsi="Verdana" w:cs="Verdana"/>
          <w:sz w:val="16"/>
          <w:szCs w:val="16"/>
          <w:lang w:eastAsia="es-MX"/>
        </w:rPr>
        <w:t>] […] disolver temporalmente el</w:t>
      </w:r>
      <w:r w:rsidRPr="00E66DD7">
        <w:rPr>
          <w:rFonts w:ascii="Verdana" w:hAnsi="Verdana" w:cs="Verdana"/>
          <w:bCs/>
          <w:sz w:val="16"/>
          <w:szCs w:val="16"/>
          <w:lang w:eastAsia="es-MX"/>
        </w:rPr>
        <w:t xml:space="preserve"> </w:t>
      </w:r>
      <w:r w:rsidRPr="00E66DD7">
        <w:rPr>
          <w:rFonts w:ascii="Verdana" w:hAnsi="Verdana" w:cs="Verdana"/>
          <w:sz w:val="16"/>
          <w:szCs w:val="16"/>
          <w:lang w:eastAsia="es-MX"/>
        </w:rPr>
        <w:t>Congreso de la República […] modernizar la administración pública [y] reorganizar</w:t>
      </w:r>
      <w:r w:rsidRPr="00E66DD7">
        <w:rPr>
          <w:rFonts w:ascii="Verdana" w:hAnsi="Verdana" w:cs="Verdana"/>
          <w:bCs/>
          <w:sz w:val="16"/>
          <w:szCs w:val="16"/>
          <w:lang w:eastAsia="es-MX"/>
        </w:rPr>
        <w:t xml:space="preserve"> </w:t>
      </w:r>
      <w:r w:rsidRPr="00E66DD7">
        <w:rPr>
          <w:rFonts w:ascii="Verdana" w:hAnsi="Verdana" w:cs="Verdana"/>
          <w:sz w:val="16"/>
          <w:szCs w:val="16"/>
          <w:lang w:eastAsia="es-MX"/>
        </w:rPr>
        <w:t>totalmente el Poder Judicial”</w:t>
      </w:r>
      <w:r>
        <w:rPr>
          <w:rFonts w:ascii="Verdana" w:hAnsi="Verdana" w:cs="Verdana"/>
          <w:sz w:val="16"/>
          <w:szCs w:val="16"/>
          <w:lang w:eastAsia="es-MX"/>
        </w:rPr>
        <w:t>.</w:t>
      </w:r>
    </w:p>
  </w:footnote>
  <w:footnote w:id="258">
    <w:p w14:paraId="69D05288" w14:textId="1E260A00" w:rsidR="00D86616" w:rsidRPr="009E6ED2" w:rsidRDefault="00D86616" w:rsidP="006A2D03">
      <w:pPr>
        <w:pStyle w:val="FootnoteText"/>
        <w:spacing w:after="0"/>
        <w:rPr>
          <w:lang w:val="es-MX"/>
        </w:rPr>
      </w:pPr>
      <w:r w:rsidRPr="00E66DD7">
        <w:rPr>
          <w:rStyle w:val="FootnoteReference"/>
          <w:sz w:val="16"/>
        </w:rPr>
        <w:footnoteRef/>
      </w:r>
      <w:r w:rsidRPr="009E6ED2">
        <w:rPr>
          <w:lang w:val="es-MX"/>
        </w:rPr>
        <w:t xml:space="preserve"> </w:t>
      </w:r>
      <w:r w:rsidRPr="009E6ED2">
        <w:rPr>
          <w:lang w:val="es-MX"/>
        </w:rPr>
        <w:tab/>
        <w:t xml:space="preserve">Artículo 46.2. Las disposiciones de los incisos 1.a. y 1.b. del presente artículo no se aplicarán cuando: </w:t>
      </w:r>
    </w:p>
    <w:p w14:paraId="77FB1640" w14:textId="77777777" w:rsidR="00D86616" w:rsidRPr="009E6ED2" w:rsidRDefault="00D86616" w:rsidP="006A2D03">
      <w:pPr>
        <w:pStyle w:val="FootnoteText"/>
        <w:spacing w:after="0"/>
        <w:rPr>
          <w:lang w:val="es-MX"/>
        </w:rPr>
      </w:pPr>
      <w:r w:rsidRPr="009E6ED2">
        <w:rPr>
          <w:lang w:val="es-MX"/>
        </w:rPr>
        <w:t xml:space="preserve"> a) no exista en la legislación interna del Estado de que se trata el debido proceso legal para la protección del derecho o derechos que se alega han sido violados; </w:t>
      </w:r>
    </w:p>
    <w:p w14:paraId="76919633" w14:textId="77777777" w:rsidR="00D86616" w:rsidRPr="009E6ED2" w:rsidRDefault="00D86616" w:rsidP="006A2D03">
      <w:pPr>
        <w:pStyle w:val="FootnoteText"/>
        <w:spacing w:after="0"/>
        <w:rPr>
          <w:lang w:val="es-MX"/>
        </w:rPr>
      </w:pPr>
      <w:r w:rsidRPr="009E6ED2">
        <w:rPr>
          <w:lang w:val="es-MX"/>
        </w:rPr>
        <w:t xml:space="preserve"> b) no se haya permitido al presunto lesionado en sus derechos el acceso a los recursos de la jurisdicción interna, o haya sido impedido de agotarlos, y </w:t>
      </w:r>
    </w:p>
    <w:p w14:paraId="4A3C1398" w14:textId="77777777" w:rsidR="00D86616" w:rsidRPr="009E6ED2" w:rsidRDefault="00D86616" w:rsidP="006A2D03">
      <w:pPr>
        <w:pStyle w:val="FootnoteText"/>
        <w:spacing w:after="0"/>
        <w:rPr>
          <w:lang w:val="es-MX"/>
        </w:rPr>
      </w:pPr>
      <w:r w:rsidRPr="009E6ED2">
        <w:rPr>
          <w:lang w:val="es-MX"/>
        </w:rPr>
        <w:t xml:space="preserve"> c) haya retardo injustificado en la decisión sobre los mencionados recursos.</w:t>
      </w:r>
    </w:p>
  </w:footnote>
  <w:footnote w:id="259">
    <w:p w14:paraId="7DC88BCD" w14:textId="613B5806" w:rsidR="00D86616" w:rsidRPr="00E66DD7" w:rsidRDefault="00D86616" w:rsidP="006A2D03">
      <w:pPr>
        <w:widowControl w:val="0"/>
        <w:autoSpaceDE w:val="0"/>
        <w:autoSpaceDN w:val="0"/>
        <w:adjustRightInd w:val="0"/>
        <w:contextualSpacing/>
        <w:jc w:val="both"/>
        <w:rPr>
          <w:rFonts w:ascii="Verdana" w:hAnsi="Verdana" w:cs="Times"/>
          <w:sz w:val="16"/>
          <w:szCs w:val="16"/>
        </w:rPr>
      </w:pPr>
      <w:r w:rsidRPr="00E66DD7">
        <w:rPr>
          <w:rStyle w:val="FootnoteReference"/>
          <w:sz w:val="16"/>
          <w:szCs w:val="16"/>
        </w:rPr>
        <w:footnoteRef/>
      </w:r>
      <w:r w:rsidRPr="00333304">
        <w:rPr>
          <w:rFonts w:ascii="Verdana" w:hAnsi="Verdana"/>
          <w:sz w:val="16"/>
          <w:szCs w:val="16"/>
          <w:lang w:val="pt-BR"/>
        </w:rPr>
        <w:t xml:space="preserve"> </w:t>
      </w:r>
      <w:r w:rsidRPr="00333304">
        <w:rPr>
          <w:rFonts w:ascii="Verdana" w:hAnsi="Verdana"/>
          <w:sz w:val="16"/>
          <w:szCs w:val="16"/>
          <w:lang w:val="pt-BR"/>
        </w:rPr>
        <w:tab/>
      </w:r>
      <w:r w:rsidRPr="009E6ED2">
        <w:rPr>
          <w:rFonts w:ascii="Verdana" w:hAnsi="Verdana" w:cs="Verdana"/>
          <w:i/>
          <w:iCs/>
          <w:sz w:val="16"/>
          <w:szCs w:val="16"/>
          <w:lang w:val="pt-BR"/>
        </w:rPr>
        <w:t>Cfr. Caso del Tribunal Constitucional, supra</w:t>
      </w:r>
      <w:r w:rsidRPr="00333304">
        <w:rPr>
          <w:rFonts w:ascii="Verdana" w:hAnsi="Verdana" w:cs="Verdana"/>
          <w:i/>
          <w:iCs/>
          <w:sz w:val="16"/>
          <w:szCs w:val="16"/>
          <w:lang w:val="pt-BR"/>
        </w:rPr>
        <w:t xml:space="preserve"> </w:t>
      </w:r>
      <w:r w:rsidRPr="00333304">
        <w:rPr>
          <w:rFonts w:ascii="Verdana" w:hAnsi="Verdana" w:cs="Verdana"/>
          <w:sz w:val="16"/>
          <w:szCs w:val="16"/>
          <w:lang w:val="pt-BR"/>
        </w:rPr>
        <w:t xml:space="preserve">párr. 89, </w:t>
      </w:r>
      <w:r>
        <w:rPr>
          <w:rFonts w:ascii="Verdana" w:hAnsi="Verdana" w:cs="Verdana"/>
          <w:sz w:val="16"/>
          <w:szCs w:val="16"/>
          <w:lang w:val="pt-BR"/>
        </w:rPr>
        <w:t xml:space="preserve">y </w:t>
      </w:r>
      <w:r w:rsidRPr="009E6ED2">
        <w:rPr>
          <w:rFonts w:ascii="Verdana" w:hAnsi="Verdana" w:cs="Verdana"/>
          <w:bCs/>
          <w:i/>
          <w:sz w:val="16"/>
          <w:szCs w:val="16"/>
          <w:lang w:val="pt-BR"/>
        </w:rPr>
        <w:t xml:space="preserve">Caso Favela Nova Brasília Vs. </w:t>
      </w:r>
      <w:r w:rsidRPr="009E6ED2">
        <w:rPr>
          <w:rFonts w:ascii="Verdana" w:hAnsi="Verdana" w:cs="Verdana"/>
          <w:bCs/>
          <w:i/>
          <w:sz w:val="16"/>
          <w:szCs w:val="16"/>
        </w:rPr>
        <w:t>Brasil. supra,</w:t>
      </w:r>
      <w:r>
        <w:rPr>
          <w:rFonts w:ascii="Verdana" w:hAnsi="Verdana" w:cs="Verdana"/>
          <w:bCs/>
          <w:i/>
          <w:sz w:val="16"/>
          <w:szCs w:val="16"/>
        </w:rPr>
        <w:t xml:space="preserve"> </w:t>
      </w:r>
      <w:r w:rsidRPr="00474F8F">
        <w:rPr>
          <w:rFonts w:ascii="Verdana" w:hAnsi="Verdana" w:cs="Verdana"/>
          <w:bCs/>
          <w:sz w:val="16"/>
          <w:szCs w:val="16"/>
        </w:rPr>
        <w:t xml:space="preserve">párr. </w:t>
      </w:r>
      <w:r>
        <w:rPr>
          <w:rFonts w:ascii="Verdana" w:hAnsi="Verdana" w:cs="Verdana"/>
          <w:bCs/>
          <w:sz w:val="16"/>
          <w:szCs w:val="16"/>
        </w:rPr>
        <w:t>233</w:t>
      </w:r>
      <w:r w:rsidRPr="00E66DD7">
        <w:rPr>
          <w:rFonts w:ascii="Verdana" w:hAnsi="Verdana" w:cs="Verdana"/>
          <w:sz w:val="16"/>
          <w:szCs w:val="16"/>
        </w:rPr>
        <w:t xml:space="preserve">; y </w:t>
      </w:r>
      <w:r w:rsidRPr="009E6ED2">
        <w:rPr>
          <w:rFonts w:ascii="Verdana" w:hAnsi="Verdana" w:cs="Verdana"/>
          <w:i/>
          <w:iCs/>
          <w:sz w:val="16"/>
          <w:szCs w:val="16"/>
        </w:rPr>
        <w:t xml:space="preserve">Garantías Judiciales en Estados de Emergencia </w:t>
      </w:r>
      <w:r w:rsidRPr="009E6ED2">
        <w:rPr>
          <w:rFonts w:ascii="Verdana" w:hAnsi="Verdana" w:cs="Verdana"/>
          <w:i/>
          <w:sz w:val="16"/>
          <w:szCs w:val="16"/>
        </w:rPr>
        <w:t xml:space="preserve">(arts. 27.2, 25 y 8 Convención Americana sobre Derechos Humanos), OC-9/87, </w:t>
      </w:r>
      <w:r w:rsidRPr="009E6ED2">
        <w:rPr>
          <w:rFonts w:ascii="Verdana" w:hAnsi="Verdana" w:cs="Verdana"/>
          <w:i/>
          <w:iCs/>
          <w:sz w:val="16"/>
          <w:szCs w:val="16"/>
        </w:rPr>
        <w:t>supra</w:t>
      </w:r>
      <w:r w:rsidRPr="00E66DD7">
        <w:rPr>
          <w:rFonts w:ascii="Verdana" w:hAnsi="Verdana" w:cs="Verdana"/>
          <w:sz w:val="16"/>
          <w:szCs w:val="16"/>
        </w:rPr>
        <w:t>, párr. 23</w:t>
      </w:r>
      <w:r>
        <w:rPr>
          <w:rFonts w:ascii="Verdana" w:hAnsi="Verdana" w:cs="Verdana"/>
          <w:sz w:val="16"/>
          <w:szCs w:val="16"/>
        </w:rPr>
        <w:t xml:space="preserve"> a 24.</w:t>
      </w:r>
    </w:p>
  </w:footnote>
  <w:footnote w:id="260">
    <w:p w14:paraId="47626979" w14:textId="77777777" w:rsidR="00D86616" w:rsidRPr="009E6ED2" w:rsidRDefault="00D86616" w:rsidP="006A2D03">
      <w:pPr>
        <w:pStyle w:val="2Footnotes"/>
        <w:spacing w:before="0" w:after="0"/>
        <w:rPr>
          <w:lang w:val="es-MX"/>
        </w:rPr>
      </w:pPr>
      <w:r w:rsidRPr="004C3F47">
        <w:rPr>
          <w:rStyle w:val="FootnoteReference"/>
          <w:rFonts w:eastAsia="Batang"/>
          <w:sz w:val="16"/>
          <w:szCs w:val="16"/>
        </w:rPr>
        <w:footnoteRef/>
      </w:r>
      <w:r w:rsidRPr="009E6ED2">
        <w:rPr>
          <w:lang w:val="es-MX"/>
        </w:rPr>
        <w:t xml:space="preserve"> </w:t>
      </w:r>
      <w:r w:rsidRPr="009E6ED2">
        <w:rPr>
          <w:lang w:val="es-MX"/>
        </w:rPr>
        <w:tab/>
        <w:t>El artículo 63.1 de la Convención Americana establece: “Cuando decida que hubo violación de un derecho o libertad protegidos en esta Convención, la Corte dispondrá que se garantice al lesionado en el goce de su derecho o libertad conculcados. Dispondrá asimismo, si ello fuera procedente, que se reparen las consecuencias de la medida o situación que ha configurado la vu</w:t>
      </w:r>
      <w:r w:rsidRPr="009E6ED2">
        <w:rPr>
          <w:lang w:val="es-MX" w:bidi="en-US"/>
        </w:rPr>
        <w:t>lner</w:t>
      </w:r>
      <w:r w:rsidRPr="009E6ED2">
        <w:rPr>
          <w:lang w:val="es-MX"/>
        </w:rPr>
        <w:t>ación de esos derechos y el pago de una justa indemnización a la parte lesionada”.</w:t>
      </w:r>
    </w:p>
  </w:footnote>
  <w:footnote w:id="261">
    <w:p w14:paraId="16CBE290" w14:textId="34DCEAF5" w:rsidR="00D86616" w:rsidRPr="009E6ED2" w:rsidRDefault="00D86616" w:rsidP="006A2D03">
      <w:pPr>
        <w:pStyle w:val="2Footnotes"/>
        <w:spacing w:before="0" w:after="0"/>
        <w:rPr>
          <w:lang w:val="es-MX" w:bidi="en-US"/>
        </w:rPr>
      </w:pPr>
      <w:r w:rsidRPr="004C3F47">
        <w:rPr>
          <w:rStyle w:val="FootnoteReference"/>
          <w:rFonts w:eastAsia="Batang"/>
          <w:sz w:val="16"/>
          <w:szCs w:val="16"/>
        </w:rPr>
        <w:footnoteRef/>
      </w:r>
      <w:r w:rsidRPr="004C3F47">
        <w:rPr>
          <w:lang w:val="es-CL"/>
        </w:rPr>
        <w:tab/>
      </w:r>
      <w:r w:rsidRPr="009E6ED2">
        <w:rPr>
          <w:i/>
          <w:lang w:val="es-MX" w:bidi="en-US"/>
        </w:rPr>
        <w:t>Cfr. Caso Velásquez Rodríguez Vs. Honduras. Reparaciones y Costas.</w:t>
      </w:r>
      <w:r w:rsidRPr="009E6ED2">
        <w:rPr>
          <w:lang w:val="es-MX" w:bidi="en-US"/>
        </w:rPr>
        <w:t xml:space="preserve"> Sentencia de 21 de julio de 1989. Serie C No. 7, párr. 25, y </w:t>
      </w:r>
      <w:r w:rsidRPr="009E6ED2">
        <w:rPr>
          <w:i/>
          <w:lang w:val="es-MX"/>
        </w:rPr>
        <w:t>Caso Acosta y otros Vs. Nicaragua, supra,</w:t>
      </w:r>
      <w:r w:rsidRPr="009E6ED2">
        <w:rPr>
          <w:lang w:val="es-MX"/>
        </w:rPr>
        <w:t xml:space="preserve"> párr. 209.</w:t>
      </w:r>
    </w:p>
  </w:footnote>
  <w:footnote w:id="262">
    <w:p w14:paraId="26BF7712" w14:textId="46AEFF3E" w:rsidR="00D86616" w:rsidRPr="009E6ED2" w:rsidRDefault="00D86616" w:rsidP="006A2D03">
      <w:pPr>
        <w:pStyle w:val="2Footnotes"/>
        <w:spacing w:before="0" w:after="0"/>
        <w:rPr>
          <w:rFonts w:cs="Verdana"/>
          <w:lang w:val="es-MX" w:bidi="en-US"/>
        </w:rPr>
      </w:pPr>
      <w:r w:rsidRPr="004C3F47">
        <w:rPr>
          <w:rStyle w:val="FootnoteReference"/>
          <w:rFonts w:eastAsia="Batang"/>
          <w:sz w:val="16"/>
          <w:szCs w:val="16"/>
          <w:lang w:val="es-EC"/>
        </w:rPr>
        <w:footnoteRef/>
      </w:r>
      <w:r w:rsidRPr="004C3F47">
        <w:rPr>
          <w:lang w:val="es-CL"/>
        </w:rPr>
        <w:tab/>
      </w:r>
      <w:r w:rsidRPr="009E6ED2">
        <w:rPr>
          <w:i/>
          <w:lang w:val="es-MX"/>
        </w:rPr>
        <w:t>Cfr. Caso Ticona Estrada y otros Vs. Bolivia. Fondo, Reparaciones y Costas.</w:t>
      </w:r>
      <w:r w:rsidRPr="009E6ED2">
        <w:rPr>
          <w:lang w:val="es-MX"/>
        </w:rPr>
        <w:t xml:space="preserve"> Sentencia de 27 de noviembre de 2008.</w:t>
      </w:r>
      <w:r>
        <w:rPr>
          <w:lang w:val="es-MX"/>
        </w:rPr>
        <w:t xml:space="preserve"> </w:t>
      </w:r>
      <w:r w:rsidRPr="009E6ED2">
        <w:rPr>
          <w:lang w:val="es-MX"/>
        </w:rPr>
        <w:t>Serie C No. 191, párr. 110</w:t>
      </w:r>
      <w:r w:rsidRPr="004C3F47">
        <w:rPr>
          <w:lang w:val="es-PE"/>
        </w:rPr>
        <w:t xml:space="preserve">, </w:t>
      </w:r>
      <w:r w:rsidRPr="009E6ED2">
        <w:rPr>
          <w:lang w:val="es-MX" w:bidi="en-US"/>
        </w:rPr>
        <w:t xml:space="preserve">y </w:t>
      </w:r>
      <w:r w:rsidRPr="009E6ED2">
        <w:rPr>
          <w:i/>
          <w:lang w:val="es-MX"/>
        </w:rPr>
        <w:t>Caso Acosta y otros Vs. Nicaragua, supra,</w:t>
      </w:r>
      <w:r w:rsidRPr="009E6ED2">
        <w:rPr>
          <w:lang w:val="es-MX"/>
        </w:rPr>
        <w:t xml:space="preserve"> párr. 210.</w:t>
      </w:r>
    </w:p>
  </w:footnote>
  <w:footnote w:id="263">
    <w:p w14:paraId="1A47AF54" w14:textId="3FCB44A1" w:rsidR="00D86616" w:rsidRPr="009E6ED2" w:rsidRDefault="00D86616" w:rsidP="006A2D03">
      <w:pPr>
        <w:pStyle w:val="2Footnotes"/>
        <w:spacing w:before="0" w:after="0"/>
        <w:rPr>
          <w:bCs/>
          <w:lang w:val="es-MX" w:bidi="en-US"/>
        </w:rPr>
      </w:pPr>
      <w:r w:rsidRPr="004C3F47">
        <w:rPr>
          <w:rStyle w:val="FootnoteReference"/>
          <w:rFonts w:eastAsia="MS Mincho"/>
          <w:sz w:val="16"/>
          <w:szCs w:val="16"/>
        </w:rPr>
        <w:footnoteRef/>
      </w:r>
      <w:r w:rsidRPr="009E6ED2">
        <w:rPr>
          <w:lang w:val="es-MX"/>
        </w:rPr>
        <w:t xml:space="preserve"> </w:t>
      </w:r>
      <w:r w:rsidRPr="009E6ED2">
        <w:rPr>
          <w:lang w:val="es-MX"/>
        </w:rPr>
        <w:tab/>
      </w:r>
      <w:r w:rsidRPr="009E6ED2">
        <w:rPr>
          <w:i/>
          <w:lang w:val="es-MX"/>
        </w:rPr>
        <w:t xml:space="preserve">Cfr. </w:t>
      </w:r>
      <w:r w:rsidRPr="009E6ED2">
        <w:rPr>
          <w:i/>
          <w:lang w:val="es-MX" w:bidi="en-US"/>
        </w:rPr>
        <w:t xml:space="preserve">Caso Velásquez Rodríguez Vs. Honduras. </w:t>
      </w:r>
      <w:r w:rsidRPr="009E6ED2">
        <w:rPr>
          <w:i/>
          <w:lang w:val="es-MX"/>
        </w:rPr>
        <w:t xml:space="preserve">Reparaciones, </w:t>
      </w:r>
      <w:r w:rsidRPr="009E6ED2">
        <w:rPr>
          <w:i/>
          <w:lang w:val="es-MX" w:bidi="en-US"/>
        </w:rPr>
        <w:t>supra,</w:t>
      </w:r>
      <w:r w:rsidRPr="009E6ED2">
        <w:rPr>
          <w:lang w:val="es-MX" w:bidi="en-US"/>
        </w:rPr>
        <w:t xml:space="preserve"> párr. 26, </w:t>
      </w:r>
      <w:r w:rsidRPr="009E6ED2">
        <w:rPr>
          <w:bCs/>
          <w:lang w:val="es-MX" w:bidi="en-US"/>
        </w:rPr>
        <w:t>y</w:t>
      </w:r>
      <w:r w:rsidRPr="009E6ED2">
        <w:rPr>
          <w:lang w:val="es-MX" w:bidi="en-US"/>
        </w:rPr>
        <w:t xml:space="preserve"> </w:t>
      </w:r>
      <w:r w:rsidRPr="009E6ED2">
        <w:rPr>
          <w:i/>
          <w:lang w:val="es-MX"/>
        </w:rPr>
        <w:t>Caso Acosta y otros Vs. Nicaragua, supra,</w:t>
      </w:r>
      <w:r w:rsidRPr="009E6ED2">
        <w:rPr>
          <w:lang w:val="es-MX"/>
        </w:rPr>
        <w:t xml:space="preserve"> párr. 210.</w:t>
      </w:r>
    </w:p>
  </w:footnote>
  <w:footnote w:id="264">
    <w:p w14:paraId="5676EE21" w14:textId="1629EE73" w:rsidR="00D86616" w:rsidRPr="009E6ED2" w:rsidRDefault="00D86616" w:rsidP="006A2D03">
      <w:pPr>
        <w:pStyle w:val="2Footnotes"/>
        <w:spacing w:before="0" w:after="0"/>
        <w:rPr>
          <w:lang w:val="es-MX" w:bidi="en-US"/>
        </w:rPr>
      </w:pPr>
      <w:r w:rsidRPr="004C3F47">
        <w:rPr>
          <w:rStyle w:val="FootnoteReference"/>
          <w:sz w:val="16"/>
          <w:szCs w:val="16"/>
        </w:rPr>
        <w:footnoteRef/>
      </w:r>
      <w:r w:rsidRPr="009E6ED2">
        <w:rPr>
          <w:lang w:val="es-MX"/>
        </w:rPr>
        <w:t xml:space="preserve"> </w:t>
      </w:r>
      <w:r w:rsidRPr="009E6ED2">
        <w:rPr>
          <w:lang w:val="es-MX"/>
        </w:rPr>
        <w:tab/>
      </w:r>
      <w:r w:rsidRPr="009E6ED2">
        <w:rPr>
          <w:i/>
          <w:lang w:val="es-MX"/>
        </w:rPr>
        <w:t>Cfr. Caso Velásquez Rodríguez. Reparaciones, supra,</w:t>
      </w:r>
      <w:r w:rsidRPr="009E6ED2">
        <w:rPr>
          <w:lang w:val="es-MX"/>
        </w:rPr>
        <w:t xml:space="preserve"> </w:t>
      </w:r>
      <w:r w:rsidRPr="009E6ED2">
        <w:rPr>
          <w:lang w:val="es-MX" w:bidi="en-US"/>
        </w:rPr>
        <w:t xml:space="preserve">párr. 189, y </w:t>
      </w:r>
      <w:r w:rsidRPr="009E6ED2">
        <w:rPr>
          <w:i/>
          <w:lang w:val="es-MX"/>
        </w:rPr>
        <w:t>Caso Acosta y otros Vs. Nicaragua, supra,</w:t>
      </w:r>
      <w:r w:rsidRPr="009E6ED2">
        <w:rPr>
          <w:lang w:val="es-MX"/>
        </w:rPr>
        <w:t xml:space="preserve"> párr. 211.</w:t>
      </w:r>
    </w:p>
  </w:footnote>
  <w:footnote w:id="265">
    <w:p w14:paraId="44EEE0D7" w14:textId="52134EB1" w:rsidR="00D86616" w:rsidRPr="009E6ED2" w:rsidRDefault="00D86616" w:rsidP="006A2D03">
      <w:pPr>
        <w:pStyle w:val="FootnoteText"/>
        <w:spacing w:after="0"/>
        <w:rPr>
          <w:lang w:val="es-MX"/>
        </w:rPr>
      </w:pPr>
      <w:r w:rsidRPr="004C3F47">
        <w:rPr>
          <w:rStyle w:val="FootnoteReference"/>
          <w:sz w:val="16"/>
        </w:rPr>
        <w:footnoteRef/>
      </w:r>
      <w:r w:rsidRPr="009E6ED2">
        <w:rPr>
          <w:lang w:val="es-MX"/>
        </w:rPr>
        <w:t xml:space="preserve"> </w:t>
      </w:r>
      <w:r w:rsidRPr="009E6ED2">
        <w:rPr>
          <w:lang w:val="es-MX"/>
        </w:rPr>
        <w:tab/>
      </w:r>
      <w:r w:rsidRPr="009E6ED2">
        <w:rPr>
          <w:i/>
          <w:lang w:val="es-MX"/>
        </w:rPr>
        <w:t xml:space="preserve">Cfr. </w:t>
      </w:r>
      <w:r w:rsidRPr="009E6ED2">
        <w:rPr>
          <w:rStyle w:val="Strong"/>
          <w:b w:val="0"/>
          <w:i/>
          <w:color w:val="000000"/>
          <w:shd w:val="clear" w:color="auto" w:fill="FFFFFF"/>
          <w:lang w:val="es-CR"/>
        </w:rPr>
        <w:t xml:space="preserve">Caso </w:t>
      </w:r>
      <w:proofErr w:type="spellStart"/>
      <w:r w:rsidRPr="009E6ED2">
        <w:rPr>
          <w:rStyle w:val="Strong"/>
          <w:b w:val="0"/>
          <w:i/>
          <w:color w:val="000000"/>
          <w:shd w:val="clear" w:color="auto" w:fill="FFFFFF"/>
          <w:lang w:val="es-CR"/>
        </w:rPr>
        <w:t>Chitay</w:t>
      </w:r>
      <w:proofErr w:type="spellEnd"/>
      <w:r w:rsidRPr="009E6ED2">
        <w:rPr>
          <w:rStyle w:val="Strong"/>
          <w:b w:val="0"/>
          <w:i/>
          <w:color w:val="000000"/>
          <w:shd w:val="clear" w:color="auto" w:fill="FFFFFF"/>
          <w:lang w:val="es-CR"/>
        </w:rPr>
        <w:t xml:space="preserve"> </w:t>
      </w:r>
      <w:proofErr w:type="spellStart"/>
      <w:r w:rsidRPr="009E6ED2">
        <w:rPr>
          <w:rStyle w:val="Strong"/>
          <w:b w:val="0"/>
          <w:i/>
          <w:color w:val="000000"/>
          <w:shd w:val="clear" w:color="auto" w:fill="FFFFFF"/>
          <w:lang w:val="es-CR"/>
        </w:rPr>
        <w:t>Nech</w:t>
      </w:r>
      <w:proofErr w:type="spellEnd"/>
      <w:r w:rsidRPr="009E6ED2">
        <w:rPr>
          <w:rStyle w:val="Strong"/>
          <w:b w:val="0"/>
          <w:i/>
          <w:color w:val="000000"/>
          <w:shd w:val="clear" w:color="auto" w:fill="FFFFFF"/>
          <w:lang w:val="es-CR"/>
        </w:rPr>
        <w:t xml:space="preserve"> y otros Vs. Guatemala, supra,</w:t>
      </w:r>
      <w:r>
        <w:rPr>
          <w:rStyle w:val="Strong"/>
          <w:b w:val="0"/>
          <w:i/>
          <w:color w:val="000000"/>
          <w:shd w:val="clear" w:color="auto" w:fill="FFFFFF"/>
          <w:lang w:val="es-CR"/>
        </w:rPr>
        <w:t xml:space="preserve"> </w:t>
      </w:r>
      <w:r>
        <w:rPr>
          <w:rStyle w:val="Strong"/>
          <w:b w:val="0"/>
          <w:color w:val="000000"/>
          <w:shd w:val="clear" w:color="auto" w:fill="FFFFFF"/>
          <w:lang w:val="es-CR"/>
        </w:rPr>
        <w:t xml:space="preserve">párr. 244, y </w:t>
      </w:r>
      <w:r w:rsidRPr="009E6ED2">
        <w:rPr>
          <w:i/>
          <w:lang w:val="es-MX"/>
        </w:rPr>
        <w:t>Caso Zegarra Marín Vs. Perú, supra</w:t>
      </w:r>
      <w:r w:rsidRPr="009E6ED2">
        <w:rPr>
          <w:lang w:val="es-MX"/>
        </w:rPr>
        <w:t>, párr. 205.</w:t>
      </w:r>
    </w:p>
  </w:footnote>
  <w:footnote w:id="266">
    <w:p w14:paraId="6D75B009" w14:textId="1A2E7EFD" w:rsidR="00D86616" w:rsidRPr="009E6ED2" w:rsidRDefault="00D86616" w:rsidP="006A2D03">
      <w:pPr>
        <w:pStyle w:val="FootnoteText"/>
        <w:spacing w:after="0"/>
        <w:rPr>
          <w:lang w:val="es-MX"/>
        </w:rPr>
      </w:pPr>
      <w:r w:rsidRPr="004C3F47">
        <w:rPr>
          <w:rStyle w:val="FootnoteReference"/>
          <w:color w:val="000000"/>
          <w:sz w:val="16"/>
        </w:rPr>
        <w:footnoteRef/>
      </w:r>
      <w:r w:rsidRPr="009E6ED2">
        <w:rPr>
          <w:lang w:val="es-MX"/>
        </w:rPr>
        <w:tab/>
        <w:t xml:space="preserve">Este Tribunal ha establecido que el daño material supone “la pérdida o detrimento de los ingresos de las víctimas, los gastos efectuados con motivo de los hechos y las consecuencias de carácter pecuniario que tengan un nexo causal con los hechos del caso”. </w:t>
      </w:r>
      <w:r w:rsidRPr="009E6ED2">
        <w:rPr>
          <w:i/>
          <w:lang w:val="es-MX"/>
        </w:rPr>
        <w:t xml:space="preserve">Caso </w:t>
      </w:r>
      <w:proofErr w:type="spellStart"/>
      <w:r w:rsidRPr="009E6ED2">
        <w:rPr>
          <w:i/>
          <w:lang w:val="es-MX"/>
        </w:rPr>
        <w:t>Bámaca</w:t>
      </w:r>
      <w:proofErr w:type="spellEnd"/>
      <w:r w:rsidRPr="009E6ED2">
        <w:rPr>
          <w:i/>
          <w:lang w:val="es-MX"/>
        </w:rPr>
        <w:t xml:space="preserve"> Velásquez Vs. Guatemala.</w:t>
      </w:r>
      <w:r w:rsidRPr="009E6ED2">
        <w:rPr>
          <w:lang w:val="es-MX"/>
        </w:rPr>
        <w:t xml:space="preserve"> </w:t>
      </w:r>
      <w:r w:rsidRPr="009E6ED2">
        <w:rPr>
          <w:i/>
          <w:lang w:val="es-MX"/>
        </w:rPr>
        <w:t>Reparaciones y Costas.</w:t>
      </w:r>
      <w:r w:rsidRPr="009E6ED2">
        <w:rPr>
          <w:lang w:val="es-MX"/>
        </w:rPr>
        <w:t xml:space="preserve"> Sentencia de 22 de febrero de 2002. Serie C No. 91, párr. 43, </w:t>
      </w:r>
      <w:r w:rsidRPr="009E6ED2">
        <w:rPr>
          <w:i/>
          <w:lang w:val="es-MX"/>
        </w:rPr>
        <w:t>y Caso Acosta y otros Vs. Nicaragua,</w:t>
      </w:r>
      <w:r w:rsidRPr="009E6ED2">
        <w:rPr>
          <w:lang w:val="es-MX"/>
        </w:rPr>
        <w:t xml:space="preserve"> </w:t>
      </w:r>
      <w:r w:rsidRPr="009E6ED2">
        <w:rPr>
          <w:i/>
          <w:lang w:val="es-MX"/>
        </w:rPr>
        <w:t>supra</w:t>
      </w:r>
      <w:r w:rsidRPr="009E6ED2">
        <w:rPr>
          <w:lang w:val="es-MX"/>
        </w:rPr>
        <w:t>, párr. 233.</w:t>
      </w:r>
    </w:p>
  </w:footnote>
  <w:footnote w:id="267">
    <w:p w14:paraId="56EF3970" w14:textId="15759C17" w:rsidR="00D86616" w:rsidRPr="009E6ED2" w:rsidRDefault="00D86616" w:rsidP="006A2D03">
      <w:pPr>
        <w:pStyle w:val="FootnoteText"/>
        <w:spacing w:after="0"/>
        <w:rPr>
          <w:lang w:val="es-MX"/>
        </w:rPr>
      </w:pPr>
      <w:r w:rsidRPr="004C3F47">
        <w:rPr>
          <w:rStyle w:val="FootnoteReference"/>
          <w:color w:val="000000"/>
          <w:sz w:val="16"/>
        </w:rPr>
        <w:footnoteRef/>
      </w:r>
      <w:r w:rsidRPr="009E6ED2">
        <w:rPr>
          <w:lang w:val="es-MX"/>
        </w:rPr>
        <w:tab/>
        <w:t xml:space="preserve">Este Tribunal ha establecido que el daño inmaterial “puede comprender tanto los sufrimientos y las aflicciones causados a la víctima directa y a sus allegados, el menoscabo de valores muy significativos para las personas, así como las alteraciones, de carácter no pecuniario, en las condiciones de existencia de la víctima o su familia”. </w:t>
      </w:r>
      <w:r w:rsidRPr="009E6ED2">
        <w:rPr>
          <w:i/>
          <w:lang w:val="es-MX"/>
        </w:rPr>
        <w:t>Caso de los Niños de la Calle (Villagrán Morales y otros) Vs. Guatemala</w:t>
      </w:r>
      <w:r w:rsidRPr="009E6ED2">
        <w:rPr>
          <w:lang w:val="es-MX"/>
        </w:rPr>
        <w:t xml:space="preserve">. </w:t>
      </w:r>
      <w:r w:rsidRPr="009E6ED2">
        <w:rPr>
          <w:i/>
          <w:lang w:val="es-MX"/>
        </w:rPr>
        <w:t>Reparaciones y Costas</w:t>
      </w:r>
      <w:r w:rsidRPr="009E6ED2">
        <w:rPr>
          <w:lang w:val="es-MX"/>
        </w:rPr>
        <w:t xml:space="preserve">. Sentencia de 26 de mayo de 2001. Serie C No. 77, párr. 84, y </w:t>
      </w:r>
      <w:r w:rsidRPr="009E6ED2">
        <w:rPr>
          <w:bCs/>
          <w:i/>
          <w:iCs/>
          <w:lang w:val="es-MX"/>
        </w:rPr>
        <w:t>Caso Vásquez Durand y otros Vs. Ecuador, supra</w:t>
      </w:r>
      <w:r w:rsidRPr="009E6ED2">
        <w:rPr>
          <w:bCs/>
          <w:iCs/>
          <w:lang w:val="es-MX"/>
        </w:rPr>
        <w:t>, párr. 332.</w:t>
      </w:r>
    </w:p>
  </w:footnote>
  <w:footnote w:id="268">
    <w:p w14:paraId="25A6E61A" w14:textId="282E37FF" w:rsidR="00D86616" w:rsidRPr="009E6ED2" w:rsidRDefault="00D86616" w:rsidP="006A2D03">
      <w:pPr>
        <w:pStyle w:val="FootnoteText"/>
        <w:spacing w:after="0"/>
        <w:rPr>
          <w:lang w:val="es-MX"/>
        </w:rPr>
      </w:pPr>
      <w:r w:rsidRPr="00341FCF">
        <w:rPr>
          <w:rStyle w:val="FootnoteReference"/>
          <w:sz w:val="16"/>
        </w:rPr>
        <w:footnoteRef/>
      </w:r>
      <w:r w:rsidRPr="009E6ED2">
        <w:rPr>
          <w:lang w:val="es-MX"/>
        </w:rPr>
        <w:t xml:space="preserve"> </w:t>
      </w:r>
      <w:r w:rsidRPr="009E6ED2">
        <w:rPr>
          <w:lang w:val="es-MX"/>
        </w:rPr>
        <w:tab/>
      </w:r>
      <w:r w:rsidRPr="009E6ED2">
        <w:rPr>
          <w:i/>
          <w:lang w:val="es-MX"/>
        </w:rPr>
        <w:t>Cfr.</w:t>
      </w:r>
      <w:r w:rsidRPr="009E6ED2">
        <w:rPr>
          <w:lang w:val="es-MX"/>
        </w:rPr>
        <w:t xml:space="preserve"> </w:t>
      </w:r>
      <w:r w:rsidRPr="00A532BE">
        <w:rPr>
          <w:i/>
          <w:lang w:val="es-MX"/>
        </w:rPr>
        <w:t xml:space="preserve">Caso </w:t>
      </w:r>
      <w:proofErr w:type="spellStart"/>
      <w:r w:rsidRPr="00A532BE">
        <w:rPr>
          <w:i/>
          <w:lang w:val="es-MX"/>
        </w:rPr>
        <w:t>Bámaca</w:t>
      </w:r>
      <w:proofErr w:type="spellEnd"/>
      <w:r w:rsidRPr="00A532BE">
        <w:rPr>
          <w:i/>
          <w:lang w:val="es-MX"/>
        </w:rPr>
        <w:t xml:space="preserve"> Velásquez Vs. Guatemala. Reparaciones</w:t>
      </w:r>
      <w:r>
        <w:rPr>
          <w:i/>
          <w:lang w:val="es-MX"/>
        </w:rPr>
        <w:t>, supra</w:t>
      </w:r>
      <w:r w:rsidRPr="009E6ED2">
        <w:rPr>
          <w:lang w:val="es-MX"/>
        </w:rPr>
        <w:t xml:space="preserve">, párr. 43, </w:t>
      </w:r>
      <w:r w:rsidRPr="00A532BE">
        <w:rPr>
          <w:i/>
          <w:lang w:val="es-MX"/>
        </w:rPr>
        <w:t>y Caso Vásquez Durand Vs. Ecuador, supra</w:t>
      </w:r>
      <w:r w:rsidRPr="009E6ED2">
        <w:rPr>
          <w:lang w:val="es-MX"/>
        </w:rPr>
        <w:t>, párr. 227.</w:t>
      </w:r>
    </w:p>
  </w:footnote>
  <w:footnote w:id="269">
    <w:p w14:paraId="52D99776" w14:textId="1B9543B0" w:rsidR="00D86616" w:rsidRPr="009E6ED2" w:rsidRDefault="00D86616" w:rsidP="006A2D03">
      <w:pPr>
        <w:pStyle w:val="FootnoteText"/>
        <w:spacing w:after="0"/>
        <w:rPr>
          <w:lang w:val="es-MX"/>
        </w:rPr>
      </w:pPr>
      <w:r w:rsidRPr="004C3F47">
        <w:rPr>
          <w:rStyle w:val="FootnoteReference"/>
          <w:sz w:val="16"/>
        </w:rPr>
        <w:footnoteRef/>
      </w:r>
      <w:r w:rsidRPr="009E6ED2">
        <w:rPr>
          <w:lang w:val="es-MX"/>
        </w:rPr>
        <w:t xml:space="preserve"> </w:t>
      </w:r>
      <w:r w:rsidRPr="009E6ED2">
        <w:rPr>
          <w:lang w:val="es-MX"/>
        </w:rPr>
        <w:tab/>
      </w:r>
      <w:r w:rsidRPr="009E6ED2">
        <w:rPr>
          <w:i/>
          <w:lang w:val="es-MX"/>
        </w:rPr>
        <w:t>Cfr.</w:t>
      </w:r>
      <w:r w:rsidRPr="009E6ED2">
        <w:rPr>
          <w:lang w:val="es-MX"/>
        </w:rPr>
        <w:t xml:space="preserve"> </w:t>
      </w:r>
      <w:r w:rsidRPr="009E6ED2">
        <w:rPr>
          <w:iCs/>
          <w:lang w:val="es-MX"/>
        </w:rPr>
        <w:t xml:space="preserve">Juez </w:t>
      </w:r>
      <w:r w:rsidRPr="009E6ED2">
        <w:rPr>
          <w:lang w:val="es-MX"/>
        </w:rPr>
        <w:t>Décimo Quinto del juzgado de Trabajo de Lima. Sentencia 25-91 de 5 de marzo de 1991. anexos a la comunicación de los peticionarios de fecha 23 de julio de 1998 (expediente de prueba, anexo 8 del Informe de Fondo, f. 29); CEPER-PIRELLI. Boleta de Pago de Alfredo Lagos del Campo. Semana del 26 de junio al 2 de julio de 1989. Anexos a la comunicación de los peticionarios de fecha 23 de julio de 1998. Anexo 2 del Informe de Fondo 27/15 (La cantidad de 19,258.53 Intis - USD $6.41 aprox.)</w:t>
      </w:r>
      <w:r>
        <w:rPr>
          <w:lang w:val="es-MX"/>
        </w:rPr>
        <w:t>.</w:t>
      </w:r>
    </w:p>
  </w:footnote>
  <w:footnote w:id="270">
    <w:p w14:paraId="327B5461" w14:textId="48526AB6" w:rsidR="00D86616" w:rsidRPr="009E6ED2" w:rsidRDefault="00D86616" w:rsidP="006A2D03">
      <w:pPr>
        <w:pStyle w:val="FootnoteText"/>
        <w:spacing w:after="0"/>
        <w:rPr>
          <w:bCs/>
          <w:lang w:val="es-MX"/>
        </w:rPr>
      </w:pPr>
      <w:r w:rsidRPr="004C3F47">
        <w:rPr>
          <w:rStyle w:val="FootnoteReference"/>
          <w:sz w:val="16"/>
        </w:rPr>
        <w:footnoteRef/>
      </w:r>
      <w:r w:rsidRPr="004C3F47">
        <w:rPr>
          <w:rStyle w:val="FootnoteReference"/>
          <w:sz w:val="16"/>
          <w:lang w:val="es-CR"/>
        </w:rPr>
        <w:t xml:space="preserve"> </w:t>
      </w:r>
      <w:r w:rsidRPr="009E6ED2">
        <w:rPr>
          <w:lang w:val="es-MX"/>
        </w:rPr>
        <w:tab/>
      </w:r>
      <w:r w:rsidRPr="009E6ED2">
        <w:rPr>
          <w:i/>
          <w:lang w:val="es-MX"/>
        </w:rPr>
        <w:t xml:space="preserve">Cfr. Caso de los “Niños de la Calle” (Villagrán Morales y otros) Vs. Guatemala, </w:t>
      </w:r>
      <w:r>
        <w:rPr>
          <w:i/>
          <w:lang w:val="es-MX"/>
        </w:rPr>
        <w:t xml:space="preserve">Reparaciones, </w:t>
      </w:r>
      <w:r w:rsidRPr="009E6ED2">
        <w:rPr>
          <w:i/>
          <w:lang w:val="es-MX"/>
        </w:rPr>
        <w:t>supra,</w:t>
      </w:r>
      <w:r w:rsidRPr="009E6ED2">
        <w:rPr>
          <w:lang w:val="es-MX"/>
        </w:rPr>
        <w:t xml:space="preserve"> párr. 84, </w:t>
      </w:r>
      <w:r w:rsidRPr="004C3F47">
        <w:rPr>
          <w:rStyle w:val="FootnoteTextChar"/>
          <w:rFonts w:cs="Arial"/>
          <w:lang w:val="es-CR"/>
        </w:rPr>
        <w:t>y</w:t>
      </w:r>
      <w:r w:rsidRPr="009E6ED2">
        <w:rPr>
          <w:bCs/>
          <w:lang w:val="es-MX"/>
        </w:rPr>
        <w:t xml:space="preserve"> </w:t>
      </w:r>
      <w:r w:rsidRPr="009E6ED2">
        <w:rPr>
          <w:bCs/>
          <w:i/>
          <w:lang w:val="es-MX"/>
        </w:rPr>
        <w:t>Caso Acosta y otros Vs. Nicaragua, supra</w:t>
      </w:r>
      <w:r w:rsidRPr="009E6ED2">
        <w:rPr>
          <w:bCs/>
          <w:lang w:val="es-MX"/>
        </w:rPr>
        <w:t>, párr. 236.</w:t>
      </w:r>
    </w:p>
  </w:footnote>
  <w:footnote w:id="271">
    <w:p w14:paraId="4060ED26" w14:textId="3FC8B45A" w:rsidR="00D86616" w:rsidRPr="009E6ED2" w:rsidRDefault="00D86616" w:rsidP="006A2D03">
      <w:pPr>
        <w:pStyle w:val="FootnoteText"/>
        <w:spacing w:after="0"/>
        <w:rPr>
          <w:lang w:val="es-MX"/>
        </w:rPr>
      </w:pPr>
      <w:r w:rsidRPr="004C3F47">
        <w:rPr>
          <w:rStyle w:val="FootnoteReference"/>
          <w:sz w:val="16"/>
        </w:rPr>
        <w:footnoteRef/>
      </w:r>
      <w:r w:rsidRPr="009E6ED2">
        <w:rPr>
          <w:lang w:val="es-MX"/>
        </w:rPr>
        <w:t xml:space="preserve"> </w:t>
      </w:r>
      <w:r w:rsidRPr="009E6ED2">
        <w:rPr>
          <w:lang w:val="es-MX"/>
        </w:rPr>
        <w:tab/>
        <w:t xml:space="preserve">Declaración pericial de Carlos </w:t>
      </w:r>
      <w:proofErr w:type="spellStart"/>
      <w:r w:rsidRPr="009E6ED2">
        <w:rPr>
          <w:lang w:val="es-MX"/>
        </w:rPr>
        <w:t>Jibaja</w:t>
      </w:r>
      <w:proofErr w:type="spellEnd"/>
      <w:r w:rsidRPr="009E6ED2">
        <w:rPr>
          <w:lang w:val="es-MX"/>
        </w:rPr>
        <w:t xml:space="preserve"> Zárate (expediente de fondo, f. 463)</w:t>
      </w:r>
      <w:r>
        <w:rPr>
          <w:lang w:val="es-MX"/>
        </w:rPr>
        <w:t>.</w:t>
      </w:r>
    </w:p>
  </w:footnote>
  <w:footnote w:id="272">
    <w:p w14:paraId="68355CFB" w14:textId="11BBC5DA" w:rsidR="00D86616" w:rsidRPr="00664C48" w:rsidRDefault="00D86616" w:rsidP="006A2D03">
      <w:pPr>
        <w:pStyle w:val="FootnoteText"/>
        <w:spacing w:after="0"/>
        <w:rPr>
          <w:i/>
          <w:strike/>
          <w:lang w:val="es-CR"/>
        </w:rPr>
      </w:pPr>
      <w:r w:rsidRPr="004C3F47">
        <w:rPr>
          <w:rStyle w:val="FootnoteReference"/>
          <w:sz w:val="16"/>
        </w:rPr>
        <w:footnoteRef/>
      </w:r>
      <w:r w:rsidRPr="009E6ED2">
        <w:rPr>
          <w:lang w:val="es-MX"/>
        </w:rPr>
        <w:t xml:space="preserve"> </w:t>
      </w:r>
      <w:r w:rsidRPr="009E6ED2">
        <w:rPr>
          <w:lang w:val="es-MX"/>
        </w:rPr>
        <w:tab/>
        <w:t xml:space="preserve">Como gastos futuros únicamente se aportó el pasaje aéreo del señor Christian </w:t>
      </w:r>
      <w:proofErr w:type="spellStart"/>
      <w:r w:rsidRPr="009E6ED2">
        <w:rPr>
          <w:lang w:val="es-MX"/>
        </w:rPr>
        <w:t>Huaylinos</w:t>
      </w:r>
      <w:proofErr w:type="spellEnd"/>
      <w:r w:rsidRPr="009E6ED2">
        <w:rPr>
          <w:lang w:val="es-MX"/>
        </w:rPr>
        <w:t xml:space="preserve"> </w:t>
      </w:r>
      <w:proofErr w:type="spellStart"/>
      <w:r w:rsidRPr="009E6ED2">
        <w:rPr>
          <w:lang w:val="es-MX"/>
        </w:rPr>
        <w:t>Camacuari</w:t>
      </w:r>
      <w:proofErr w:type="spellEnd"/>
      <w:r w:rsidRPr="009E6ED2">
        <w:rPr>
          <w:lang w:val="es-MX"/>
        </w:rPr>
        <w:t xml:space="preserve"> por US$ 450,11 </w:t>
      </w:r>
      <w:r w:rsidRPr="00664C48">
        <w:rPr>
          <w:lang w:val="es-CR"/>
        </w:rPr>
        <w:t xml:space="preserve">(expediente de fondo, </w:t>
      </w:r>
      <w:proofErr w:type="spellStart"/>
      <w:r w:rsidRPr="00664C48">
        <w:rPr>
          <w:lang w:val="es-CR"/>
        </w:rPr>
        <w:t>ff</w:t>
      </w:r>
      <w:proofErr w:type="spellEnd"/>
      <w:r w:rsidRPr="00664C48">
        <w:rPr>
          <w:lang w:val="es-CR"/>
        </w:rPr>
        <w:t>. 444.3 a 444.5).</w:t>
      </w:r>
    </w:p>
  </w:footnote>
  <w:footnote w:id="273">
    <w:p w14:paraId="61769176" w14:textId="3DE571BB" w:rsidR="00D86616" w:rsidRPr="00664C48" w:rsidRDefault="00D86616" w:rsidP="006A2D03">
      <w:pPr>
        <w:pStyle w:val="FootnoteText"/>
        <w:spacing w:after="0"/>
        <w:rPr>
          <w:bCs/>
          <w:lang w:val="es-CR"/>
        </w:rPr>
      </w:pPr>
      <w:r w:rsidRPr="004C3F47">
        <w:rPr>
          <w:rStyle w:val="FootnoteReference"/>
          <w:sz w:val="16"/>
        </w:rPr>
        <w:footnoteRef/>
      </w:r>
      <w:r w:rsidRPr="009E6ED2">
        <w:rPr>
          <w:lang w:val="es-MX"/>
        </w:rPr>
        <w:t xml:space="preserve"> </w:t>
      </w:r>
      <w:r w:rsidRPr="009E6ED2">
        <w:rPr>
          <w:lang w:val="es-MX"/>
        </w:rPr>
        <w:tab/>
      </w:r>
      <w:r w:rsidRPr="009E6ED2">
        <w:rPr>
          <w:i/>
          <w:lang w:val="es-MX"/>
        </w:rPr>
        <w:t xml:space="preserve">Cfr. Caso Velásquez Rodríguez Vs. </w:t>
      </w:r>
      <w:r w:rsidRPr="00664C48">
        <w:rPr>
          <w:i/>
          <w:lang w:val="es-CR"/>
        </w:rPr>
        <w:t xml:space="preserve">Honduras. </w:t>
      </w:r>
      <w:r w:rsidRPr="009E6ED2">
        <w:rPr>
          <w:i/>
          <w:lang w:val="es-MX"/>
        </w:rPr>
        <w:t>Reparaciones, supra,</w:t>
      </w:r>
      <w:r w:rsidRPr="009E6ED2">
        <w:rPr>
          <w:lang w:val="es-MX"/>
        </w:rPr>
        <w:t xml:space="preserve"> párr. 42, y </w:t>
      </w:r>
      <w:r w:rsidRPr="009E6ED2">
        <w:rPr>
          <w:bCs/>
          <w:i/>
          <w:lang w:val="es-MX"/>
        </w:rPr>
        <w:t xml:space="preserve">Caso Zegarra Marín Vs. </w:t>
      </w:r>
      <w:r w:rsidRPr="00664C48">
        <w:rPr>
          <w:bCs/>
          <w:i/>
          <w:lang w:val="es-CR"/>
        </w:rPr>
        <w:t>Perú, supra,</w:t>
      </w:r>
      <w:r w:rsidRPr="00664C48">
        <w:rPr>
          <w:bCs/>
          <w:lang w:val="es-CR"/>
        </w:rPr>
        <w:t xml:space="preserve"> párr. 229.</w:t>
      </w:r>
    </w:p>
  </w:footnote>
  <w:footnote w:id="274">
    <w:p w14:paraId="1CB740B9" w14:textId="079A7B71" w:rsidR="00D86616" w:rsidRPr="00664C48" w:rsidRDefault="00D86616" w:rsidP="006A2D03">
      <w:pPr>
        <w:pStyle w:val="FootnoteText"/>
        <w:spacing w:after="0"/>
        <w:rPr>
          <w:bCs/>
          <w:lang w:val="es-CR"/>
        </w:rPr>
      </w:pPr>
      <w:r w:rsidRPr="004C3F47">
        <w:rPr>
          <w:rStyle w:val="FootnoteReference"/>
          <w:sz w:val="16"/>
        </w:rPr>
        <w:footnoteRef/>
      </w:r>
      <w:r w:rsidRPr="009E6ED2">
        <w:rPr>
          <w:lang w:val="es-MX"/>
        </w:rPr>
        <w:t xml:space="preserve"> </w:t>
      </w:r>
      <w:r w:rsidRPr="009E6ED2">
        <w:rPr>
          <w:lang w:val="es-MX"/>
        </w:rPr>
        <w:tab/>
      </w:r>
      <w:r w:rsidRPr="009E6ED2">
        <w:rPr>
          <w:i/>
          <w:lang w:val="es-MX"/>
        </w:rPr>
        <w:t xml:space="preserve">Cfr. Caso Garrido y </w:t>
      </w:r>
      <w:proofErr w:type="spellStart"/>
      <w:r w:rsidRPr="009E6ED2">
        <w:rPr>
          <w:i/>
          <w:lang w:val="es-MX"/>
        </w:rPr>
        <w:t>Baigorria</w:t>
      </w:r>
      <w:proofErr w:type="spellEnd"/>
      <w:r w:rsidRPr="009E6ED2">
        <w:rPr>
          <w:i/>
          <w:lang w:val="es-MX"/>
        </w:rPr>
        <w:t xml:space="preserve"> Vs. </w:t>
      </w:r>
      <w:r w:rsidRPr="00BD701A">
        <w:rPr>
          <w:i/>
          <w:lang w:val="es-CR"/>
        </w:rPr>
        <w:t>Argentina</w:t>
      </w:r>
      <w:r w:rsidRPr="00664C48">
        <w:rPr>
          <w:i/>
          <w:lang w:val="es-CR"/>
        </w:rPr>
        <w:t xml:space="preserve">. </w:t>
      </w:r>
      <w:r w:rsidRPr="009E6ED2">
        <w:rPr>
          <w:i/>
          <w:lang w:val="es-MX"/>
        </w:rPr>
        <w:t>Reparaciones y Costas.</w:t>
      </w:r>
      <w:r w:rsidRPr="009E6ED2">
        <w:rPr>
          <w:lang w:val="es-MX"/>
        </w:rPr>
        <w:t xml:space="preserve"> Sentencia de 27 de agosto de 1998. Serie C No. 39, párr. 82, y </w:t>
      </w:r>
      <w:r w:rsidRPr="009E6ED2">
        <w:rPr>
          <w:bCs/>
          <w:i/>
          <w:lang w:val="es-MX"/>
        </w:rPr>
        <w:t>Caso Zegarra Marín Vs. Perú, supra,</w:t>
      </w:r>
      <w:r w:rsidRPr="009E6ED2">
        <w:rPr>
          <w:bCs/>
          <w:lang w:val="es-MX"/>
        </w:rPr>
        <w:t xml:space="preserve"> párr. </w:t>
      </w:r>
      <w:r w:rsidRPr="00664C48">
        <w:rPr>
          <w:bCs/>
          <w:lang w:val="es-CR"/>
        </w:rPr>
        <w:t>229</w:t>
      </w:r>
      <w:r w:rsidRPr="00664C48">
        <w:rPr>
          <w:bCs/>
          <w:color w:val="000000"/>
          <w:shd w:val="clear" w:color="auto" w:fill="FFFFFF"/>
          <w:lang w:val="es-CR"/>
        </w:rPr>
        <w:t>.</w:t>
      </w:r>
    </w:p>
  </w:footnote>
  <w:footnote w:id="275">
    <w:p w14:paraId="3D3ABF6A" w14:textId="1C3FD17F" w:rsidR="00D86616" w:rsidRPr="00664C48" w:rsidRDefault="00D86616" w:rsidP="006A2D03">
      <w:pPr>
        <w:pStyle w:val="FootnoteText"/>
        <w:spacing w:after="0"/>
        <w:rPr>
          <w:bCs/>
          <w:lang w:val="es-CR"/>
        </w:rPr>
      </w:pPr>
      <w:r w:rsidRPr="004C3F47">
        <w:rPr>
          <w:rStyle w:val="FootnoteReference"/>
          <w:sz w:val="16"/>
        </w:rPr>
        <w:footnoteRef/>
      </w:r>
      <w:r w:rsidRPr="009E6ED2">
        <w:rPr>
          <w:lang w:val="es-MX"/>
        </w:rPr>
        <w:t xml:space="preserve"> </w:t>
      </w:r>
      <w:r w:rsidRPr="009E6ED2">
        <w:rPr>
          <w:lang w:val="es-MX"/>
        </w:rPr>
        <w:tab/>
      </w:r>
      <w:r w:rsidRPr="009E6ED2">
        <w:rPr>
          <w:i/>
          <w:lang w:val="es-MX"/>
        </w:rPr>
        <w:t>Cfr. C</w:t>
      </w:r>
      <w:r w:rsidRPr="009E6ED2">
        <w:rPr>
          <w:i/>
          <w:spacing w:val="-1"/>
          <w:lang w:val="es-MX"/>
        </w:rPr>
        <w:t>a</w:t>
      </w:r>
      <w:r w:rsidRPr="009E6ED2">
        <w:rPr>
          <w:i/>
          <w:lang w:val="es-MX"/>
        </w:rPr>
        <w:t xml:space="preserve">so Garrido y </w:t>
      </w:r>
      <w:proofErr w:type="spellStart"/>
      <w:r w:rsidRPr="009E6ED2">
        <w:rPr>
          <w:i/>
          <w:lang w:val="es-MX"/>
        </w:rPr>
        <w:t>Baigorria</w:t>
      </w:r>
      <w:proofErr w:type="spellEnd"/>
      <w:r w:rsidRPr="009E6ED2">
        <w:rPr>
          <w:i/>
          <w:lang w:val="es-MX"/>
        </w:rPr>
        <w:t xml:space="preserve"> Vs. </w:t>
      </w:r>
      <w:r w:rsidRPr="00664C48">
        <w:rPr>
          <w:i/>
          <w:lang w:val="es-CR"/>
        </w:rPr>
        <w:t xml:space="preserve">Argentina. </w:t>
      </w:r>
      <w:r w:rsidRPr="009E6ED2">
        <w:rPr>
          <w:i/>
          <w:lang w:val="es-MX"/>
        </w:rPr>
        <w:t>Reparaciones,</w:t>
      </w:r>
      <w:r w:rsidRPr="009E6ED2">
        <w:rPr>
          <w:lang w:val="es-MX"/>
        </w:rPr>
        <w:t xml:space="preserve"> </w:t>
      </w:r>
      <w:r w:rsidRPr="00A532BE">
        <w:rPr>
          <w:i/>
          <w:lang w:val="es-MX"/>
        </w:rPr>
        <w:t>supra,</w:t>
      </w:r>
      <w:r w:rsidRPr="009E6ED2">
        <w:rPr>
          <w:lang w:val="es-MX"/>
        </w:rPr>
        <w:t xml:space="preserve"> p</w:t>
      </w:r>
      <w:r w:rsidRPr="009E6ED2">
        <w:rPr>
          <w:spacing w:val="-3"/>
          <w:lang w:val="es-MX"/>
        </w:rPr>
        <w:t>á</w:t>
      </w:r>
      <w:r w:rsidRPr="009E6ED2">
        <w:rPr>
          <w:spacing w:val="1"/>
          <w:lang w:val="es-MX"/>
        </w:rPr>
        <w:t>rr</w:t>
      </w:r>
      <w:r w:rsidRPr="009E6ED2">
        <w:rPr>
          <w:lang w:val="es-MX"/>
        </w:rPr>
        <w:t>.</w:t>
      </w:r>
      <w:r w:rsidRPr="009E6ED2">
        <w:rPr>
          <w:spacing w:val="-1"/>
          <w:lang w:val="es-MX"/>
        </w:rPr>
        <w:t>7</w:t>
      </w:r>
      <w:r w:rsidRPr="009E6ED2">
        <w:rPr>
          <w:spacing w:val="1"/>
          <w:lang w:val="es-MX"/>
        </w:rPr>
        <w:t>9</w:t>
      </w:r>
      <w:r w:rsidRPr="009E6ED2">
        <w:rPr>
          <w:lang w:val="es-MX"/>
        </w:rPr>
        <w:t>,</w:t>
      </w:r>
      <w:r w:rsidRPr="009E6ED2">
        <w:rPr>
          <w:spacing w:val="36"/>
          <w:lang w:val="es-MX"/>
        </w:rPr>
        <w:t xml:space="preserve"> </w:t>
      </w:r>
      <w:r w:rsidRPr="009E6ED2">
        <w:rPr>
          <w:lang w:val="es-MX"/>
        </w:rPr>
        <w:t>y</w:t>
      </w:r>
      <w:r w:rsidRPr="009E6ED2">
        <w:rPr>
          <w:spacing w:val="37"/>
          <w:lang w:val="es-MX"/>
        </w:rPr>
        <w:t xml:space="preserve"> </w:t>
      </w:r>
      <w:r w:rsidRPr="009E6ED2">
        <w:rPr>
          <w:bCs/>
          <w:i/>
          <w:lang w:val="es-MX"/>
        </w:rPr>
        <w:t xml:space="preserve">Caso Zegarra Marín Vs. </w:t>
      </w:r>
      <w:r w:rsidRPr="00664C48">
        <w:rPr>
          <w:bCs/>
          <w:i/>
          <w:lang w:val="es-CR"/>
        </w:rPr>
        <w:t>Perú, supra,</w:t>
      </w:r>
      <w:r w:rsidRPr="00664C48">
        <w:rPr>
          <w:bCs/>
          <w:lang w:val="es-CR"/>
        </w:rPr>
        <w:t xml:space="preserve"> párr. 230.</w:t>
      </w:r>
    </w:p>
  </w:footnote>
  <w:footnote w:id="276">
    <w:p w14:paraId="11CE26EB" w14:textId="1163C1F8" w:rsidR="00D86616" w:rsidRPr="009E6ED2" w:rsidRDefault="00D86616" w:rsidP="006A2D03">
      <w:pPr>
        <w:pStyle w:val="FootnoteText"/>
        <w:spacing w:after="0"/>
        <w:rPr>
          <w:bCs/>
          <w:lang w:val="es-MX"/>
        </w:rPr>
      </w:pPr>
      <w:r w:rsidRPr="004C3F47">
        <w:rPr>
          <w:rStyle w:val="FootnoteReference"/>
          <w:sz w:val="16"/>
        </w:rPr>
        <w:footnoteRef/>
      </w:r>
      <w:r w:rsidRPr="009E6ED2">
        <w:rPr>
          <w:lang w:val="es-MX"/>
        </w:rPr>
        <w:t xml:space="preserve"> </w:t>
      </w:r>
      <w:r w:rsidRPr="009E6ED2">
        <w:rPr>
          <w:lang w:val="es-MX"/>
        </w:rPr>
        <w:tab/>
      </w:r>
      <w:r w:rsidRPr="009E6ED2">
        <w:rPr>
          <w:i/>
          <w:lang w:val="es-MX"/>
        </w:rPr>
        <w:t>Cfr.</w:t>
      </w:r>
      <w:r w:rsidRPr="009E6ED2">
        <w:rPr>
          <w:i/>
          <w:spacing w:val="15"/>
          <w:lang w:val="es-MX"/>
        </w:rPr>
        <w:t xml:space="preserve"> </w:t>
      </w:r>
      <w:r w:rsidRPr="009E6ED2">
        <w:rPr>
          <w:i/>
          <w:lang w:val="es-MX"/>
        </w:rPr>
        <w:t>C</w:t>
      </w:r>
      <w:r w:rsidRPr="009E6ED2">
        <w:rPr>
          <w:i/>
          <w:spacing w:val="-1"/>
          <w:lang w:val="es-MX"/>
        </w:rPr>
        <w:t>a</w:t>
      </w:r>
      <w:r w:rsidRPr="009E6ED2">
        <w:rPr>
          <w:i/>
          <w:spacing w:val="-2"/>
          <w:lang w:val="es-MX"/>
        </w:rPr>
        <w:t>s</w:t>
      </w:r>
      <w:r w:rsidRPr="009E6ED2">
        <w:rPr>
          <w:i/>
          <w:lang w:val="es-MX"/>
        </w:rPr>
        <w:t>o</w:t>
      </w:r>
      <w:r w:rsidRPr="009E6ED2">
        <w:rPr>
          <w:i/>
          <w:spacing w:val="16"/>
          <w:lang w:val="es-MX"/>
        </w:rPr>
        <w:t xml:space="preserve"> </w:t>
      </w:r>
      <w:r w:rsidRPr="00BD701A">
        <w:rPr>
          <w:lang w:val="es-MX"/>
        </w:rPr>
        <w:t>C</w:t>
      </w:r>
      <w:r w:rsidRPr="00BD701A">
        <w:rPr>
          <w:spacing w:val="-1"/>
          <w:lang w:val="es-MX"/>
        </w:rPr>
        <w:t>h</w:t>
      </w:r>
      <w:r w:rsidRPr="00BD701A">
        <w:rPr>
          <w:spacing w:val="-3"/>
          <w:lang w:val="es-MX"/>
        </w:rPr>
        <w:t>a</w:t>
      </w:r>
      <w:r w:rsidRPr="00BD701A">
        <w:rPr>
          <w:lang w:val="es-MX"/>
        </w:rPr>
        <w:t>p</w:t>
      </w:r>
      <w:r w:rsidRPr="00BD701A">
        <w:rPr>
          <w:spacing w:val="-1"/>
          <w:lang w:val="es-MX"/>
        </w:rPr>
        <w:t>ar</w:t>
      </w:r>
      <w:r w:rsidRPr="00BD701A">
        <w:rPr>
          <w:lang w:val="es-MX"/>
        </w:rPr>
        <w:t>ro</w:t>
      </w:r>
      <w:r w:rsidRPr="009E6ED2">
        <w:rPr>
          <w:i/>
          <w:spacing w:val="14"/>
          <w:lang w:val="es-MX"/>
        </w:rPr>
        <w:t xml:space="preserve"> </w:t>
      </w:r>
      <w:r w:rsidRPr="009E6ED2">
        <w:rPr>
          <w:i/>
          <w:lang w:val="es-MX"/>
        </w:rPr>
        <w:t>Á</w:t>
      </w:r>
      <w:r w:rsidRPr="009E6ED2">
        <w:rPr>
          <w:i/>
          <w:spacing w:val="-1"/>
          <w:lang w:val="es-MX"/>
        </w:rPr>
        <w:t>l</w:t>
      </w:r>
      <w:r w:rsidRPr="009E6ED2">
        <w:rPr>
          <w:i/>
          <w:lang w:val="es-MX"/>
        </w:rPr>
        <w:t>v</w:t>
      </w:r>
      <w:r w:rsidRPr="009E6ED2">
        <w:rPr>
          <w:i/>
          <w:spacing w:val="-3"/>
          <w:lang w:val="es-MX"/>
        </w:rPr>
        <w:t>a</w:t>
      </w:r>
      <w:r w:rsidRPr="009E6ED2">
        <w:rPr>
          <w:i/>
          <w:lang w:val="es-MX"/>
        </w:rPr>
        <w:t>rez</w:t>
      </w:r>
      <w:r w:rsidRPr="009E6ED2">
        <w:rPr>
          <w:i/>
          <w:spacing w:val="13"/>
          <w:lang w:val="es-MX"/>
        </w:rPr>
        <w:t xml:space="preserve"> </w:t>
      </w:r>
      <w:r w:rsidRPr="009E6ED2">
        <w:rPr>
          <w:i/>
          <w:lang w:val="es-MX"/>
        </w:rPr>
        <w:t>y</w:t>
      </w:r>
      <w:r w:rsidRPr="009E6ED2">
        <w:rPr>
          <w:i/>
          <w:spacing w:val="14"/>
          <w:lang w:val="es-MX"/>
        </w:rPr>
        <w:t xml:space="preserve"> </w:t>
      </w:r>
      <w:r w:rsidRPr="009E6ED2">
        <w:rPr>
          <w:i/>
          <w:spacing w:val="-1"/>
          <w:lang w:val="es-MX"/>
        </w:rPr>
        <w:t>La</w:t>
      </w:r>
      <w:r w:rsidRPr="009E6ED2">
        <w:rPr>
          <w:i/>
          <w:lang w:val="es-MX"/>
        </w:rPr>
        <w:t>po</w:t>
      </w:r>
      <w:r w:rsidRPr="009E6ED2">
        <w:rPr>
          <w:i/>
          <w:spacing w:val="16"/>
          <w:lang w:val="es-MX"/>
        </w:rPr>
        <w:t xml:space="preserve"> </w:t>
      </w:r>
      <w:r w:rsidRPr="009E6ED2">
        <w:rPr>
          <w:i/>
          <w:lang w:val="es-MX"/>
        </w:rPr>
        <w:t>Í</w:t>
      </w:r>
      <w:r w:rsidRPr="009E6ED2">
        <w:rPr>
          <w:i/>
          <w:spacing w:val="-1"/>
          <w:lang w:val="es-MX"/>
        </w:rPr>
        <w:t>ñi</w:t>
      </w:r>
      <w:r w:rsidRPr="009E6ED2">
        <w:rPr>
          <w:i/>
          <w:lang w:val="es-MX"/>
        </w:rPr>
        <w:t>g</w:t>
      </w:r>
      <w:r w:rsidRPr="009E6ED2">
        <w:rPr>
          <w:i/>
          <w:spacing w:val="-1"/>
          <w:lang w:val="es-MX"/>
        </w:rPr>
        <w:t>u</w:t>
      </w:r>
      <w:r w:rsidRPr="009E6ED2">
        <w:rPr>
          <w:i/>
          <w:lang w:val="es-MX"/>
        </w:rPr>
        <w:t>ez</w:t>
      </w:r>
      <w:r w:rsidRPr="009E6ED2">
        <w:rPr>
          <w:i/>
          <w:spacing w:val="13"/>
          <w:lang w:val="es-MX"/>
        </w:rPr>
        <w:t xml:space="preserve"> </w:t>
      </w:r>
      <w:r w:rsidRPr="009E6ED2">
        <w:rPr>
          <w:i/>
          <w:lang w:val="es-MX"/>
        </w:rPr>
        <w:t>Vs.</w:t>
      </w:r>
      <w:r w:rsidRPr="009E6ED2">
        <w:rPr>
          <w:i/>
          <w:spacing w:val="15"/>
          <w:lang w:val="es-MX"/>
        </w:rPr>
        <w:t xml:space="preserve"> </w:t>
      </w:r>
      <w:r w:rsidRPr="00664C48">
        <w:rPr>
          <w:i/>
          <w:spacing w:val="-1"/>
          <w:lang w:val="es-CR"/>
        </w:rPr>
        <w:t>E</w:t>
      </w:r>
      <w:r w:rsidRPr="00664C48">
        <w:rPr>
          <w:i/>
          <w:lang w:val="es-CR"/>
        </w:rPr>
        <w:t>c</w:t>
      </w:r>
      <w:r w:rsidRPr="00664C48">
        <w:rPr>
          <w:i/>
          <w:spacing w:val="-1"/>
          <w:lang w:val="es-CR"/>
        </w:rPr>
        <w:t>u</w:t>
      </w:r>
      <w:r w:rsidRPr="00664C48">
        <w:rPr>
          <w:i/>
          <w:spacing w:val="-3"/>
          <w:lang w:val="es-CR"/>
        </w:rPr>
        <w:t>a</w:t>
      </w:r>
      <w:r w:rsidRPr="00664C48">
        <w:rPr>
          <w:i/>
          <w:lang w:val="es-CR"/>
        </w:rPr>
        <w:t>d</w:t>
      </w:r>
      <w:r w:rsidRPr="00664C48">
        <w:rPr>
          <w:i/>
          <w:spacing w:val="-2"/>
          <w:lang w:val="es-CR"/>
        </w:rPr>
        <w:t>o</w:t>
      </w:r>
      <w:r w:rsidRPr="00664C48">
        <w:rPr>
          <w:i/>
          <w:lang w:val="es-CR"/>
        </w:rPr>
        <w:t xml:space="preserve">r. </w:t>
      </w:r>
      <w:r w:rsidRPr="009E6ED2">
        <w:rPr>
          <w:i/>
          <w:lang w:val="es-MX"/>
        </w:rPr>
        <w:t>Excepciones Preliminares, Fondo, Reparaciones y Costas.</w:t>
      </w:r>
      <w:r w:rsidRPr="009E6ED2">
        <w:rPr>
          <w:lang w:val="es-MX"/>
        </w:rPr>
        <w:t xml:space="preserve"> Sentencia de 21 de noviembre de 2007. Serie C No. 170, </w:t>
      </w:r>
      <w:r w:rsidRPr="009E6ED2">
        <w:rPr>
          <w:spacing w:val="-2"/>
          <w:lang w:val="es-MX"/>
        </w:rPr>
        <w:t>p</w:t>
      </w:r>
      <w:r w:rsidRPr="009E6ED2">
        <w:rPr>
          <w:spacing w:val="-1"/>
          <w:lang w:val="es-MX"/>
        </w:rPr>
        <w:t>á</w:t>
      </w:r>
      <w:r w:rsidRPr="009E6ED2">
        <w:rPr>
          <w:lang w:val="es-MX"/>
        </w:rPr>
        <w:t>rr.</w:t>
      </w:r>
      <w:r w:rsidRPr="009E6ED2">
        <w:rPr>
          <w:spacing w:val="-2"/>
          <w:lang w:val="es-MX"/>
        </w:rPr>
        <w:t xml:space="preserve"> </w:t>
      </w:r>
      <w:r w:rsidRPr="009E6ED2">
        <w:rPr>
          <w:spacing w:val="-1"/>
          <w:lang w:val="es-MX"/>
        </w:rPr>
        <w:t>2</w:t>
      </w:r>
      <w:r w:rsidRPr="009E6ED2">
        <w:rPr>
          <w:lang w:val="es-MX"/>
        </w:rPr>
        <w:t xml:space="preserve">77, y </w:t>
      </w:r>
      <w:r w:rsidRPr="00A532BE">
        <w:rPr>
          <w:bCs/>
          <w:i/>
          <w:lang w:val="es-MX"/>
        </w:rPr>
        <w:t>Caso Zegarra Marín Vs. Perú, supra,</w:t>
      </w:r>
      <w:r w:rsidRPr="009E6ED2">
        <w:rPr>
          <w:bCs/>
          <w:lang w:val="es-MX"/>
        </w:rPr>
        <w:t xml:space="preserve"> párr. 230.</w:t>
      </w:r>
    </w:p>
  </w:footnote>
  <w:footnote w:id="277">
    <w:p w14:paraId="1FFEA5B6" w14:textId="302AF5B6" w:rsidR="00D86616" w:rsidRPr="009E6ED2" w:rsidRDefault="00D86616" w:rsidP="006A2D03">
      <w:pPr>
        <w:pStyle w:val="FootnoteText"/>
        <w:spacing w:after="0"/>
        <w:rPr>
          <w:lang w:val="es-MX"/>
        </w:rPr>
      </w:pPr>
      <w:r w:rsidRPr="004C3F47">
        <w:rPr>
          <w:rStyle w:val="FootnoteReference"/>
          <w:sz w:val="16"/>
        </w:rPr>
        <w:footnoteRef/>
      </w:r>
      <w:r w:rsidRPr="009E6ED2">
        <w:rPr>
          <w:lang w:val="es-MX"/>
        </w:rPr>
        <w:t xml:space="preserve"> </w:t>
      </w:r>
      <w:r w:rsidRPr="009E6ED2">
        <w:rPr>
          <w:lang w:val="es-MX"/>
        </w:rPr>
        <w:tab/>
      </w:r>
      <w:r w:rsidRPr="009E6ED2">
        <w:rPr>
          <w:i/>
          <w:lang w:val="es-MX"/>
        </w:rPr>
        <w:t>Caso Lagos del Campo Vs. Perú.</w:t>
      </w:r>
      <w:r w:rsidRPr="009E6ED2">
        <w:rPr>
          <w:lang w:val="es-MX"/>
        </w:rPr>
        <w:t xml:space="preserve"> Fondo de Asistencia Legal de las Víctimas. Resolución del Presidente de la Corte Interamericana de Derechos Humanos de 14 de julio de 2016, Punto Resolutivo 1. Disponible en:</w:t>
      </w:r>
      <w:r w:rsidRPr="004C3F47">
        <w:rPr>
          <w:rStyle w:val="Strong"/>
          <w:color w:val="000000"/>
          <w:shd w:val="clear" w:color="auto" w:fill="FFFFFF"/>
          <w:lang w:val="es-MX"/>
        </w:rPr>
        <w:t xml:space="preserve"> </w:t>
      </w:r>
      <w:hyperlink r:id="rId6" w:history="1">
        <w:r w:rsidRPr="004C3F47">
          <w:rPr>
            <w:rStyle w:val="Hyperlink"/>
            <w:lang w:val="es-CR"/>
          </w:rPr>
          <w:t>http://www.corteidh.or.cr/docs/asuntos/lagos_fv_16.pdf</w:t>
        </w:r>
      </w:hyperlink>
    </w:p>
  </w:footnote>
  <w:footnote w:id="278">
    <w:p w14:paraId="072804D2" w14:textId="6BA1F7E9" w:rsidR="00D86616" w:rsidRPr="009E6ED2" w:rsidRDefault="00D86616" w:rsidP="006A2D03">
      <w:pPr>
        <w:pStyle w:val="FootnoteText"/>
        <w:spacing w:after="0"/>
        <w:rPr>
          <w:lang w:val="es-MX"/>
        </w:rPr>
      </w:pPr>
      <w:r w:rsidRPr="004C3F47">
        <w:rPr>
          <w:rStyle w:val="FootnoteReference"/>
          <w:sz w:val="16"/>
        </w:rPr>
        <w:footnoteRef/>
      </w:r>
      <w:r w:rsidRPr="009E6ED2">
        <w:rPr>
          <w:lang w:val="es-MX"/>
        </w:rPr>
        <w:t xml:space="preserve"> </w:t>
      </w:r>
      <w:r w:rsidRPr="009E6ED2">
        <w:rPr>
          <w:lang w:val="es-MX"/>
        </w:rPr>
        <w:tab/>
        <w:t xml:space="preserve">El monto requerido corresponde al: i) boleto aéreo por el monto de USD 457.81 (cuatrocientos cincuenta y siete dólares de los Estados Unidos de América), ii) viáticos por el monto de USD 636.00 (seiscientos treinta y seis dólares de los Estados Unidos de América), iii) gastos terminales por transporte por el monto de USD 100.00 (cien dólares de los Estados Unidos de América), y iv) </w:t>
      </w:r>
      <w:r w:rsidRPr="009E6ED2">
        <w:rPr>
          <w:i/>
          <w:lang w:val="es-MX"/>
        </w:rPr>
        <w:t>affidávit</w:t>
      </w:r>
      <w:r w:rsidRPr="009E6ED2">
        <w:rPr>
          <w:lang w:val="es-MX"/>
        </w:rPr>
        <w:t xml:space="preserve"> por el monto de USD 143.00 (ciento cuarenta y tres dólares de los Estados Unidos de América) (expediente de fondo, f. 759)</w:t>
      </w:r>
      <w:r>
        <w:rPr>
          <w:lang w:val="es-MX"/>
        </w:rPr>
        <w:t>.</w:t>
      </w:r>
    </w:p>
  </w:footnote>
  <w:footnote w:id="279">
    <w:p w14:paraId="7BAA06AD" w14:textId="1E81AACC" w:rsidR="00D86616" w:rsidRPr="009E6ED2" w:rsidRDefault="00D86616" w:rsidP="006A2D03">
      <w:pPr>
        <w:pStyle w:val="FootnoteText"/>
        <w:spacing w:after="0"/>
        <w:rPr>
          <w:lang w:val="es-MX"/>
        </w:rPr>
      </w:pPr>
      <w:r w:rsidRPr="004C3F47">
        <w:rPr>
          <w:rStyle w:val="FootnoteReference"/>
          <w:sz w:val="16"/>
        </w:rPr>
        <w:footnoteRef/>
      </w:r>
      <w:r w:rsidRPr="009E6ED2">
        <w:rPr>
          <w:lang w:val="es-MX"/>
        </w:rPr>
        <w:t xml:space="preserve"> </w:t>
      </w:r>
      <w:r w:rsidRPr="009E6ED2">
        <w:rPr>
          <w:lang w:val="es-MX"/>
        </w:rPr>
        <w:tab/>
        <w:t xml:space="preserve">El Estado presentó sus observaciones el 17 de abril de 2017. Perú sostuvo que el monto entregado por concepto de viáticos asciende a la suma de $636 (seiscientos treinta y seis con 00/100 dólares americanos), equivalentes a $212 (doscientos doce con 00/100 dólares americanos) por día, sin que se diera mayor explicación con relación a la asignación de dicho monto. Tampoco se indica por qué la Corte ha seleccionado la categoría “PS”, cuyo gasto diario asignado asciende a $212, por lo que el Estado solicitó a la Corte que precise qué implica cada uno de los criterios que emplea para seleccionar una u otra categoría, y precise en el caso en concreto por qué se determinó y seleccionó la categoría “PS”. Además el Estado solicitó que, al no contar con información que acredite de forma completa el rubro referido a gastos terminales, la Corte precise el cálculo final del rubro correspondiente y cómo fue aplicado al caso en concreto. Al respecto, mediante comunicación de 2 de mayo de 2017 (CIDH-322-17 - de 27 de abril de 2017), la Secretaría de la Corte dio respuesta a las observaciones del Estado (expediente de fondo, </w:t>
      </w:r>
      <w:proofErr w:type="spellStart"/>
      <w:r w:rsidRPr="009E6ED2">
        <w:rPr>
          <w:lang w:val="es-MX"/>
        </w:rPr>
        <w:t>ff</w:t>
      </w:r>
      <w:proofErr w:type="spellEnd"/>
      <w:r w:rsidRPr="009E6ED2">
        <w:rPr>
          <w:lang w:val="es-MX"/>
        </w:rPr>
        <w:t>. 795-798).</w:t>
      </w:r>
    </w:p>
  </w:footnote>
  <w:footnote w:id="280">
    <w:p w14:paraId="0CA031E4" w14:textId="77777777" w:rsidR="00D86616" w:rsidRPr="0082528A" w:rsidRDefault="00D86616" w:rsidP="00F83E8F">
      <w:pPr>
        <w:pStyle w:val="FootnoteText"/>
        <w:spacing w:after="0"/>
        <w:rPr>
          <w:lang w:val="es-ES"/>
        </w:rPr>
      </w:pPr>
      <w:r w:rsidRPr="0082528A">
        <w:rPr>
          <w:rStyle w:val="FootnoteReference"/>
        </w:rPr>
        <w:footnoteRef/>
      </w:r>
      <w:r w:rsidRPr="0082528A">
        <w:rPr>
          <w:lang w:val="es-ES"/>
        </w:rPr>
        <w:t xml:space="preserve"> El término “Derechos Económicos, Sociales y Culturales – DESC” pasó recién a ter agregada la palabra “ambiental”, o sea, pasa a ser “Derechos Económicos, Sociales, Culturales y Ambientales – DESCA”, ante la emergencia del enfoque y protección del Derecho Ambiental como Derecho Humano. Parte de la doctrina y de la sociedad civil hace algún tiempo lo reivindicaba. Eso también tiene mucho sentido ante el diálogo fluido que desarrollan Corte y Comisión Interamericana, y ésta ha creado una nueva relatoría agregando el término: Relatoría Especial de los Derechos Económicos, Sociales, Culturales y Ambientales – REDESCA. Por lo tanto, he pasado a utilizar la misma nomenclatura agregada, entendiendo que el derecho ambiental es parte fundamental e interdependiente de los Derechos Sociales. </w:t>
      </w:r>
    </w:p>
  </w:footnote>
  <w:footnote w:id="281">
    <w:p w14:paraId="78A69E1D" w14:textId="77777777" w:rsidR="00D86616" w:rsidRPr="000D35BC" w:rsidRDefault="00D86616" w:rsidP="00F83E8F">
      <w:pPr>
        <w:pStyle w:val="FootnoteText"/>
        <w:spacing w:after="0"/>
        <w:rPr>
          <w:lang w:val="es-CR"/>
        </w:rPr>
      </w:pPr>
      <w:r w:rsidRPr="00AD4B67">
        <w:rPr>
          <w:rStyle w:val="FootnoteReference"/>
        </w:rPr>
        <w:footnoteRef/>
      </w:r>
      <w:r w:rsidRPr="000D35BC">
        <w:rPr>
          <w:lang w:val="es-CR"/>
        </w:rPr>
        <w:t xml:space="preserve"> Por ejemplo, la Corte Suprema de la India fue pionera, en los años 1980, en interpretar el derecho a la vida de forma amplia, incluyendo una serie de derechos económicos y sociales. La Corte Constitucional Sudafricana, en el paradigmático caso </w:t>
      </w:r>
      <w:proofErr w:type="spellStart"/>
      <w:r w:rsidRPr="000D35BC">
        <w:rPr>
          <w:i/>
          <w:lang w:val="es-CR"/>
        </w:rPr>
        <w:t>Grootboom</w:t>
      </w:r>
      <w:proofErr w:type="spellEnd"/>
      <w:r w:rsidRPr="000D35BC">
        <w:rPr>
          <w:lang w:val="es-CR"/>
        </w:rPr>
        <w:t xml:space="preserve">, juzgado en 2000, examinó la situación de un grupo de personas que, desalojadas de vivienda irregular, pasaron a vivir en tiendas localizadas en un centro deportivo. La Corte consideró que esas personas tuvieron su derecho a vivienda adecuada violado y determinaron a varios órganos del gobierno desarrollar medidas efectivas en su favor. En nuestro continente, la Corte Constitucional de Colombia desarrolló la doctrina de la situación inconstitucional para responder a violaciones de derechos económicos e sociales. </w:t>
      </w:r>
    </w:p>
  </w:footnote>
  <w:footnote w:id="282">
    <w:p w14:paraId="2B0CB7C5" w14:textId="77777777" w:rsidR="00D86616" w:rsidRPr="000D35BC" w:rsidRDefault="00D86616" w:rsidP="00F83E8F">
      <w:pPr>
        <w:pStyle w:val="FootnoteText"/>
        <w:spacing w:after="0"/>
        <w:rPr>
          <w:lang w:val="es-CR"/>
        </w:rPr>
      </w:pPr>
      <w:r>
        <w:rPr>
          <w:rStyle w:val="FootnoteReference"/>
        </w:rPr>
        <w:footnoteRef/>
      </w:r>
      <w:r w:rsidRPr="000D35BC">
        <w:rPr>
          <w:lang w:val="es-CR"/>
        </w:rPr>
        <w:t xml:space="preserve"> Aquí no hay ninguna </w:t>
      </w:r>
      <w:proofErr w:type="spellStart"/>
      <w:r w:rsidRPr="000D35BC">
        <w:rPr>
          <w:lang w:val="es-CR"/>
        </w:rPr>
        <w:t>conotación</w:t>
      </w:r>
      <w:proofErr w:type="spellEnd"/>
      <w:r w:rsidRPr="000D35BC">
        <w:rPr>
          <w:lang w:val="es-CR"/>
        </w:rPr>
        <w:t xml:space="preserve"> de culpar a la Comisión por esa omisión pues en ese momento la </w:t>
      </w:r>
      <w:proofErr w:type="spellStart"/>
      <w:r w:rsidRPr="000D35BC">
        <w:rPr>
          <w:lang w:val="es-CR"/>
        </w:rPr>
        <w:t>própia</w:t>
      </w:r>
      <w:proofErr w:type="spellEnd"/>
      <w:r w:rsidRPr="000D35BC">
        <w:rPr>
          <w:lang w:val="es-CR"/>
        </w:rPr>
        <w:t xml:space="preserve"> jurisprudencia de la Corte Interamericana no había reconocido el derecho laboral como tal ni de los otros derechos sociales.</w:t>
      </w:r>
    </w:p>
  </w:footnote>
  <w:footnote w:id="283">
    <w:p w14:paraId="21F2D65D" w14:textId="77777777" w:rsidR="00D86616" w:rsidRPr="006B3905" w:rsidRDefault="00D86616" w:rsidP="00F83E8F">
      <w:pPr>
        <w:pStyle w:val="FootnoteText"/>
        <w:spacing w:after="0"/>
        <w:rPr>
          <w:sz w:val="18"/>
          <w:lang w:val="es-MX"/>
        </w:rPr>
      </w:pPr>
      <w:r w:rsidRPr="006B3905">
        <w:rPr>
          <w:rStyle w:val="FootnoteReference"/>
        </w:rPr>
        <w:footnoteRef/>
      </w:r>
      <w:r w:rsidRPr="00C44F79">
        <w:rPr>
          <w:lang w:val="es-CR"/>
        </w:rPr>
        <w:t xml:space="preserve"> A manera de ejemplo</w:t>
      </w:r>
      <w:r w:rsidRPr="00C44F79">
        <w:rPr>
          <w:i/>
          <w:lang w:val="es-CR"/>
        </w:rPr>
        <w:t xml:space="preserve">: </w:t>
      </w:r>
      <w:r w:rsidRPr="00C44F79">
        <w:rPr>
          <w:lang w:val="es-CR"/>
        </w:rPr>
        <w:t xml:space="preserve">en el </w:t>
      </w:r>
      <w:r w:rsidRPr="00C44F79">
        <w:rPr>
          <w:i/>
          <w:lang w:val="es-CR"/>
        </w:rPr>
        <w:t>Caso</w:t>
      </w:r>
      <w:r w:rsidRPr="00C44F79">
        <w:rPr>
          <w:lang w:val="es-CR"/>
        </w:rPr>
        <w:t xml:space="preserve"> </w:t>
      </w:r>
      <w:r w:rsidRPr="00C44F79">
        <w:rPr>
          <w:i/>
          <w:lang w:val="es-CR"/>
        </w:rPr>
        <w:t xml:space="preserve">de </w:t>
      </w:r>
      <w:proofErr w:type="spellStart"/>
      <w:r w:rsidRPr="00C44F79">
        <w:rPr>
          <w:i/>
          <w:lang w:val="es-CR"/>
        </w:rPr>
        <w:t>Antoine</w:t>
      </w:r>
      <w:proofErr w:type="spellEnd"/>
      <w:r w:rsidRPr="00C44F79">
        <w:rPr>
          <w:i/>
          <w:lang w:val="es-CR"/>
        </w:rPr>
        <w:t xml:space="preserve"> </w:t>
      </w:r>
      <w:proofErr w:type="spellStart"/>
      <w:r w:rsidRPr="00C44F79">
        <w:rPr>
          <w:i/>
          <w:lang w:val="es-CR"/>
        </w:rPr>
        <w:t>Bissangou</w:t>
      </w:r>
      <w:proofErr w:type="spellEnd"/>
      <w:r w:rsidRPr="00C44F79">
        <w:rPr>
          <w:i/>
          <w:lang w:val="es-CR"/>
        </w:rPr>
        <w:t xml:space="preserve"> Vs. La República del Congo</w:t>
      </w:r>
      <w:r w:rsidRPr="00C44F79">
        <w:rPr>
          <w:lang w:val="es-CR"/>
        </w:rPr>
        <w:t xml:space="preserve">, la Comisión Africana encontró violaciones de los artículos 3, 7 y 14 de la Carta Africana de Derechos Humanos y de los Pueblos cuando el peticionario había alegado violaciones de los artículos 2, 3 y 21 (2). Comisión Africana de Derechos Humanos y de los Pueblos, Comunicación No. 253/2002. Sentencia de noviembre de 2006, </w:t>
      </w:r>
      <w:proofErr w:type="spellStart"/>
      <w:r w:rsidRPr="00C44F79">
        <w:rPr>
          <w:lang w:val="es-CR"/>
        </w:rPr>
        <w:t>párrs</w:t>
      </w:r>
      <w:proofErr w:type="spellEnd"/>
      <w:r w:rsidRPr="00C44F79">
        <w:rPr>
          <w:lang w:val="es-CR"/>
        </w:rPr>
        <w:t>. 5, 73 a 76.</w:t>
      </w:r>
      <w:r w:rsidRPr="00C44F79">
        <w:rPr>
          <w:i/>
          <w:lang w:val="es-CR"/>
        </w:rPr>
        <w:t xml:space="preserve"> Ver también casos del Comité de Derechos Humanos de la ONU: </w:t>
      </w:r>
      <w:r w:rsidRPr="006B3905">
        <w:rPr>
          <w:i/>
          <w:lang w:val="es-CR"/>
        </w:rPr>
        <w:t xml:space="preserve">Caso de </w:t>
      </w:r>
      <w:proofErr w:type="spellStart"/>
      <w:r w:rsidRPr="006B3905">
        <w:rPr>
          <w:i/>
          <w:lang w:val="es-CR"/>
        </w:rPr>
        <w:t>Olimzhon</w:t>
      </w:r>
      <w:proofErr w:type="spellEnd"/>
      <w:r w:rsidRPr="006B3905">
        <w:rPr>
          <w:i/>
          <w:lang w:val="es-CR"/>
        </w:rPr>
        <w:t xml:space="preserve"> </w:t>
      </w:r>
      <w:proofErr w:type="spellStart"/>
      <w:r w:rsidRPr="006B3905">
        <w:rPr>
          <w:i/>
          <w:lang w:val="es-CR"/>
        </w:rPr>
        <w:t>Eshonov</w:t>
      </w:r>
      <w:proofErr w:type="spellEnd"/>
      <w:r w:rsidRPr="006B3905">
        <w:rPr>
          <w:i/>
          <w:lang w:val="es-CR"/>
        </w:rPr>
        <w:t xml:space="preserve"> Vs. </w:t>
      </w:r>
      <w:r w:rsidRPr="006B3905">
        <w:rPr>
          <w:i/>
        </w:rPr>
        <w:t>Uzbekistán</w:t>
      </w:r>
      <w:r w:rsidRPr="006B3905">
        <w:t>: The State party contested the admissibility of the communication, arguing that the author has failed to substantiate his claims under article 2 and article 7 of the Covenant. The Committee considers, however, that the arguments advanced by the State party are closely linked to the merits of the communication and should be taken up when the merits of the communication are examined. The Committee considers that the author has sufficiently substantiated his claims, for purposes of admissibility, in that they appear to raise issues under article 2; article 6, paragraph 1; and article 7 of the Covenant, and declares them admissible</w:t>
      </w:r>
      <w:r>
        <w:t>.</w:t>
      </w:r>
      <w:r w:rsidRPr="006B3905">
        <w:t xml:space="preserve"> </w:t>
      </w:r>
      <w:r w:rsidRPr="006B3905">
        <w:rPr>
          <w:lang w:val="es-MX"/>
        </w:rPr>
        <w:t>Comité de Derechos Humanos Comunicación No. 1225/2003, U.N. Doc.</w:t>
      </w:r>
      <w:r>
        <w:rPr>
          <w:lang w:val="es-MX"/>
        </w:rPr>
        <w:t>(</w:t>
      </w:r>
      <w:r w:rsidRPr="006B3905">
        <w:rPr>
          <w:lang w:val="es-MX"/>
        </w:rPr>
        <w:t xml:space="preserve"> CCPR/C/99/D/1225/2003</w:t>
      </w:r>
      <w:r>
        <w:rPr>
          <w:lang w:val="es-MX"/>
        </w:rPr>
        <w:t>)</w:t>
      </w:r>
      <w:r w:rsidRPr="006B3905">
        <w:rPr>
          <w:lang w:val="es-MX"/>
        </w:rPr>
        <w:t xml:space="preserve"> </w:t>
      </w:r>
      <w:r>
        <w:rPr>
          <w:lang w:val="es-MX"/>
        </w:rPr>
        <w:t>18 de agosto de 2010,</w:t>
      </w:r>
      <w:r w:rsidRPr="006B3905">
        <w:rPr>
          <w:lang w:val="es-MX"/>
        </w:rPr>
        <w:t xml:space="preserve"> párrs.1.1 3.3, 8.3, 9.7, 9.9 y 10</w:t>
      </w:r>
      <w:r>
        <w:rPr>
          <w:lang w:val="es-MX"/>
        </w:rPr>
        <w:t xml:space="preserve">; </w:t>
      </w:r>
      <w:r w:rsidRPr="000D35BC">
        <w:rPr>
          <w:lang w:val="es-CR"/>
        </w:rPr>
        <w:t xml:space="preserve">Caso Mariano Pimentel y otros Vs. </w:t>
      </w:r>
      <w:r w:rsidRPr="006B3905">
        <w:t xml:space="preserve">Filipinas: The authors claim that their proceedings in the Philippines on the enforcement of the US judgement have been unreasonably prolonged and that the exorbitant filing fee amounts to a de facto denial of their right to an effective remedy to obtain compensation for their injuries, under article 2 of the Covenant. They argue that they are not required to exhaust domestic remedies, as the proceedings before the Philippine courts have been unreasonably prolonged. The communication also appears to raise issues under article 14, paragraph 1, of the Covenant. […]The Committee observes that since the authors brought their action before the Regional Trial Court in 1997, the same Court and the Supreme Court considered the issue of the required filing fee arising from the authors claim on three subsequent occasions (9 September 1998, 28 July 1999 and 15 April 2005) and over a period of eight years before reaching a conclusion in favour of the authors. The Committee considers that the length of time taken to resolve this issue raises an admissible issue under article 14, paragraph 1, as well as article 2, paragraph 3, and should be considered on the merits. </w:t>
      </w:r>
      <w:r w:rsidRPr="000D35BC">
        <w:rPr>
          <w:lang w:val="es-CR"/>
        </w:rPr>
        <w:t xml:space="preserve">Comité de Derechos Humanos Comunicación No. 1320/2004, U.N. Doc. (CCPR/C/89/D/1320/2004) 3 de abril 2007, párrs,1, 3, 8.3, 9.2 y 10; </w:t>
      </w:r>
      <w:r w:rsidRPr="006B3905">
        <w:rPr>
          <w:i/>
          <w:lang w:val="pt-BR"/>
        </w:rPr>
        <w:t xml:space="preserve">Caso de Davlatbibi Shukurova Vs. </w:t>
      </w:r>
      <w:r w:rsidRPr="006B3905">
        <w:rPr>
          <w:i/>
        </w:rPr>
        <w:t>Tayikistán</w:t>
      </w:r>
      <w:r w:rsidRPr="006B3905">
        <w:t>: The author claims that the facts set out above amount to a violation of the rights of Sherali and Dovud Nazriev under articles 6; 7; 9; and 14, paragraphs 1, 3 (b), (d), (e), (f), (g), and 5 of the Covenant. Although the author does not specifically invoke article 7 in her own respect, the communication also appears to raise issues under this provision.</w:t>
      </w:r>
      <w:r w:rsidRPr="006B3905">
        <w:rPr>
          <w:sz w:val="18"/>
        </w:rPr>
        <w:t xml:space="preserve"> </w:t>
      </w:r>
      <w:r w:rsidRPr="00930699">
        <w:rPr>
          <w:lang w:val="es-MX"/>
        </w:rPr>
        <w:t xml:space="preserve">Comité de Derechos Humanos Comunicación </w:t>
      </w:r>
      <w:r w:rsidRPr="006B3905">
        <w:rPr>
          <w:lang w:val="es-MX"/>
        </w:rPr>
        <w:t>No. 1044/2002, U</w:t>
      </w:r>
      <w:r>
        <w:rPr>
          <w:lang w:val="es-MX"/>
        </w:rPr>
        <w:t>.N. Doc. (CCPR/C/86/D/1044/2002) marzo de 2006</w:t>
      </w:r>
      <w:r w:rsidRPr="00930699">
        <w:rPr>
          <w:lang w:val="es-MX"/>
        </w:rPr>
        <w:t>, párrs.1.1, 3, 8.2, 8.7 y</w:t>
      </w:r>
      <w:r>
        <w:rPr>
          <w:lang w:val="es-MX"/>
        </w:rPr>
        <w:t xml:space="preserve"> </w:t>
      </w:r>
      <w:r w:rsidRPr="00930699">
        <w:rPr>
          <w:lang w:val="es-MX"/>
        </w:rPr>
        <w:t>9</w:t>
      </w:r>
      <w:r>
        <w:rPr>
          <w:lang w:val="es-MX"/>
        </w:rPr>
        <w:t xml:space="preserve">. </w:t>
      </w:r>
      <w:r w:rsidRPr="006B3905">
        <w:rPr>
          <w:i/>
          <w:lang w:val="es-MX"/>
        </w:rPr>
        <w:t>Cfr.</w:t>
      </w:r>
      <w:r>
        <w:rPr>
          <w:lang w:val="es-MX"/>
        </w:rPr>
        <w:t xml:space="preserve"> </w:t>
      </w:r>
      <w:r w:rsidRPr="000D35BC">
        <w:rPr>
          <w:i/>
          <w:lang w:val="es-CR"/>
        </w:rPr>
        <w:t>Caso</w:t>
      </w:r>
      <w:r w:rsidRPr="000D35BC">
        <w:rPr>
          <w:lang w:val="es-CR"/>
        </w:rPr>
        <w:t xml:space="preserve"> </w:t>
      </w:r>
      <w:proofErr w:type="spellStart"/>
      <w:r w:rsidRPr="000D35BC">
        <w:rPr>
          <w:i/>
          <w:lang w:val="es-CR"/>
        </w:rPr>
        <w:t>Weerawansa</w:t>
      </w:r>
      <w:proofErr w:type="spellEnd"/>
      <w:r w:rsidRPr="000D35BC">
        <w:rPr>
          <w:i/>
          <w:lang w:val="es-CR"/>
        </w:rPr>
        <w:t xml:space="preserve"> Vs. Sri Lanka</w:t>
      </w:r>
      <w:r w:rsidRPr="000D35BC">
        <w:rPr>
          <w:lang w:val="es-CR"/>
        </w:rPr>
        <w:t xml:space="preserve">, Comité de Derechos Humanos Comunicación No. 1406/2005 (UN </w:t>
      </w:r>
      <w:proofErr w:type="spellStart"/>
      <w:r w:rsidRPr="000D35BC">
        <w:rPr>
          <w:lang w:val="es-CR"/>
        </w:rPr>
        <w:t>Doc</w:t>
      </w:r>
      <w:proofErr w:type="spellEnd"/>
      <w:r w:rsidRPr="000D35BC">
        <w:rPr>
          <w:lang w:val="es-CR"/>
        </w:rPr>
        <w:t xml:space="preserve"> CCPR/C/95/D/1406/2005) de 14 de mayo de 2009, </w:t>
      </w:r>
      <w:proofErr w:type="spellStart"/>
      <w:r w:rsidRPr="000D35BC">
        <w:rPr>
          <w:lang w:val="es-CR"/>
        </w:rPr>
        <w:t>párrs</w:t>
      </w:r>
      <w:proofErr w:type="spellEnd"/>
      <w:r w:rsidRPr="000D35BC">
        <w:rPr>
          <w:lang w:val="es-CR"/>
        </w:rPr>
        <w:t xml:space="preserve">, 1, 3.3, 7.4 y 8; </w:t>
      </w:r>
      <w:r w:rsidRPr="000D35BC">
        <w:rPr>
          <w:i/>
          <w:lang w:val="es-CR"/>
        </w:rPr>
        <w:t xml:space="preserve">Caso </w:t>
      </w:r>
      <w:proofErr w:type="spellStart"/>
      <w:r w:rsidRPr="006B3905">
        <w:rPr>
          <w:i/>
          <w:lang w:val="es-CR"/>
        </w:rPr>
        <w:t>Boudjemai</w:t>
      </w:r>
      <w:proofErr w:type="spellEnd"/>
      <w:r w:rsidRPr="006B3905">
        <w:rPr>
          <w:i/>
          <w:lang w:val="es-CR"/>
        </w:rPr>
        <w:t xml:space="preserve"> Vs. </w:t>
      </w:r>
      <w:r w:rsidRPr="000D35BC">
        <w:rPr>
          <w:i/>
          <w:lang w:val="es-CR"/>
        </w:rPr>
        <w:t>Argelia</w:t>
      </w:r>
      <w:r w:rsidRPr="000D35BC">
        <w:rPr>
          <w:lang w:val="es-CR"/>
        </w:rPr>
        <w:t xml:space="preserve">, Comité de Derechos Humanos Comunicación No. 1791/2008 (UN </w:t>
      </w:r>
      <w:proofErr w:type="spellStart"/>
      <w:r w:rsidRPr="000D35BC">
        <w:rPr>
          <w:lang w:val="es-CR"/>
        </w:rPr>
        <w:t>Doc</w:t>
      </w:r>
      <w:proofErr w:type="spellEnd"/>
      <w:r w:rsidRPr="000D35BC">
        <w:rPr>
          <w:lang w:val="es-CR"/>
        </w:rPr>
        <w:t xml:space="preserve"> CCPR/C/107/D/1791/2008) 5 de junio de 2013, párr. 8.11 y 9. </w:t>
      </w:r>
      <w:r w:rsidRPr="000D35BC">
        <w:rPr>
          <w:i/>
          <w:lang w:val="es-CR"/>
        </w:rPr>
        <w:t>Caso</w:t>
      </w:r>
      <w:r w:rsidRPr="000D35BC">
        <w:rPr>
          <w:lang w:val="es-CR"/>
        </w:rPr>
        <w:t xml:space="preserve"> </w:t>
      </w:r>
      <w:proofErr w:type="spellStart"/>
      <w:r w:rsidRPr="006B3905">
        <w:rPr>
          <w:i/>
          <w:lang w:val="es-CR"/>
        </w:rPr>
        <w:t>Benaziza</w:t>
      </w:r>
      <w:proofErr w:type="spellEnd"/>
      <w:r w:rsidRPr="006B3905">
        <w:rPr>
          <w:i/>
          <w:lang w:val="es-CR"/>
        </w:rPr>
        <w:t xml:space="preserve"> Vs. </w:t>
      </w:r>
      <w:r w:rsidRPr="006B3905">
        <w:rPr>
          <w:i/>
          <w:lang w:val="es-MX"/>
        </w:rPr>
        <w:t>Argelia</w:t>
      </w:r>
      <w:r w:rsidRPr="006B3905">
        <w:rPr>
          <w:lang w:val="es-MX"/>
        </w:rPr>
        <w:t>,</w:t>
      </w:r>
      <w:r w:rsidRPr="000D35BC">
        <w:rPr>
          <w:lang w:val="es-CR"/>
        </w:rPr>
        <w:t xml:space="preserve"> Comité de Derechos Humanos</w:t>
      </w:r>
      <w:r w:rsidRPr="006B3905">
        <w:rPr>
          <w:lang w:val="es-MX"/>
        </w:rPr>
        <w:t xml:space="preserve"> Comunicación No. 1588/2007 (CCPR/C/99/D/1588/2007) 16 de septiembre de 2010</w:t>
      </w:r>
      <w:proofErr w:type="gramStart"/>
      <w:r w:rsidRPr="006B3905">
        <w:rPr>
          <w:lang w:val="es-MX"/>
        </w:rPr>
        <w:t>,párrs</w:t>
      </w:r>
      <w:proofErr w:type="gramEnd"/>
      <w:r w:rsidRPr="006B3905">
        <w:rPr>
          <w:lang w:val="es-MX"/>
        </w:rPr>
        <w:t xml:space="preserve">. </w:t>
      </w:r>
      <w:r w:rsidRPr="000D35BC">
        <w:rPr>
          <w:lang w:val="es-CR"/>
        </w:rPr>
        <w:t xml:space="preserve">9.9 y 10; </w:t>
      </w:r>
      <w:r w:rsidRPr="006B3905">
        <w:rPr>
          <w:i/>
          <w:lang w:val="es-MX"/>
        </w:rPr>
        <w:t>Cfr.</w:t>
      </w:r>
      <w:r>
        <w:rPr>
          <w:lang w:val="es-MX"/>
        </w:rPr>
        <w:t xml:space="preserve"> </w:t>
      </w:r>
      <w:r w:rsidRPr="000D35BC">
        <w:rPr>
          <w:lang w:val="es-CR"/>
        </w:rPr>
        <w:t>(UN Doc. CCPR/C/107/D/1917</w:t>
      </w:r>
      <w:proofErr w:type="gramStart"/>
      <w:r w:rsidRPr="000D35BC">
        <w:rPr>
          <w:lang w:val="es-CR"/>
        </w:rPr>
        <w:t>,1918,1925</w:t>
      </w:r>
      <w:proofErr w:type="gramEnd"/>
      <w:r w:rsidRPr="000D35BC">
        <w:rPr>
          <w:lang w:val="es-CR"/>
        </w:rPr>
        <w:t xml:space="preserve">/2009&amp;1953/2010) (2013), Opinión independiente del Sr. Fabián Omar </w:t>
      </w:r>
      <w:proofErr w:type="spellStart"/>
      <w:r w:rsidRPr="000D35BC">
        <w:rPr>
          <w:lang w:val="es-CR"/>
        </w:rPr>
        <w:t>Salvioli</w:t>
      </w:r>
      <w:proofErr w:type="spellEnd"/>
      <w:r w:rsidRPr="000D35BC">
        <w:rPr>
          <w:lang w:val="es-CR"/>
        </w:rPr>
        <w:t xml:space="preserve">, miembro del Comité. </w:t>
      </w:r>
    </w:p>
  </w:footnote>
  <w:footnote w:id="284">
    <w:p w14:paraId="7C16606F" w14:textId="77777777" w:rsidR="00D86616" w:rsidRPr="006B3905" w:rsidRDefault="00D86616" w:rsidP="00F83E8F">
      <w:pPr>
        <w:pStyle w:val="FootnoteText"/>
        <w:spacing w:after="0"/>
        <w:rPr>
          <w:lang w:val="es-CR"/>
        </w:rPr>
      </w:pPr>
      <w:r>
        <w:rPr>
          <w:rStyle w:val="FootnoteReference"/>
        </w:rPr>
        <w:footnoteRef/>
      </w:r>
      <w:r w:rsidRPr="000D35BC">
        <w:rPr>
          <w:lang w:val="es-CR"/>
        </w:rPr>
        <w:t xml:space="preserve"> </w:t>
      </w:r>
      <w:r>
        <w:rPr>
          <w:lang w:val="es-CR"/>
        </w:rPr>
        <w:t xml:space="preserve">Ver también artículos 112 y 150 del Protocolo de Reformas a la Carta de la 0rganizacion de los Estados Americanos </w:t>
      </w:r>
      <w:r w:rsidRPr="005C52D2">
        <w:rPr>
          <w:lang w:val="es-CR"/>
        </w:rPr>
        <w:t>(B-31)</w:t>
      </w:r>
      <w:r>
        <w:rPr>
          <w:lang w:val="es-CR"/>
        </w:rPr>
        <w:t xml:space="preserve"> "Protocolo de Buenos Aires", </w:t>
      </w:r>
      <w:r w:rsidRPr="005C52D2">
        <w:rPr>
          <w:lang w:val="es-CR"/>
        </w:rPr>
        <w:t>Suscrito en la Tercera Conferencia</w:t>
      </w:r>
      <w:r>
        <w:rPr>
          <w:lang w:val="es-CR"/>
        </w:rPr>
        <w:t xml:space="preserve"> Interamericana Extraordinaria. Buenos Aires, </w:t>
      </w:r>
      <w:r w:rsidRPr="005C52D2">
        <w:rPr>
          <w:lang w:val="es-CR"/>
        </w:rPr>
        <w:t>27 de febrero de 1967</w:t>
      </w:r>
      <w:r>
        <w:rPr>
          <w:lang w:val="es-CR"/>
        </w:rPr>
        <w:t>.</w:t>
      </w:r>
    </w:p>
  </w:footnote>
  <w:footnote w:id="285">
    <w:p w14:paraId="214EFC55" w14:textId="77777777" w:rsidR="00D86616" w:rsidRPr="004F7F0A" w:rsidRDefault="00D86616" w:rsidP="00F83E8F">
      <w:pPr>
        <w:jc w:val="both"/>
        <w:rPr>
          <w:rFonts w:ascii="Verdana" w:eastAsia="Times New Roman" w:hAnsi="Verdana"/>
          <w:sz w:val="16"/>
          <w:szCs w:val="16"/>
          <w:lang w:val="es-MX"/>
        </w:rPr>
      </w:pPr>
      <w:r w:rsidRPr="00206283">
        <w:rPr>
          <w:rStyle w:val="FootnoteReference"/>
          <w:sz w:val="16"/>
          <w:szCs w:val="16"/>
        </w:rPr>
        <w:footnoteRef/>
      </w:r>
      <w:r w:rsidRPr="00206283">
        <w:rPr>
          <w:rFonts w:ascii="Verdana" w:hAnsi="Verdana"/>
          <w:sz w:val="16"/>
          <w:szCs w:val="16"/>
        </w:rPr>
        <w:t xml:space="preserve"> </w:t>
      </w:r>
      <w:r w:rsidRPr="00206283">
        <w:rPr>
          <w:rFonts w:ascii="Verdana" w:hAnsi="Verdana"/>
          <w:sz w:val="16"/>
          <w:szCs w:val="16"/>
        </w:rPr>
        <w:tab/>
      </w:r>
      <w:r>
        <w:rPr>
          <w:rFonts w:ascii="Verdana" w:hAnsi="Verdana"/>
          <w:sz w:val="16"/>
          <w:szCs w:val="16"/>
        </w:rPr>
        <w:t xml:space="preserve">La </w:t>
      </w:r>
      <w:r w:rsidRPr="00206283">
        <w:rPr>
          <w:rFonts w:ascii="Verdana" w:hAnsi="Verdana"/>
          <w:sz w:val="16"/>
          <w:szCs w:val="16"/>
        </w:rPr>
        <w:t>Corte</w:t>
      </w:r>
      <w:r>
        <w:rPr>
          <w:rFonts w:ascii="Verdana" w:hAnsi="Verdana"/>
          <w:sz w:val="16"/>
          <w:szCs w:val="16"/>
        </w:rPr>
        <w:t xml:space="preserve"> IDH</w:t>
      </w:r>
      <w:r w:rsidRPr="00206283">
        <w:rPr>
          <w:rFonts w:ascii="Verdana" w:hAnsi="Verdana"/>
          <w:sz w:val="16"/>
          <w:szCs w:val="16"/>
        </w:rPr>
        <w:t xml:space="preserve"> ha </w:t>
      </w:r>
      <w:proofErr w:type="spellStart"/>
      <w:r w:rsidRPr="00206283">
        <w:rPr>
          <w:rFonts w:ascii="Verdana" w:hAnsi="Verdana"/>
          <w:sz w:val="16"/>
          <w:szCs w:val="16"/>
        </w:rPr>
        <w:t>señalado</w:t>
      </w:r>
      <w:proofErr w:type="spellEnd"/>
      <w:r w:rsidRPr="00206283">
        <w:rPr>
          <w:rFonts w:ascii="Verdana" w:hAnsi="Verdana"/>
          <w:sz w:val="16"/>
          <w:szCs w:val="16"/>
        </w:rPr>
        <w:t xml:space="preserve"> que los tratados de derechos humanos son instrumentos vivos, cuya </w:t>
      </w:r>
      <w:proofErr w:type="spellStart"/>
      <w:r w:rsidRPr="00206283">
        <w:rPr>
          <w:rFonts w:ascii="Verdana" w:hAnsi="Verdana"/>
          <w:sz w:val="16"/>
          <w:szCs w:val="16"/>
        </w:rPr>
        <w:t>interpretación</w:t>
      </w:r>
      <w:proofErr w:type="spellEnd"/>
      <w:r w:rsidRPr="00206283">
        <w:rPr>
          <w:rFonts w:ascii="Verdana" w:hAnsi="Verdana"/>
          <w:sz w:val="16"/>
          <w:szCs w:val="16"/>
        </w:rPr>
        <w:t xml:space="preserve"> tiene que </w:t>
      </w:r>
      <w:proofErr w:type="spellStart"/>
      <w:r w:rsidRPr="00206283">
        <w:rPr>
          <w:rFonts w:ascii="Verdana" w:hAnsi="Verdana"/>
          <w:sz w:val="16"/>
          <w:szCs w:val="16"/>
        </w:rPr>
        <w:t>acompañar</w:t>
      </w:r>
      <w:proofErr w:type="spellEnd"/>
      <w:r w:rsidRPr="00206283">
        <w:rPr>
          <w:rFonts w:ascii="Verdana" w:hAnsi="Verdana"/>
          <w:sz w:val="16"/>
          <w:szCs w:val="16"/>
        </w:rPr>
        <w:t xml:space="preserve"> la </w:t>
      </w:r>
      <w:proofErr w:type="spellStart"/>
      <w:r w:rsidRPr="00206283">
        <w:rPr>
          <w:rFonts w:ascii="Verdana" w:hAnsi="Verdana"/>
          <w:sz w:val="16"/>
          <w:szCs w:val="16"/>
        </w:rPr>
        <w:t>evolución</w:t>
      </w:r>
      <w:proofErr w:type="spellEnd"/>
      <w:r w:rsidRPr="00206283">
        <w:rPr>
          <w:rFonts w:ascii="Verdana" w:hAnsi="Verdana"/>
          <w:sz w:val="16"/>
          <w:szCs w:val="16"/>
        </w:rPr>
        <w:t xml:space="preserve"> de los tiempos y las condiciones de vida actuales. Tal </w:t>
      </w:r>
      <w:proofErr w:type="spellStart"/>
      <w:r w:rsidRPr="00206283">
        <w:rPr>
          <w:rFonts w:ascii="Verdana" w:hAnsi="Verdana"/>
          <w:sz w:val="16"/>
          <w:szCs w:val="16"/>
        </w:rPr>
        <w:t>interpretación</w:t>
      </w:r>
      <w:proofErr w:type="spellEnd"/>
      <w:r w:rsidRPr="00206283">
        <w:rPr>
          <w:rFonts w:ascii="Verdana" w:hAnsi="Verdana"/>
          <w:sz w:val="16"/>
          <w:szCs w:val="16"/>
        </w:rPr>
        <w:t xml:space="preserve"> evolutiva es consecuente con las reglas generales de </w:t>
      </w:r>
      <w:proofErr w:type="spellStart"/>
      <w:r w:rsidRPr="00206283">
        <w:rPr>
          <w:rFonts w:ascii="Verdana" w:hAnsi="Verdana"/>
          <w:sz w:val="16"/>
          <w:szCs w:val="16"/>
        </w:rPr>
        <w:t>interpretación</w:t>
      </w:r>
      <w:proofErr w:type="spellEnd"/>
      <w:r w:rsidRPr="00206283">
        <w:rPr>
          <w:rFonts w:ascii="Verdana" w:hAnsi="Verdana"/>
          <w:sz w:val="16"/>
          <w:szCs w:val="16"/>
        </w:rPr>
        <w:t xml:space="preserve"> consagradas en el </w:t>
      </w:r>
      <w:proofErr w:type="spellStart"/>
      <w:r w:rsidRPr="00206283">
        <w:rPr>
          <w:rFonts w:ascii="Verdana" w:hAnsi="Verdana"/>
          <w:sz w:val="16"/>
          <w:szCs w:val="16"/>
        </w:rPr>
        <w:t>artículo</w:t>
      </w:r>
      <w:proofErr w:type="spellEnd"/>
      <w:r w:rsidRPr="00206283">
        <w:rPr>
          <w:rFonts w:ascii="Verdana" w:hAnsi="Verdana"/>
          <w:sz w:val="16"/>
          <w:szCs w:val="16"/>
        </w:rPr>
        <w:t xml:space="preserve"> 29 d</w:t>
      </w:r>
      <w:r>
        <w:rPr>
          <w:rFonts w:ascii="Verdana" w:hAnsi="Verdana"/>
          <w:sz w:val="16"/>
          <w:szCs w:val="16"/>
        </w:rPr>
        <w:t xml:space="preserve">e la </w:t>
      </w:r>
      <w:proofErr w:type="spellStart"/>
      <w:r>
        <w:rPr>
          <w:rFonts w:ascii="Verdana" w:hAnsi="Verdana"/>
          <w:sz w:val="16"/>
          <w:szCs w:val="16"/>
        </w:rPr>
        <w:t>Convención</w:t>
      </w:r>
      <w:proofErr w:type="spellEnd"/>
      <w:r>
        <w:rPr>
          <w:rFonts w:ascii="Verdana" w:hAnsi="Verdana"/>
          <w:sz w:val="16"/>
          <w:szCs w:val="16"/>
        </w:rPr>
        <w:t xml:space="preserve"> Americana, así</w:t>
      </w:r>
      <w:r w:rsidRPr="00206283">
        <w:rPr>
          <w:rFonts w:ascii="Verdana" w:hAnsi="Verdana"/>
          <w:sz w:val="16"/>
          <w:szCs w:val="16"/>
        </w:rPr>
        <w:t xml:space="preserve"> como las establecidas por la </w:t>
      </w:r>
      <w:proofErr w:type="spellStart"/>
      <w:r w:rsidRPr="00206283">
        <w:rPr>
          <w:rFonts w:ascii="Verdana" w:hAnsi="Verdana"/>
          <w:sz w:val="16"/>
          <w:szCs w:val="16"/>
        </w:rPr>
        <w:t>Convención</w:t>
      </w:r>
      <w:proofErr w:type="spellEnd"/>
      <w:r w:rsidRPr="00206283">
        <w:rPr>
          <w:rFonts w:ascii="Verdana" w:hAnsi="Verdana"/>
          <w:sz w:val="16"/>
          <w:szCs w:val="16"/>
        </w:rPr>
        <w:t xml:space="preserve"> de Viena sobre el Derecho de los Tratados. </w:t>
      </w:r>
      <w:r w:rsidRPr="00206283">
        <w:rPr>
          <w:rFonts w:ascii="Verdana" w:hAnsi="Verdana"/>
          <w:i/>
          <w:sz w:val="16"/>
          <w:szCs w:val="16"/>
        </w:rPr>
        <w:t>Cfr.</w:t>
      </w:r>
      <w:r w:rsidRPr="00206283">
        <w:rPr>
          <w:rFonts w:ascii="Verdana" w:hAnsi="Verdana"/>
          <w:sz w:val="16"/>
          <w:szCs w:val="16"/>
        </w:rPr>
        <w:t xml:space="preserve"> </w:t>
      </w:r>
      <w:r w:rsidRPr="00206283">
        <w:rPr>
          <w:rFonts w:ascii="Verdana" w:hAnsi="Verdana"/>
          <w:i/>
          <w:sz w:val="16"/>
          <w:szCs w:val="16"/>
        </w:rPr>
        <w:t xml:space="preserve">El Derecho a la </w:t>
      </w:r>
      <w:proofErr w:type="spellStart"/>
      <w:r w:rsidRPr="00206283">
        <w:rPr>
          <w:rFonts w:ascii="Verdana" w:hAnsi="Verdana"/>
          <w:i/>
          <w:sz w:val="16"/>
          <w:szCs w:val="16"/>
        </w:rPr>
        <w:t>Información</w:t>
      </w:r>
      <w:proofErr w:type="spellEnd"/>
      <w:r w:rsidRPr="00206283">
        <w:rPr>
          <w:rFonts w:ascii="Verdana" w:hAnsi="Verdana"/>
          <w:i/>
          <w:sz w:val="16"/>
          <w:szCs w:val="16"/>
        </w:rPr>
        <w:t xml:space="preserve"> sobre la Asistencia Consular en el Marco de las </w:t>
      </w:r>
      <w:proofErr w:type="spellStart"/>
      <w:r w:rsidRPr="00206283">
        <w:rPr>
          <w:rFonts w:ascii="Verdana" w:hAnsi="Verdana"/>
          <w:i/>
          <w:sz w:val="16"/>
          <w:szCs w:val="16"/>
        </w:rPr>
        <w:t>Garantías</w:t>
      </w:r>
      <w:proofErr w:type="spellEnd"/>
      <w:r w:rsidRPr="00206283">
        <w:rPr>
          <w:rFonts w:ascii="Verdana" w:hAnsi="Verdana"/>
          <w:i/>
          <w:sz w:val="16"/>
          <w:szCs w:val="16"/>
        </w:rPr>
        <w:t xml:space="preserve"> del Debido Proceso Legal.</w:t>
      </w:r>
      <w:r w:rsidRPr="00206283">
        <w:rPr>
          <w:rFonts w:ascii="Verdana" w:hAnsi="Verdana"/>
          <w:sz w:val="16"/>
          <w:szCs w:val="16"/>
        </w:rPr>
        <w:t xml:space="preserve"> </w:t>
      </w:r>
      <w:proofErr w:type="spellStart"/>
      <w:r w:rsidRPr="00206283">
        <w:rPr>
          <w:rFonts w:ascii="Verdana" w:hAnsi="Verdana"/>
          <w:sz w:val="16"/>
          <w:szCs w:val="16"/>
        </w:rPr>
        <w:t>Opinión</w:t>
      </w:r>
      <w:proofErr w:type="spellEnd"/>
      <w:r w:rsidRPr="00206283">
        <w:rPr>
          <w:rFonts w:ascii="Verdana" w:hAnsi="Verdana"/>
          <w:sz w:val="16"/>
          <w:szCs w:val="16"/>
        </w:rPr>
        <w:t xml:space="preserve"> Consultiva OC-16/99 </w:t>
      </w:r>
      <w:r w:rsidRPr="001B7C9D">
        <w:rPr>
          <w:rFonts w:ascii="Verdana" w:hAnsi="Verdana"/>
          <w:sz w:val="16"/>
          <w:szCs w:val="16"/>
        </w:rPr>
        <w:t>de 1</w:t>
      </w:r>
      <w:r w:rsidRPr="006E4E07">
        <w:rPr>
          <w:rFonts w:ascii="Verdana" w:hAnsi="Verdana"/>
          <w:sz w:val="16"/>
          <w:szCs w:val="16"/>
        </w:rPr>
        <w:t xml:space="preserve"> de</w:t>
      </w:r>
      <w:r w:rsidRPr="00206283">
        <w:rPr>
          <w:rFonts w:ascii="Verdana" w:hAnsi="Verdana"/>
          <w:sz w:val="16"/>
          <w:szCs w:val="16"/>
        </w:rPr>
        <w:t xml:space="preserve"> octubre de 1999. Serie A No. 16, </w:t>
      </w:r>
      <w:proofErr w:type="spellStart"/>
      <w:r w:rsidRPr="00206283">
        <w:rPr>
          <w:rFonts w:ascii="Verdana" w:hAnsi="Verdana"/>
          <w:sz w:val="16"/>
          <w:szCs w:val="16"/>
        </w:rPr>
        <w:t>párr</w:t>
      </w:r>
      <w:proofErr w:type="spellEnd"/>
      <w:r w:rsidRPr="00206283">
        <w:rPr>
          <w:rFonts w:ascii="Verdana" w:hAnsi="Verdana"/>
          <w:sz w:val="16"/>
          <w:szCs w:val="16"/>
        </w:rPr>
        <w:t>. 114</w:t>
      </w:r>
      <w:r>
        <w:rPr>
          <w:rFonts w:ascii="Verdana" w:hAnsi="Verdana"/>
          <w:sz w:val="16"/>
          <w:szCs w:val="16"/>
        </w:rPr>
        <w:t>;</w:t>
      </w:r>
      <w:r w:rsidRPr="00206283">
        <w:rPr>
          <w:rFonts w:ascii="Verdana" w:hAnsi="Verdana"/>
          <w:sz w:val="16"/>
          <w:szCs w:val="16"/>
        </w:rPr>
        <w:t xml:space="preserve"> y </w:t>
      </w:r>
      <w:r w:rsidRPr="00206283">
        <w:rPr>
          <w:rFonts w:ascii="Verdana" w:eastAsia="Times New Roman" w:hAnsi="Verdana"/>
          <w:bCs/>
          <w:i/>
          <w:color w:val="000000"/>
          <w:sz w:val="16"/>
          <w:szCs w:val="16"/>
          <w:lang w:val="es-MX"/>
        </w:rPr>
        <w:t>Caso Trabajadores de la Hacienda Brasil Verde Vs. Brasil. Excepciones Preliminares, Fondo, Reparaciones y Costas.</w:t>
      </w:r>
      <w:r w:rsidRPr="00206283">
        <w:rPr>
          <w:rFonts w:ascii="Verdana" w:eastAsia="Times New Roman" w:hAnsi="Verdana"/>
          <w:bCs/>
          <w:color w:val="000000"/>
          <w:sz w:val="16"/>
          <w:szCs w:val="16"/>
          <w:lang w:val="es-MX"/>
        </w:rPr>
        <w:t xml:space="preserve"> Sentencia de 20 de octubre de 2016. Serie C No. 318, párr. 245.</w:t>
      </w:r>
      <w:r w:rsidRPr="004F7F0A">
        <w:rPr>
          <w:rFonts w:ascii="Verdana" w:eastAsia="Times New Roman" w:hAnsi="Verdana"/>
          <w:bCs/>
          <w:color w:val="000000"/>
          <w:sz w:val="16"/>
          <w:szCs w:val="16"/>
          <w:lang w:val="es-MX"/>
        </w:rPr>
        <w:t xml:space="preserve"> </w:t>
      </w:r>
    </w:p>
    <w:p w14:paraId="6E3300D9" w14:textId="77777777" w:rsidR="00D86616" w:rsidRPr="004F7F0A" w:rsidRDefault="00D86616" w:rsidP="00F83E8F">
      <w:pPr>
        <w:pStyle w:val="FootnoteText"/>
        <w:rPr>
          <w:lang w:val="es-ES_tradnl"/>
        </w:rPr>
      </w:pPr>
    </w:p>
  </w:footnote>
  <w:footnote w:id="286">
    <w:p w14:paraId="35B478F9" w14:textId="77777777" w:rsidR="00D86616" w:rsidRDefault="00D86616" w:rsidP="00F83E8F">
      <w:pPr>
        <w:jc w:val="both"/>
        <w:rPr>
          <w:rFonts w:ascii="Verdana" w:hAnsi="Verdana"/>
          <w:sz w:val="16"/>
          <w:szCs w:val="16"/>
        </w:rPr>
      </w:pPr>
      <w:r w:rsidRPr="00CF137F">
        <w:rPr>
          <w:rStyle w:val="FootnoteReference"/>
          <w:sz w:val="16"/>
          <w:szCs w:val="16"/>
        </w:rPr>
        <w:footnoteRef/>
      </w:r>
      <w:r w:rsidRPr="00CF137F">
        <w:rPr>
          <w:rFonts w:ascii="Verdana" w:hAnsi="Verdana"/>
          <w:sz w:val="16"/>
          <w:szCs w:val="16"/>
        </w:rPr>
        <w:tab/>
      </w:r>
      <w:r w:rsidRPr="00CF137F">
        <w:rPr>
          <w:rFonts w:ascii="Verdana" w:hAnsi="Verdana"/>
          <w:i/>
          <w:iCs/>
          <w:sz w:val="16"/>
          <w:szCs w:val="16"/>
        </w:rPr>
        <w:t>La Colegiación Obligatoria de Periodistas (arts. 13 y 29 Convención Americana sobre Derechos Humanos)</w:t>
      </w:r>
      <w:r>
        <w:rPr>
          <w:rFonts w:ascii="Verdana" w:hAnsi="Verdana"/>
          <w:i/>
          <w:iCs/>
          <w:sz w:val="16"/>
          <w:szCs w:val="16"/>
        </w:rPr>
        <w:t xml:space="preserve"> Opinión Consultiva OC- 5/85, </w:t>
      </w:r>
      <w:r>
        <w:rPr>
          <w:rFonts w:ascii="Verdana" w:hAnsi="Verdana"/>
          <w:iCs/>
          <w:sz w:val="16"/>
          <w:szCs w:val="16"/>
        </w:rPr>
        <w:t>del 13 de noviembre de 1985.</w:t>
      </w:r>
      <w:r w:rsidRPr="00151A7C">
        <w:rPr>
          <w:rFonts w:ascii="Verdana" w:hAnsi="Verdana"/>
          <w:iCs/>
          <w:sz w:val="16"/>
          <w:szCs w:val="16"/>
        </w:rPr>
        <w:t xml:space="preserve"> </w:t>
      </w:r>
      <w:r>
        <w:rPr>
          <w:rFonts w:ascii="Verdana" w:hAnsi="Verdana"/>
          <w:iCs/>
          <w:sz w:val="16"/>
          <w:szCs w:val="16"/>
        </w:rPr>
        <w:t>S</w:t>
      </w:r>
      <w:r w:rsidRPr="00BA6F15">
        <w:rPr>
          <w:rFonts w:ascii="Verdana" w:hAnsi="Verdana"/>
          <w:iCs/>
          <w:sz w:val="16"/>
          <w:szCs w:val="16"/>
        </w:rPr>
        <w:t>erie No. 5</w:t>
      </w:r>
      <w:r w:rsidRPr="00FE4104">
        <w:rPr>
          <w:rFonts w:ascii="Verdana" w:hAnsi="Verdana"/>
          <w:sz w:val="16"/>
          <w:szCs w:val="16"/>
        </w:rPr>
        <w:t>;</w:t>
      </w:r>
      <w:r w:rsidRPr="00CF137F">
        <w:rPr>
          <w:rFonts w:ascii="Verdana" w:hAnsi="Verdana"/>
          <w:sz w:val="16"/>
          <w:szCs w:val="16"/>
        </w:rPr>
        <w:t xml:space="preserve"> </w:t>
      </w:r>
      <w:r w:rsidRPr="00FE4104">
        <w:rPr>
          <w:rFonts w:ascii="Verdana" w:hAnsi="Verdana"/>
          <w:i/>
          <w:iCs/>
          <w:sz w:val="16"/>
          <w:szCs w:val="16"/>
        </w:rPr>
        <w:t>Caso “La Última Tentación de Cristo” (Olmedo Bustos y otros) Vs. Chile</w:t>
      </w:r>
      <w:r>
        <w:rPr>
          <w:rFonts w:ascii="Verdana" w:hAnsi="Verdana"/>
          <w:i/>
          <w:iCs/>
          <w:sz w:val="16"/>
          <w:szCs w:val="16"/>
        </w:rPr>
        <w:t xml:space="preserve">. Fondo, Reparaciones y Costas. </w:t>
      </w:r>
      <w:r w:rsidRPr="00BA6F15">
        <w:rPr>
          <w:rFonts w:ascii="Verdana" w:hAnsi="Verdana"/>
          <w:iCs/>
          <w:sz w:val="16"/>
          <w:szCs w:val="16"/>
        </w:rPr>
        <w:t>Sentencia de 5 de febrero de 2011. Serie C No. 73</w:t>
      </w:r>
      <w:r w:rsidRPr="00BA6F15">
        <w:rPr>
          <w:rFonts w:ascii="Verdana" w:hAnsi="Verdana"/>
          <w:i/>
          <w:sz w:val="16"/>
          <w:szCs w:val="16"/>
        </w:rPr>
        <w:t>;</w:t>
      </w:r>
      <w:r w:rsidRPr="00CF137F">
        <w:rPr>
          <w:rFonts w:ascii="Verdana" w:hAnsi="Verdana"/>
          <w:sz w:val="16"/>
          <w:szCs w:val="16"/>
        </w:rPr>
        <w:t xml:space="preserve"> </w:t>
      </w:r>
      <w:r w:rsidRPr="00CF137F">
        <w:rPr>
          <w:rFonts w:ascii="Verdana" w:eastAsia="Times New Roman" w:hAnsi="Verdana"/>
          <w:bCs/>
          <w:color w:val="000000"/>
          <w:sz w:val="16"/>
          <w:szCs w:val="16"/>
          <w:lang w:val="es-MX"/>
        </w:rPr>
        <w:t>C</w:t>
      </w:r>
      <w:r w:rsidRPr="00CF137F">
        <w:rPr>
          <w:rFonts w:ascii="Verdana" w:eastAsia="Times New Roman" w:hAnsi="Verdana"/>
          <w:bCs/>
          <w:i/>
          <w:color w:val="000000"/>
          <w:sz w:val="16"/>
          <w:szCs w:val="16"/>
          <w:lang w:val="es-MX"/>
        </w:rPr>
        <w:t xml:space="preserve">aso </w:t>
      </w:r>
      <w:proofErr w:type="spellStart"/>
      <w:r w:rsidRPr="00CF137F">
        <w:rPr>
          <w:rFonts w:ascii="Verdana" w:eastAsia="Times New Roman" w:hAnsi="Verdana"/>
          <w:bCs/>
          <w:i/>
          <w:color w:val="000000"/>
          <w:sz w:val="16"/>
          <w:szCs w:val="16"/>
          <w:lang w:val="es-MX"/>
        </w:rPr>
        <w:t>Ivcher</w:t>
      </w:r>
      <w:proofErr w:type="spellEnd"/>
      <w:r w:rsidRPr="00CF137F">
        <w:rPr>
          <w:rFonts w:ascii="Verdana" w:eastAsia="Times New Roman" w:hAnsi="Verdana"/>
          <w:bCs/>
          <w:i/>
          <w:color w:val="000000"/>
          <w:sz w:val="16"/>
          <w:szCs w:val="16"/>
          <w:lang w:val="es-MX"/>
        </w:rPr>
        <w:t xml:space="preserve"> </w:t>
      </w:r>
      <w:proofErr w:type="spellStart"/>
      <w:r w:rsidRPr="00CF137F">
        <w:rPr>
          <w:rFonts w:ascii="Verdana" w:eastAsia="Times New Roman" w:hAnsi="Verdana"/>
          <w:bCs/>
          <w:i/>
          <w:color w:val="000000"/>
          <w:sz w:val="16"/>
          <w:szCs w:val="16"/>
          <w:lang w:val="es-MX"/>
        </w:rPr>
        <w:t>Bronstein</w:t>
      </w:r>
      <w:proofErr w:type="spellEnd"/>
      <w:r w:rsidRPr="00CF137F">
        <w:rPr>
          <w:rFonts w:ascii="Verdana" w:eastAsia="Times New Roman" w:hAnsi="Verdana"/>
          <w:bCs/>
          <w:i/>
          <w:color w:val="000000"/>
          <w:sz w:val="16"/>
          <w:szCs w:val="16"/>
          <w:lang w:val="es-MX"/>
        </w:rPr>
        <w:t xml:space="preserve"> Vs. Perú.</w:t>
      </w:r>
      <w:r>
        <w:rPr>
          <w:rFonts w:ascii="Verdana" w:eastAsia="Times New Roman" w:hAnsi="Verdana"/>
          <w:bCs/>
          <w:i/>
          <w:color w:val="000000"/>
          <w:sz w:val="16"/>
          <w:szCs w:val="16"/>
          <w:lang w:val="es-MX"/>
        </w:rPr>
        <w:t xml:space="preserve"> </w:t>
      </w:r>
      <w:r w:rsidRPr="00CF137F">
        <w:rPr>
          <w:rFonts w:ascii="Verdana" w:eastAsia="Times New Roman" w:hAnsi="Verdana"/>
          <w:bCs/>
          <w:i/>
          <w:color w:val="000000"/>
          <w:sz w:val="16"/>
          <w:szCs w:val="16"/>
          <w:lang w:val="es-MX"/>
        </w:rPr>
        <w:t>Reparaciones y Costas</w:t>
      </w:r>
      <w:r w:rsidRPr="00CF137F">
        <w:rPr>
          <w:rFonts w:ascii="Verdana" w:eastAsia="Times New Roman" w:hAnsi="Verdana"/>
          <w:bCs/>
          <w:color w:val="000000"/>
          <w:sz w:val="16"/>
          <w:szCs w:val="16"/>
          <w:lang w:val="es-MX"/>
        </w:rPr>
        <w:t>. Sentencia de 6 de febrero de 2001. Serie C No. 74</w:t>
      </w:r>
      <w:r w:rsidRPr="00CF137F">
        <w:rPr>
          <w:rFonts w:ascii="Verdana" w:hAnsi="Verdana"/>
          <w:sz w:val="16"/>
          <w:szCs w:val="16"/>
        </w:rPr>
        <w:t xml:space="preserve">; </w:t>
      </w:r>
      <w:r w:rsidRPr="00CF137F">
        <w:rPr>
          <w:rFonts w:ascii="Verdana" w:hAnsi="Verdana"/>
          <w:i/>
          <w:iCs/>
          <w:sz w:val="16"/>
          <w:szCs w:val="16"/>
        </w:rPr>
        <w:t>Caso Herrera Ulloa Vs. Costa Rica</w:t>
      </w:r>
      <w:r w:rsidRPr="00CF137F">
        <w:rPr>
          <w:rFonts w:ascii="Verdana" w:hAnsi="Verdana"/>
          <w:sz w:val="16"/>
          <w:szCs w:val="16"/>
        </w:rPr>
        <w:t xml:space="preserve">. Excepciones </w:t>
      </w:r>
      <w:r>
        <w:rPr>
          <w:rFonts w:ascii="Verdana" w:hAnsi="Verdana"/>
          <w:sz w:val="16"/>
          <w:szCs w:val="16"/>
        </w:rPr>
        <w:t>P</w:t>
      </w:r>
      <w:r w:rsidRPr="00CF137F">
        <w:rPr>
          <w:rFonts w:ascii="Verdana" w:hAnsi="Verdana"/>
          <w:sz w:val="16"/>
          <w:szCs w:val="16"/>
        </w:rPr>
        <w:t xml:space="preserve">reliminares, </w:t>
      </w:r>
      <w:r>
        <w:rPr>
          <w:rFonts w:ascii="Verdana" w:hAnsi="Verdana"/>
          <w:sz w:val="16"/>
          <w:szCs w:val="16"/>
        </w:rPr>
        <w:t>F</w:t>
      </w:r>
      <w:r w:rsidRPr="00CF137F">
        <w:rPr>
          <w:rFonts w:ascii="Verdana" w:hAnsi="Verdana"/>
          <w:sz w:val="16"/>
          <w:szCs w:val="16"/>
        </w:rPr>
        <w:t xml:space="preserve">ondo, </w:t>
      </w:r>
      <w:r>
        <w:rPr>
          <w:rFonts w:ascii="Verdana" w:hAnsi="Verdana"/>
          <w:sz w:val="16"/>
          <w:szCs w:val="16"/>
        </w:rPr>
        <w:t>R</w:t>
      </w:r>
      <w:r w:rsidRPr="00CF137F">
        <w:rPr>
          <w:rFonts w:ascii="Verdana" w:hAnsi="Verdana"/>
          <w:sz w:val="16"/>
          <w:szCs w:val="16"/>
        </w:rPr>
        <w:t xml:space="preserve">eparaciones y </w:t>
      </w:r>
      <w:r>
        <w:rPr>
          <w:rFonts w:ascii="Verdana" w:hAnsi="Verdana"/>
          <w:sz w:val="16"/>
          <w:szCs w:val="16"/>
        </w:rPr>
        <w:t>C</w:t>
      </w:r>
      <w:r w:rsidRPr="00CF137F">
        <w:rPr>
          <w:rFonts w:ascii="Verdana" w:hAnsi="Verdana"/>
          <w:sz w:val="16"/>
          <w:szCs w:val="16"/>
        </w:rPr>
        <w:t xml:space="preserve">ostas. Sentencia de 2 de julio de 2004. Serie C No. 107; </w:t>
      </w:r>
      <w:r w:rsidRPr="00CF137F">
        <w:rPr>
          <w:rFonts w:ascii="Verdana" w:hAnsi="Verdana"/>
          <w:i/>
          <w:iCs/>
          <w:sz w:val="16"/>
          <w:szCs w:val="16"/>
        </w:rPr>
        <w:t xml:space="preserve">Caso Ricardo </w:t>
      </w:r>
      <w:proofErr w:type="spellStart"/>
      <w:r w:rsidRPr="00CF137F">
        <w:rPr>
          <w:rFonts w:ascii="Verdana" w:hAnsi="Verdana"/>
          <w:i/>
          <w:iCs/>
          <w:sz w:val="16"/>
          <w:szCs w:val="16"/>
        </w:rPr>
        <w:t>Canese</w:t>
      </w:r>
      <w:proofErr w:type="spellEnd"/>
      <w:r w:rsidRPr="00CF137F">
        <w:rPr>
          <w:rFonts w:ascii="Verdana" w:hAnsi="Verdana"/>
          <w:i/>
          <w:iCs/>
          <w:sz w:val="16"/>
          <w:szCs w:val="16"/>
        </w:rPr>
        <w:t xml:space="preserve"> Vs. Paraguay</w:t>
      </w:r>
      <w:r w:rsidRPr="00CF137F">
        <w:rPr>
          <w:rFonts w:ascii="Verdana" w:hAnsi="Verdana"/>
          <w:sz w:val="16"/>
          <w:szCs w:val="16"/>
        </w:rPr>
        <w:t xml:space="preserve">. </w:t>
      </w:r>
      <w:r w:rsidRPr="00BA6F15">
        <w:rPr>
          <w:rFonts w:ascii="Verdana" w:hAnsi="Verdana"/>
          <w:i/>
          <w:sz w:val="16"/>
          <w:szCs w:val="16"/>
        </w:rPr>
        <w:t>Fondo, Reparaciones y Costas</w:t>
      </w:r>
      <w:r w:rsidRPr="00CF137F">
        <w:rPr>
          <w:rFonts w:ascii="Verdana" w:hAnsi="Verdana"/>
          <w:sz w:val="16"/>
          <w:szCs w:val="16"/>
        </w:rPr>
        <w:t xml:space="preserve">. Sentencia de 31 de agosto de 2004. Serie C No. 111; </w:t>
      </w:r>
      <w:r w:rsidRPr="00CF137F">
        <w:rPr>
          <w:rFonts w:ascii="Verdana" w:hAnsi="Verdana"/>
          <w:i/>
          <w:iCs/>
          <w:sz w:val="16"/>
          <w:szCs w:val="16"/>
        </w:rPr>
        <w:t xml:space="preserve">Caso </w:t>
      </w:r>
      <w:proofErr w:type="spellStart"/>
      <w:r w:rsidRPr="00CF137F">
        <w:rPr>
          <w:rFonts w:ascii="Verdana" w:hAnsi="Verdana"/>
          <w:i/>
          <w:iCs/>
          <w:sz w:val="16"/>
          <w:szCs w:val="16"/>
        </w:rPr>
        <w:t>Palamara</w:t>
      </w:r>
      <w:proofErr w:type="spellEnd"/>
      <w:r w:rsidRPr="00CF137F">
        <w:rPr>
          <w:rFonts w:ascii="Verdana" w:hAnsi="Verdana"/>
          <w:i/>
          <w:iCs/>
          <w:sz w:val="16"/>
          <w:szCs w:val="16"/>
        </w:rPr>
        <w:t xml:space="preserve"> Iribarne Vs. Chile</w:t>
      </w:r>
      <w:r w:rsidRPr="00CF137F">
        <w:rPr>
          <w:rFonts w:ascii="Verdana" w:hAnsi="Verdana"/>
          <w:sz w:val="16"/>
          <w:szCs w:val="16"/>
        </w:rPr>
        <w:t xml:space="preserve">. </w:t>
      </w:r>
      <w:r w:rsidRPr="00BA6F15">
        <w:rPr>
          <w:rFonts w:ascii="Verdana" w:hAnsi="Verdana"/>
          <w:i/>
          <w:sz w:val="16"/>
          <w:szCs w:val="16"/>
        </w:rPr>
        <w:t>Fondo, Reparaciones y Costas.</w:t>
      </w:r>
      <w:r w:rsidRPr="00CF137F">
        <w:rPr>
          <w:rFonts w:ascii="Verdana" w:hAnsi="Verdana"/>
          <w:sz w:val="16"/>
          <w:szCs w:val="16"/>
        </w:rPr>
        <w:t xml:space="preserve"> Sentencia de 22 de noviembre de 2005. Serie C No. 135; </w:t>
      </w:r>
      <w:r w:rsidRPr="00FE4104">
        <w:rPr>
          <w:rFonts w:ascii="Verdana" w:hAnsi="Verdana"/>
          <w:i/>
          <w:iCs/>
          <w:sz w:val="16"/>
          <w:szCs w:val="16"/>
        </w:rPr>
        <w:t>Caso Claude Reyes y otros Vs Chile</w:t>
      </w:r>
      <w:r w:rsidRPr="00BA6F15">
        <w:rPr>
          <w:rFonts w:ascii="Verdana" w:hAnsi="Verdana"/>
          <w:i/>
          <w:sz w:val="16"/>
          <w:szCs w:val="16"/>
        </w:rPr>
        <w:t>. Fondo, Reparaciones y Costas</w:t>
      </w:r>
      <w:r w:rsidRPr="00CF137F">
        <w:rPr>
          <w:rFonts w:ascii="Verdana" w:hAnsi="Verdana"/>
          <w:sz w:val="16"/>
          <w:szCs w:val="16"/>
        </w:rPr>
        <w:t xml:space="preserve">. Sentencia de 19 de </w:t>
      </w:r>
    </w:p>
    <w:p w14:paraId="09F94F10" w14:textId="77777777" w:rsidR="00D86616" w:rsidRDefault="00D86616" w:rsidP="00F83E8F">
      <w:pPr>
        <w:jc w:val="both"/>
        <w:rPr>
          <w:rFonts w:ascii="Verdana" w:hAnsi="Verdana"/>
          <w:sz w:val="16"/>
          <w:szCs w:val="16"/>
        </w:rPr>
      </w:pPr>
    </w:p>
    <w:p w14:paraId="6791B0C3" w14:textId="77777777" w:rsidR="00D86616" w:rsidRPr="00DE4860" w:rsidRDefault="00D86616" w:rsidP="00F83E8F">
      <w:pPr>
        <w:jc w:val="both"/>
        <w:rPr>
          <w:rFonts w:ascii="Verdana" w:hAnsi="Verdana"/>
          <w:sz w:val="16"/>
          <w:szCs w:val="16"/>
        </w:rPr>
      </w:pPr>
      <w:r w:rsidRPr="00CF137F">
        <w:rPr>
          <w:rFonts w:ascii="Verdana" w:hAnsi="Verdana"/>
          <w:sz w:val="16"/>
          <w:szCs w:val="16"/>
        </w:rPr>
        <w:t xml:space="preserve">septiembre de 2006. Serie C No. 151; </w:t>
      </w:r>
      <w:r w:rsidRPr="00FE4104">
        <w:rPr>
          <w:rFonts w:ascii="Verdana" w:hAnsi="Verdana"/>
          <w:i/>
          <w:iCs/>
          <w:sz w:val="16"/>
          <w:szCs w:val="16"/>
        </w:rPr>
        <w:t xml:space="preserve">Caso </w:t>
      </w:r>
      <w:proofErr w:type="spellStart"/>
      <w:r w:rsidRPr="00FE4104">
        <w:rPr>
          <w:rFonts w:ascii="Verdana" w:hAnsi="Verdana"/>
          <w:i/>
          <w:iCs/>
          <w:sz w:val="16"/>
          <w:szCs w:val="16"/>
        </w:rPr>
        <w:t>Kimel</w:t>
      </w:r>
      <w:proofErr w:type="spellEnd"/>
      <w:r w:rsidRPr="00FE4104">
        <w:rPr>
          <w:rFonts w:ascii="Verdana" w:hAnsi="Verdana"/>
          <w:i/>
          <w:iCs/>
          <w:sz w:val="16"/>
          <w:szCs w:val="16"/>
        </w:rPr>
        <w:t xml:space="preserve"> Vs. Argentina</w:t>
      </w:r>
      <w:r w:rsidRPr="00BA6F15">
        <w:rPr>
          <w:rFonts w:ascii="Verdana" w:hAnsi="Verdana"/>
          <w:i/>
          <w:sz w:val="16"/>
          <w:szCs w:val="16"/>
        </w:rPr>
        <w:t xml:space="preserve">. Fondo, </w:t>
      </w:r>
      <w:r>
        <w:rPr>
          <w:rFonts w:ascii="Verdana" w:hAnsi="Verdana"/>
          <w:i/>
          <w:sz w:val="16"/>
          <w:szCs w:val="16"/>
        </w:rPr>
        <w:t>R</w:t>
      </w:r>
      <w:r w:rsidRPr="00BA6F15">
        <w:rPr>
          <w:rFonts w:ascii="Verdana" w:hAnsi="Verdana"/>
          <w:i/>
          <w:sz w:val="16"/>
          <w:szCs w:val="16"/>
        </w:rPr>
        <w:t xml:space="preserve">eparaciones y </w:t>
      </w:r>
      <w:r>
        <w:rPr>
          <w:rFonts w:ascii="Verdana" w:hAnsi="Verdana"/>
          <w:i/>
          <w:sz w:val="16"/>
          <w:szCs w:val="16"/>
        </w:rPr>
        <w:t>C</w:t>
      </w:r>
      <w:r w:rsidRPr="00BA6F15">
        <w:rPr>
          <w:rFonts w:ascii="Verdana" w:hAnsi="Verdana"/>
          <w:i/>
          <w:sz w:val="16"/>
          <w:szCs w:val="16"/>
        </w:rPr>
        <w:t>ostas</w:t>
      </w:r>
      <w:r w:rsidRPr="00CF137F">
        <w:rPr>
          <w:rFonts w:ascii="Verdana" w:hAnsi="Verdana"/>
          <w:sz w:val="16"/>
          <w:szCs w:val="16"/>
        </w:rPr>
        <w:t xml:space="preserve">. Sentencia de 2 de mayo de 2008. Serie C No. 177; </w:t>
      </w:r>
      <w:r w:rsidRPr="00CF137F">
        <w:rPr>
          <w:rFonts w:ascii="Verdana" w:hAnsi="Verdana"/>
          <w:i/>
          <w:iCs/>
          <w:sz w:val="16"/>
          <w:szCs w:val="16"/>
        </w:rPr>
        <w:t xml:space="preserve">Caso </w:t>
      </w:r>
      <w:proofErr w:type="spellStart"/>
      <w:r w:rsidRPr="00CF137F">
        <w:rPr>
          <w:rFonts w:ascii="Verdana" w:hAnsi="Verdana"/>
          <w:i/>
          <w:iCs/>
          <w:sz w:val="16"/>
          <w:szCs w:val="16"/>
        </w:rPr>
        <w:t>Tristán</w:t>
      </w:r>
      <w:proofErr w:type="spellEnd"/>
      <w:r w:rsidRPr="00CF137F">
        <w:rPr>
          <w:rFonts w:ascii="Verdana" w:hAnsi="Verdana"/>
          <w:i/>
          <w:iCs/>
          <w:sz w:val="16"/>
          <w:szCs w:val="16"/>
        </w:rPr>
        <w:t xml:space="preserve"> Donoso Vs. </w:t>
      </w:r>
      <w:proofErr w:type="spellStart"/>
      <w:r w:rsidRPr="00CF137F">
        <w:rPr>
          <w:rFonts w:ascii="Verdana" w:hAnsi="Verdana"/>
          <w:i/>
          <w:iCs/>
          <w:sz w:val="16"/>
          <w:szCs w:val="16"/>
        </w:rPr>
        <w:t>Panama</w:t>
      </w:r>
      <w:proofErr w:type="spellEnd"/>
      <w:r w:rsidRPr="00CF137F">
        <w:rPr>
          <w:rFonts w:ascii="Verdana" w:hAnsi="Verdana"/>
          <w:i/>
          <w:iCs/>
          <w:sz w:val="16"/>
          <w:szCs w:val="16"/>
        </w:rPr>
        <w:t>́</w:t>
      </w:r>
      <w:r w:rsidRPr="00CF137F">
        <w:rPr>
          <w:rFonts w:ascii="Verdana" w:hAnsi="Verdana"/>
          <w:sz w:val="16"/>
          <w:szCs w:val="16"/>
        </w:rPr>
        <w:t xml:space="preserve">. </w:t>
      </w:r>
      <w:proofErr w:type="spellStart"/>
      <w:r w:rsidRPr="00BA6F15">
        <w:rPr>
          <w:rFonts w:ascii="Verdana" w:hAnsi="Verdana"/>
          <w:i/>
          <w:sz w:val="16"/>
          <w:szCs w:val="16"/>
        </w:rPr>
        <w:t>Excepción</w:t>
      </w:r>
      <w:proofErr w:type="spellEnd"/>
      <w:r w:rsidRPr="00BA6F15">
        <w:rPr>
          <w:rFonts w:ascii="Verdana" w:hAnsi="Verdana"/>
          <w:i/>
          <w:sz w:val="16"/>
          <w:szCs w:val="16"/>
        </w:rPr>
        <w:t xml:space="preserve"> Preliminar, Fondo, Reparaciones y Costas</w:t>
      </w:r>
      <w:r w:rsidRPr="00CF137F">
        <w:rPr>
          <w:rFonts w:ascii="Verdana" w:hAnsi="Verdana"/>
          <w:sz w:val="16"/>
          <w:szCs w:val="16"/>
        </w:rPr>
        <w:t xml:space="preserve">. Sentencia de 27 de enero  de 2009. Serie C No. 193; </w:t>
      </w:r>
      <w:r w:rsidRPr="00CF137F">
        <w:rPr>
          <w:rFonts w:ascii="Verdana" w:hAnsi="Verdana"/>
          <w:i/>
          <w:iCs/>
          <w:sz w:val="16"/>
          <w:szCs w:val="16"/>
        </w:rPr>
        <w:t xml:space="preserve">Caso </w:t>
      </w:r>
      <w:proofErr w:type="spellStart"/>
      <w:r w:rsidRPr="00CF137F">
        <w:rPr>
          <w:rFonts w:ascii="Verdana" w:hAnsi="Verdana"/>
          <w:i/>
          <w:iCs/>
          <w:sz w:val="16"/>
          <w:szCs w:val="16"/>
        </w:rPr>
        <w:t>Ríos</w:t>
      </w:r>
      <w:proofErr w:type="spellEnd"/>
      <w:r w:rsidRPr="00CF137F">
        <w:rPr>
          <w:rFonts w:ascii="Verdana" w:hAnsi="Verdana"/>
          <w:i/>
          <w:iCs/>
          <w:sz w:val="16"/>
          <w:szCs w:val="16"/>
        </w:rPr>
        <w:t xml:space="preserve"> y otros Vs. Venezuela</w:t>
      </w:r>
      <w:r w:rsidRPr="00CF137F">
        <w:rPr>
          <w:rFonts w:ascii="Verdana" w:hAnsi="Verdana"/>
          <w:sz w:val="16"/>
          <w:szCs w:val="16"/>
        </w:rPr>
        <w:t xml:space="preserve">. </w:t>
      </w:r>
      <w:r w:rsidRPr="00BA6F15">
        <w:rPr>
          <w:rFonts w:ascii="Verdana" w:hAnsi="Verdana"/>
          <w:i/>
          <w:sz w:val="16"/>
          <w:szCs w:val="16"/>
        </w:rPr>
        <w:t xml:space="preserve">Excepciones Preliminares, Fondo, Reparaciones y Costas. </w:t>
      </w:r>
      <w:r w:rsidRPr="00CF137F">
        <w:rPr>
          <w:rFonts w:ascii="Verdana" w:hAnsi="Verdana"/>
          <w:sz w:val="16"/>
          <w:szCs w:val="16"/>
        </w:rPr>
        <w:t xml:space="preserve">Sentencia de 28 de enero de 2009. Serie C No. 194; </w:t>
      </w:r>
      <w:r w:rsidRPr="00CF137F">
        <w:rPr>
          <w:rFonts w:ascii="Verdana" w:hAnsi="Verdana"/>
          <w:i/>
          <w:iCs/>
          <w:sz w:val="16"/>
          <w:szCs w:val="16"/>
        </w:rPr>
        <w:t>Caso Perozo y otros Vs. Venezuela</w:t>
      </w:r>
      <w:r w:rsidRPr="00CF137F">
        <w:rPr>
          <w:rFonts w:ascii="Verdana" w:hAnsi="Verdana"/>
          <w:sz w:val="16"/>
          <w:szCs w:val="16"/>
        </w:rPr>
        <w:t xml:space="preserve">. </w:t>
      </w:r>
      <w:r w:rsidRPr="00BA6F15">
        <w:rPr>
          <w:rFonts w:ascii="Verdana" w:hAnsi="Verdana"/>
          <w:i/>
          <w:sz w:val="16"/>
          <w:szCs w:val="16"/>
        </w:rPr>
        <w:t>Excepciones Preliminares, Fondo, Reparaciones y Costas</w:t>
      </w:r>
      <w:r w:rsidRPr="00CF137F">
        <w:rPr>
          <w:rFonts w:ascii="Verdana" w:hAnsi="Verdana"/>
          <w:sz w:val="16"/>
          <w:szCs w:val="16"/>
        </w:rPr>
        <w:t xml:space="preserve">. Sentencia de 28 de enero de 2009. Serie C No. 195; </w:t>
      </w:r>
      <w:r w:rsidRPr="00CF137F">
        <w:rPr>
          <w:rFonts w:ascii="Verdana" w:hAnsi="Verdana"/>
          <w:i/>
          <w:iCs/>
          <w:sz w:val="16"/>
          <w:szCs w:val="16"/>
        </w:rPr>
        <w:t xml:space="preserve">Caso </w:t>
      </w:r>
      <w:proofErr w:type="spellStart"/>
      <w:r w:rsidRPr="00CF137F">
        <w:rPr>
          <w:rFonts w:ascii="Verdana" w:hAnsi="Verdana"/>
          <w:i/>
          <w:iCs/>
          <w:sz w:val="16"/>
          <w:szCs w:val="16"/>
        </w:rPr>
        <w:t>Usón</w:t>
      </w:r>
      <w:proofErr w:type="spellEnd"/>
      <w:r w:rsidRPr="00CF137F">
        <w:rPr>
          <w:rFonts w:ascii="Verdana" w:hAnsi="Verdana"/>
          <w:i/>
          <w:iCs/>
          <w:sz w:val="16"/>
          <w:szCs w:val="16"/>
        </w:rPr>
        <w:t xml:space="preserve"> </w:t>
      </w:r>
      <w:proofErr w:type="spellStart"/>
      <w:r w:rsidRPr="00CF137F">
        <w:rPr>
          <w:rFonts w:ascii="Verdana" w:hAnsi="Verdana"/>
          <w:i/>
          <w:iCs/>
          <w:sz w:val="16"/>
          <w:szCs w:val="16"/>
        </w:rPr>
        <w:t>Ramírez</w:t>
      </w:r>
      <w:proofErr w:type="spellEnd"/>
      <w:r w:rsidRPr="00CF137F">
        <w:rPr>
          <w:rFonts w:ascii="Verdana" w:hAnsi="Verdana"/>
          <w:i/>
          <w:iCs/>
          <w:sz w:val="16"/>
          <w:szCs w:val="16"/>
        </w:rPr>
        <w:t xml:space="preserve"> Vs. Venezuela</w:t>
      </w:r>
      <w:r w:rsidRPr="00CF137F">
        <w:rPr>
          <w:rFonts w:ascii="Verdana" w:hAnsi="Verdana"/>
          <w:sz w:val="16"/>
          <w:szCs w:val="16"/>
        </w:rPr>
        <w:t xml:space="preserve">. </w:t>
      </w:r>
      <w:r w:rsidRPr="00BA6F15">
        <w:rPr>
          <w:rFonts w:ascii="Verdana" w:hAnsi="Verdana"/>
          <w:i/>
          <w:sz w:val="16"/>
          <w:szCs w:val="16"/>
        </w:rPr>
        <w:t>Excepción Preliminar, Fondo, Reparaciones y Costas</w:t>
      </w:r>
      <w:r w:rsidRPr="00CF137F">
        <w:rPr>
          <w:rFonts w:ascii="Verdana" w:hAnsi="Verdana"/>
          <w:sz w:val="16"/>
          <w:szCs w:val="16"/>
        </w:rPr>
        <w:t xml:space="preserve">. Sentencia de 20 de noviembre de 2009. Serie C No. 207; </w:t>
      </w:r>
      <w:r w:rsidRPr="00CF137F">
        <w:rPr>
          <w:rFonts w:ascii="Verdana" w:hAnsi="Verdana"/>
          <w:i/>
          <w:iCs/>
          <w:sz w:val="16"/>
          <w:szCs w:val="16"/>
        </w:rPr>
        <w:t xml:space="preserve">Caso Gomes </w:t>
      </w:r>
      <w:proofErr w:type="spellStart"/>
      <w:r w:rsidRPr="00CF137F">
        <w:rPr>
          <w:rFonts w:ascii="Verdana" w:hAnsi="Verdana"/>
          <w:i/>
          <w:iCs/>
          <w:sz w:val="16"/>
          <w:szCs w:val="16"/>
        </w:rPr>
        <w:t>Lund</w:t>
      </w:r>
      <w:proofErr w:type="spellEnd"/>
      <w:r w:rsidRPr="00CF137F">
        <w:rPr>
          <w:rFonts w:ascii="Verdana" w:hAnsi="Verdana"/>
          <w:i/>
          <w:iCs/>
          <w:sz w:val="16"/>
          <w:szCs w:val="16"/>
        </w:rPr>
        <w:t xml:space="preserve"> y otros (</w:t>
      </w:r>
      <w:proofErr w:type="spellStart"/>
      <w:r w:rsidRPr="00CF137F">
        <w:rPr>
          <w:rFonts w:ascii="Verdana" w:hAnsi="Verdana"/>
          <w:i/>
          <w:iCs/>
          <w:sz w:val="16"/>
          <w:szCs w:val="16"/>
        </w:rPr>
        <w:t>Guerrilha</w:t>
      </w:r>
      <w:proofErr w:type="spellEnd"/>
      <w:r w:rsidRPr="00CF137F">
        <w:rPr>
          <w:rFonts w:ascii="Verdana" w:hAnsi="Verdana"/>
          <w:i/>
          <w:iCs/>
          <w:sz w:val="16"/>
          <w:szCs w:val="16"/>
        </w:rPr>
        <w:t xml:space="preserve"> do </w:t>
      </w:r>
      <w:proofErr w:type="spellStart"/>
      <w:r w:rsidRPr="00CF137F">
        <w:rPr>
          <w:rFonts w:ascii="Verdana" w:hAnsi="Verdana"/>
          <w:i/>
          <w:iCs/>
          <w:sz w:val="16"/>
          <w:szCs w:val="16"/>
        </w:rPr>
        <w:t>Araguaia</w:t>
      </w:r>
      <w:proofErr w:type="spellEnd"/>
      <w:r w:rsidRPr="00CF137F">
        <w:rPr>
          <w:rFonts w:ascii="Verdana" w:hAnsi="Verdana"/>
          <w:i/>
          <w:iCs/>
          <w:sz w:val="16"/>
          <w:szCs w:val="16"/>
        </w:rPr>
        <w:t>) Vs. Brasil</w:t>
      </w:r>
      <w:r w:rsidRPr="00CF137F">
        <w:rPr>
          <w:rFonts w:ascii="Verdana" w:hAnsi="Verdana"/>
          <w:sz w:val="16"/>
          <w:szCs w:val="16"/>
        </w:rPr>
        <w:t xml:space="preserve">. </w:t>
      </w:r>
      <w:r w:rsidRPr="00BA6F15">
        <w:rPr>
          <w:rFonts w:ascii="Verdana" w:hAnsi="Verdana"/>
          <w:i/>
          <w:sz w:val="16"/>
          <w:szCs w:val="16"/>
        </w:rPr>
        <w:t>Excepciones Preliminares, Fondo, Reparaciones y Costas.</w:t>
      </w:r>
      <w:r w:rsidRPr="00CF137F">
        <w:rPr>
          <w:rFonts w:ascii="Verdana" w:hAnsi="Verdana"/>
          <w:sz w:val="16"/>
          <w:szCs w:val="16"/>
        </w:rPr>
        <w:t xml:space="preserve"> Sentencia de 24 de noviembre de 2010. Serie C No. 219</w:t>
      </w:r>
      <w:r w:rsidRPr="00CF137F">
        <w:rPr>
          <w:rFonts w:ascii="Verdana" w:hAnsi="Verdana"/>
          <w:i/>
          <w:iCs/>
          <w:sz w:val="16"/>
          <w:szCs w:val="16"/>
        </w:rPr>
        <w:t xml:space="preserve">;  Caso </w:t>
      </w:r>
      <w:proofErr w:type="spellStart"/>
      <w:r w:rsidRPr="00CF137F">
        <w:rPr>
          <w:rFonts w:ascii="Verdana" w:hAnsi="Verdana"/>
          <w:i/>
          <w:iCs/>
          <w:sz w:val="16"/>
          <w:szCs w:val="16"/>
        </w:rPr>
        <w:t>Fontevecchia</w:t>
      </w:r>
      <w:proofErr w:type="spellEnd"/>
      <w:r w:rsidRPr="00CF137F">
        <w:rPr>
          <w:rFonts w:ascii="Verdana" w:hAnsi="Verdana"/>
          <w:i/>
          <w:iCs/>
          <w:sz w:val="16"/>
          <w:szCs w:val="16"/>
        </w:rPr>
        <w:t xml:space="preserve"> y </w:t>
      </w:r>
      <w:proofErr w:type="spellStart"/>
      <w:r w:rsidRPr="00CF137F">
        <w:rPr>
          <w:rFonts w:ascii="Verdana" w:hAnsi="Verdana"/>
          <w:i/>
          <w:iCs/>
          <w:sz w:val="16"/>
          <w:szCs w:val="16"/>
        </w:rPr>
        <w:t>D’Amico</w:t>
      </w:r>
      <w:proofErr w:type="spellEnd"/>
      <w:r w:rsidRPr="00CF137F">
        <w:rPr>
          <w:rFonts w:ascii="Verdana" w:hAnsi="Verdana"/>
          <w:i/>
          <w:iCs/>
          <w:sz w:val="16"/>
          <w:szCs w:val="16"/>
        </w:rPr>
        <w:t xml:space="preserve"> Vs. Argentina</w:t>
      </w:r>
      <w:r w:rsidRPr="00CF137F">
        <w:rPr>
          <w:rFonts w:ascii="Verdana" w:hAnsi="Verdana"/>
          <w:sz w:val="16"/>
          <w:szCs w:val="16"/>
        </w:rPr>
        <w:t xml:space="preserve">. </w:t>
      </w:r>
      <w:r w:rsidRPr="00BA6F15">
        <w:rPr>
          <w:rFonts w:ascii="Verdana" w:hAnsi="Verdana"/>
          <w:i/>
          <w:sz w:val="16"/>
          <w:szCs w:val="16"/>
        </w:rPr>
        <w:t xml:space="preserve">Fondo, Reparaciones y Costas. </w:t>
      </w:r>
      <w:r w:rsidRPr="00CF137F">
        <w:rPr>
          <w:rFonts w:ascii="Verdana" w:hAnsi="Verdana"/>
          <w:sz w:val="16"/>
          <w:szCs w:val="16"/>
        </w:rPr>
        <w:t xml:space="preserve">Sentencia de 29 de noviembre de 2011. Serie C No. 238; </w:t>
      </w:r>
      <w:r w:rsidRPr="00FE4104">
        <w:rPr>
          <w:rFonts w:ascii="Verdana" w:hAnsi="Verdana" w:cs="Verdana"/>
          <w:bCs/>
          <w:i/>
          <w:sz w:val="16"/>
          <w:szCs w:val="16"/>
          <w:lang w:val="es-ES"/>
        </w:rPr>
        <w:t xml:space="preserve">Caso </w:t>
      </w:r>
      <w:proofErr w:type="spellStart"/>
      <w:r w:rsidRPr="00FE4104">
        <w:rPr>
          <w:rFonts w:ascii="Verdana" w:hAnsi="Verdana" w:cs="Verdana"/>
          <w:bCs/>
          <w:i/>
          <w:sz w:val="16"/>
          <w:szCs w:val="16"/>
          <w:lang w:val="es-ES"/>
        </w:rPr>
        <w:t>Mémoli</w:t>
      </w:r>
      <w:proofErr w:type="spellEnd"/>
      <w:r w:rsidRPr="00FE4104">
        <w:rPr>
          <w:rFonts w:ascii="Verdana" w:hAnsi="Verdana" w:cs="Verdana"/>
          <w:bCs/>
          <w:i/>
          <w:sz w:val="16"/>
          <w:szCs w:val="16"/>
          <w:lang w:val="es-ES"/>
        </w:rPr>
        <w:t xml:space="preserve"> vs. Argentina. Excepciones </w:t>
      </w:r>
      <w:r w:rsidRPr="00151A7C">
        <w:rPr>
          <w:rFonts w:ascii="Verdana" w:hAnsi="Verdana" w:cs="Verdana"/>
          <w:bCs/>
          <w:i/>
          <w:sz w:val="16"/>
          <w:szCs w:val="16"/>
          <w:lang w:val="es-ES"/>
        </w:rPr>
        <w:t xml:space="preserve">Preliminares, Fondo, Reparaciones y </w:t>
      </w:r>
      <w:r w:rsidRPr="00805C3A">
        <w:rPr>
          <w:rFonts w:ascii="Verdana" w:hAnsi="Verdana" w:cs="Verdana"/>
          <w:bCs/>
          <w:i/>
          <w:sz w:val="16"/>
          <w:szCs w:val="16"/>
          <w:lang w:val="es-ES"/>
        </w:rPr>
        <w:t>C</w:t>
      </w:r>
      <w:r w:rsidRPr="00C84924">
        <w:rPr>
          <w:rFonts w:ascii="Verdana" w:hAnsi="Verdana" w:cs="Verdana"/>
          <w:bCs/>
          <w:i/>
          <w:sz w:val="16"/>
          <w:szCs w:val="16"/>
          <w:lang w:val="es-ES"/>
        </w:rPr>
        <w:t xml:space="preserve">ostas. </w:t>
      </w:r>
      <w:r w:rsidRPr="00CF137F">
        <w:rPr>
          <w:rFonts w:ascii="Verdana" w:hAnsi="Verdana" w:cs="Verdana"/>
          <w:bCs/>
          <w:sz w:val="16"/>
          <w:szCs w:val="16"/>
          <w:lang w:val="es-ES"/>
        </w:rPr>
        <w:t xml:space="preserve">Sentencia de 22 de agosto de 2013. Serie C No. 265; </w:t>
      </w:r>
      <w:r w:rsidRPr="00CF137F">
        <w:rPr>
          <w:rFonts w:ascii="Verdana" w:hAnsi="Verdana" w:cs="Verdana"/>
          <w:bCs/>
          <w:i/>
          <w:sz w:val="16"/>
          <w:szCs w:val="16"/>
          <w:lang w:val="es-ES"/>
        </w:rPr>
        <w:t xml:space="preserve">Caso </w:t>
      </w:r>
      <w:proofErr w:type="spellStart"/>
      <w:r w:rsidRPr="00CF137F">
        <w:rPr>
          <w:rFonts w:ascii="Verdana" w:hAnsi="Verdana" w:cs="Verdana"/>
          <w:bCs/>
          <w:i/>
          <w:sz w:val="16"/>
          <w:szCs w:val="16"/>
          <w:lang w:val="es-ES"/>
        </w:rPr>
        <w:t>Norín</w:t>
      </w:r>
      <w:proofErr w:type="spellEnd"/>
      <w:r w:rsidRPr="00CF137F">
        <w:rPr>
          <w:rFonts w:ascii="Verdana" w:hAnsi="Verdana" w:cs="Verdana"/>
          <w:bCs/>
          <w:i/>
          <w:sz w:val="16"/>
          <w:szCs w:val="16"/>
          <w:lang w:val="es-ES"/>
        </w:rPr>
        <w:t xml:space="preserve"> </w:t>
      </w:r>
      <w:proofErr w:type="spellStart"/>
      <w:r w:rsidRPr="00CF137F">
        <w:rPr>
          <w:rFonts w:ascii="Verdana" w:hAnsi="Verdana" w:cs="Verdana"/>
          <w:bCs/>
          <w:i/>
          <w:sz w:val="16"/>
          <w:szCs w:val="16"/>
          <w:lang w:val="es-ES"/>
        </w:rPr>
        <w:t>Catrimán</w:t>
      </w:r>
      <w:proofErr w:type="spellEnd"/>
      <w:r w:rsidRPr="00CF137F">
        <w:rPr>
          <w:rFonts w:ascii="Verdana" w:hAnsi="Verdana" w:cs="Verdana"/>
          <w:bCs/>
          <w:i/>
          <w:sz w:val="16"/>
          <w:szCs w:val="16"/>
          <w:lang w:val="es-ES"/>
        </w:rPr>
        <w:t xml:space="preserve"> y otros (Dirigentes, miembros y activista del Pueblo Indígena Mapuche) Vs. Chile. Fondo, </w:t>
      </w:r>
      <w:r>
        <w:rPr>
          <w:rFonts w:ascii="Verdana" w:hAnsi="Verdana" w:cs="Verdana"/>
          <w:bCs/>
          <w:i/>
          <w:sz w:val="16"/>
          <w:szCs w:val="16"/>
          <w:lang w:val="es-ES"/>
        </w:rPr>
        <w:t>R</w:t>
      </w:r>
      <w:r w:rsidRPr="00CF137F">
        <w:rPr>
          <w:rFonts w:ascii="Verdana" w:hAnsi="Verdana" w:cs="Verdana"/>
          <w:bCs/>
          <w:i/>
          <w:sz w:val="16"/>
          <w:szCs w:val="16"/>
          <w:lang w:val="es-ES"/>
        </w:rPr>
        <w:t xml:space="preserve">eparaciones y </w:t>
      </w:r>
      <w:r>
        <w:rPr>
          <w:rFonts w:ascii="Verdana" w:hAnsi="Verdana" w:cs="Verdana"/>
          <w:bCs/>
          <w:i/>
          <w:sz w:val="16"/>
          <w:szCs w:val="16"/>
          <w:lang w:val="es-ES"/>
        </w:rPr>
        <w:t>C</w:t>
      </w:r>
      <w:r w:rsidRPr="00CF137F">
        <w:rPr>
          <w:rFonts w:ascii="Verdana" w:hAnsi="Verdana" w:cs="Verdana"/>
          <w:bCs/>
          <w:i/>
          <w:sz w:val="16"/>
          <w:szCs w:val="16"/>
          <w:lang w:val="es-ES"/>
        </w:rPr>
        <w:t>ostas</w:t>
      </w:r>
      <w:r w:rsidRPr="00CF137F">
        <w:rPr>
          <w:rFonts w:ascii="Verdana" w:hAnsi="Verdana" w:cs="Verdana"/>
          <w:bCs/>
          <w:sz w:val="16"/>
          <w:szCs w:val="16"/>
          <w:lang w:val="es-ES"/>
        </w:rPr>
        <w:t xml:space="preserve">. Sentencia de 29 de mayo de 2014. Serie C No. 279; y </w:t>
      </w:r>
      <w:r w:rsidRPr="00CF137F">
        <w:rPr>
          <w:rFonts w:ascii="Verdana" w:eastAsia="Times New Roman" w:hAnsi="Verdana"/>
          <w:b/>
          <w:bCs/>
          <w:color w:val="000000"/>
          <w:sz w:val="16"/>
          <w:szCs w:val="16"/>
          <w:lang w:val="es-MX"/>
        </w:rPr>
        <w:t> </w:t>
      </w:r>
      <w:r w:rsidRPr="00CF137F">
        <w:rPr>
          <w:rFonts w:ascii="Verdana" w:eastAsia="Times New Roman" w:hAnsi="Verdana"/>
          <w:bCs/>
          <w:i/>
          <w:color w:val="000000"/>
          <w:sz w:val="16"/>
          <w:szCs w:val="16"/>
          <w:lang w:val="es-MX"/>
        </w:rPr>
        <w:t xml:space="preserve">Caso </w:t>
      </w:r>
      <w:proofErr w:type="spellStart"/>
      <w:r w:rsidRPr="00CF137F">
        <w:rPr>
          <w:rFonts w:ascii="Verdana" w:eastAsia="Times New Roman" w:hAnsi="Verdana"/>
          <w:bCs/>
          <w:i/>
          <w:color w:val="000000"/>
          <w:sz w:val="16"/>
          <w:szCs w:val="16"/>
          <w:lang w:val="es-MX"/>
        </w:rPr>
        <w:t>Granier</w:t>
      </w:r>
      <w:proofErr w:type="spellEnd"/>
      <w:r w:rsidRPr="00CF137F">
        <w:rPr>
          <w:rFonts w:ascii="Verdana" w:eastAsia="Times New Roman" w:hAnsi="Verdana"/>
          <w:bCs/>
          <w:i/>
          <w:color w:val="000000"/>
          <w:sz w:val="16"/>
          <w:szCs w:val="16"/>
          <w:lang w:val="es-MX"/>
        </w:rPr>
        <w:t xml:space="preserve"> y otros (Radio Caracas Televisión) Vs. Venezuela. Excepciones Preliminares, Fondo, Reparaciones y Costas</w:t>
      </w:r>
      <w:r w:rsidRPr="00CF137F">
        <w:rPr>
          <w:rFonts w:ascii="Verdana" w:eastAsia="Times New Roman" w:hAnsi="Verdana"/>
          <w:bCs/>
          <w:color w:val="000000"/>
          <w:sz w:val="16"/>
          <w:szCs w:val="16"/>
          <w:lang w:val="es-MX"/>
        </w:rPr>
        <w:t xml:space="preserve">. Sentencia de 22 de junio de 2015. Serie C No. 293. </w:t>
      </w:r>
    </w:p>
    <w:p w14:paraId="5B370D8B" w14:textId="77777777" w:rsidR="00D86616" w:rsidRPr="00CF137F" w:rsidRDefault="00D86616" w:rsidP="00F83E8F">
      <w:pPr>
        <w:jc w:val="both"/>
        <w:rPr>
          <w:rFonts w:ascii="Verdana" w:eastAsia="Times New Roman" w:hAnsi="Verdana"/>
          <w:sz w:val="16"/>
          <w:szCs w:val="16"/>
          <w:lang w:val="es-MX"/>
        </w:rPr>
      </w:pPr>
    </w:p>
  </w:footnote>
  <w:footnote w:id="287">
    <w:p w14:paraId="6A0F6C21" w14:textId="77777777" w:rsidR="00D86616" w:rsidRPr="00CF137F" w:rsidRDefault="00D86616" w:rsidP="00F83E8F">
      <w:pPr>
        <w:pStyle w:val="FootnoteText"/>
        <w:spacing w:after="120"/>
        <w:rPr>
          <w:lang w:val="es-ES_tradnl"/>
        </w:rPr>
      </w:pPr>
      <w:r w:rsidRPr="00CF137F">
        <w:rPr>
          <w:rStyle w:val="FootnoteReference"/>
        </w:rPr>
        <w:footnoteRef/>
      </w:r>
      <w:r w:rsidRPr="00BA6F15">
        <w:rPr>
          <w:lang w:val="es-MX"/>
        </w:rPr>
        <w:t xml:space="preserve"> </w:t>
      </w:r>
      <w:r w:rsidRPr="00CF137F">
        <w:rPr>
          <w:lang w:val="es-ES_tradnl"/>
        </w:rPr>
        <w:tab/>
      </w:r>
      <w:r w:rsidRPr="00BA6F15">
        <w:rPr>
          <w:i/>
          <w:lang w:val="es-MX"/>
        </w:rPr>
        <w:t>Cfr.</w:t>
      </w:r>
      <w:r w:rsidRPr="00BA6F15">
        <w:rPr>
          <w:lang w:val="es-MX"/>
        </w:rPr>
        <w:t xml:space="preserve"> </w:t>
      </w:r>
      <w:r w:rsidRPr="00BA6F15">
        <w:rPr>
          <w:i/>
          <w:lang w:val="es-MX"/>
        </w:rPr>
        <w:t xml:space="preserve">Caso Lagos del Campo Vs. Perú. </w:t>
      </w:r>
      <w:r w:rsidRPr="00C959C6">
        <w:rPr>
          <w:i/>
          <w:lang w:val="es-MX"/>
        </w:rPr>
        <w:t>Excepciones Preliminares, Fondo, Reparaciones y Costas</w:t>
      </w:r>
      <w:r w:rsidRPr="00C959C6">
        <w:rPr>
          <w:lang w:val="es-MX"/>
        </w:rPr>
        <w:t xml:space="preserve">. Sentencia de 31 de agosto de  2017, Serie C </w:t>
      </w:r>
      <w:r w:rsidRPr="001B7C9D">
        <w:rPr>
          <w:lang w:val="es-MX"/>
        </w:rPr>
        <w:t xml:space="preserve">No. </w:t>
      </w:r>
      <w:r w:rsidRPr="00BA6F15">
        <w:rPr>
          <w:lang w:val="es-MX"/>
        </w:rPr>
        <w:t>340</w:t>
      </w:r>
      <w:r w:rsidRPr="00C959C6">
        <w:rPr>
          <w:lang w:val="es-MX"/>
        </w:rPr>
        <w:t xml:space="preserve">, párrs. 153, 154 y 166, así como Punto Resolutivo 5. </w:t>
      </w:r>
      <w:r w:rsidRPr="00CF137F">
        <w:rPr>
          <w:lang w:val="es-ES_tradnl"/>
        </w:rPr>
        <w:t xml:space="preserve">Esta es la primera ocasión en sus </w:t>
      </w:r>
      <w:r>
        <w:rPr>
          <w:lang w:val="es-ES_tradnl"/>
        </w:rPr>
        <w:t xml:space="preserve">casi cuarenta años de existencia y </w:t>
      </w:r>
      <w:r w:rsidRPr="00CF137F">
        <w:rPr>
          <w:lang w:val="es-ES_tradnl"/>
        </w:rPr>
        <w:t>treinta años de jurisdicción contenciosa que la Corte I</w:t>
      </w:r>
      <w:r>
        <w:rPr>
          <w:lang w:val="es-ES_tradnl"/>
        </w:rPr>
        <w:t>DH</w:t>
      </w:r>
      <w:r w:rsidRPr="00CF137F">
        <w:rPr>
          <w:lang w:val="es-ES_tradnl"/>
        </w:rPr>
        <w:t xml:space="preserve"> declara la violación de dicho precepto convencional. </w:t>
      </w:r>
    </w:p>
  </w:footnote>
  <w:footnote w:id="288">
    <w:p w14:paraId="6CB417A3" w14:textId="77777777" w:rsidR="00D86616" w:rsidRPr="00C959C6" w:rsidRDefault="00D86616" w:rsidP="00F83E8F">
      <w:pPr>
        <w:pStyle w:val="FootnoteText"/>
        <w:rPr>
          <w:lang w:val="es-MX"/>
        </w:rPr>
      </w:pPr>
      <w:r w:rsidRPr="005B3CA3">
        <w:rPr>
          <w:rStyle w:val="FootnoteReference"/>
        </w:rPr>
        <w:footnoteRef/>
      </w:r>
      <w:r w:rsidRPr="00C959C6">
        <w:rPr>
          <w:lang w:val="es-MX"/>
        </w:rPr>
        <w:t xml:space="preserve"> </w:t>
      </w:r>
      <w:r w:rsidRPr="00C959C6">
        <w:rPr>
          <w:lang w:val="es-MX"/>
        </w:rPr>
        <w:tab/>
        <w:t xml:space="preserve">También se declararon violados, sobre la estabilidad laboral, los derechos contemplados en los artículos 8, 13 y 16. </w:t>
      </w:r>
      <w:r w:rsidRPr="00BA6F15">
        <w:rPr>
          <w:i/>
          <w:lang w:val="es-MX"/>
        </w:rPr>
        <w:t>Cfr.</w:t>
      </w:r>
      <w:r w:rsidRPr="00BA6F15">
        <w:rPr>
          <w:lang w:val="es-MX"/>
        </w:rPr>
        <w:t xml:space="preserve"> </w:t>
      </w:r>
      <w:r w:rsidRPr="00BA6F15">
        <w:rPr>
          <w:i/>
          <w:lang w:val="es-MX"/>
        </w:rPr>
        <w:t>Caso Lagos del Campo Vs. Perú</w:t>
      </w:r>
      <w:r>
        <w:rPr>
          <w:i/>
          <w:lang w:val="es-MX"/>
        </w:rPr>
        <w:t>,</w:t>
      </w:r>
      <w:r w:rsidRPr="00BA6F15">
        <w:rPr>
          <w:i/>
          <w:lang w:val="es-MX"/>
        </w:rPr>
        <w:t xml:space="preserve"> s</w:t>
      </w:r>
      <w:r>
        <w:rPr>
          <w:i/>
          <w:lang w:val="es-MX"/>
        </w:rPr>
        <w:t>upra</w:t>
      </w:r>
      <w:r w:rsidRPr="00C959C6">
        <w:rPr>
          <w:lang w:val="es-MX"/>
        </w:rPr>
        <w:t>, párr. 153.</w:t>
      </w:r>
    </w:p>
    <w:p w14:paraId="53FBA666" w14:textId="77777777" w:rsidR="00D86616" w:rsidRPr="005B3CA3" w:rsidRDefault="00D86616" w:rsidP="00F83E8F">
      <w:pPr>
        <w:pStyle w:val="FootnoteText"/>
        <w:rPr>
          <w:lang w:val="es-ES_tradnl"/>
        </w:rPr>
      </w:pPr>
    </w:p>
  </w:footnote>
  <w:footnote w:id="289">
    <w:p w14:paraId="782B7D54" w14:textId="77777777" w:rsidR="00D86616" w:rsidRPr="00BA6F15" w:rsidRDefault="00D86616" w:rsidP="00F83E8F">
      <w:pPr>
        <w:pStyle w:val="FootnoteText"/>
        <w:rPr>
          <w:lang w:val="es-MX"/>
        </w:rPr>
      </w:pPr>
      <w:r w:rsidRPr="005B3CA3">
        <w:rPr>
          <w:rStyle w:val="FootnoteReference"/>
        </w:rPr>
        <w:footnoteRef/>
      </w:r>
      <w:r w:rsidRPr="00C959C6">
        <w:rPr>
          <w:lang w:val="es-MX"/>
        </w:rPr>
        <w:t xml:space="preserve"> </w:t>
      </w:r>
      <w:r w:rsidRPr="00C959C6">
        <w:rPr>
          <w:lang w:val="es-MX"/>
        </w:rPr>
        <w:tab/>
      </w:r>
      <w:r>
        <w:rPr>
          <w:lang w:val="es-MX"/>
        </w:rPr>
        <w:t xml:space="preserve">En la Sentencia, en relación con el </w:t>
      </w:r>
      <w:r w:rsidRPr="00C959C6">
        <w:rPr>
          <w:lang w:val="es-MX"/>
        </w:rPr>
        <w:t xml:space="preserve">artículo 1.1, se considera que “ […] </w:t>
      </w:r>
      <w:r w:rsidRPr="00C959C6">
        <w:rPr>
          <w:color w:val="000000"/>
          <w:lang w:val="es-MX"/>
        </w:rPr>
        <w:t xml:space="preserve">frente al despido arbitrario por parte de la empresa […] </w:t>
      </w:r>
      <w:r w:rsidRPr="00C959C6">
        <w:rPr>
          <w:color w:val="000000"/>
          <w:u w:val="single"/>
          <w:lang w:val="es-MX"/>
        </w:rPr>
        <w:t>el Estado no adoptó las medidas adecuadas para proteger la vulneración del derecho al trabajo imputable a terceros</w:t>
      </w:r>
      <w:r w:rsidRPr="00C959C6">
        <w:rPr>
          <w:color w:val="000000"/>
          <w:lang w:val="es-MX"/>
        </w:rPr>
        <w:t>”.</w:t>
      </w:r>
      <w:r w:rsidRPr="00C959C6">
        <w:rPr>
          <w:i/>
          <w:lang w:val="es-MX"/>
        </w:rPr>
        <w:t xml:space="preserve"> </w:t>
      </w:r>
      <w:r w:rsidRPr="00BA6F15">
        <w:rPr>
          <w:i/>
          <w:lang w:val="es-MX"/>
        </w:rPr>
        <w:t>Cfr.</w:t>
      </w:r>
      <w:r w:rsidRPr="00BA6F15">
        <w:rPr>
          <w:lang w:val="es-MX"/>
        </w:rPr>
        <w:t xml:space="preserve"> </w:t>
      </w:r>
      <w:r w:rsidRPr="00BA6F15">
        <w:rPr>
          <w:i/>
          <w:lang w:val="es-MX"/>
        </w:rPr>
        <w:t>Caso Lagos del Campo Vs. Perú</w:t>
      </w:r>
      <w:r>
        <w:rPr>
          <w:i/>
          <w:lang w:val="es-MX"/>
        </w:rPr>
        <w:t>,</w:t>
      </w:r>
      <w:r w:rsidRPr="00BA6F15">
        <w:rPr>
          <w:i/>
          <w:lang w:val="es-MX"/>
        </w:rPr>
        <w:t xml:space="preserve"> </w:t>
      </w:r>
      <w:r w:rsidRPr="00A8032F">
        <w:rPr>
          <w:i/>
          <w:lang w:val="es-MX"/>
        </w:rPr>
        <w:t>s</w:t>
      </w:r>
      <w:r>
        <w:rPr>
          <w:i/>
          <w:lang w:val="es-MX"/>
        </w:rPr>
        <w:t>upra</w:t>
      </w:r>
      <w:r w:rsidRPr="00BA6F15">
        <w:rPr>
          <w:lang w:val="es-MX"/>
        </w:rPr>
        <w:t xml:space="preserve">, párr. 151. </w:t>
      </w:r>
    </w:p>
    <w:p w14:paraId="3773FD65" w14:textId="77777777" w:rsidR="00D86616" w:rsidRPr="00C91B8D" w:rsidRDefault="00D86616" w:rsidP="00F83E8F">
      <w:pPr>
        <w:pStyle w:val="FootnoteText"/>
        <w:rPr>
          <w:lang w:val="es-ES_tradnl"/>
        </w:rPr>
      </w:pPr>
    </w:p>
  </w:footnote>
  <w:footnote w:id="290">
    <w:p w14:paraId="77CCEB86" w14:textId="77777777" w:rsidR="00D86616" w:rsidRPr="00CF137F" w:rsidRDefault="00D86616" w:rsidP="00F83E8F">
      <w:pPr>
        <w:spacing w:after="120"/>
        <w:jc w:val="both"/>
        <w:rPr>
          <w:rFonts w:ascii="Verdana" w:hAnsi="Verdana"/>
          <w:sz w:val="16"/>
          <w:szCs w:val="16"/>
          <w:lang w:val="es-MX"/>
        </w:rPr>
      </w:pPr>
      <w:r w:rsidRPr="00CF137F">
        <w:rPr>
          <w:rStyle w:val="FootnoteReference"/>
          <w:sz w:val="16"/>
          <w:szCs w:val="16"/>
        </w:rPr>
        <w:footnoteRef/>
      </w:r>
      <w:r w:rsidRPr="00CF137F">
        <w:rPr>
          <w:rFonts w:ascii="Verdana" w:hAnsi="Verdana"/>
          <w:sz w:val="16"/>
          <w:szCs w:val="16"/>
        </w:rPr>
        <w:t xml:space="preserve"> </w:t>
      </w:r>
      <w:r w:rsidRPr="00CF137F">
        <w:rPr>
          <w:rFonts w:ascii="Verdana" w:hAnsi="Verdana"/>
          <w:sz w:val="16"/>
          <w:szCs w:val="16"/>
        </w:rPr>
        <w:tab/>
        <w:t xml:space="preserve"> </w:t>
      </w:r>
      <w:r w:rsidRPr="00CF137F">
        <w:rPr>
          <w:rFonts w:ascii="Verdana" w:hAnsi="Verdana"/>
          <w:i/>
          <w:sz w:val="16"/>
          <w:szCs w:val="16"/>
        </w:rPr>
        <w:t>Cfr.</w:t>
      </w:r>
      <w:r w:rsidRPr="00CF137F">
        <w:rPr>
          <w:rFonts w:ascii="Verdana" w:hAnsi="Verdana"/>
          <w:sz w:val="16"/>
          <w:szCs w:val="16"/>
        </w:rPr>
        <w:t xml:space="preserve"> </w:t>
      </w:r>
      <w:r w:rsidRPr="00CF137F">
        <w:rPr>
          <w:rFonts w:ascii="Verdana" w:hAnsi="Verdana"/>
          <w:i/>
          <w:sz w:val="16"/>
          <w:szCs w:val="16"/>
        </w:rPr>
        <w:t>Caso Lagos del Campo Vs. Perú</w:t>
      </w:r>
      <w:r>
        <w:rPr>
          <w:rFonts w:ascii="Verdana" w:hAnsi="Verdana"/>
          <w:i/>
          <w:sz w:val="16"/>
          <w:szCs w:val="16"/>
        </w:rPr>
        <w:t xml:space="preserve">, </w:t>
      </w:r>
      <w:r w:rsidRPr="00C84924">
        <w:rPr>
          <w:rFonts w:ascii="Verdana" w:hAnsi="Verdana"/>
          <w:i/>
          <w:sz w:val="16"/>
          <w:szCs w:val="16"/>
        </w:rPr>
        <w:t>supra</w:t>
      </w:r>
      <w:r>
        <w:rPr>
          <w:rFonts w:ascii="Verdana" w:hAnsi="Verdana"/>
          <w:sz w:val="16"/>
          <w:szCs w:val="16"/>
        </w:rPr>
        <w:t>, párr. 141 a 154</w:t>
      </w:r>
      <w:r w:rsidRPr="00CF137F">
        <w:rPr>
          <w:rFonts w:ascii="Verdana" w:hAnsi="Verdana"/>
          <w:sz w:val="16"/>
          <w:szCs w:val="16"/>
        </w:rPr>
        <w:t xml:space="preserve">.  </w:t>
      </w:r>
      <w:r>
        <w:rPr>
          <w:rFonts w:ascii="Verdana" w:hAnsi="Verdana"/>
          <w:sz w:val="16"/>
          <w:szCs w:val="16"/>
        </w:rPr>
        <w:t>Asimismo,</w:t>
      </w:r>
      <w:r w:rsidRPr="00CF137F">
        <w:rPr>
          <w:rFonts w:ascii="Verdana" w:hAnsi="Verdana"/>
          <w:sz w:val="16"/>
          <w:szCs w:val="16"/>
        </w:rPr>
        <w:t xml:space="preserve"> </w:t>
      </w:r>
      <w:r>
        <w:rPr>
          <w:rFonts w:ascii="Verdana" w:hAnsi="Verdana"/>
          <w:sz w:val="16"/>
          <w:szCs w:val="16"/>
        </w:rPr>
        <w:t>v</w:t>
      </w:r>
      <w:r w:rsidRPr="00CF137F">
        <w:rPr>
          <w:rFonts w:ascii="Verdana" w:hAnsi="Verdana"/>
          <w:sz w:val="16"/>
          <w:szCs w:val="16"/>
        </w:rPr>
        <w:t xml:space="preserve">éase </w:t>
      </w:r>
      <w:r>
        <w:rPr>
          <w:rFonts w:ascii="Verdana" w:hAnsi="Verdana"/>
          <w:sz w:val="16"/>
          <w:szCs w:val="16"/>
        </w:rPr>
        <w:t xml:space="preserve">mi </w:t>
      </w:r>
      <w:r w:rsidRPr="00CF137F">
        <w:rPr>
          <w:rFonts w:ascii="Verdana" w:hAnsi="Verdana"/>
          <w:sz w:val="16"/>
          <w:szCs w:val="16"/>
        </w:rPr>
        <w:t xml:space="preserve">Voto Concurrente relativo al </w:t>
      </w:r>
      <w:r w:rsidRPr="00CF137F">
        <w:rPr>
          <w:rFonts w:ascii="Verdana" w:eastAsia="Times New Roman" w:hAnsi="Verdana"/>
          <w:bCs/>
          <w:i/>
          <w:color w:val="000000"/>
          <w:sz w:val="16"/>
          <w:szCs w:val="16"/>
          <w:lang w:val="es-MX"/>
        </w:rPr>
        <w:t xml:space="preserve">Caso </w:t>
      </w:r>
      <w:proofErr w:type="spellStart"/>
      <w:r w:rsidRPr="00CF137F">
        <w:rPr>
          <w:rFonts w:ascii="Verdana" w:eastAsia="Times New Roman" w:hAnsi="Verdana"/>
          <w:bCs/>
          <w:i/>
          <w:color w:val="000000"/>
          <w:sz w:val="16"/>
          <w:szCs w:val="16"/>
          <w:lang w:val="es-MX"/>
        </w:rPr>
        <w:t>Yarce</w:t>
      </w:r>
      <w:proofErr w:type="spellEnd"/>
      <w:r w:rsidRPr="00CF137F">
        <w:rPr>
          <w:rFonts w:ascii="Verdana" w:eastAsia="Times New Roman" w:hAnsi="Verdana"/>
          <w:bCs/>
          <w:i/>
          <w:color w:val="000000"/>
          <w:sz w:val="16"/>
          <w:szCs w:val="16"/>
          <w:lang w:val="es-MX"/>
        </w:rPr>
        <w:t xml:space="preserve"> y otras Vs. Colombia. Excepción Preliminar, Fondo, Reparaciones y Costas</w:t>
      </w:r>
      <w:r w:rsidRPr="00CF137F">
        <w:rPr>
          <w:rFonts w:ascii="Verdana" w:eastAsia="Times New Roman" w:hAnsi="Verdana"/>
          <w:bCs/>
          <w:color w:val="000000"/>
          <w:sz w:val="16"/>
          <w:szCs w:val="16"/>
          <w:lang w:val="es-MX"/>
        </w:rPr>
        <w:t>. Sentencia de 22 de noviembre de 2016. Serie C No. 325</w:t>
      </w:r>
      <w:r w:rsidRPr="00CF137F">
        <w:rPr>
          <w:rFonts w:ascii="Verdana" w:eastAsia="Times New Roman" w:hAnsi="Verdana"/>
          <w:b/>
          <w:bCs/>
          <w:color w:val="000000"/>
          <w:sz w:val="16"/>
          <w:szCs w:val="16"/>
          <w:lang w:val="es-MX"/>
        </w:rPr>
        <w:t xml:space="preserve">, </w:t>
      </w:r>
      <w:proofErr w:type="spellStart"/>
      <w:r w:rsidRPr="00CF137F">
        <w:rPr>
          <w:rFonts w:ascii="Verdana" w:eastAsia="Times New Roman" w:hAnsi="Verdana"/>
          <w:bCs/>
          <w:color w:val="000000"/>
          <w:sz w:val="16"/>
          <w:szCs w:val="16"/>
          <w:lang w:val="es-MX"/>
        </w:rPr>
        <w:t>párrs</w:t>
      </w:r>
      <w:proofErr w:type="spellEnd"/>
      <w:r w:rsidRPr="00CF137F">
        <w:rPr>
          <w:rFonts w:ascii="Verdana" w:eastAsia="Times New Roman" w:hAnsi="Verdana"/>
          <w:bCs/>
          <w:color w:val="000000"/>
          <w:sz w:val="16"/>
          <w:szCs w:val="16"/>
          <w:lang w:val="es-MX"/>
        </w:rPr>
        <w:t xml:space="preserve">. 22 a 26.  </w:t>
      </w:r>
    </w:p>
  </w:footnote>
  <w:footnote w:id="291">
    <w:p w14:paraId="0B7459BC" w14:textId="77777777" w:rsidR="00D86616" w:rsidRPr="00CF137F" w:rsidRDefault="00D86616" w:rsidP="00F83E8F">
      <w:pPr>
        <w:spacing w:after="120"/>
        <w:jc w:val="both"/>
        <w:rPr>
          <w:rFonts w:ascii="Verdana" w:eastAsia="Times New Roman" w:hAnsi="Verdana"/>
          <w:bCs/>
          <w:color w:val="000000"/>
          <w:sz w:val="16"/>
          <w:szCs w:val="16"/>
          <w:lang w:val="es-MX"/>
        </w:rPr>
      </w:pPr>
      <w:r w:rsidRPr="00CF137F">
        <w:rPr>
          <w:rStyle w:val="FootnoteReference"/>
          <w:sz w:val="16"/>
          <w:szCs w:val="16"/>
        </w:rPr>
        <w:footnoteRef/>
      </w:r>
      <w:r w:rsidRPr="00CF137F">
        <w:rPr>
          <w:rFonts w:ascii="Verdana" w:hAnsi="Verdana"/>
          <w:sz w:val="16"/>
          <w:szCs w:val="16"/>
        </w:rPr>
        <w:t xml:space="preserve"> </w:t>
      </w:r>
      <w:r w:rsidRPr="00CF137F">
        <w:rPr>
          <w:rFonts w:ascii="Verdana" w:hAnsi="Verdana"/>
          <w:sz w:val="16"/>
          <w:szCs w:val="16"/>
        </w:rPr>
        <w:tab/>
      </w:r>
      <w:r w:rsidRPr="00CF137F">
        <w:rPr>
          <w:rFonts w:ascii="Verdana" w:hAnsi="Verdana"/>
          <w:i/>
          <w:sz w:val="16"/>
          <w:szCs w:val="16"/>
        </w:rPr>
        <w:t>Cfr.</w:t>
      </w:r>
      <w:r w:rsidRPr="00CF137F">
        <w:rPr>
          <w:rFonts w:ascii="Verdana" w:hAnsi="Verdana"/>
          <w:sz w:val="16"/>
          <w:szCs w:val="16"/>
        </w:rPr>
        <w:t xml:space="preserve"> Voto Concurrente al </w:t>
      </w:r>
      <w:r w:rsidRPr="00CF137F">
        <w:rPr>
          <w:rFonts w:ascii="Verdana" w:eastAsia="Times New Roman" w:hAnsi="Verdana"/>
          <w:bCs/>
          <w:i/>
          <w:color w:val="000000"/>
          <w:sz w:val="16"/>
          <w:szCs w:val="16"/>
          <w:lang w:val="es-MX"/>
        </w:rPr>
        <w:t>Caso Suárez Peralta Vs. Ecuador. Excepciones Preliminares, Fondo, Reparaciones y Costas</w:t>
      </w:r>
      <w:r w:rsidRPr="00CF137F">
        <w:rPr>
          <w:rFonts w:ascii="Verdana" w:eastAsia="Times New Roman" w:hAnsi="Verdana"/>
          <w:bCs/>
          <w:color w:val="000000"/>
          <w:sz w:val="16"/>
          <w:szCs w:val="16"/>
          <w:lang w:val="es-MX"/>
        </w:rPr>
        <w:t xml:space="preserve">. Sentencia de 21 de mayo de 2013. Serie C No. 261. </w:t>
      </w:r>
    </w:p>
  </w:footnote>
  <w:footnote w:id="292">
    <w:p w14:paraId="09A343E9" w14:textId="77777777" w:rsidR="00D86616" w:rsidRPr="00CF137F" w:rsidRDefault="00D86616" w:rsidP="00F83E8F">
      <w:pPr>
        <w:spacing w:after="120"/>
        <w:jc w:val="both"/>
        <w:rPr>
          <w:rFonts w:ascii="Verdana" w:eastAsia="Times New Roman" w:hAnsi="Verdana"/>
          <w:sz w:val="16"/>
          <w:szCs w:val="16"/>
          <w:lang w:val="es-MX"/>
        </w:rPr>
      </w:pPr>
      <w:r w:rsidRPr="00CF137F">
        <w:rPr>
          <w:rStyle w:val="FootnoteReference"/>
          <w:sz w:val="16"/>
          <w:szCs w:val="16"/>
        </w:rPr>
        <w:footnoteRef/>
      </w:r>
      <w:r w:rsidRPr="00CF137F">
        <w:rPr>
          <w:rFonts w:ascii="Verdana" w:hAnsi="Verdana"/>
          <w:sz w:val="16"/>
          <w:szCs w:val="16"/>
        </w:rPr>
        <w:t xml:space="preserve"> </w:t>
      </w:r>
      <w:r w:rsidRPr="00CF137F">
        <w:rPr>
          <w:rFonts w:ascii="Verdana" w:hAnsi="Verdana"/>
          <w:sz w:val="16"/>
          <w:szCs w:val="16"/>
        </w:rPr>
        <w:tab/>
      </w:r>
      <w:r w:rsidRPr="00CF137F">
        <w:rPr>
          <w:rFonts w:ascii="Verdana" w:hAnsi="Verdana"/>
          <w:i/>
          <w:sz w:val="16"/>
          <w:szCs w:val="16"/>
        </w:rPr>
        <w:t>Cfr</w:t>
      </w:r>
      <w:r>
        <w:rPr>
          <w:rFonts w:ascii="Verdana" w:hAnsi="Verdana"/>
          <w:sz w:val="16"/>
          <w:szCs w:val="16"/>
        </w:rPr>
        <w:t xml:space="preserve">. </w:t>
      </w:r>
      <w:r w:rsidRPr="00CF137F">
        <w:rPr>
          <w:rFonts w:ascii="Verdana" w:hAnsi="Verdana"/>
          <w:sz w:val="16"/>
          <w:szCs w:val="16"/>
        </w:rPr>
        <w:t>Votos concurrentes:</w:t>
      </w:r>
      <w:r w:rsidRPr="00CF137F">
        <w:rPr>
          <w:rFonts w:ascii="Verdana" w:eastAsia="Times New Roman" w:hAnsi="Verdana"/>
          <w:bCs/>
          <w:i/>
          <w:color w:val="000000"/>
          <w:sz w:val="16"/>
          <w:szCs w:val="16"/>
          <w:lang w:val="es-MX"/>
        </w:rPr>
        <w:t xml:space="preserve"> Caso Gonzales </w:t>
      </w:r>
      <w:proofErr w:type="spellStart"/>
      <w:r w:rsidRPr="00CF137F">
        <w:rPr>
          <w:rFonts w:ascii="Verdana" w:eastAsia="Times New Roman" w:hAnsi="Verdana"/>
          <w:bCs/>
          <w:i/>
          <w:color w:val="000000"/>
          <w:sz w:val="16"/>
          <w:szCs w:val="16"/>
          <w:lang w:val="es-MX"/>
        </w:rPr>
        <w:t>Lluy</w:t>
      </w:r>
      <w:proofErr w:type="spellEnd"/>
      <w:r w:rsidRPr="00CF137F">
        <w:rPr>
          <w:rFonts w:ascii="Verdana" w:eastAsia="Times New Roman" w:hAnsi="Verdana"/>
          <w:bCs/>
          <w:i/>
          <w:color w:val="000000"/>
          <w:sz w:val="16"/>
          <w:szCs w:val="16"/>
          <w:lang w:val="es-MX"/>
        </w:rPr>
        <w:t xml:space="preserve"> y otros Vs. Ecuador. Excepciones Preliminares, Fondo, Reparaciones y Costas</w:t>
      </w:r>
      <w:r w:rsidRPr="00CF137F">
        <w:rPr>
          <w:rFonts w:ascii="Verdana" w:eastAsia="Times New Roman" w:hAnsi="Verdana"/>
          <w:bCs/>
          <w:color w:val="000000"/>
          <w:sz w:val="16"/>
          <w:szCs w:val="16"/>
          <w:lang w:val="es-MX"/>
        </w:rPr>
        <w:t>. Sentencia de 1 de septiembre de 2015. Serie C No. 298 (con a</w:t>
      </w:r>
      <w:r>
        <w:rPr>
          <w:rFonts w:ascii="Verdana" w:eastAsia="Times New Roman" w:hAnsi="Verdana"/>
          <w:bCs/>
          <w:color w:val="000000"/>
          <w:sz w:val="16"/>
          <w:szCs w:val="16"/>
          <w:lang w:val="es-MX"/>
        </w:rPr>
        <w:t>d</w:t>
      </w:r>
      <w:r w:rsidRPr="00CF137F">
        <w:rPr>
          <w:rFonts w:ascii="Verdana" w:eastAsia="Times New Roman" w:hAnsi="Verdana"/>
          <w:bCs/>
          <w:color w:val="000000"/>
          <w:sz w:val="16"/>
          <w:szCs w:val="16"/>
          <w:lang w:val="es-MX"/>
        </w:rPr>
        <w:t xml:space="preserve">hesión de los jueces Roberto Caldas y Manuel Ventura Robles); </w:t>
      </w:r>
      <w:r w:rsidRPr="00CF137F">
        <w:rPr>
          <w:rFonts w:ascii="Verdana" w:eastAsia="Times New Roman" w:hAnsi="Verdana"/>
          <w:bCs/>
          <w:i/>
          <w:color w:val="000000"/>
          <w:sz w:val="16"/>
          <w:szCs w:val="16"/>
          <w:lang w:val="es-MX"/>
        </w:rPr>
        <w:t>Caso Chinchilla Sandoval y otros Vs. Guatemala. Excepción Preliminar, Fondo, Reparaciones y Costas.</w:t>
      </w:r>
      <w:r w:rsidRPr="00CF137F">
        <w:rPr>
          <w:rFonts w:ascii="Verdana" w:eastAsia="Times New Roman" w:hAnsi="Verdana"/>
          <w:bCs/>
          <w:color w:val="000000"/>
          <w:sz w:val="16"/>
          <w:szCs w:val="16"/>
          <w:lang w:val="es-MX"/>
        </w:rPr>
        <w:t xml:space="preserve"> Sentencia de 29 de febrero de 2016. Serie C No. 312; y </w:t>
      </w:r>
      <w:r w:rsidRPr="00CF137F">
        <w:rPr>
          <w:rFonts w:ascii="Verdana" w:eastAsia="Times New Roman" w:hAnsi="Verdana"/>
          <w:bCs/>
          <w:i/>
          <w:color w:val="000000"/>
          <w:sz w:val="16"/>
          <w:szCs w:val="16"/>
          <w:lang w:val="es-MX"/>
        </w:rPr>
        <w:t>Caso I.V. Vs. Bolivia. Excepciones Preliminares, Fondo, Reparaciones y Costas</w:t>
      </w:r>
      <w:r w:rsidRPr="00CF137F">
        <w:rPr>
          <w:rFonts w:ascii="Verdana" w:eastAsia="Times New Roman" w:hAnsi="Verdana"/>
          <w:bCs/>
          <w:color w:val="000000"/>
          <w:sz w:val="16"/>
          <w:szCs w:val="16"/>
          <w:lang w:val="es-MX"/>
        </w:rPr>
        <w:t>. Sentencia de 30 de noviembre de 2016. Serie C No. 329</w:t>
      </w:r>
      <w:r w:rsidRPr="00CF137F">
        <w:rPr>
          <w:rFonts w:ascii="Verdana" w:eastAsia="Times New Roman" w:hAnsi="Verdana"/>
          <w:b/>
          <w:bCs/>
          <w:color w:val="000000"/>
          <w:sz w:val="16"/>
          <w:szCs w:val="16"/>
          <w:lang w:val="es-MX"/>
        </w:rPr>
        <w:t>.</w:t>
      </w:r>
    </w:p>
  </w:footnote>
  <w:footnote w:id="293">
    <w:p w14:paraId="5771077A" w14:textId="77777777" w:rsidR="00D86616" w:rsidRPr="00CF137F" w:rsidRDefault="00D86616" w:rsidP="00F83E8F">
      <w:pPr>
        <w:spacing w:after="120"/>
        <w:jc w:val="both"/>
        <w:rPr>
          <w:rFonts w:ascii="Verdana" w:eastAsia="Times New Roman" w:hAnsi="Verdana"/>
          <w:sz w:val="16"/>
          <w:szCs w:val="16"/>
          <w:lang w:val="es-MX"/>
        </w:rPr>
      </w:pPr>
      <w:r w:rsidRPr="00CF137F">
        <w:rPr>
          <w:rStyle w:val="FootnoteReference"/>
          <w:sz w:val="16"/>
          <w:szCs w:val="16"/>
        </w:rPr>
        <w:footnoteRef/>
      </w:r>
      <w:r w:rsidRPr="00CF137F">
        <w:rPr>
          <w:rFonts w:ascii="Verdana" w:hAnsi="Verdana"/>
          <w:sz w:val="16"/>
          <w:szCs w:val="16"/>
        </w:rPr>
        <w:t xml:space="preserve"> </w:t>
      </w:r>
      <w:r w:rsidRPr="00CF137F">
        <w:rPr>
          <w:rFonts w:ascii="Verdana" w:hAnsi="Verdana"/>
          <w:sz w:val="16"/>
          <w:szCs w:val="16"/>
        </w:rPr>
        <w:tab/>
      </w:r>
      <w:r>
        <w:rPr>
          <w:rFonts w:ascii="Verdana" w:hAnsi="Verdana"/>
          <w:sz w:val="16"/>
          <w:szCs w:val="16"/>
        </w:rPr>
        <w:t>Véa</w:t>
      </w:r>
      <w:r w:rsidRPr="00CF137F">
        <w:rPr>
          <w:rFonts w:ascii="Verdana" w:hAnsi="Verdana"/>
          <w:sz w:val="16"/>
          <w:szCs w:val="16"/>
        </w:rPr>
        <w:t xml:space="preserve">se el voto concurrente que formulé conjuntamente con el Juez Roberto Caldas, en el </w:t>
      </w:r>
      <w:r w:rsidRPr="00CF137F">
        <w:rPr>
          <w:rFonts w:ascii="Verdana" w:eastAsia="Times New Roman" w:hAnsi="Verdana"/>
          <w:bCs/>
          <w:i/>
          <w:color w:val="000000"/>
          <w:sz w:val="16"/>
          <w:szCs w:val="16"/>
          <w:lang w:val="es-MX"/>
        </w:rPr>
        <w:t>Caso Canales Huapaya y otros Vs. Perú. Excepciones Preliminares, Fondo, Reparaciones y Costas</w:t>
      </w:r>
      <w:r w:rsidRPr="00CF137F">
        <w:rPr>
          <w:rFonts w:ascii="Verdana" w:eastAsia="Times New Roman" w:hAnsi="Verdana"/>
          <w:bCs/>
          <w:color w:val="000000"/>
          <w:sz w:val="16"/>
          <w:szCs w:val="16"/>
          <w:lang w:val="es-MX"/>
        </w:rPr>
        <w:t>. Sentencia de 24 de junio de 2015. Serie C No. 296.</w:t>
      </w:r>
    </w:p>
  </w:footnote>
  <w:footnote w:id="294">
    <w:p w14:paraId="2638B840" w14:textId="77777777" w:rsidR="00D86616" w:rsidRPr="00BA6F15" w:rsidRDefault="00D86616" w:rsidP="00F83E8F">
      <w:pPr>
        <w:spacing w:after="120"/>
        <w:jc w:val="both"/>
        <w:rPr>
          <w:rFonts w:ascii="Verdana" w:eastAsia="Times New Roman" w:hAnsi="Verdana"/>
          <w:bCs/>
          <w:i/>
          <w:color w:val="000000"/>
          <w:sz w:val="16"/>
          <w:szCs w:val="16"/>
          <w:lang w:val="es-MX"/>
        </w:rPr>
      </w:pPr>
      <w:r w:rsidRPr="00CF137F">
        <w:rPr>
          <w:rStyle w:val="FootnoteReference"/>
          <w:sz w:val="16"/>
          <w:szCs w:val="16"/>
        </w:rPr>
        <w:footnoteRef/>
      </w:r>
      <w:r w:rsidRPr="00CF137F">
        <w:rPr>
          <w:rFonts w:ascii="Verdana" w:hAnsi="Verdana"/>
          <w:sz w:val="16"/>
          <w:szCs w:val="16"/>
        </w:rPr>
        <w:t xml:space="preserve"> </w:t>
      </w:r>
      <w:r w:rsidRPr="00CF137F">
        <w:rPr>
          <w:rFonts w:ascii="Verdana" w:hAnsi="Verdana"/>
          <w:sz w:val="16"/>
          <w:szCs w:val="16"/>
        </w:rPr>
        <w:tab/>
        <w:t xml:space="preserve">Véase el voto concurrente relativo al </w:t>
      </w:r>
      <w:r w:rsidRPr="00CF137F">
        <w:rPr>
          <w:rFonts w:ascii="Verdana" w:eastAsia="Times New Roman" w:hAnsi="Verdana"/>
          <w:bCs/>
          <w:i/>
          <w:color w:val="000000"/>
          <w:sz w:val="16"/>
          <w:szCs w:val="16"/>
          <w:lang w:val="es-MX"/>
        </w:rPr>
        <w:t xml:space="preserve">Caso </w:t>
      </w:r>
      <w:proofErr w:type="spellStart"/>
      <w:r w:rsidRPr="00CF137F">
        <w:rPr>
          <w:rFonts w:ascii="Verdana" w:eastAsia="Times New Roman" w:hAnsi="Verdana"/>
          <w:bCs/>
          <w:i/>
          <w:color w:val="000000"/>
          <w:sz w:val="16"/>
          <w:szCs w:val="16"/>
          <w:lang w:val="es-MX"/>
        </w:rPr>
        <w:t>Yarce</w:t>
      </w:r>
      <w:proofErr w:type="spellEnd"/>
      <w:r w:rsidRPr="00CF137F">
        <w:rPr>
          <w:rFonts w:ascii="Verdana" w:eastAsia="Times New Roman" w:hAnsi="Verdana"/>
          <w:bCs/>
          <w:i/>
          <w:color w:val="000000"/>
          <w:sz w:val="16"/>
          <w:szCs w:val="16"/>
          <w:lang w:val="es-MX"/>
        </w:rPr>
        <w:t xml:space="preserve"> y otras Vs. Colombia</w:t>
      </w:r>
      <w:r>
        <w:rPr>
          <w:rFonts w:ascii="Verdana" w:eastAsia="Times New Roman" w:hAnsi="Verdana"/>
          <w:bCs/>
          <w:i/>
          <w:color w:val="000000"/>
          <w:sz w:val="16"/>
          <w:szCs w:val="16"/>
          <w:lang w:val="es-MX"/>
        </w:rPr>
        <w:t>,</w:t>
      </w:r>
      <w:r w:rsidRPr="00CF137F">
        <w:rPr>
          <w:rFonts w:ascii="Verdana" w:eastAsia="Times New Roman" w:hAnsi="Verdana"/>
          <w:bCs/>
          <w:i/>
          <w:color w:val="000000"/>
          <w:sz w:val="16"/>
          <w:szCs w:val="16"/>
          <w:lang w:val="es-MX"/>
        </w:rPr>
        <w:t xml:space="preserve"> </w:t>
      </w:r>
      <w:r>
        <w:rPr>
          <w:rFonts w:ascii="Verdana" w:eastAsia="Times New Roman" w:hAnsi="Verdana"/>
          <w:bCs/>
          <w:i/>
          <w:color w:val="000000"/>
          <w:sz w:val="16"/>
          <w:szCs w:val="16"/>
          <w:lang w:val="es-MX"/>
        </w:rPr>
        <w:t>supra</w:t>
      </w:r>
      <w:r w:rsidRPr="00305AB2">
        <w:rPr>
          <w:rFonts w:ascii="Verdana" w:eastAsia="Times New Roman" w:hAnsi="Verdana"/>
          <w:bCs/>
          <w:color w:val="000000"/>
          <w:sz w:val="16"/>
          <w:szCs w:val="16"/>
          <w:lang w:val="es-MX"/>
        </w:rPr>
        <w:t>.</w:t>
      </w:r>
    </w:p>
  </w:footnote>
  <w:footnote w:id="295">
    <w:p w14:paraId="69013C6D" w14:textId="77777777" w:rsidR="00D86616" w:rsidRPr="008F14B6" w:rsidRDefault="00D86616" w:rsidP="00F83E8F">
      <w:pPr>
        <w:pStyle w:val="FootnoteText"/>
        <w:spacing w:after="120"/>
        <w:rPr>
          <w:lang w:val="es-ES_tradnl"/>
        </w:rPr>
      </w:pPr>
      <w:r w:rsidRPr="00206283">
        <w:rPr>
          <w:rStyle w:val="FootnoteReference"/>
        </w:rPr>
        <w:footnoteRef/>
      </w:r>
      <w:r w:rsidRPr="00BA6F15">
        <w:rPr>
          <w:lang w:val="es-MX"/>
        </w:rPr>
        <w:t xml:space="preserve"> </w:t>
      </w:r>
      <w:r w:rsidRPr="00206283">
        <w:rPr>
          <w:lang w:val="es-ES_tradnl"/>
        </w:rPr>
        <w:tab/>
      </w:r>
      <w:r w:rsidRPr="00BA6F15">
        <w:rPr>
          <w:i/>
          <w:lang w:val="es-MX"/>
        </w:rPr>
        <w:t>Cfr.</w:t>
      </w:r>
      <w:r w:rsidRPr="00BA6F15">
        <w:rPr>
          <w:lang w:val="es-MX"/>
        </w:rPr>
        <w:t xml:space="preserve"> </w:t>
      </w:r>
      <w:r w:rsidRPr="00BA6F15">
        <w:rPr>
          <w:i/>
          <w:lang w:val="es-MX"/>
        </w:rPr>
        <w:t>Caso Lagos del Campo Vs. Perú</w:t>
      </w:r>
      <w:r>
        <w:rPr>
          <w:i/>
          <w:lang w:val="es-MX"/>
        </w:rPr>
        <w:t>,</w:t>
      </w:r>
      <w:r w:rsidRPr="00BA6F15">
        <w:rPr>
          <w:i/>
          <w:lang w:val="es-MX"/>
        </w:rPr>
        <w:t xml:space="preserve"> </w:t>
      </w:r>
      <w:r>
        <w:rPr>
          <w:i/>
          <w:lang w:val="es-MX"/>
        </w:rPr>
        <w:t>supra</w:t>
      </w:r>
      <w:r w:rsidRPr="00C959C6">
        <w:rPr>
          <w:lang w:val="es-MX"/>
        </w:rPr>
        <w:t xml:space="preserve">, párr. </w:t>
      </w:r>
      <w:r w:rsidRPr="00206283">
        <w:rPr>
          <w:lang w:val="es-ES_tradnl"/>
        </w:rPr>
        <w:t>151.</w:t>
      </w:r>
    </w:p>
  </w:footnote>
  <w:footnote w:id="296">
    <w:p w14:paraId="6F77FEE1" w14:textId="77777777" w:rsidR="00D86616" w:rsidRPr="00CF137F" w:rsidRDefault="00D86616" w:rsidP="00F83E8F">
      <w:pPr>
        <w:pStyle w:val="FootnoteText"/>
        <w:rPr>
          <w:lang w:val="es-ES_tradnl"/>
        </w:rPr>
      </w:pPr>
      <w:r w:rsidRPr="00CF137F">
        <w:rPr>
          <w:rStyle w:val="FootnoteReference"/>
        </w:rPr>
        <w:footnoteRef/>
      </w:r>
      <w:r w:rsidRPr="00C959C6">
        <w:rPr>
          <w:lang w:val="es-MX"/>
        </w:rPr>
        <w:t xml:space="preserve"> </w:t>
      </w:r>
      <w:r w:rsidRPr="00C959C6">
        <w:rPr>
          <w:lang w:val="es-MX"/>
        </w:rPr>
        <w:tab/>
        <w:t xml:space="preserve">En el párr. 143 de la Sentencia, la Corte IDH explicitó que: </w:t>
      </w:r>
      <w:r w:rsidRPr="00C959C6">
        <w:rPr>
          <w:color w:val="000000"/>
          <w:lang w:val="es-MX"/>
        </w:rPr>
        <w:t>“[e]l trabajo es un derecho y un deber social” y que ese debe prestarse con “</w:t>
      </w:r>
      <w:r w:rsidRPr="00CF137F">
        <w:rPr>
          <w:rFonts w:cs="Tahoma"/>
          <w:color w:val="000000"/>
          <w:lang w:val="es-ES"/>
        </w:rPr>
        <w:t>salarios justos, oportunidades de empleo y condiciones de trabajo aceptables para todos</w:t>
      </w:r>
      <w:r w:rsidRPr="00C959C6">
        <w:rPr>
          <w:color w:val="000000"/>
          <w:lang w:val="es-MX"/>
        </w:rPr>
        <w:t>”. Asimismo, señalan que el derecho de los trabajadores y trabajadoras a “asociarse libremente para la defensa y promoción de sus intereses”. Además, indican que los Estados deben “armonizar la legislación social” para la protección de tales derechos</w:t>
      </w:r>
      <w:r>
        <w:rPr>
          <w:color w:val="000000"/>
          <w:lang w:val="es-MX"/>
        </w:rPr>
        <w:t>”</w:t>
      </w:r>
      <w:r w:rsidRPr="00C959C6">
        <w:rPr>
          <w:color w:val="000000"/>
          <w:lang w:val="es-MX"/>
        </w:rPr>
        <w:t xml:space="preserve">. </w:t>
      </w:r>
      <w:r w:rsidRPr="00BA6F15">
        <w:rPr>
          <w:i/>
          <w:lang w:val="es-MX"/>
        </w:rPr>
        <w:t>Cfr.</w:t>
      </w:r>
      <w:r w:rsidRPr="00BA6F15">
        <w:rPr>
          <w:lang w:val="es-MX"/>
        </w:rPr>
        <w:t xml:space="preserve"> </w:t>
      </w:r>
      <w:r w:rsidRPr="00BA6F15">
        <w:rPr>
          <w:i/>
          <w:lang w:val="es-MX"/>
        </w:rPr>
        <w:t>Caso Lagos del Campo Vs. Perú</w:t>
      </w:r>
      <w:r>
        <w:rPr>
          <w:i/>
          <w:lang w:val="es-MX"/>
        </w:rPr>
        <w:t>, supra</w:t>
      </w:r>
      <w:r w:rsidRPr="00C959C6">
        <w:rPr>
          <w:lang w:val="es-MX"/>
        </w:rPr>
        <w:t xml:space="preserve">, párr. 143.  </w:t>
      </w:r>
    </w:p>
    <w:p w14:paraId="697A0368" w14:textId="77777777" w:rsidR="00D86616" w:rsidRPr="00CF137F" w:rsidRDefault="00D86616" w:rsidP="00F83E8F">
      <w:pPr>
        <w:pStyle w:val="FootnoteText"/>
        <w:rPr>
          <w:lang w:val="es-ES_tradnl"/>
        </w:rPr>
      </w:pPr>
    </w:p>
  </w:footnote>
  <w:footnote w:id="297">
    <w:p w14:paraId="08E1AEC9" w14:textId="77777777" w:rsidR="00D86616" w:rsidRPr="00CF137F" w:rsidRDefault="00D86616" w:rsidP="00F83E8F">
      <w:pPr>
        <w:pStyle w:val="FootnoteText"/>
        <w:rPr>
          <w:lang w:val="es-ES_tradnl"/>
        </w:rPr>
      </w:pPr>
      <w:r w:rsidRPr="00CF137F">
        <w:rPr>
          <w:rStyle w:val="FootnoteReference"/>
        </w:rPr>
        <w:footnoteRef/>
      </w:r>
      <w:r w:rsidRPr="00C959C6">
        <w:rPr>
          <w:lang w:val="es-MX"/>
        </w:rPr>
        <w:t xml:space="preserve"> </w:t>
      </w:r>
      <w:r w:rsidRPr="00CF137F">
        <w:rPr>
          <w:lang w:val="es-ES_tradnl"/>
        </w:rPr>
        <w:tab/>
        <w:t>La Declaración Americana de los</w:t>
      </w:r>
      <w:r>
        <w:rPr>
          <w:lang w:val="es-ES_tradnl"/>
        </w:rPr>
        <w:t xml:space="preserve"> Derechos y Deberes del Hombre de 1948, </w:t>
      </w:r>
      <w:r w:rsidRPr="00CF137F">
        <w:rPr>
          <w:lang w:val="es-ES_tradnl"/>
        </w:rPr>
        <w:t xml:space="preserve">expresamente señala en su artículo XIV:  </w:t>
      </w:r>
      <w:r w:rsidRPr="00C959C6">
        <w:rPr>
          <w:color w:val="000000"/>
          <w:lang w:val="es-MX"/>
        </w:rPr>
        <w:t>“</w:t>
      </w:r>
      <w:r w:rsidRPr="00C959C6">
        <w:rPr>
          <w:rFonts w:cs="Arial"/>
          <w:color w:val="000000"/>
          <w:lang w:val="es-MX"/>
        </w:rPr>
        <w:t>Toda persona tiene derecho al trabajo en condiciones dignas y a seguir libremente su vocación</w:t>
      </w:r>
      <w:r>
        <w:rPr>
          <w:rFonts w:cs="Arial"/>
          <w:color w:val="000000"/>
          <w:lang w:val="es-MX"/>
        </w:rPr>
        <w:t xml:space="preserve"> […]</w:t>
      </w:r>
      <w:r w:rsidRPr="00C959C6">
        <w:rPr>
          <w:rFonts w:cs="Arial"/>
          <w:color w:val="000000"/>
          <w:lang w:val="es-MX"/>
        </w:rPr>
        <w:t>”.</w:t>
      </w:r>
    </w:p>
    <w:p w14:paraId="54FB0E1D" w14:textId="77777777" w:rsidR="00D86616" w:rsidRPr="00CF137F" w:rsidRDefault="00D86616" w:rsidP="00F83E8F">
      <w:pPr>
        <w:pStyle w:val="FootnoteText"/>
        <w:rPr>
          <w:lang w:val="es-ES_tradnl"/>
        </w:rPr>
      </w:pPr>
    </w:p>
  </w:footnote>
  <w:footnote w:id="298">
    <w:p w14:paraId="3E59581C" w14:textId="77777777" w:rsidR="00D86616" w:rsidRPr="00BA6F15" w:rsidRDefault="00D86616" w:rsidP="00F83E8F">
      <w:pPr>
        <w:pStyle w:val="FootnoteText"/>
        <w:rPr>
          <w:lang w:val="es-MX"/>
        </w:rPr>
      </w:pPr>
      <w:r w:rsidRPr="005B3CA3">
        <w:rPr>
          <w:rStyle w:val="FootnoteReference"/>
        </w:rPr>
        <w:footnoteRef/>
      </w:r>
      <w:r w:rsidRPr="00C959C6">
        <w:rPr>
          <w:lang w:val="es-MX"/>
        </w:rPr>
        <w:t xml:space="preserve"> </w:t>
      </w:r>
      <w:r w:rsidRPr="005B3CA3">
        <w:rPr>
          <w:lang w:val="es-ES_tradnl"/>
        </w:rPr>
        <w:t xml:space="preserve"> </w:t>
      </w:r>
      <w:r w:rsidRPr="005B3CA3">
        <w:rPr>
          <w:lang w:val="es-ES_tradnl"/>
        </w:rPr>
        <w:tab/>
        <w:t>Particularmente, en la Sentencia, la Corte IDH también consideró que “</w:t>
      </w:r>
      <w:r w:rsidRPr="005B3CA3">
        <w:rPr>
          <w:lang w:val="es-CR"/>
        </w:rPr>
        <w:t xml:space="preserve">[…], la Asamblea General de las Naciones Unidas adoptó la Agenda 2030, la cual cuenta con 17 Objetivos de Desarrollo Sostenible y 169 metas en favor de las personas, el planeta y la prosperidad. En particular, el objetivo 8 promueve el crecimiento económico sostenido, inclusivo y sostenible, el empleo pleno y productivo y el trabajo decente para todos. Las metas 8.5 y 8.8 están enfocados en proteger los derechos de los trabajadores y promover un entorno de trabajo seguro”. </w:t>
      </w:r>
      <w:r w:rsidRPr="00BA6F15">
        <w:rPr>
          <w:i/>
          <w:lang w:val="es-MX"/>
        </w:rPr>
        <w:t>Caso Lagos del Campo Vs. Perú</w:t>
      </w:r>
      <w:r>
        <w:rPr>
          <w:i/>
          <w:lang w:val="es-MX"/>
        </w:rPr>
        <w:t>,</w:t>
      </w:r>
      <w:r w:rsidRPr="00BA6F15">
        <w:rPr>
          <w:i/>
          <w:lang w:val="es-MX"/>
        </w:rPr>
        <w:t xml:space="preserve"> supra</w:t>
      </w:r>
      <w:r w:rsidRPr="00BA6F15">
        <w:rPr>
          <w:lang w:val="es-MX"/>
        </w:rPr>
        <w:t xml:space="preserve">, nota 216. </w:t>
      </w:r>
    </w:p>
  </w:footnote>
  <w:footnote w:id="299">
    <w:p w14:paraId="04960164" w14:textId="77777777" w:rsidR="00D86616" w:rsidRPr="00C959C6" w:rsidRDefault="00D86616" w:rsidP="00F83E8F">
      <w:pPr>
        <w:pStyle w:val="FootnoteText"/>
        <w:spacing w:after="120"/>
        <w:rPr>
          <w:lang w:val="es-MX"/>
        </w:rPr>
      </w:pPr>
      <w:r w:rsidRPr="00CF137F">
        <w:rPr>
          <w:rStyle w:val="FootnoteReference"/>
        </w:rPr>
        <w:footnoteRef/>
      </w:r>
      <w:r w:rsidRPr="00BA6F15">
        <w:rPr>
          <w:lang w:val="es-MX"/>
        </w:rPr>
        <w:t xml:space="preserve"> </w:t>
      </w:r>
      <w:r w:rsidRPr="00BA6F15">
        <w:rPr>
          <w:lang w:val="es-MX"/>
        </w:rPr>
        <w:tab/>
      </w:r>
      <w:r w:rsidRPr="00BA6F15">
        <w:rPr>
          <w:i/>
          <w:lang w:val="es-MX"/>
        </w:rPr>
        <w:t>Cfr.</w:t>
      </w:r>
      <w:r w:rsidRPr="00BA6F15">
        <w:rPr>
          <w:lang w:val="es-MX"/>
        </w:rPr>
        <w:t xml:space="preserve"> </w:t>
      </w:r>
      <w:r w:rsidRPr="00BA6F15">
        <w:rPr>
          <w:i/>
          <w:lang w:val="es-MX"/>
        </w:rPr>
        <w:t>Caso Lagos del Campo Vs. Perú</w:t>
      </w:r>
      <w:r>
        <w:rPr>
          <w:i/>
          <w:lang w:val="es-MX"/>
        </w:rPr>
        <w:t>,</w:t>
      </w:r>
      <w:r w:rsidRPr="00BA6F15">
        <w:rPr>
          <w:i/>
          <w:lang w:val="es-MX"/>
        </w:rPr>
        <w:t xml:space="preserve"> </w:t>
      </w:r>
      <w:r>
        <w:rPr>
          <w:i/>
          <w:lang w:val="es-MX"/>
        </w:rPr>
        <w:t>supra</w:t>
      </w:r>
      <w:r w:rsidRPr="00C959C6">
        <w:rPr>
          <w:lang w:val="es-MX"/>
        </w:rPr>
        <w:t xml:space="preserve">, párrs. 133 a 154. </w:t>
      </w:r>
    </w:p>
  </w:footnote>
  <w:footnote w:id="300">
    <w:p w14:paraId="09C01D4B" w14:textId="77777777" w:rsidR="00D86616" w:rsidRPr="00CF137F" w:rsidRDefault="00D86616" w:rsidP="00F83E8F">
      <w:pPr>
        <w:pStyle w:val="FootnoteText"/>
        <w:spacing w:after="120"/>
        <w:rPr>
          <w:lang w:val="es-ES_tradnl"/>
        </w:rPr>
      </w:pPr>
      <w:r w:rsidRPr="00CF137F">
        <w:rPr>
          <w:rStyle w:val="FootnoteReference"/>
        </w:rPr>
        <w:footnoteRef/>
      </w:r>
      <w:r w:rsidRPr="00C959C6">
        <w:rPr>
          <w:lang w:val="es-MX"/>
        </w:rPr>
        <w:t xml:space="preserve"> </w:t>
      </w:r>
      <w:r w:rsidRPr="00C959C6">
        <w:rPr>
          <w:lang w:val="es-MX"/>
        </w:rPr>
        <w:tab/>
      </w:r>
      <w:r w:rsidRPr="00C959C6">
        <w:rPr>
          <w:i/>
          <w:lang w:val="es-MX"/>
        </w:rPr>
        <w:t>Cfr.</w:t>
      </w:r>
      <w:r w:rsidRPr="00C959C6">
        <w:rPr>
          <w:lang w:val="es-MX"/>
        </w:rPr>
        <w:t xml:space="preserve"> </w:t>
      </w:r>
      <w:r w:rsidRPr="00C959C6">
        <w:rPr>
          <w:i/>
          <w:lang w:val="es-MX"/>
        </w:rPr>
        <w:t xml:space="preserve">Caso Lagos del Campo Vs. </w:t>
      </w:r>
      <w:r w:rsidRPr="00BA6F15">
        <w:rPr>
          <w:i/>
          <w:lang w:val="es-CR"/>
        </w:rPr>
        <w:t>Perú, supra</w:t>
      </w:r>
      <w:r w:rsidRPr="00C959C6">
        <w:rPr>
          <w:lang w:val="es-MX"/>
        </w:rPr>
        <w:t xml:space="preserve">, párrs. 155 a 163. </w:t>
      </w:r>
    </w:p>
  </w:footnote>
  <w:footnote w:id="301">
    <w:p w14:paraId="2A30700F" w14:textId="77777777" w:rsidR="00D86616" w:rsidRPr="00CF137F" w:rsidRDefault="00D86616" w:rsidP="00F83E8F">
      <w:pPr>
        <w:jc w:val="both"/>
        <w:rPr>
          <w:rFonts w:ascii="Verdana" w:hAnsi="Verdana" w:cs="Tahoma"/>
          <w:color w:val="000000"/>
          <w:sz w:val="16"/>
          <w:szCs w:val="16"/>
          <w:lang w:val="es-MX"/>
        </w:rPr>
      </w:pPr>
      <w:r w:rsidRPr="00CF137F">
        <w:rPr>
          <w:rStyle w:val="FootnoteReference"/>
          <w:sz w:val="16"/>
          <w:szCs w:val="16"/>
        </w:rPr>
        <w:footnoteRef/>
      </w:r>
      <w:r w:rsidRPr="00CF137F">
        <w:rPr>
          <w:rFonts w:ascii="Verdana" w:hAnsi="Verdana"/>
          <w:sz w:val="16"/>
          <w:szCs w:val="16"/>
        </w:rPr>
        <w:t xml:space="preserve"> </w:t>
      </w:r>
      <w:r w:rsidRPr="00CF137F">
        <w:rPr>
          <w:rFonts w:ascii="Verdana" w:hAnsi="Verdana"/>
          <w:sz w:val="16"/>
          <w:szCs w:val="16"/>
        </w:rPr>
        <w:tab/>
      </w:r>
      <w:r w:rsidRPr="00CF137F">
        <w:rPr>
          <w:rFonts w:ascii="Verdana" w:eastAsia="Times New Roman" w:hAnsi="Verdana" w:cs="Tahoma"/>
          <w:bCs/>
          <w:color w:val="000000"/>
          <w:sz w:val="16"/>
          <w:szCs w:val="16"/>
          <w:lang w:val="es-ES"/>
        </w:rPr>
        <w:t>Artículo 19. Medios de Protección […]</w:t>
      </w:r>
      <w:r w:rsidRPr="00CF137F">
        <w:rPr>
          <w:rFonts w:ascii="Verdana" w:eastAsia="Times New Roman" w:hAnsi="Verdana" w:cs="Tahoma"/>
          <w:color w:val="000000"/>
          <w:sz w:val="16"/>
          <w:szCs w:val="16"/>
          <w:lang w:val="es-MX"/>
        </w:rPr>
        <w:t>6. En el caso de que los derechos establecidos en el párrafo a) del artículo 8 y en el artículo 13 fuesen violados por una acción imputable directamente a un Estado parte del presente Protocolo, tal situación podría dar lugar, mediante la participación de la Comisión Interamericana de Derechos Humanos, y cuando proceda de la Corte Interamericana de Derechos Humanos, a la aplicación del sistema de peticiones individuales regulado por los artículos 44 a 51 y 61 a 69 de la Convención Americana sobre Derechos Humanos.</w:t>
      </w:r>
    </w:p>
    <w:p w14:paraId="1F47B090" w14:textId="77777777" w:rsidR="00D86616" w:rsidRPr="00CF137F" w:rsidRDefault="00D86616" w:rsidP="00F83E8F">
      <w:pPr>
        <w:jc w:val="both"/>
        <w:rPr>
          <w:rFonts w:ascii="Verdana" w:hAnsi="Verdana"/>
          <w:sz w:val="16"/>
          <w:szCs w:val="16"/>
          <w:lang w:val="es-MX"/>
        </w:rPr>
      </w:pPr>
    </w:p>
  </w:footnote>
  <w:footnote w:id="302">
    <w:p w14:paraId="1C4D583C" w14:textId="77777777" w:rsidR="00D86616" w:rsidRPr="00CF137F" w:rsidRDefault="00D86616" w:rsidP="00F83E8F">
      <w:pPr>
        <w:pStyle w:val="FootnoteText"/>
        <w:spacing w:after="120"/>
        <w:rPr>
          <w:lang w:val="es-ES_tradnl"/>
        </w:rPr>
      </w:pPr>
      <w:r w:rsidRPr="00CF137F">
        <w:rPr>
          <w:rStyle w:val="FootnoteReference"/>
        </w:rPr>
        <w:footnoteRef/>
      </w:r>
      <w:r w:rsidRPr="00C959C6">
        <w:rPr>
          <w:vertAlign w:val="superscript"/>
          <w:lang w:val="es-MX"/>
        </w:rPr>
        <w:t xml:space="preserve"> </w:t>
      </w:r>
      <w:r w:rsidRPr="00CF137F">
        <w:rPr>
          <w:lang w:val="es-ES_tradnl"/>
        </w:rPr>
        <w:tab/>
      </w:r>
      <w:r w:rsidRPr="00C959C6">
        <w:rPr>
          <w:i/>
          <w:lang w:val="es-MX"/>
        </w:rPr>
        <w:t>Cfr.</w:t>
      </w:r>
      <w:r w:rsidRPr="00C959C6">
        <w:rPr>
          <w:lang w:val="es-MX"/>
        </w:rPr>
        <w:t xml:space="preserve"> </w:t>
      </w:r>
      <w:r w:rsidRPr="00C959C6">
        <w:rPr>
          <w:i/>
          <w:lang w:val="es-MX"/>
        </w:rPr>
        <w:t xml:space="preserve">Caso Lagos del Campo Vs. </w:t>
      </w:r>
      <w:r w:rsidRPr="00BA6F15">
        <w:rPr>
          <w:i/>
          <w:lang w:val="es-CR"/>
        </w:rPr>
        <w:t>Perú, supra</w:t>
      </w:r>
      <w:r w:rsidRPr="00C959C6">
        <w:rPr>
          <w:lang w:val="es-MX"/>
        </w:rPr>
        <w:t xml:space="preserve">, párr. </w:t>
      </w:r>
      <w:r w:rsidRPr="00206283">
        <w:rPr>
          <w:lang w:val="es-ES_tradnl"/>
        </w:rPr>
        <w:t>141.</w:t>
      </w:r>
      <w:r w:rsidRPr="00CF137F">
        <w:rPr>
          <w:lang w:val="es-ES_tradnl"/>
        </w:rPr>
        <w:t xml:space="preserve">  </w:t>
      </w:r>
    </w:p>
  </w:footnote>
  <w:footnote w:id="303">
    <w:p w14:paraId="5E3EBA0E" w14:textId="77777777" w:rsidR="00D86616" w:rsidRPr="00C959C6" w:rsidRDefault="00D86616" w:rsidP="00F83E8F">
      <w:pPr>
        <w:pStyle w:val="FootnoteText"/>
        <w:spacing w:after="120"/>
        <w:rPr>
          <w:i/>
          <w:lang w:val="es-MX"/>
        </w:rPr>
      </w:pPr>
      <w:r w:rsidRPr="00AD07F6">
        <w:rPr>
          <w:rStyle w:val="FootnoteReference"/>
        </w:rPr>
        <w:footnoteRef/>
      </w:r>
      <w:r w:rsidRPr="00C959C6">
        <w:rPr>
          <w:vertAlign w:val="superscript"/>
          <w:lang w:val="es-MX"/>
        </w:rPr>
        <w:t xml:space="preserve"> </w:t>
      </w:r>
      <w:r w:rsidRPr="00AD07F6">
        <w:rPr>
          <w:lang w:val="es-ES_tradnl"/>
        </w:rPr>
        <w:tab/>
      </w:r>
      <w:r w:rsidRPr="00C959C6">
        <w:rPr>
          <w:lang w:val="es-MX"/>
        </w:rPr>
        <w:t xml:space="preserve">La “interdependencia e indivisibilidad” como un binomio inseparable, la he venido expresando en mis votos razonados en casos anteriores. </w:t>
      </w:r>
      <w:r w:rsidRPr="00C959C6">
        <w:rPr>
          <w:i/>
          <w:lang w:val="es-MX"/>
        </w:rPr>
        <w:t xml:space="preserve">Cfr. </w:t>
      </w:r>
      <w:r w:rsidRPr="00C959C6">
        <w:rPr>
          <w:lang w:val="es-MX"/>
        </w:rPr>
        <w:t xml:space="preserve">Voto Concurrente relativo al </w:t>
      </w:r>
      <w:r w:rsidRPr="00AD07F6">
        <w:rPr>
          <w:bCs/>
          <w:i/>
          <w:color w:val="000000"/>
          <w:lang w:val="es-MX"/>
        </w:rPr>
        <w:t>Caso Yarce y otras Vs. Colombia</w:t>
      </w:r>
      <w:r>
        <w:rPr>
          <w:bCs/>
          <w:i/>
          <w:color w:val="000000"/>
          <w:lang w:val="es-MX"/>
        </w:rPr>
        <w:t xml:space="preserve">, supra, </w:t>
      </w:r>
      <w:r w:rsidRPr="00AD07F6">
        <w:rPr>
          <w:bCs/>
          <w:color w:val="000000"/>
          <w:lang w:val="es-MX"/>
        </w:rPr>
        <w:t>párrs. 13 a 15; Voto Concurrente</w:t>
      </w:r>
      <w:r w:rsidRPr="00AD07F6">
        <w:rPr>
          <w:lang w:val="es-ES_tradnl"/>
        </w:rPr>
        <w:t xml:space="preserve"> al caso</w:t>
      </w:r>
      <w:r w:rsidRPr="00C959C6">
        <w:rPr>
          <w:rFonts w:cs="Verdana"/>
          <w:bCs/>
          <w:lang w:val="es-MX"/>
        </w:rPr>
        <w:t xml:space="preserve"> </w:t>
      </w:r>
      <w:r w:rsidRPr="00C959C6">
        <w:rPr>
          <w:rFonts w:cs="Verdana"/>
          <w:bCs/>
          <w:i/>
          <w:lang w:val="es-MX"/>
        </w:rPr>
        <w:t xml:space="preserve">Suárez Peralta Vs. </w:t>
      </w:r>
      <w:r w:rsidRPr="00BA6F15">
        <w:rPr>
          <w:rFonts w:cs="Verdana"/>
          <w:bCs/>
          <w:i/>
          <w:lang w:val="es-CR"/>
        </w:rPr>
        <w:t>Ecuador</w:t>
      </w:r>
      <w:r w:rsidRPr="00C959C6">
        <w:rPr>
          <w:rFonts w:cs="Verdana"/>
          <w:bCs/>
          <w:i/>
          <w:lang w:val="es-MX"/>
        </w:rPr>
        <w:t xml:space="preserve">, </w:t>
      </w:r>
      <w:r>
        <w:rPr>
          <w:rFonts w:cs="Verdana"/>
          <w:bCs/>
          <w:i/>
          <w:lang w:val="es-MX"/>
        </w:rPr>
        <w:t xml:space="preserve">supra, </w:t>
      </w:r>
      <w:r w:rsidRPr="00C959C6">
        <w:rPr>
          <w:rFonts w:cs="Verdana"/>
          <w:bCs/>
          <w:lang w:val="es-MX"/>
        </w:rPr>
        <w:t xml:space="preserve">párr. 24. Asimismo, véase </w:t>
      </w:r>
      <w:r w:rsidRPr="00AD07F6">
        <w:rPr>
          <w:lang w:val="es-ES_tradnl"/>
        </w:rPr>
        <w:t>Resolución 32/130 de la Asamblea General de Naciones Unidas, de 16 de septiembre de 1977, inciso 1, apartado a); Declaración sobre el derecho al Desarrollo Asamblea General en su resolución 41/128, de 4 de diciembre de 1986, párr. 10 del preámbulo y art. 6; Principios de Limburgo de 1986, en especial el núm. 3, y las Directrices de Maastritch sobre violaciones a los DESC de 1997, particularmente la núm. 3.</w:t>
      </w:r>
      <w:r w:rsidRPr="002F649F">
        <w:rPr>
          <w:lang w:val="es-ES_tradnl"/>
        </w:rPr>
        <w:t xml:space="preserve">  </w:t>
      </w:r>
      <w:r w:rsidRPr="00CF137F">
        <w:rPr>
          <w:bCs/>
          <w:color w:val="000000"/>
          <w:lang w:val="es-MX"/>
        </w:rPr>
        <w:t xml:space="preserve">  </w:t>
      </w:r>
      <w:r w:rsidRPr="00C959C6">
        <w:rPr>
          <w:i/>
          <w:lang w:val="es-MX"/>
        </w:rPr>
        <w:t xml:space="preserve">  </w:t>
      </w:r>
      <w:r w:rsidRPr="00CF137F">
        <w:rPr>
          <w:lang w:val="es-ES_tradnl"/>
        </w:rPr>
        <w:t xml:space="preserve">  </w:t>
      </w:r>
    </w:p>
  </w:footnote>
  <w:footnote w:id="304">
    <w:p w14:paraId="27749722" w14:textId="77777777" w:rsidR="00D86616" w:rsidRPr="00CF137F" w:rsidRDefault="00D86616" w:rsidP="00F83E8F">
      <w:pPr>
        <w:pStyle w:val="FootnoteText"/>
        <w:spacing w:after="120"/>
        <w:rPr>
          <w:lang w:val="es-ES_tradnl"/>
        </w:rPr>
      </w:pPr>
      <w:r w:rsidRPr="00CF137F">
        <w:rPr>
          <w:rStyle w:val="FootnoteReference"/>
        </w:rPr>
        <w:footnoteRef/>
      </w:r>
      <w:r w:rsidRPr="00C959C6">
        <w:rPr>
          <w:lang w:val="es-MX"/>
        </w:rPr>
        <w:t xml:space="preserve"> </w:t>
      </w:r>
      <w:r w:rsidRPr="00CF137F">
        <w:rPr>
          <w:lang w:val="es-ES_tradnl"/>
        </w:rPr>
        <w:tab/>
      </w:r>
      <w:r w:rsidRPr="00C959C6">
        <w:rPr>
          <w:i/>
          <w:lang w:val="es-MX"/>
        </w:rPr>
        <w:t xml:space="preserve">Caso Lagos del Campo Vs. </w:t>
      </w:r>
      <w:r w:rsidRPr="00BA6F15">
        <w:rPr>
          <w:i/>
          <w:lang w:val="es-CR"/>
        </w:rPr>
        <w:t>Perú, supra</w:t>
      </w:r>
      <w:r w:rsidRPr="00C959C6">
        <w:rPr>
          <w:lang w:val="es-MX"/>
        </w:rPr>
        <w:t xml:space="preserve">, párr. </w:t>
      </w:r>
      <w:r w:rsidRPr="00CF137F">
        <w:rPr>
          <w:lang w:val="es-ES_tradnl"/>
        </w:rPr>
        <w:t xml:space="preserve">143. </w:t>
      </w:r>
    </w:p>
  </w:footnote>
  <w:footnote w:id="305">
    <w:p w14:paraId="3ED6CA58" w14:textId="77777777" w:rsidR="00D86616" w:rsidRPr="00CF137F" w:rsidRDefault="00D86616" w:rsidP="00F83E8F">
      <w:pPr>
        <w:pStyle w:val="FootnoteText"/>
        <w:spacing w:after="120"/>
        <w:rPr>
          <w:lang w:val="es-ES_tradnl"/>
        </w:rPr>
      </w:pPr>
      <w:r w:rsidRPr="002228F7">
        <w:rPr>
          <w:rStyle w:val="FootnoteReference"/>
        </w:rPr>
        <w:footnoteRef/>
      </w:r>
      <w:r w:rsidRPr="00C959C6">
        <w:rPr>
          <w:lang w:val="es-MX"/>
        </w:rPr>
        <w:t xml:space="preserve"> </w:t>
      </w:r>
      <w:r w:rsidRPr="002228F7">
        <w:rPr>
          <w:lang w:val="es-ES_tradnl"/>
        </w:rPr>
        <w:tab/>
      </w:r>
      <w:r w:rsidRPr="00C959C6">
        <w:rPr>
          <w:lang w:val="es-MX"/>
        </w:rPr>
        <w:t xml:space="preserve">Voto Concurrente relativo al </w:t>
      </w:r>
      <w:r w:rsidRPr="002228F7">
        <w:rPr>
          <w:bCs/>
          <w:i/>
          <w:color w:val="000000"/>
          <w:lang w:val="es-MX"/>
        </w:rPr>
        <w:t>Caso Yarce y otras Vs. Colombia</w:t>
      </w:r>
      <w:r>
        <w:rPr>
          <w:bCs/>
          <w:i/>
          <w:color w:val="000000"/>
          <w:lang w:val="es-MX"/>
        </w:rPr>
        <w:t>, supra</w:t>
      </w:r>
      <w:r w:rsidRPr="00BA6F15">
        <w:rPr>
          <w:bCs/>
          <w:color w:val="000000"/>
          <w:lang w:val="es-MX"/>
        </w:rPr>
        <w:t>,</w:t>
      </w:r>
      <w:r w:rsidRPr="002228F7">
        <w:rPr>
          <w:b/>
          <w:bCs/>
          <w:color w:val="000000"/>
          <w:lang w:val="es-MX"/>
        </w:rPr>
        <w:t xml:space="preserve"> </w:t>
      </w:r>
      <w:r w:rsidRPr="002228F7">
        <w:rPr>
          <w:bCs/>
          <w:color w:val="000000"/>
          <w:lang w:val="es-MX"/>
        </w:rPr>
        <w:t>párrs. 19 a 26.</w:t>
      </w:r>
      <w:r w:rsidRPr="00CF137F">
        <w:rPr>
          <w:bCs/>
          <w:color w:val="000000"/>
          <w:lang w:val="es-MX"/>
        </w:rPr>
        <w:t xml:space="preserve">  </w:t>
      </w:r>
    </w:p>
  </w:footnote>
  <w:footnote w:id="306">
    <w:p w14:paraId="511D6763" w14:textId="77777777" w:rsidR="00D86616" w:rsidRPr="00C959C6" w:rsidRDefault="00D86616" w:rsidP="00F83E8F">
      <w:pPr>
        <w:pStyle w:val="FootnoteText"/>
        <w:rPr>
          <w:lang w:val="es-MX"/>
        </w:rPr>
      </w:pPr>
      <w:r w:rsidRPr="002F649F">
        <w:rPr>
          <w:rStyle w:val="FootnoteReference"/>
        </w:rPr>
        <w:footnoteRef/>
      </w:r>
      <w:r w:rsidRPr="00C959C6">
        <w:rPr>
          <w:lang w:val="es-MX"/>
        </w:rPr>
        <w:t xml:space="preserve"> </w:t>
      </w:r>
      <w:r w:rsidRPr="00C959C6">
        <w:rPr>
          <w:lang w:val="es-MX"/>
        </w:rPr>
        <w:tab/>
        <w:t xml:space="preserve">Los artículos 31 y 32, relativos a la interpretación de los tratados, dicen: Artículo 31: “Regla general de interpretación. I. Un tratado deberá interpretarse de buena fe conforme al sentido corriente que haya de atribuirse a los términos del tratado en el contexto de estos y teniendo en cuenta su objeto y fin. 2. </w:t>
      </w:r>
      <w:r w:rsidRPr="00BA6F15">
        <w:rPr>
          <w:lang w:val="es-CR"/>
        </w:rPr>
        <w:t xml:space="preserve">Para los efectos de la interpretación de un tratado. </w:t>
      </w:r>
      <w:r w:rsidRPr="00C959C6">
        <w:rPr>
          <w:lang w:val="es-MX"/>
        </w:rPr>
        <w:t xml:space="preserve">El contexto comprenderá, además del texto, incluidos su preámbulo y anexos: a) todo acuerdo que se refiera al tratado y haya sido concertado entre todas las partes con motivo de la celebración del tratado: b) todo instrumento formulado por una o más partes con motivo de la celebración del tratado y aceptado por las demás como instrumento referente al tratado; 3. </w:t>
      </w:r>
      <w:r w:rsidRPr="00BA6F15">
        <w:rPr>
          <w:lang w:val="es-MX"/>
        </w:rPr>
        <w:t xml:space="preserve">Juntamente con el contexto, habrá de tenerse en cuenta: a) todo acuerdo ulterior entre las partes acerca de la interpretación del tratado o de la aplicación de sus disposiciones: b) toda práctica ulteriormente seguida en la aplicación del tratado por la cual conste el acuerdo de las partes acerca de la interpretación del tratado: c) toda forma pertinente de derecho internacional aplicable en las relaciones entre las partes. </w:t>
      </w:r>
      <w:r w:rsidRPr="00C959C6">
        <w:rPr>
          <w:lang w:val="es-MX"/>
        </w:rPr>
        <w:t>4. Se dará a un término un sentido especial si consta que tal fue la intención de las partes”. Artículo 32: “Medios de interpretación complementarios. Se podrán acudir a medios de interpretación complementarios, en particular a los trabajos preparatorios del tratado y a las circunstancias de su celebración, para confirmar el sentido resultante de la aplicación del artículo 31, o para determinar el sentido cuando la interpretación dada de conformidad con el artículo 31: a) deje ambiguo u oscuro el sentido; o b) conduzca a un resultado manifiestamente absurdo o irrazonable”.</w:t>
      </w:r>
    </w:p>
    <w:p w14:paraId="70141D80" w14:textId="77777777" w:rsidR="00D86616" w:rsidRPr="00C959C6" w:rsidRDefault="00D86616" w:rsidP="00F83E8F">
      <w:pPr>
        <w:pStyle w:val="FootnoteText"/>
        <w:rPr>
          <w:lang w:val="es-MX"/>
        </w:rPr>
      </w:pPr>
    </w:p>
  </w:footnote>
  <w:footnote w:id="307">
    <w:p w14:paraId="4EBC9DDA" w14:textId="77777777" w:rsidR="00D86616" w:rsidRPr="00C959C6" w:rsidRDefault="00D86616" w:rsidP="00F83E8F">
      <w:pPr>
        <w:pStyle w:val="FootnoteText"/>
        <w:rPr>
          <w:lang w:val="es-MX"/>
        </w:rPr>
      </w:pPr>
      <w:r w:rsidRPr="002F649F">
        <w:rPr>
          <w:rStyle w:val="FootnoteReference"/>
        </w:rPr>
        <w:footnoteRef/>
      </w:r>
      <w:r w:rsidRPr="00C959C6">
        <w:rPr>
          <w:lang w:val="es-MX"/>
        </w:rPr>
        <w:t xml:space="preserve"> </w:t>
      </w:r>
      <w:r w:rsidRPr="00C959C6">
        <w:rPr>
          <w:lang w:val="es-MX"/>
        </w:rPr>
        <w:tab/>
        <w:t>Adoptada el 30 de abril de 1948. Entró en vigor el 13 de diciembre de 1951. Reformada por el Protocolo de Reformas a la Carta de la Organización de los Estados Americanos "Protocolo de Buenos Aires", suscrito el 27 de febrero de 1967, en la Tercera Conferencia Interamericana Extraordinaria; por el Protocolo de Reformas a la Carta de la Organización de los Estados Americanos "Protocolo de Cartagena de Indias", aprobado el 5 de diciembre de 1985, en el decimocuarto período extraordinario de sesiones de la Asamblea General; por el Protocolo de Reformas a la Carta de la Organización de los Estados Americanos "Protocolo de Washington", aprobado el 14 de diciembre de 1992, en el decimosexto período extraordinario de sesiones de la Asamblea General; y por el Protocolo de Reformas a la Carta de la Organización de los Estados Americanos "Protocolo de Managua", adoptado el 10 de junio de 1993, en el decimonoveno período extraordinario de sesiones de la Asamblea General.</w:t>
      </w:r>
    </w:p>
    <w:p w14:paraId="350092AE" w14:textId="77777777" w:rsidR="00D86616" w:rsidRPr="00C959C6" w:rsidRDefault="00D86616" w:rsidP="00F83E8F">
      <w:pPr>
        <w:pStyle w:val="FootnoteText"/>
        <w:rPr>
          <w:lang w:val="es-MX"/>
        </w:rPr>
      </w:pPr>
    </w:p>
  </w:footnote>
  <w:footnote w:id="308">
    <w:p w14:paraId="7207F8EC" w14:textId="77777777" w:rsidR="00D86616" w:rsidRPr="00C959C6" w:rsidRDefault="00D86616" w:rsidP="00F83E8F">
      <w:pPr>
        <w:pStyle w:val="FootnoteText"/>
        <w:rPr>
          <w:lang w:val="es-MX"/>
        </w:rPr>
      </w:pPr>
      <w:r w:rsidRPr="002F649F">
        <w:rPr>
          <w:rStyle w:val="FootnoteReference"/>
        </w:rPr>
        <w:footnoteRef/>
      </w:r>
      <w:r w:rsidRPr="00C959C6">
        <w:rPr>
          <w:lang w:val="es-MX"/>
        </w:rPr>
        <w:t xml:space="preserve"> </w:t>
      </w:r>
      <w:r w:rsidRPr="00C959C6">
        <w:rPr>
          <w:lang w:val="es-MX"/>
        </w:rPr>
        <w:tab/>
        <w:t xml:space="preserve">Teniendo en cuenta el artículo 31 de la Convención de Viena sobre el Derecho de los Tratados (transcripto </w:t>
      </w:r>
      <w:r w:rsidRPr="00C959C6">
        <w:rPr>
          <w:i/>
          <w:lang w:val="es-MX"/>
        </w:rPr>
        <w:t>supra</w:t>
      </w:r>
      <w:r w:rsidRPr="00C959C6">
        <w:rPr>
          <w:lang w:val="es-MX"/>
        </w:rPr>
        <w:t xml:space="preserve">, en la nota a pie de página 17 del presente voto), es válido acudir al sentido corriente de las palabras que, además, en este caso, son acordes al entendimiento que mejor propende al objeto y fin de la Convención, que es la protección de los derechos humanos. </w:t>
      </w:r>
    </w:p>
    <w:p w14:paraId="36E55C2A" w14:textId="77777777" w:rsidR="00D86616" w:rsidRPr="00C959C6" w:rsidRDefault="00D86616" w:rsidP="00F83E8F">
      <w:pPr>
        <w:pStyle w:val="FootnoteText"/>
        <w:rPr>
          <w:lang w:val="es-MX"/>
        </w:rPr>
      </w:pPr>
    </w:p>
  </w:footnote>
  <w:footnote w:id="309">
    <w:p w14:paraId="180D766D" w14:textId="77777777" w:rsidR="00D86616" w:rsidRPr="00C959C6" w:rsidRDefault="00D86616" w:rsidP="00F83E8F">
      <w:pPr>
        <w:pStyle w:val="FootnoteText"/>
        <w:rPr>
          <w:lang w:val="es-MX"/>
        </w:rPr>
      </w:pPr>
      <w:r w:rsidRPr="00A7488E">
        <w:rPr>
          <w:rStyle w:val="FootnoteReference"/>
        </w:rPr>
        <w:footnoteRef/>
      </w:r>
      <w:r w:rsidRPr="00C959C6">
        <w:rPr>
          <w:lang w:val="es-MX"/>
        </w:rPr>
        <w:t xml:space="preserve"> </w:t>
      </w:r>
      <w:r w:rsidRPr="00C959C6">
        <w:rPr>
          <w:lang w:val="es-MX"/>
        </w:rPr>
        <w:tab/>
        <w:t xml:space="preserve">Consultado en el sitio de internet </w:t>
      </w:r>
      <w:hyperlink r:id="rId7" w:history="1">
        <w:r w:rsidRPr="00C959C6">
          <w:rPr>
            <w:rStyle w:val="Hyperlink"/>
            <w:lang w:val="es-MX"/>
          </w:rPr>
          <w:t>http://dle.rae.es</w:t>
        </w:r>
      </w:hyperlink>
      <w:r w:rsidRPr="00C959C6">
        <w:rPr>
          <w:lang w:val="es-MX"/>
        </w:rPr>
        <w:t>.</w:t>
      </w:r>
    </w:p>
    <w:p w14:paraId="5784EBCB" w14:textId="77777777" w:rsidR="00D86616" w:rsidRPr="00C959C6" w:rsidRDefault="00D86616" w:rsidP="00F83E8F">
      <w:pPr>
        <w:pStyle w:val="FootnoteText"/>
        <w:rPr>
          <w:lang w:val="es-MX"/>
        </w:rPr>
      </w:pPr>
    </w:p>
  </w:footnote>
  <w:footnote w:id="310">
    <w:p w14:paraId="2156AD6E" w14:textId="77777777" w:rsidR="00D86616" w:rsidRPr="00C959C6" w:rsidRDefault="00D86616" w:rsidP="00F83E8F">
      <w:pPr>
        <w:pStyle w:val="FootnoteText"/>
        <w:rPr>
          <w:rFonts w:cs="Tahoma"/>
          <w:color w:val="000000"/>
          <w:lang w:val="es-MX"/>
        </w:rPr>
      </w:pPr>
      <w:r w:rsidRPr="002F649F">
        <w:rPr>
          <w:rStyle w:val="FootnoteReference"/>
        </w:rPr>
        <w:footnoteRef/>
      </w:r>
      <w:r w:rsidRPr="00C959C6">
        <w:rPr>
          <w:lang w:val="es-MX"/>
        </w:rPr>
        <w:t xml:space="preserve"> </w:t>
      </w:r>
      <w:r w:rsidRPr="00C959C6">
        <w:rPr>
          <w:lang w:val="es-MX"/>
        </w:rPr>
        <w:tab/>
        <w:t xml:space="preserve">La Carta de la Organización de Estados Americanos, en su artículo 45.b) </w:t>
      </w:r>
      <w:r w:rsidRPr="002F649F">
        <w:rPr>
          <w:lang w:val="es-CR"/>
        </w:rPr>
        <w:t>establece que “[e]</w:t>
      </w:r>
      <w:r w:rsidRPr="00C959C6">
        <w:rPr>
          <w:rFonts w:cs="Tahoma"/>
          <w:color w:val="000000"/>
          <w:lang w:val="es-MX"/>
        </w:rPr>
        <w:t xml:space="preserve">l trabajo es un derecho y un deber social […]”. </w:t>
      </w:r>
    </w:p>
    <w:p w14:paraId="154810E8" w14:textId="77777777" w:rsidR="00D86616" w:rsidRPr="00C959C6" w:rsidRDefault="00D86616" w:rsidP="00F83E8F">
      <w:pPr>
        <w:pStyle w:val="FootnoteText"/>
        <w:rPr>
          <w:rFonts w:cs="Tahoma"/>
          <w:color w:val="000000"/>
          <w:lang w:val="es-MX"/>
        </w:rPr>
      </w:pPr>
    </w:p>
  </w:footnote>
  <w:footnote w:id="311">
    <w:p w14:paraId="08BD53C0" w14:textId="77777777" w:rsidR="00D86616" w:rsidRPr="00C959C6" w:rsidRDefault="00D86616" w:rsidP="00F83E8F">
      <w:pPr>
        <w:pStyle w:val="FootnoteText"/>
        <w:rPr>
          <w:lang w:val="es-MX"/>
        </w:rPr>
      </w:pPr>
      <w:r w:rsidRPr="002F649F">
        <w:rPr>
          <w:rStyle w:val="FootnoteReference"/>
        </w:rPr>
        <w:footnoteRef/>
      </w:r>
      <w:r w:rsidRPr="00C959C6">
        <w:rPr>
          <w:lang w:val="es-MX"/>
        </w:rPr>
        <w:t xml:space="preserve"> </w:t>
      </w:r>
      <w:r w:rsidRPr="00C959C6">
        <w:rPr>
          <w:lang w:val="es-MX"/>
        </w:rPr>
        <w:tab/>
        <w:t xml:space="preserve">Adoptado el 17 de noviembre de 1988. Entró en vigor el 16 de noviembre de 1999. </w:t>
      </w:r>
    </w:p>
    <w:p w14:paraId="62429A74" w14:textId="77777777" w:rsidR="00D86616" w:rsidRPr="00C959C6" w:rsidRDefault="00D86616" w:rsidP="00F83E8F">
      <w:pPr>
        <w:pStyle w:val="FootnoteText"/>
        <w:rPr>
          <w:lang w:val="es-MX"/>
        </w:rPr>
      </w:pPr>
    </w:p>
  </w:footnote>
  <w:footnote w:id="312">
    <w:p w14:paraId="302C4CB4" w14:textId="77777777" w:rsidR="00D86616" w:rsidRPr="00CF137F" w:rsidRDefault="00D86616" w:rsidP="00F83E8F">
      <w:pPr>
        <w:pStyle w:val="FootnoteText"/>
        <w:spacing w:after="120"/>
        <w:rPr>
          <w:lang w:val="es-ES_tradnl"/>
        </w:rPr>
      </w:pPr>
      <w:r w:rsidRPr="00CF137F">
        <w:rPr>
          <w:rStyle w:val="FootnoteReference"/>
        </w:rPr>
        <w:footnoteRef/>
      </w:r>
      <w:r w:rsidRPr="00C959C6">
        <w:rPr>
          <w:lang w:val="es-MX"/>
        </w:rPr>
        <w:t xml:space="preserve"> </w:t>
      </w:r>
      <w:r w:rsidRPr="00C959C6">
        <w:rPr>
          <w:lang w:val="es-MX"/>
        </w:rPr>
        <w:tab/>
      </w:r>
      <w:r w:rsidRPr="00CF137F">
        <w:rPr>
          <w:lang w:val="es-CR"/>
        </w:rPr>
        <w:t xml:space="preserve"> </w:t>
      </w:r>
      <w:r w:rsidRPr="00BA6F15">
        <w:rPr>
          <w:i/>
          <w:lang w:val="es-CR"/>
        </w:rPr>
        <w:t>Cfr</w:t>
      </w:r>
      <w:r>
        <w:rPr>
          <w:lang w:val="es-CR"/>
        </w:rPr>
        <w:t xml:space="preserve">. </w:t>
      </w:r>
      <w:r w:rsidRPr="00CF137F">
        <w:rPr>
          <w:lang w:val="es-CR"/>
        </w:rPr>
        <w:t>“</w:t>
      </w:r>
      <w:r w:rsidRPr="00CF137F">
        <w:rPr>
          <w:i/>
          <w:lang w:val="es-CR"/>
        </w:rPr>
        <w:t>Interpretación de la Declaración Americana de los Derechos y Deberes del Hombre en el marco del artículo 64 de la Convención Americana sobre Derechos Humanos</w:t>
      </w:r>
      <w:r w:rsidRPr="00CF137F">
        <w:rPr>
          <w:lang w:val="es-CR"/>
        </w:rPr>
        <w:t>”,</w:t>
      </w:r>
      <w:r>
        <w:rPr>
          <w:lang w:val="es-CR"/>
        </w:rPr>
        <w:t xml:space="preserve"> </w:t>
      </w:r>
      <w:r w:rsidRPr="00BA6F15">
        <w:rPr>
          <w:i/>
          <w:lang w:val="es-CR"/>
        </w:rPr>
        <w:t>Opinión Consultiva OC-10/89</w:t>
      </w:r>
      <w:r w:rsidRPr="00CF137F">
        <w:rPr>
          <w:lang w:val="es-CR"/>
        </w:rPr>
        <w:t xml:space="preserve"> del 14 de julio de 1989, párrs. 43 y 45.</w:t>
      </w:r>
    </w:p>
  </w:footnote>
  <w:footnote w:id="313">
    <w:p w14:paraId="2E8752D5" w14:textId="77777777" w:rsidR="00D86616" w:rsidRDefault="00D86616" w:rsidP="00F83E8F">
      <w:pPr>
        <w:jc w:val="both"/>
        <w:rPr>
          <w:rFonts w:ascii="Verdana" w:eastAsia="Times New Roman" w:hAnsi="Verdana" w:cs="Tahoma"/>
          <w:color w:val="000000"/>
          <w:sz w:val="16"/>
          <w:szCs w:val="16"/>
          <w:lang w:val="es-MX"/>
        </w:rPr>
      </w:pPr>
      <w:r w:rsidRPr="00CF137F">
        <w:rPr>
          <w:rStyle w:val="FootnoteReference"/>
          <w:sz w:val="16"/>
          <w:szCs w:val="16"/>
        </w:rPr>
        <w:footnoteRef/>
      </w:r>
      <w:r w:rsidRPr="00BA6F15">
        <w:rPr>
          <w:sz w:val="16"/>
          <w:szCs w:val="16"/>
          <w:lang w:val="es-MX"/>
        </w:rPr>
        <w:t xml:space="preserve"> </w:t>
      </w:r>
      <w:r w:rsidRPr="00CF137F">
        <w:rPr>
          <w:sz w:val="16"/>
          <w:szCs w:val="16"/>
        </w:rPr>
        <w:tab/>
      </w:r>
      <w:r w:rsidRPr="00A54BFE">
        <w:rPr>
          <w:rFonts w:ascii="Verdana" w:hAnsi="Verdana"/>
          <w:i/>
          <w:sz w:val="16"/>
          <w:szCs w:val="16"/>
          <w:lang w:val="es-MX"/>
        </w:rPr>
        <w:t xml:space="preserve">Caso Lagos del Campo Vs. Perú, supra, </w:t>
      </w:r>
      <w:r w:rsidRPr="00A54BFE">
        <w:rPr>
          <w:rFonts w:ascii="Verdana" w:hAnsi="Verdana"/>
          <w:sz w:val="16"/>
          <w:szCs w:val="16"/>
          <w:lang w:val="es-MX"/>
        </w:rPr>
        <w:t xml:space="preserve">párr. </w:t>
      </w:r>
      <w:r w:rsidRPr="00A54BFE">
        <w:rPr>
          <w:rFonts w:ascii="Verdana" w:hAnsi="Verdana"/>
          <w:sz w:val="16"/>
          <w:szCs w:val="16"/>
        </w:rPr>
        <w:t>144.</w:t>
      </w:r>
      <w:r w:rsidRPr="00CF137F">
        <w:rPr>
          <w:sz w:val="16"/>
          <w:szCs w:val="16"/>
        </w:rPr>
        <w:t xml:space="preserve"> </w:t>
      </w:r>
      <w:r w:rsidRPr="00A54BFE">
        <w:rPr>
          <w:rFonts w:ascii="Verdana" w:hAnsi="Verdana"/>
          <w:sz w:val="16"/>
          <w:szCs w:val="16"/>
        </w:rPr>
        <w:t>Además</w:t>
      </w:r>
      <w:r>
        <w:rPr>
          <w:rFonts w:ascii="Verdana" w:hAnsi="Verdana"/>
          <w:sz w:val="16"/>
          <w:szCs w:val="16"/>
        </w:rPr>
        <w:t>,</w:t>
      </w:r>
      <w:r w:rsidRPr="00A54BFE">
        <w:rPr>
          <w:rFonts w:ascii="Verdana" w:hAnsi="Verdana"/>
          <w:sz w:val="16"/>
          <w:szCs w:val="16"/>
        </w:rPr>
        <w:t xml:space="preserve"> cabe destacar lo contemplado en el párrafo cuarto del Preámbulo de la propia Convención Americana que señala: “</w:t>
      </w:r>
      <w:r w:rsidRPr="00A54BFE">
        <w:rPr>
          <w:rFonts w:ascii="Verdana" w:eastAsia="Times New Roman" w:hAnsi="Verdana" w:cs="Tahoma"/>
          <w:color w:val="000000"/>
          <w:sz w:val="16"/>
          <w:szCs w:val="16"/>
          <w:lang w:val="es-MX"/>
        </w:rPr>
        <w:t>Considerando que estos principios [derechos] han sido consagrados en la Carta de la Organización de los Estados Americanos, en la Declaración Americana de los Derechos y Deberes del Hombre y en la Declaración Universal de los Derechos Humanos que han sido reafirmados y desarrollados en otros instrumentos internacionales, tanto de ámbito universal como regional”.</w:t>
      </w:r>
      <w:r>
        <w:rPr>
          <w:rFonts w:ascii="Verdana" w:eastAsia="Times New Roman" w:hAnsi="Verdana" w:cs="Tahoma"/>
          <w:color w:val="000000"/>
          <w:sz w:val="16"/>
          <w:szCs w:val="16"/>
          <w:lang w:val="es-MX"/>
        </w:rPr>
        <w:t xml:space="preserve"> </w:t>
      </w:r>
    </w:p>
    <w:p w14:paraId="18818D1F" w14:textId="77777777" w:rsidR="00D86616" w:rsidRPr="00A54BFE" w:rsidRDefault="00D86616" w:rsidP="00F83E8F">
      <w:pPr>
        <w:jc w:val="both"/>
        <w:rPr>
          <w:rFonts w:ascii="Verdana" w:eastAsia="Times New Roman" w:hAnsi="Verdana" w:cs="Tahoma"/>
          <w:color w:val="000000"/>
          <w:sz w:val="16"/>
          <w:szCs w:val="16"/>
          <w:lang w:val="es-MX"/>
        </w:rPr>
      </w:pPr>
    </w:p>
  </w:footnote>
  <w:footnote w:id="314">
    <w:p w14:paraId="3D0FACA3" w14:textId="77777777" w:rsidR="00D86616" w:rsidRPr="00CF137F" w:rsidRDefault="00D86616" w:rsidP="00F83E8F">
      <w:pPr>
        <w:pStyle w:val="FootnoteText"/>
        <w:spacing w:after="120"/>
        <w:rPr>
          <w:lang w:val="es-ES_tradnl"/>
        </w:rPr>
      </w:pPr>
      <w:r w:rsidRPr="00CF137F">
        <w:rPr>
          <w:rStyle w:val="FootnoteReference"/>
        </w:rPr>
        <w:footnoteRef/>
      </w:r>
      <w:r w:rsidRPr="00C959C6">
        <w:rPr>
          <w:lang w:val="es-MX"/>
        </w:rPr>
        <w:t xml:space="preserve"> </w:t>
      </w:r>
      <w:r w:rsidRPr="00C959C6">
        <w:rPr>
          <w:lang w:val="es-MX"/>
        </w:rPr>
        <w:tab/>
      </w:r>
      <w:r w:rsidRPr="00C959C6">
        <w:rPr>
          <w:i/>
          <w:lang w:val="es-MX"/>
        </w:rPr>
        <w:t xml:space="preserve">Caso Lagos del Campo Vs. </w:t>
      </w:r>
      <w:r w:rsidRPr="00BA6F15">
        <w:rPr>
          <w:i/>
          <w:lang w:val="es-CR"/>
        </w:rPr>
        <w:t>Perú, supra</w:t>
      </w:r>
      <w:r w:rsidRPr="00C959C6">
        <w:rPr>
          <w:lang w:val="es-MX"/>
        </w:rPr>
        <w:t xml:space="preserve">, párr. </w:t>
      </w:r>
      <w:r w:rsidRPr="00CF137F">
        <w:rPr>
          <w:lang w:val="es-ES_tradnl"/>
        </w:rPr>
        <w:t xml:space="preserve">145. </w:t>
      </w:r>
    </w:p>
  </w:footnote>
  <w:footnote w:id="315">
    <w:p w14:paraId="1D5EC2E8" w14:textId="77777777" w:rsidR="00D86616" w:rsidRPr="00C959C6" w:rsidRDefault="00D86616" w:rsidP="00F83E8F">
      <w:pPr>
        <w:pStyle w:val="FootnoteText"/>
        <w:spacing w:after="120"/>
        <w:rPr>
          <w:lang w:val="es-MX"/>
        </w:rPr>
      </w:pPr>
      <w:r w:rsidRPr="00CF137F">
        <w:rPr>
          <w:rStyle w:val="FootnoteReference"/>
        </w:rPr>
        <w:footnoteRef/>
      </w:r>
      <w:r w:rsidRPr="00C959C6">
        <w:rPr>
          <w:lang w:val="es-MX"/>
        </w:rPr>
        <w:t xml:space="preserve"> </w:t>
      </w:r>
      <w:r w:rsidRPr="00C959C6">
        <w:rPr>
          <w:lang w:val="es-MX"/>
        </w:rPr>
        <w:tab/>
      </w:r>
      <w:r w:rsidRPr="00C959C6">
        <w:rPr>
          <w:i/>
          <w:lang w:val="es-MX"/>
        </w:rPr>
        <w:t xml:space="preserve">Caso Lagos del Campo Vs. </w:t>
      </w:r>
      <w:r w:rsidRPr="00BA6F15">
        <w:rPr>
          <w:i/>
          <w:lang w:val="es-CR"/>
        </w:rPr>
        <w:t>Perú, supra</w:t>
      </w:r>
      <w:r w:rsidRPr="00C959C6">
        <w:rPr>
          <w:lang w:val="es-MX"/>
        </w:rPr>
        <w:t xml:space="preserve">, párr. 138. </w:t>
      </w:r>
    </w:p>
  </w:footnote>
  <w:footnote w:id="316">
    <w:p w14:paraId="57680204" w14:textId="77777777" w:rsidR="00D86616" w:rsidRPr="00CF137F" w:rsidRDefault="00D86616" w:rsidP="00F83E8F">
      <w:pPr>
        <w:spacing w:after="120"/>
        <w:jc w:val="both"/>
        <w:rPr>
          <w:rFonts w:ascii="Verdana" w:hAnsi="Verdana"/>
          <w:sz w:val="16"/>
          <w:szCs w:val="16"/>
        </w:rPr>
      </w:pPr>
      <w:r w:rsidRPr="00CF137F">
        <w:rPr>
          <w:rStyle w:val="FootnoteReference"/>
          <w:sz w:val="16"/>
          <w:szCs w:val="16"/>
        </w:rPr>
        <w:footnoteRef/>
      </w:r>
      <w:r w:rsidRPr="00CF137F">
        <w:rPr>
          <w:rFonts w:ascii="Verdana" w:hAnsi="Verdana"/>
          <w:sz w:val="16"/>
          <w:szCs w:val="16"/>
        </w:rPr>
        <w:t xml:space="preserve"> </w:t>
      </w:r>
      <w:r w:rsidRPr="00CF137F">
        <w:rPr>
          <w:rFonts w:ascii="Verdana" w:hAnsi="Verdana"/>
          <w:sz w:val="16"/>
          <w:szCs w:val="16"/>
        </w:rPr>
        <w:tab/>
      </w:r>
      <w:r w:rsidRPr="00CF137F">
        <w:rPr>
          <w:rFonts w:ascii="Verdana" w:eastAsia="Times New Roman" w:hAnsi="Verdana" w:cs="Tahoma"/>
          <w:bCs/>
          <w:color w:val="000000"/>
          <w:sz w:val="16"/>
          <w:szCs w:val="16"/>
          <w:lang w:val="es-MX"/>
        </w:rPr>
        <w:t>Artículo 29.  Normas de Interpretación</w:t>
      </w:r>
      <w:r w:rsidRPr="00CF137F">
        <w:rPr>
          <w:rFonts w:ascii="Verdana" w:hAnsi="Verdana"/>
          <w:sz w:val="16"/>
          <w:szCs w:val="16"/>
        </w:rPr>
        <w:t xml:space="preserve">. </w:t>
      </w:r>
      <w:r w:rsidRPr="00CF137F">
        <w:rPr>
          <w:rFonts w:ascii="Verdana" w:eastAsia="Times New Roman" w:hAnsi="Verdana" w:cs="Tahoma"/>
          <w:color w:val="000000"/>
          <w:sz w:val="16"/>
          <w:szCs w:val="16"/>
          <w:lang w:val="es-MX"/>
        </w:rPr>
        <w:t xml:space="preserve">Ninguna disposición de la presente Convención puede ser interpretada en el sentido de: “[…] </w:t>
      </w:r>
      <w:r w:rsidRPr="00CF137F">
        <w:rPr>
          <w:rFonts w:ascii="Verdana" w:hAnsi="Verdana" w:cs="Tahoma"/>
          <w:color w:val="000000"/>
          <w:sz w:val="16"/>
          <w:szCs w:val="16"/>
        </w:rPr>
        <w:t>b) limitar el goce y ejercicio de cualquier derecho o libertad que pueda estar reconocido de acuerdo con las leyes de cualquiera de los Estados Partes o de acuerdo con otra convención en que sea parte uno de dichos Estados;</w:t>
      </w:r>
      <w:r w:rsidRPr="00CF137F">
        <w:rPr>
          <w:rStyle w:val="apple-converted-space"/>
          <w:rFonts w:ascii="Verdana" w:hAnsi="Verdana" w:cs="Tahoma"/>
          <w:color w:val="000000"/>
          <w:sz w:val="16"/>
          <w:szCs w:val="16"/>
        </w:rPr>
        <w:t> </w:t>
      </w:r>
      <w:r w:rsidRPr="00CF137F">
        <w:rPr>
          <w:rFonts w:ascii="Verdana" w:hAnsi="Verdana" w:cs="Tahoma"/>
          <w:color w:val="000000"/>
          <w:sz w:val="16"/>
          <w:szCs w:val="16"/>
        </w:rPr>
        <w:t>c) excluir otros derechos y garantías que son inherentes al ser humano o que se derivan de la forma democrática representativa de gobierno, y</w:t>
      </w:r>
      <w:r w:rsidRPr="00CF137F">
        <w:rPr>
          <w:rStyle w:val="apple-converted-space"/>
          <w:rFonts w:ascii="Verdana" w:hAnsi="Verdana" w:cs="Tahoma"/>
          <w:color w:val="000000"/>
          <w:sz w:val="16"/>
          <w:szCs w:val="16"/>
        </w:rPr>
        <w:t> </w:t>
      </w:r>
      <w:r w:rsidRPr="00CF137F">
        <w:rPr>
          <w:rFonts w:ascii="Verdana" w:hAnsi="Verdana" w:cs="Tahoma"/>
          <w:color w:val="000000"/>
          <w:sz w:val="16"/>
          <w:szCs w:val="16"/>
        </w:rPr>
        <w:t> d) excluir o limitar el efecto que puedan producir la Declaración Americana de Derechos y Deberes del Hombre y otros actos internacionales de la misma naturaleza.</w:t>
      </w:r>
    </w:p>
  </w:footnote>
  <w:footnote w:id="317">
    <w:p w14:paraId="4C223516" w14:textId="77777777" w:rsidR="00D86616" w:rsidRPr="00CF137F" w:rsidRDefault="00D86616" w:rsidP="00F83E8F">
      <w:pPr>
        <w:pStyle w:val="FootnoteText"/>
        <w:spacing w:after="120"/>
        <w:rPr>
          <w:lang w:val="es-ES_tradnl"/>
        </w:rPr>
      </w:pPr>
      <w:r w:rsidRPr="00CF137F">
        <w:rPr>
          <w:rStyle w:val="FootnoteReference"/>
        </w:rPr>
        <w:footnoteRef/>
      </w:r>
      <w:r w:rsidRPr="00C959C6">
        <w:rPr>
          <w:lang w:val="es-MX"/>
        </w:rPr>
        <w:t xml:space="preserve"> </w:t>
      </w:r>
      <w:r w:rsidRPr="00CF137F">
        <w:rPr>
          <w:lang w:val="es-ES_tradnl"/>
        </w:rPr>
        <w:tab/>
      </w:r>
      <w:r w:rsidRPr="00C959C6">
        <w:rPr>
          <w:i/>
          <w:lang w:val="es-MX"/>
        </w:rPr>
        <w:t xml:space="preserve">Caso Lagos del Campo Vs. </w:t>
      </w:r>
      <w:r w:rsidRPr="00BA6F15">
        <w:rPr>
          <w:i/>
          <w:lang w:val="es-MX"/>
        </w:rPr>
        <w:t xml:space="preserve">Perú, supra, </w:t>
      </w:r>
      <w:r w:rsidRPr="00C959C6">
        <w:rPr>
          <w:lang w:val="es-MX"/>
        </w:rPr>
        <w:t xml:space="preserve">párr. </w:t>
      </w:r>
      <w:r w:rsidRPr="00CF137F">
        <w:rPr>
          <w:lang w:val="es-ES_tradnl"/>
        </w:rPr>
        <w:t xml:space="preserve">149. </w:t>
      </w:r>
    </w:p>
  </w:footnote>
  <w:footnote w:id="318">
    <w:p w14:paraId="575B5A78" w14:textId="77777777" w:rsidR="00D86616" w:rsidRDefault="00D86616" w:rsidP="00F83E8F">
      <w:pPr>
        <w:pStyle w:val="FootnoteText"/>
        <w:rPr>
          <w:lang w:val="es-MX"/>
        </w:rPr>
      </w:pPr>
      <w:r w:rsidRPr="00DD3372">
        <w:rPr>
          <w:rStyle w:val="FootnoteReference"/>
        </w:rPr>
        <w:footnoteRef/>
      </w:r>
      <w:r w:rsidRPr="00C959C6">
        <w:rPr>
          <w:lang w:val="es-MX"/>
        </w:rPr>
        <w:t xml:space="preserve"> </w:t>
      </w:r>
      <w:r w:rsidRPr="00DD3372">
        <w:rPr>
          <w:lang w:val="es-ES_tradnl"/>
        </w:rPr>
        <w:tab/>
      </w:r>
      <w:r w:rsidRPr="00C959C6">
        <w:rPr>
          <w:i/>
          <w:lang w:val="es-MX"/>
        </w:rPr>
        <w:t>Cfr.</w:t>
      </w:r>
      <w:r w:rsidRPr="00C959C6">
        <w:rPr>
          <w:lang w:val="es-MX"/>
        </w:rPr>
        <w:t xml:space="preserve"> </w:t>
      </w:r>
      <w:r w:rsidRPr="00C959C6">
        <w:rPr>
          <w:i/>
          <w:lang w:val="es-MX"/>
        </w:rPr>
        <w:t xml:space="preserve">Caso Lagos del Campo Vs. </w:t>
      </w:r>
      <w:r w:rsidRPr="00BA6F15">
        <w:rPr>
          <w:i/>
          <w:lang w:val="es-MX"/>
        </w:rPr>
        <w:t>Perú, supra</w:t>
      </w:r>
      <w:r w:rsidRPr="00C959C6">
        <w:rPr>
          <w:lang w:val="es-MX"/>
        </w:rPr>
        <w:t xml:space="preserve">, párrs. 151, 152 y 153. </w:t>
      </w:r>
    </w:p>
    <w:p w14:paraId="66AA8063" w14:textId="77777777" w:rsidR="00D86616" w:rsidRPr="00ED5B40" w:rsidRDefault="00D86616" w:rsidP="00F83E8F">
      <w:pPr>
        <w:pStyle w:val="FootnoteText"/>
        <w:rPr>
          <w:lang w:val="es-MX"/>
        </w:rPr>
      </w:pPr>
    </w:p>
  </w:footnote>
  <w:footnote w:id="319">
    <w:p w14:paraId="360C4B27" w14:textId="77777777" w:rsidR="00D86616" w:rsidRPr="00BA6F15" w:rsidRDefault="00D86616" w:rsidP="00F83E8F">
      <w:pPr>
        <w:pStyle w:val="FootnoteText"/>
        <w:rPr>
          <w:i/>
          <w:lang w:val="es-CR"/>
        </w:rPr>
      </w:pPr>
      <w:r w:rsidRPr="00DD3372">
        <w:rPr>
          <w:rStyle w:val="FootnoteReference"/>
        </w:rPr>
        <w:footnoteRef/>
      </w:r>
      <w:r w:rsidRPr="00C959C6">
        <w:rPr>
          <w:lang w:val="es-MX"/>
        </w:rPr>
        <w:t xml:space="preserve"> </w:t>
      </w:r>
      <w:r w:rsidRPr="00DD3372">
        <w:rPr>
          <w:lang w:val="es-ES_tradnl"/>
        </w:rPr>
        <w:tab/>
      </w:r>
      <w:r w:rsidRPr="00C959C6">
        <w:rPr>
          <w:i/>
          <w:lang w:val="es-MX"/>
        </w:rPr>
        <w:t>Cfr.</w:t>
      </w:r>
      <w:r w:rsidRPr="00C959C6">
        <w:rPr>
          <w:lang w:val="es-MX"/>
        </w:rPr>
        <w:t xml:space="preserve"> </w:t>
      </w:r>
      <w:r w:rsidRPr="00C959C6">
        <w:rPr>
          <w:i/>
          <w:lang w:val="es-MX"/>
        </w:rPr>
        <w:t xml:space="preserve">Caso Lagos del Campo Vs. </w:t>
      </w:r>
      <w:r w:rsidRPr="00BA6F15">
        <w:rPr>
          <w:i/>
          <w:lang w:val="es-CR"/>
        </w:rPr>
        <w:t xml:space="preserve">Perú, supra </w:t>
      </w:r>
      <w:r w:rsidRPr="00C959C6">
        <w:rPr>
          <w:lang w:val="es-MX"/>
        </w:rPr>
        <w:t xml:space="preserve">, párr. 154. </w:t>
      </w:r>
    </w:p>
    <w:p w14:paraId="10ABF44F" w14:textId="77777777" w:rsidR="00D86616" w:rsidRPr="008F14B6" w:rsidRDefault="00D86616" w:rsidP="00F83E8F">
      <w:pPr>
        <w:pStyle w:val="FootnoteText"/>
        <w:rPr>
          <w:lang w:val="es-ES_tradnl"/>
        </w:rPr>
      </w:pPr>
    </w:p>
  </w:footnote>
  <w:footnote w:id="320">
    <w:p w14:paraId="2FC825B6" w14:textId="77777777" w:rsidR="00D86616" w:rsidRPr="00CF137F" w:rsidRDefault="00D86616" w:rsidP="00F83E8F">
      <w:pPr>
        <w:jc w:val="both"/>
        <w:rPr>
          <w:rFonts w:ascii="Verdana" w:hAnsi="Verdana"/>
          <w:bCs/>
          <w:color w:val="000000"/>
          <w:sz w:val="16"/>
          <w:szCs w:val="16"/>
          <w:lang w:val="es-MX"/>
        </w:rPr>
      </w:pPr>
      <w:r w:rsidRPr="00873AAD">
        <w:rPr>
          <w:rStyle w:val="FootnoteReference"/>
          <w:szCs w:val="20"/>
        </w:rPr>
        <w:footnoteRef/>
      </w:r>
      <w:r w:rsidRPr="00873AAD">
        <w:rPr>
          <w:rFonts w:ascii="Verdana" w:hAnsi="Verdana"/>
          <w:sz w:val="20"/>
          <w:szCs w:val="20"/>
        </w:rPr>
        <w:t xml:space="preserve"> </w:t>
      </w:r>
      <w:r w:rsidRPr="00CF137F">
        <w:rPr>
          <w:rFonts w:ascii="Verdana" w:hAnsi="Verdana"/>
          <w:sz w:val="16"/>
          <w:szCs w:val="16"/>
        </w:rPr>
        <w:tab/>
      </w:r>
      <w:r w:rsidRPr="00CF137F">
        <w:rPr>
          <w:rFonts w:ascii="Verdana" w:eastAsia="Times New Roman" w:hAnsi="Verdana"/>
          <w:bCs/>
          <w:i/>
          <w:color w:val="000000"/>
          <w:sz w:val="16"/>
          <w:szCs w:val="16"/>
          <w:lang w:val="es-MX"/>
        </w:rPr>
        <w:t>Caso Baena Ricardo y otros Vs. Panamá. Fondo, Reparaciones y Costas</w:t>
      </w:r>
      <w:r w:rsidRPr="00CF137F">
        <w:rPr>
          <w:rFonts w:ascii="Verdana" w:eastAsia="Times New Roman" w:hAnsi="Verdana"/>
          <w:bCs/>
          <w:color w:val="000000"/>
          <w:sz w:val="16"/>
          <w:szCs w:val="16"/>
          <w:lang w:val="es-MX"/>
        </w:rPr>
        <w:t>. Sentencia de 2 de febrero de 2001. Serie C No. 72.</w:t>
      </w:r>
    </w:p>
    <w:p w14:paraId="2C5B74A3" w14:textId="77777777" w:rsidR="00D86616" w:rsidRPr="00CF137F" w:rsidRDefault="00D86616" w:rsidP="00F83E8F">
      <w:pPr>
        <w:jc w:val="both"/>
        <w:rPr>
          <w:rFonts w:ascii="Verdana" w:hAnsi="Verdana"/>
          <w:sz w:val="16"/>
          <w:szCs w:val="16"/>
          <w:lang w:val="es-MX"/>
        </w:rPr>
      </w:pPr>
    </w:p>
  </w:footnote>
  <w:footnote w:id="321">
    <w:p w14:paraId="4B96498F" w14:textId="77777777" w:rsidR="00D86616" w:rsidRPr="00CF137F" w:rsidRDefault="00D86616" w:rsidP="00F83E8F">
      <w:pPr>
        <w:jc w:val="both"/>
        <w:rPr>
          <w:rFonts w:ascii="Verdana" w:hAnsi="Verdana"/>
          <w:bCs/>
          <w:color w:val="000000"/>
          <w:sz w:val="16"/>
          <w:szCs w:val="16"/>
          <w:lang w:val="es-MX"/>
        </w:rPr>
      </w:pPr>
      <w:r w:rsidRPr="00873AAD">
        <w:rPr>
          <w:rStyle w:val="FootnoteReference"/>
          <w:szCs w:val="20"/>
        </w:rPr>
        <w:footnoteRef/>
      </w:r>
      <w:r w:rsidRPr="00873AAD">
        <w:rPr>
          <w:rFonts w:ascii="Verdana" w:hAnsi="Verdana"/>
          <w:sz w:val="20"/>
          <w:szCs w:val="20"/>
        </w:rPr>
        <w:t xml:space="preserve"> </w:t>
      </w:r>
      <w:r w:rsidRPr="00CF137F">
        <w:rPr>
          <w:rFonts w:ascii="Verdana" w:hAnsi="Verdana"/>
          <w:sz w:val="16"/>
          <w:szCs w:val="16"/>
        </w:rPr>
        <w:tab/>
      </w:r>
      <w:r w:rsidRPr="00CF137F">
        <w:rPr>
          <w:rFonts w:ascii="Verdana" w:eastAsia="Times New Roman" w:hAnsi="Verdana"/>
          <w:bCs/>
          <w:i/>
          <w:color w:val="000000"/>
          <w:sz w:val="16"/>
          <w:szCs w:val="16"/>
          <w:lang w:val="es-MX"/>
        </w:rPr>
        <w:t xml:space="preserve">Caso </w:t>
      </w:r>
      <w:proofErr w:type="spellStart"/>
      <w:r w:rsidRPr="00CF137F">
        <w:rPr>
          <w:rFonts w:ascii="Verdana" w:eastAsia="Times New Roman" w:hAnsi="Verdana"/>
          <w:bCs/>
          <w:i/>
          <w:color w:val="000000"/>
          <w:sz w:val="16"/>
          <w:szCs w:val="16"/>
          <w:lang w:val="es-MX"/>
        </w:rPr>
        <w:t>Huilca</w:t>
      </w:r>
      <w:proofErr w:type="spellEnd"/>
      <w:r w:rsidRPr="00CF137F">
        <w:rPr>
          <w:rFonts w:ascii="Verdana" w:eastAsia="Times New Roman" w:hAnsi="Verdana"/>
          <w:bCs/>
          <w:i/>
          <w:color w:val="000000"/>
          <w:sz w:val="16"/>
          <w:szCs w:val="16"/>
          <w:lang w:val="es-MX"/>
        </w:rPr>
        <w:t xml:space="preserve"> </w:t>
      </w:r>
      <w:proofErr w:type="spellStart"/>
      <w:r w:rsidRPr="00CF137F">
        <w:rPr>
          <w:rFonts w:ascii="Verdana" w:eastAsia="Times New Roman" w:hAnsi="Verdana"/>
          <w:bCs/>
          <w:i/>
          <w:color w:val="000000"/>
          <w:sz w:val="16"/>
          <w:szCs w:val="16"/>
          <w:lang w:val="es-MX"/>
        </w:rPr>
        <w:t>Tecse</w:t>
      </w:r>
      <w:proofErr w:type="spellEnd"/>
      <w:r w:rsidRPr="00CF137F">
        <w:rPr>
          <w:rFonts w:ascii="Verdana" w:eastAsia="Times New Roman" w:hAnsi="Verdana"/>
          <w:bCs/>
          <w:i/>
          <w:color w:val="000000"/>
          <w:sz w:val="16"/>
          <w:szCs w:val="16"/>
          <w:lang w:val="es-MX"/>
        </w:rPr>
        <w:t xml:space="preserve"> Vs. Perú. Fondo, Reparaciones y Costas</w:t>
      </w:r>
      <w:r w:rsidRPr="00CF137F">
        <w:rPr>
          <w:rFonts w:ascii="Verdana" w:eastAsia="Times New Roman" w:hAnsi="Verdana"/>
          <w:bCs/>
          <w:color w:val="000000"/>
          <w:sz w:val="16"/>
          <w:szCs w:val="16"/>
          <w:lang w:val="es-MX"/>
        </w:rPr>
        <w:t>. Sentencia de 3 de marzo de 2005. Serie C No. 121.</w:t>
      </w:r>
    </w:p>
    <w:p w14:paraId="5F90E391" w14:textId="77777777" w:rsidR="00D86616" w:rsidRPr="00CF137F" w:rsidRDefault="00D86616" w:rsidP="00F83E8F">
      <w:pPr>
        <w:jc w:val="both"/>
        <w:rPr>
          <w:rFonts w:ascii="Verdana" w:hAnsi="Verdana"/>
          <w:sz w:val="16"/>
          <w:szCs w:val="16"/>
          <w:lang w:val="es-MX"/>
        </w:rPr>
      </w:pPr>
    </w:p>
  </w:footnote>
  <w:footnote w:id="322">
    <w:p w14:paraId="54770BBD" w14:textId="77777777" w:rsidR="00D86616" w:rsidRPr="00CF137F" w:rsidRDefault="00D86616" w:rsidP="00F83E8F">
      <w:pPr>
        <w:jc w:val="both"/>
        <w:rPr>
          <w:rFonts w:ascii="Verdana" w:hAnsi="Verdana"/>
          <w:bCs/>
          <w:color w:val="000000"/>
          <w:sz w:val="16"/>
          <w:szCs w:val="16"/>
          <w:lang w:val="es-MX"/>
        </w:rPr>
      </w:pPr>
      <w:r w:rsidRPr="00873AAD">
        <w:rPr>
          <w:rStyle w:val="FootnoteReference"/>
          <w:szCs w:val="20"/>
        </w:rPr>
        <w:footnoteRef/>
      </w:r>
      <w:r w:rsidRPr="00873AAD">
        <w:rPr>
          <w:rFonts w:ascii="Verdana" w:hAnsi="Verdana"/>
          <w:sz w:val="20"/>
          <w:szCs w:val="20"/>
        </w:rPr>
        <w:t xml:space="preserve"> </w:t>
      </w:r>
      <w:r w:rsidRPr="00CF137F">
        <w:rPr>
          <w:rFonts w:ascii="Verdana" w:hAnsi="Verdana"/>
          <w:sz w:val="16"/>
          <w:szCs w:val="16"/>
        </w:rPr>
        <w:tab/>
      </w:r>
      <w:r w:rsidRPr="00CF137F">
        <w:rPr>
          <w:rFonts w:ascii="Verdana" w:eastAsia="Times New Roman" w:hAnsi="Verdana"/>
          <w:bCs/>
          <w:i/>
          <w:color w:val="000000"/>
          <w:sz w:val="16"/>
          <w:szCs w:val="16"/>
          <w:lang w:val="es-MX"/>
        </w:rPr>
        <w:t xml:space="preserve">Caso Cantoral </w:t>
      </w:r>
      <w:proofErr w:type="spellStart"/>
      <w:r w:rsidRPr="00CF137F">
        <w:rPr>
          <w:rFonts w:ascii="Verdana" w:eastAsia="Times New Roman" w:hAnsi="Verdana"/>
          <w:bCs/>
          <w:i/>
          <w:color w:val="000000"/>
          <w:sz w:val="16"/>
          <w:szCs w:val="16"/>
          <w:lang w:val="es-MX"/>
        </w:rPr>
        <w:t>Huamaní</w:t>
      </w:r>
      <w:proofErr w:type="spellEnd"/>
      <w:r w:rsidRPr="00CF137F">
        <w:rPr>
          <w:rFonts w:ascii="Verdana" w:eastAsia="Times New Roman" w:hAnsi="Verdana"/>
          <w:bCs/>
          <w:i/>
          <w:color w:val="000000"/>
          <w:sz w:val="16"/>
          <w:szCs w:val="16"/>
          <w:lang w:val="es-MX"/>
        </w:rPr>
        <w:t xml:space="preserve"> y García Santa Cruz Vs. Perú. Excepción Preliminar, Fondo, Reparaciones y Costas</w:t>
      </w:r>
      <w:r w:rsidRPr="00CF137F">
        <w:rPr>
          <w:rFonts w:ascii="Verdana" w:eastAsia="Times New Roman" w:hAnsi="Verdana"/>
          <w:bCs/>
          <w:color w:val="000000"/>
          <w:sz w:val="16"/>
          <w:szCs w:val="16"/>
          <w:lang w:val="es-MX"/>
        </w:rPr>
        <w:t>. Sentencia de 10 de julio de 2007. Serie C No. 167.</w:t>
      </w:r>
    </w:p>
    <w:p w14:paraId="760A383C" w14:textId="77777777" w:rsidR="00D86616" w:rsidRPr="00CF137F" w:rsidRDefault="00D86616" w:rsidP="00F83E8F">
      <w:pPr>
        <w:jc w:val="both"/>
        <w:rPr>
          <w:rFonts w:ascii="Verdana" w:hAnsi="Verdana"/>
          <w:sz w:val="16"/>
          <w:szCs w:val="16"/>
          <w:lang w:val="es-MX"/>
        </w:rPr>
      </w:pPr>
    </w:p>
  </w:footnote>
  <w:footnote w:id="323">
    <w:p w14:paraId="011C4931" w14:textId="77777777" w:rsidR="00D86616" w:rsidRPr="00CF137F" w:rsidRDefault="00D86616" w:rsidP="00F83E8F">
      <w:pPr>
        <w:pStyle w:val="FootnoteText"/>
        <w:spacing w:after="120"/>
        <w:rPr>
          <w:rFonts w:eastAsiaTheme="minorEastAsia"/>
          <w:bCs/>
          <w:lang w:val="es-ES_tradnl" w:eastAsia="ja-JP"/>
        </w:rPr>
      </w:pPr>
      <w:r w:rsidRPr="00CF137F">
        <w:rPr>
          <w:rStyle w:val="FootnoteReference"/>
          <w:lang w:val="es-ES_tradnl"/>
        </w:rPr>
        <w:footnoteRef/>
      </w:r>
      <w:r w:rsidRPr="00CF137F">
        <w:rPr>
          <w:vertAlign w:val="superscript"/>
          <w:lang w:val="es-ES_tradnl"/>
        </w:rPr>
        <w:t xml:space="preserve"> </w:t>
      </w:r>
      <w:r w:rsidRPr="00CF137F">
        <w:rPr>
          <w:lang w:val="es-ES_tradnl"/>
        </w:rPr>
        <w:tab/>
      </w:r>
      <w:r w:rsidRPr="00CF137F">
        <w:rPr>
          <w:rFonts w:eastAsiaTheme="minorEastAsia"/>
          <w:bCs/>
          <w:i/>
          <w:lang w:val="es-ES_tradnl" w:eastAsia="ja-JP"/>
        </w:rPr>
        <w:t>Caso Baena Ricardo y otros Vs. Panamá</w:t>
      </w:r>
      <w:r>
        <w:rPr>
          <w:rFonts w:eastAsiaTheme="minorEastAsia"/>
          <w:bCs/>
          <w:i/>
          <w:lang w:val="es-ES_tradnl" w:eastAsia="ja-JP"/>
        </w:rPr>
        <w:t xml:space="preserve">, supra, </w:t>
      </w:r>
      <w:r w:rsidRPr="00CF137F">
        <w:rPr>
          <w:rFonts w:eastAsiaTheme="minorEastAsia"/>
          <w:bCs/>
          <w:lang w:val="es-ES_tradnl" w:eastAsia="ja-JP"/>
        </w:rPr>
        <w:t xml:space="preserve">párr. 156. </w:t>
      </w:r>
    </w:p>
  </w:footnote>
  <w:footnote w:id="324">
    <w:p w14:paraId="353085CA" w14:textId="77777777" w:rsidR="00D86616" w:rsidRPr="00CF137F" w:rsidRDefault="00D86616" w:rsidP="00F83E8F">
      <w:pPr>
        <w:pStyle w:val="FootnoteText"/>
        <w:spacing w:after="120"/>
        <w:rPr>
          <w:rFonts w:eastAsiaTheme="minorEastAsia"/>
          <w:bCs/>
          <w:lang w:val="es-ES_tradnl" w:eastAsia="ja-JP"/>
        </w:rPr>
      </w:pPr>
      <w:r w:rsidRPr="00CF137F">
        <w:rPr>
          <w:rStyle w:val="FootnoteReference"/>
          <w:lang w:val="es-ES_tradnl"/>
        </w:rPr>
        <w:footnoteRef/>
      </w:r>
      <w:r w:rsidRPr="00CF137F">
        <w:rPr>
          <w:vertAlign w:val="superscript"/>
          <w:lang w:val="es-ES_tradnl"/>
        </w:rPr>
        <w:t xml:space="preserve"> </w:t>
      </w:r>
      <w:r w:rsidRPr="00CF137F">
        <w:rPr>
          <w:lang w:val="es-ES_tradnl"/>
        </w:rPr>
        <w:tab/>
      </w:r>
      <w:r w:rsidRPr="00CF137F">
        <w:rPr>
          <w:rFonts w:eastAsiaTheme="minorEastAsia"/>
          <w:bCs/>
          <w:i/>
          <w:lang w:val="es-ES_tradnl" w:eastAsia="ja-JP"/>
        </w:rPr>
        <w:t>Caso Baena Ricardo y otros Vs. Panamá</w:t>
      </w:r>
      <w:r>
        <w:rPr>
          <w:rFonts w:eastAsiaTheme="minorEastAsia"/>
          <w:bCs/>
          <w:i/>
          <w:lang w:val="es-ES_tradnl" w:eastAsia="ja-JP"/>
        </w:rPr>
        <w:t xml:space="preserve">, supra, </w:t>
      </w:r>
      <w:r w:rsidRPr="00CF137F">
        <w:rPr>
          <w:rFonts w:eastAsiaTheme="minorEastAsia"/>
          <w:bCs/>
          <w:lang w:val="es-ES_tradnl" w:eastAsia="ja-JP"/>
        </w:rPr>
        <w:t xml:space="preserve">párr. 157 y </w:t>
      </w:r>
      <w:r w:rsidRPr="00CF137F">
        <w:rPr>
          <w:rFonts w:eastAsiaTheme="minorEastAsia"/>
          <w:bCs/>
          <w:i/>
          <w:lang w:val="es-ES_tradnl" w:eastAsia="ja-JP"/>
        </w:rPr>
        <w:t>Caso Huilca Tecse Vs. Perú</w:t>
      </w:r>
      <w:r>
        <w:rPr>
          <w:rFonts w:eastAsiaTheme="minorEastAsia"/>
          <w:bCs/>
          <w:i/>
          <w:lang w:val="es-ES_tradnl" w:eastAsia="ja-JP"/>
        </w:rPr>
        <w:t>, supra</w:t>
      </w:r>
      <w:r w:rsidRPr="00CF137F">
        <w:rPr>
          <w:rFonts w:eastAsiaTheme="minorEastAsia"/>
          <w:bCs/>
          <w:lang w:val="es-ES_tradnl" w:eastAsia="ja-JP"/>
        </w:rPr>
        <w:t>, párr. 73.</w:t>
      </w:r>
    </w:p>
  </w:footnote>
  <w:footnote w:id="325">
    <w:p w14:paraId="21895793" w14:textId="77777777" w:rsidR="00D86616" w:rsidRPr="00CF137F" w:rsidRDefault="00D86616" w:rsidP="00F83E8F">
      <w:pPr>
        <w:pStyle w:val="FootnoteText"/>
        <w:spacing w:after="120"/>
        <w:rPr>
          <w:rFonts w:eastAsiaTheme="minorEastAsia"/>
          <w:bCs/>
          <w:lang w:val="es-ES_tradnl" w:eastAsia="ja-JP"/>
        </w:rPr>
      </w:pPr>
      <w:r w:rsidRPr="00CF137F">
        <w:rPr>
          <w:rStyle w:val="FootnoteReference"/>
          <w:lang w:val="es-ES_tradnl"/>
        </w:rPr>
        <w:footnoteRef/>
      </w:r>
      <w:r w:rsidRPr="00CF137F">
        <w:rPr>
          <w:vertAlign w:val="superscript"/>
          <w:lang w:val="es-ES_tradnl"/>
        </w:rPr>
        <w:t xml:space="preserve"> </w:t>
      </w:r>
      <w:r w:rsidRPr="00CF137F">
        <w:rPr>
          <w:lang w:val="es-ES_tradnl"/>
        </w:rPr>
        <w:tab/>
        <w:t xml:space="preserve">Además, la Corte en ese mismo caso, consideró que la Convención Americana es muy clara al señalar, en el articulo 16, que la libertad de asociación sólo puede estar sujeta a restricciones previstas por la ley, que sean necesarias en una sociedad democrática y, que se establezcan en interés de la seguridad nacional, del orden público, de la salud o de la moral públicas o de los derechos o libertades de los demás. </w:t>
      </w:r>
      <w:r w:rsidRPr="00CF137F">
        <w:rPr>
          <w:rFonts w:eastAsiaTheme="minorEastAsia"/>
          <w:bCs/>
          <w:i/>
          <w:lang w:val="es-ES_tradnl" w:eastAsia="ja-JP"/>
        </w:rPr>
        <w:t>Caso Baena Ricardo y otros Vs. Panamá</w:t>
      </w:r>
      <w:r>
        <w:rPr>
          <w:rFonts w:eastAsiaTheme="minorEastAsia"/>
          <w:bCs/>
          <w:i/>
          <w:lang w:val="es-ES_tradnl" w:eastAsia="ja-JP"/>
        </w:rPr>
        <w:t>, supra</w:t>
      </w:r>
      <w:r w:rsidRPr="00CF137F">
        <w:rPr>
          <w:rFonts w:eastAsiaTheme="minorEastAsia"/>
          <w:bCs/>
          <w:lang w:val="es-ES_tradnl" w:eastAsia="ja-JP"/>
        </w:rPr>
        <w:t xml:space="preserve">, párr. 168. </w:t>
      </w:r>
    </w:p>
  </w:footnote>
  <w:footnote w:id="326">
    <w:p w14:paraId="2CF1626E" w14:textId="77777777" w:rsidR="00D86616" w:rsidRPr="00CF137F" w:rsidRDefault="00D86616" w:rsidP="00F83E8F">
      <w:pPr>
        <w:pStyle w:val="FootnoteText"/>
        <w:spacing w:after="120"/>
        <w:rPr>
          <w:rFonts w:eastAsiaTheme="minorEastAsia"/>
          <w:bCs/>
          <w:lang w:val="es-ES_tradnl" w:eastAsia="ja-JP"/>
        </w:rPr>
      </w:pPr>
      <w:r w:rsidRPr="00CF137F">
        <w:rPr>
          <w:rStyle w:val="FootnoteReference"/>
          <w:lang w:val="es-ES_tradnl"/>
        </w:rPr>
        <w:footnoteRef/>
      </w:r>
      <w:r w:rsidRPr="00CF137F">
        <w:rPr>
          <w:vertAlign w:val="superscript"/>
          <w:lang w:val="es-ES_tradnl"/>
        </w:rPr>
        <w:t xml:space="preserve"> </w:t>
      </w:r>
      <w:r w:rsidRPr="00CF137F">
        <w:rPr>
          <w:lang w:val="es-ES_tradnl"/>
        </w:rPr>
        <w:tab/>
      </w:r>
      <w:r w:rsidRPr="00CF137F">
        <w:rPr>
          <w:rFonts w:eastAsiaTheme="minorEastAsia"/>
          <w:bCs/>
          <w:i/>
          <w:lang w:val="es-ES_tradnl" w:eastAsia="ja-JP"/>
        </w:rPr>
        <w:t>Caso Baena Ricardo y otros Vs. Panamá</w:t>
      </w:r>
      <w:r>
        <w:rPr>
          <w:rFonts w:eastAsiaTheme="minorEastAsia"/>
          <w:bCs/>
          <w:i/>
          <w:lang w:val="es-ES_tradnl" w:eastAsia="ja-JP"/>
        </w:rPr>
        <w:t xml:space="preserve">, supra, </w:t>
      </w:r>
      <w:r w:rsidRPr="00CF137F">
        <w:rPr>
          <w:rFonts w:eastAsiaTheme="minorEastAsia"/>
          <w:bCs/>
          <w:lang w:val="es-ES_tradnl" w:eastAsia="ja-JP"/>
        </w:rPr>
        <w:t>párr. 158.</w:t>
      </w:r>
    </w:p>
  </w:footnote>
  <w:footnote w:id="327">
    <w:p w14:paraId="4359E4C0" w14:textId="77777777" w:rsidR="00D86616" w:rsidRPr="00CF137F" w:rsidRDefault="00D86616" w:rsidP="00F83E8F">
      <w:pPr>
        <w:pStyle w:val="FootnoteText"/>
        <w:spacing w:after="120"/>
        <w:rPr>
          <w:rFonts w:eastAsiaTheme="minorEastAsia"/>
          <w:bCs/>
          <w:lang w:val="es-ES_tradnl" w:eastAsia="ja-JP"/>
        </w:rPr>
      </w:pPr>
      <w:r w:rsidRPr="00CF137F">
        <w:rPr>
          <w:rStyle w:val="FootnoteReference"/>
          <w:lang w:val="es-ES_tradnl"/>
        </w:rPr>
        <w:footnoteRef/>
      </w:r>
      <w:r w:rsidRPr="00CF137F">
        <w:rPr>
          <w:vertAlign w:val="superscript"/>
          <w:lang w:val="es-ES_tradnl"/>
        </w:rPr>
        <w:t xml:space="preserve"> </w:t>
      </w:r>
      <w:r w:rsidRPr="00CF137F">
        <w:rPr>
          <w:lang w:val="es-ES_tradnl"/>
        </w:rPr>
        <w:tab/>
      </w:r>
      <w:r w:rsidRPr="00CF137F">
        <w:rPr>
          <w:rFonts w:eastAsiaTheme="minorEastAsia"/>
          <w:bCs/>
          <w:i/>
          <w:lang w:val="es-ES_tradnl" w:eastAsia="ja-JP"/>
        </w:rPr>
        <w:t>Caso Huilca Tecse Vs. Perú</w:t>
      </w:r>
      <w:r>
        <w:rPr>
          <w:rFonts w:eastAsiaTheme="minorEastAsia"/>
          <w:bCs/>
          <w:i/>
          <w:lang w:val="es-ES_tradnl" w:eastAsia="ja-JP"/>
        </w:rPr>
        <w:t xml:space="preserve">, supra, </w:t>
      </w:r>
      <w:r w:rsidRPr="00CF137F">
        <w:rPr>
          <w:rFonts w:eastAsiaTheme="minorEastAsia"/>
          <w:bCs/>
          <w:lang w:val="es-ES_tradnl" w:eastAsia="ja-JP"/>
        </w:rPr>
        <w:t xml:space="preserve">párr. 67. </w:t>
      </w:r>
    </w:p>
  </w:footnote>
  <w:footnote w:id="328">
    <w:p w14:paraId="6AA96038" w14:textId="7957BBDD" w:rsidR="00D86616" w:rsidRPr="00CF137F" w:rsidRDefault="00D86616" w:rsidP="00F83E8F">
      <w:pPr>
        <w:pStyle w:val="NormalWeb"/>
        <w:spacing w:before="0" w:beforeAutospacing="0" w:after="120" w:afterAutospacing="0"/>
        <w:jc w:val="both"/>
        <w:rPr>
          <w:rFonts w:ascii="Verdana" w:hAnsi="Verdana"/>
          <w:sz w:val="16"/>
          <w:szCs w:val="16"/>
          <w:lang w:val="es-ES_tradnl"/>
        </w:rPr>
      </w:pPr>
      <w:r w:rsidRPr="00CB3D61">
        <w:rPr>
          <w:rStyle w:val="FootnoteReference"/>
          <w:rFonts w:eastAsia="Batang"/>
          <w:szCs w:val="16"/>
          <w:lang w:val="es-ES_tradnl" w:eastAsia="es-ES"/>
        </w:rPr>
        <w:footnoteRef/>
      </w:r>
      <w:r w:rsidRPr="00CB3D61">
        <w:rPr>
          <w:rStyle w:val="FootnoteReference"/>
          <w:rFonts w:eastAsia="Batang"/>
          <w:lang w:eastAsia="es-ES"/>
        </w:rPr>
        <w:t xml:space="preserve"> </w:t>
      </w:r>
      <w:r w:rsidR="00430DEE">
        <w:rPr>
          <w:rFonts w:ascii="Verdana" w:hAnsi="Verdana"/>
          <w:sz w:val="16"/>
          <w:szCs w:val="16"/>
          <w:vertAlign w:val="superscript"/>
          <w:lang w:val="es-ES_tradnl"/>
        </w:rPr>
        <w:t xml:space="preserve"> </w:t>
      </w:r>
      <w:r w:rsidR="00430DEE">
        <w:rPr>
          <w:rFonts w:ascii="Verdana" w:hAnsi="Verdana"/>
          <w:bCs/>
          <w:i/>
          <w:sz w:val="16"/>
          <w:szCs w:val="16"/>
          <w:lang w:val="es-ES_tradnl" w:eastAsia="ja-JP"/>
        </w:rPr>
        <w:t xml:space="preserve">      </w:t>
      </w:r>
      <w:r w:rsidRPr="00CF137F">
        <w:rPr>
          <w:rFonts w:ascii="Verdana" w:hAnsi="Verdana"/>
          <w:bCs/>
          <w:i/>
          <w:sz w:val="16"/>
          <w:szCs w:val="16"/>
          <w:lang w:val="es-ES_tradnl" w:eastAsia="ja-JP"/>
        </w:rPr>
        <w:t xml:space="preserve">Caso </w:t>
      </w:r>
      <w:proofErr w:type="spellStart"/>
      <w:r w:rsidRPr="00CF137F">
        <w:rPr>
          <w:rFonts w:ascii="Verdana" w:hAnsi="Verdana"/>
          <w:bCs/>
          <w:i/>
          <w:sz w:val="16"/>
          <w:szCs w:val="16"/>
          <w:lang w:val="es-ES_tradnl" w:eastAsia="ja-JP"/>
        </w:rPr>
        <w:t>Huilca</w:t>
      </w:r>
      <w:proofErr w:type="spellEnd"/>
      <w:r w:rsidRPr="00CF137F">
        <w:rPr>
          <w:rFonts w:ascii="Verdana" w:hAnsi="Verdana"/>
          <w:bCs/>
          <w:i/>
          <w:sz w:val="16"/>
          <w:szCs w:val="16"/>
          <w:lang w:val="es-ES_tradnl" w:eastAsia="ja-JP"/>
        </w:rPr>
        <w:t xml:space="preserve"> </w:t>
      </w:r>
      <w:proofErr w:type="spellStart"/>
      <w:r w:rsidRPr="00CF137F">
        <w:rPr>
          <w:rFonts w:ascii="Verdana" w:hAnsi="Verdana"/>
          <w:bCs/>
          <w:i/>
          <w:sz w:val="16"/>
          <w:szCs w:val="16"/>
          <w:lang w:val="es-ES_tradnl" w:eastAsia="ja-JP"/>
        </w:rPr>
        <w:t>Tecse</w:t>
      </w:r>
      <w:proofErr w:type="spellEnd"/>
      <w:r w:rsidRPr="00CF137F">
        <w:rPr>
          <w:rFonts w:ascii="Verdana" w:hAnsi="Verdana"/>
          <w:bCs/>
          <w:i/>
          <w:sz w:val="16"/>
          <w:szCs w:val="16"/>
          <w:lang w:val="es-ES_tradnl" w:eastAsia="ja-JP"/>
        </w:rPr>
        <w:t xml:space="preserve"> Vs. Perú</w:t>
      </w:r>
      <w:r>
        <w:rPr>
          <w:rFonts w:ascii="Verdana" w:hAnsi="Verdana"/>
          <w:bCs/>
          <w:i/>
          <w:sz w:val="16"/>
          <w:szCs w:val="16"/>
          <w:lang w:val="es-ES_tradnl" w:eastAsia="ja-JP"/>
        </w:rPr>
        <w:t>,</w:t>
      </w:r>
      <w:r w:rsidRPr="00CF137F">
        <w:rPr>
          <w:rFonts w:ascii="Verdana" w:hAnsi="Verdana"/>
          <w:bCs/>
          <w:i/>
          <w:sz w:val="16"/>
          <w:szCs w:val="16"/>
          <w:lang w:val="es-ES_tradnl" w:eastAsia="ja-JP"/>
        </w:rPr>
        <w:t xml:space="preserve"> </w:t>
      </w:r>
      <w:r>
        <w:rPr>
          <w:rFonts w:ascii="Verdana" w:hAnsi="Verdana"/>
          <w:bCs/>
          <w:i/>
          <w:sz w:val="16"/>
          <w:szCs w:val="16"/>
          <w:lang w:val="es-ES_tradnl" w:eastAsia="ja-JP"/>
        </w:rPr>
        <w:t xml:space="preserve">supra, </w:t>
      </w:r>
      <w:r w:rsidRPr="00CF137F">
        <w:rPr>
          <w:rFonts w:ascii="Verdana" w:hAnsi="Verdana"/>
          <w:bCs/>
          <w:sz w:val="16"/>
          <w:szCs w:val="16"/>
          <w:lang w:val="es-ES_tradnl" w:eastAsia="ja-JP"/>
        </w:rPr>
        <w:t xml:space="preserve">párr. 69. </w:t>
      </w:r>
    </w:p>
  </w:footnote>
  <w:footnote w:id="329">
    <w:p w14:paraId="7EDD2AFE" w14:textId="77777777" w:rsidR="00D86616" w:rsidRPr="00CF137F" w:rsidRDefault="00D86616" w:rsidP="00F83E8F">
      <w:pPr>
        <w:pStyle w:val="FootnoteText"/>
        <w:spacing w:after="120"/>
        <w:rPr>
          <w:rFonts w:eastAsiaTheme="minorEastAsia"/>
          <w:bCs/>
          <w:lang w:val="es-ES_tradnl" w:eastAsia="ja-JP"/>
        </w:rPr>
      </w:pPr>
      <w:r w:rsidRPr="00CF137F">
        <w:rPr>
          <w:rStyle w:val="FootnoteReference"/>
          <w:lang w:val="es-ES_tradnl"/>
        </w:rPr>
        <w:footnoteRef/>
      </w:r>
      <w:r w:rsidRPr="00CF137F">
        <w:rPr>
          <w:vertAlign w:val="superscript"/>
          <w:lang w:val="es-ES_tradnl"/>
        </w:rPr>
        <w:t xml:space="preserve"> </w:t>
      </w:r>
      <w:r w:rsidRPr="00CF137F">
        <w:rPr>
          <w:lang w:val="es-ES_tradnl"/>
        </w:rPr>
        <w:tab/>
      </w:r>
      <w:r w:rsidRPr="00CF137F">
        <w:rPr>
          <w:rFonts w:eastAsiaTheme="minorEastAsia"/>
          <w:bCs/>
          <w:i/>
          <w:lang w:val="es-ES_tradnl" w:eastAsia="ja-JP"/>
        </w:rPr>
        <w:t>Caso Huilca Tecse Vs. Perú</w:t>
      </w:r>
      <w:r>
        <w:rPr>
          <w:rFonts w:eastAsiaTheme="minorEastAsia"/>
          <w:bCs/>
          <w:i/>
          <w:lang w:val="es-ES_tradnl" w:eastAsia="ja-JP"/>
        </w:rPr>
        <w:t xml:space="preserve">, supra, </w:t>
      </w:r>
      <w:r w:rsidRPr="00CF137F">
        <w:rPr>
          <w:rFonts w:eastAsiaTheme="minorEastAsia"/>
          <w:bCs/>
          <w:lang w:val="es-ES_tradnl" w:eastAsia="ja-JP"/>
        </w:rPr>
        <w:t>párr</w:t>
      </w:r>
      <w:r>
        <w:rPr>
          <w:rFonts w:eastAsiaTheme="minorEastAsia"/>
          <w:bCs/>
          <w:lang w:val="es-ES_tradnl" w:eastAsia="ja-JP"/>
        </w:rPr>
        <w:t>s</w:t>
      </w:r>
      <w:r w:rsidRPr="00CF137F">
        <w:rPr>
          <w:rFonts w:eastAsiaTheme="minorEastAsia"/>
          <w:bCs/>
          <w:lang w:val="es-ES_tradnl" w:eastAsia="ja-JP"/>
        </w:rPr>
        <w:t xml:space="preserve">. </w:t>
      </w:r>
      <w:r>
        <w:rPr>
          <w:rFonts w:eastAsiaTheme="minorEastAsia"/>
          <w:bCs/>
          <w:lang w:val="es-ES_tradnl" w:eastAsia="ja-JP"/>
        </w:rPr>
        <w:t>70, 71 y 72.</w:t>
      </w:r>
    </w:p>
  </w:footnote>
  <w:footnote w:id="330">
    <w:p w14:paraId="05C74CA3" w14:textId="77777777" w:rsidR="00D86616" w:rsidRPr="00CF137F" w:rsidRDefault="00D86616" w:rsidP="00F83E8F">
      <w:pPr>
        <w:pStyle w:val="FootnoteText"/>
        <w:spacing w:after="120"/>
        <w:rPr>
          <w:rFonts w:eastAsiaTheme="minorEastAsia"/>
          <w:bCs/>
          <w:lang w:val="es-ES_tradnl" w:eastAsia="ja-JP"/>
        </w:rPr>
      </w:pPr>
      <w:r w:rsidRPr="00CF137F">
        <w:rPr>
          <w:rStyle w:val="FootnoteReference"/>
          <w:lang w:val="es-ES_tradnl"/>
        </w:rPr>
        <w:footnoteRef/>
      </w:r>
      <w:r w:rsidRPr="00CF137F">
        <w:rPr>
          <w:vertAlign w:val="superscript"/>
          <w:lang w:val="es-ES_tradnl"/>
        </w:rPr>
        <w:t xml:space="preserve"> </w:t>
      </w:r>
      <w:r w:rsidRPr="00CF137F">
        <w:rPr>
          <w:lang w:val="es-ES_tradnl"/>
        </w:rPr>
        <w:tab/>
      </w:r>
      <w:r w:rsidRPr="00CF137F">
        <w:rPr>
          <w:rFonts w:eastAsiaTheme="minorEastAsia"/>
          <w:bCs/>
          <w:i/>
          <w:lang w:val="es-ES_tradnl" w:eastAsia="ja-JP"/>
        </w:rPr>
        <w:t>Caso Huilca Tecse Vs. Perú</w:t>
      </w:r>
      <w:r>
        <w:rPr>
          <w:rFonts w:eastAsiaTheme="minorEastAsia"/>
          <w:bCs/>
          <w:i/>
          <w:lang w:val="es-ES_tradnl" w:eastAsia="ja-JP"/>
        </w:rPr>
        <w:t>, supra, párr.74.</w:t>
      </w:r>
      <w:r w:rsidRPr="00CF137F">
        <w:rPr>
          <w:rFonts w:eastAsiaTheme="minorEastAsia"/>
          <w:bCs/>
          <w:lang w:val="es-ES_tradnl" w:eastAsia="ja-JP"/>
        </w:rPr>
        <w:t xml:space="preserve"> </w:t>
      </w:r>
    </w:p>
  </w:footnote>
  <w:footnote w:id="331">
    <w:p w14:paraId="49D3AE27" w14:textId="77777777" w:rsidR="00D86616" w:rsidRPr="00CF137F" w:rsidRDefault="00D86616" w:rsidP="00F83E8F">
      <w:pPr>
        <w:pStyle w:val="FootnoteText"/>
        <w:spacing w:after="120"/>
        <w:rPr>
          <w:rFonts w:eastAsiaTheme="minorEastAsia"/>
          <w:bCs/>
          <w:lang w:val="es-ES_tradnl" w:eastAsia="ja-JP"/>
        </w:rPr>
      </w:pPr>
      <w:r w:rsidRPr="00CF137F">
        <w:rPr>
          <w:rStyle w:val="FootnoteReference"/>
          <w:lang w:val="es-ES_tradnl"/>
        </w:rPr>
        <w:footnoteRef/>
      </w:r>
      <w:r w:rsidRPr="00CF137F">
        <w:rPr>
          <w:vertAlign w:val="superscript"/>
          <w:lang w:val="es-ES_tradnl"/>
        </w:rPr>
        <w:t xml:space="preserve"> </w:t>
      </w:r>
      <w:r w:rsidRPr="00CF137F">
        <w:rPr>
          <w:lang w:val="es-ES_tradnl"/>
        </w:rPr>
        <w:tab/>
      </w:r>
      <w:r w:rsidRPr="00CF137F">
        <w:rPr>
          <w:rFonts w:eastAsiaTheme="minorEastAsia"/>
          <w:bCs/>
          <w:i/>
          <w:lang w:val="es-ES_tradnl" w:eastAsia="ja-JP"/>
        </w:rPr>
        <w:t>Caso Cantoral Huamaní y García Santa Cruz Vs. Perú</w:t>
      </w:r>
      <w:r>
        <w:rPr>
          <w:rFonts w:eastAsiaTheme="minorEastAsia"/>
          <w:bCs/>
          <w:i/>
          <w:lang w:val="es-ES_tradnl" w:eastAsia="ja-JP"/>
        </w:rPr>
        <w:t xml:space="preserve">, supra, </w:t>
      </w:r>
      <w:r w:rsidRPr="00CF137F">
        <w:rPr>
          <w:rFonts w:eastAsiaTheme="minorEastAsia"/>
          <w:bCs/>
          <w:lang w:val="es-ES_tradnl" w:eastAsia="ja-JP"/>
        </w:rPr>
        <w:t xml:space="preserve">párr. 148. </w:t>
      </w:r>
    </w:p>
  </w:footnote>
  <w:footnote w:id="332">
    <w:p w14:paraId="58CCFD10" w14:textId="77777777" w:rsidR="00D86616" w:rsidRPr="00CF137F" w:rsidRDefault="00D86616" w:rsidP="00F83E8F">
      <w:pPr>
        <w:pStyle w:val="FootnoteText"/>
        <w:spacing w:after="120"/>
        <w:rPr>
          <w:lang w:val="es-ES_tradnl"/>
        </w:rPr>
      </w:pPr>
      <w:r w:rsidRPr="00CF137F">
        <w:rPr>
          <w:rStyle w:val="FootnoteReference"/>
          <w:lang w:val="es-ES_tradnl"/>
        </w:rPr>
        <w:footnoteRef/>
      </w:r>
      <w:r w:rsidRPr="00CF137F">
        <w:rPr>
          <w:vertAlign w:val="superscript"/>
          <w:lang w:val="es-ES_tradnl"/>
        </w:rPr>
        <w:t xml:space="preserve"> </w:t>
      </w:r>
      <w:r w:rsidRPr="00CF137F">
        <w:rPr>
          <w:lang w:val="es-ES_tradnl"/>
        </w:rPr>
        <w:tab/>
      </w:r>
      <w:r w:rsidRPr="00CF137F">
        <w:rPr>
          <w:rFonts w:eastAsiaTheme="minorEastAsia"/>
          <w:bCs/>
          <w:i/>
          <w:lang w:val="es-ES_tradnl" w:eastAsia="ja-JP"/>
        </w:rPr>
        <w:t>Caso Cantoral Huamaní y García Santa Cruz Vs. Perú</w:t>
      </w:r>
      <w:r>
        <w:rPr>
          <w:rFonts w:eastAsiaTheme="minorEastAsia"/>
          <w:bCs/>
          <w:i/>
          <w:lang w:val="es-ES_tradnl" w:eastAsia="ja-JP"/>
        </w:rPr>
        <w:t xml:space="preserve">, supra, </w:t>
      </w:r>
      <w:r w:rsidRPr="00CF137F">
        <w:rPr>
          <w:rFonts w:eastAsiaTheme="minorEastAsia"/>
          <w:bCs/>
          <w:lang w:val="es-ES_tradnl" w:eastAsia="ja-JP"/>
        </w:rPr>
        <w:t xml:space="preserve">párr. 144. </w:t>
      </w:r>
    </w:p>
  </w:footnote>
  <w:footnote w:id="333">
    <w:p w14:paraId="4B15220F" w14:textId="77777777" w:rsidR="00D86616" w:rsidRPr="00CF137F" w:rsidRDefault="00D86616" w:rsidP="00F83E8F">
      <w:pPr>
        <w:pStyle w:val="FootnoteText"/>
        <w:spacing w:after="120"/>
        <w:rPr>
          <w:lang w:val="es-ES_tradnl"/>
        </w:rPr>
      </w:pPr>
      <w:r w:rsidRPr="00CF137F">
        <w:rPr>
          <w:rStyle w:val="FootnoteReference"/>
        </w:rPr>
        <w:footnoteRef/>
      </w:r>
      <w:r w:rsidRPr="00C959C6">
        <w:rPr>
          <w:vertAlign w:val="superscript"/>
          <w:lang w:val="es-MX"/>
        </w:rPr>
        <w:t xml:space="preserve"> </w:t>
      </w:r>
      <w:r w:rsidRPr="00C959C6">
        <w:rPr>
          <w:lang w:val="es-MX"/>
        </w:rPr>
        <w:tab/>
      </w:r>
      <w:r w:rsidRPr="00CF137F">
        <w:rPr>
          <w:rFonts w:cs="Verdana"/>
          <w:bCs/>
          <w:i/>
          <w:lang w:val="es-ES"/>
        </w:rPr>
        <w:t>Titularidad de derechos de las personas jurídicas en el sistema interamericano de derechos humanos (Interpretación y alcance del artículo 1.2, en relación con los artículos 1.1, 8, 11.2, 13, 16, 21, 24, 25, 29, 30, 44, 46, y 62.3 de la Convención Americana sobre Derechos Humanos, así como del artículo 8.1 A y B del Protocolo de San Salvador)</w:t>
      </w:r>
      <w:r w:rsidRPr="00CF137F">
        <w:rPr>
          <w:rFonts w:cs="Verdana"/>
          <w:bCs/>
          <w:lang w:val="es-ES"/>
        </w:rPr>
        <w:t xml:space="preserve">. Opinión Consultiva OC-22/16 de 26 de febrero de 2016. Serie A No. 22, párr. </w:t>
      </w:r>
      <w:r w:rsidRPr="00CF137F">
        <w:rPr>
          <w:lang w:val="es-ES_tradnl"/>
        </w:rPr>
        <w:t xml:space="preserve">92. </w:t>
      </w:r>
    </w:p>
  </w:footnote>
  <w:footnote w:id="334">
    <w:p w14:paraId="04C86BB9" w14:textId="77777777" w:rsidR="00D86616" w:rsidRDefault="00D86616" w:rsidP="00F83E8F">
      <w:pPr>
        <w:pStyle w:val="FootnoteText"/>
        <w:rPr>
          <w:lang w:val="es-MX"/>
        </w:rPr>
      </w:pPr>
      <w:r w:rsidRPr="004D230F">
        <w:rPr>
          <w:rStyle w:val="FootnoteReference"/>
        </w:rPr>
        <w:footnoteRef/>
      </w:r>
      <w:r w:rsidRPr="00BA6F15">
        <w:rPr>
          <w:lang w:val="es-CR"/>
        </w:rPr>
        <w:t xml:space="preserve"> </w:t>
      </w:r>
      <w:r w:rsidRPr="00BA6F15">
        <w:rPr>
          <w:lang w:val="es-CR"/>
        </w:rPr>
        <w:tab/>
      </w:r>
      <w:r w:rsidRPr="00BA6F15">
        <w:rPr>
          <w:i/>
          <w:lang w:val="es-CR"/>
        </w:rPr>
        <w:t>Cfr.</w:t>
      </w:r>
      <w:r w:rsidRPr="00BA6F15">
        <w:rPr>
          <w:lang w:val="es-CR"/>
        </w:rPr>
        <w:t xml:space="preserve"> </w:t>
      </w:r>
      <w:r w:rsidRPr="00BA6F15">
        <w:rPr>
          <w:i/>
          <w:lang w:val="es-CR"/>
        </w:rPr>
        <w:t>Caso Lagos del Campo Vs. Perú, supra</w:t>
      </w:r>
      <w:r w:rsidRPr="00C959C6">
        <w:rPr>
          <w:lang w:val="es-MX"/>
        </w:rPr>
        <w:t>, párr. 162.</w:t>
      </w:r>
    </w:p>
    <w:p w14:paraId="17D95C9F" w14:textId="77777777" w:rsidR="00D86616" w:rsidRPr="008F14B6" w:rsidRDefault="00D86616" w:rsidP="00F83E8F">
      <w:pPr>
        <w:pStyle w:val="FootnoteText"/>
        <w:rPr>
          <w:lang w:val="es-ES_tradnl"/>
        </w:rPr>
      </w:pPr>
    </w:p>
  </w:footnote>
  <w:footnote w:id="335">
    <w:p w14:paraId="08C2ED06" w14:textId="77777777" w:rsidR="00D86616" w:rsidRPr="00360566" w:rsidRDefault="00D86616" w:rsidP="00F83E8F">
      <w:pPr>
        <w:pStyle w:val="FootnoteText"/>
        <w:spacing w:after="120"/>
        <w:rPr>
          <w:lang w:val="es-ES_tradnl"/>
        </w:rPr>
      </w:pPr>
      <w:r w:rsidRPr="00360566">
        <w:rPr>
          <w:rStyle w:val="FootnoteReference"/>
        </w:rPr>
        <w:footnoteRef/>
      </w:r>
      <w:r w:rsidRPr="00360566">
        <w:rPr>
          <w:lang w:val="es-MX"/>
        </w:rPr>
        <w:t xml:space="preserve"> </w:t>
      </w:r>
      <w:r w:rsidRPr="00360566">
        <w:rPr>
          <w:lang w:val="es-MX"/>
        </w:rPr>
        <w:tab/>
      </w:r>
      <w:r w:rsidRPr="00360566">
        <w:rPr>
          <w:rFonts w:cs="Verdana"/>
          <w:color w:val="191919"/>
          <w:lang w:val="es-ES"/>
        </w:rPr>
        <w:t>E</w:t>
      </w:r>
      <w:r>
        <w:rPr>
          <w:rFonts w:cs="Verdana"/>
          <w:color w:val="191919"/>
          <w:lang w:val="es-ES"/>
        </w:rPr>
        <w:t xml:space="preserve">n este sentido, </w:t>
      </w:r>
      <w:r w:rsidRPr="00360566">
        <w:rPr>
          <w:rFonts w:cs="Verdana"/>
          <w:color w:val="191919"/>
          <w:lang w:val="es-ES"/>
        </w:rPr>
        <w:t>cabe destacar que la propia Sentencia reconoce, de manera sinérgica, la relación existente entre la Declaración Americana de los Derechos y Deberes del Hombre, la Carta de la OEA, la Carta Democrática Interamericana y el Convenio sobre los representantes de los trabajadores de 1971, que también protegen el derecho de los trabajadores a asociarse para la defensa de sus intereses</w:t>
      </w:r>
      <w:r>
        <w:rPr>
          <w:rFonts w:cs="Verdana"/>
          <w:color w:val="191919"/>
          <w:lang w:val="es-ES"/>
        </w:rPr>
        <w:t xml:space="preserve">. </w:t>
      </w:r>
      <w:r w:rsidRPr="00360566">
        <w:rPr>
          <w:i/>
          <w:lang w:val="es-ES_tradnl"/>
        </w:rPr>
        <w:t>Cfr</w:t>
      </w:r>
      <w:r w:rsidRPr="00360566">
        <w:rPr>
          <w:i/>
          <w:lang w:val="es-MX"/>
        </w:rPr>
        <w:t xml:space="preserve"> Caso Lagos del Campo Vs. </w:t>
      </w:r>
      <w:r w:rsidRPr="00360566">
        <w:rPr>
          <w:i/>
          <w:lang w:val="es-CR"/>
        </w:rPr>
        <w:t>Perú, supra</w:t>
      </w:r>
      <w:r w:rsidRPr="00360566">
        <w:rPr>
          <w:lang w:val="es-MX"/>
        </w:rPr>
        <w:t xml:space="preserve">, párr. </w:t>
      </w:r>
      <w:r>
        <w:rPr>
          <w:lang w:val="es-ES_tradnl"/>
        </w:rPr>
        <w:t>158 y nota al pie 230</w:t>
      </w:r>
      <w:r w:rsidRPr="00360566">
        <w:rPr>
          <w:lang w:val="es-ES_tradnl"/>
        </w:rPr>
        <w:t xml:space="preserve">. </w:t>
      </w:r>
    </w:p>
  </w:footnote>
  <w:footnote w:id="336">
    <w:p w14:paraId="390BA791" w14:textId="77777777" w:rsidR="00D86616" w:rsidRPr="00CF137F" w:rsidRDefault="00D86616" w:rsidP="00F83E8F">
      <w:pPr>
        <w:pStyle w:val="FootnoteText"/>
        <w:spacing w:after="120"/>
        <w:rPr>
          <w:lang w:val="es-ES_tradnl"/>
        </w:rPr>
      </w:pPr>
      <w:r w:rsidRPr="00CF137F">
        <w:rPr>
          <w:rStyle w:val="FootnoteReference"/>
        </w:rPr>
        <w:footnoteRef/>
      </w:r>
      <w:r w:rsidRPr="00C959C6">
        <w:rPr>
          <w:lang w:val="es-MX"/>
        </w:rPr>
        <w:t xml:space="preserve"> </w:t>
      </w:r>
      <w:r w:rsidRPr="00C959C6">
        <w:rPr>
          <w:lang w:val="es-MX"/>
        </w:rPr>
        <w:tab/>
      </w:r>
      <w:r w:rsidRPr="00CF137F">
        <w:rPr>
          <w:i/>
          <w:lang w:val="es-ES_tradnl"/>
        </w:rPr>
        <w:t>Cfr</w:t>
      </w:r>
      <w:r w:rsidRPr="00C959C6">
        <w:rPr>
          <w:i/>
          <w:lang w:val="es-MX"/>
        </w:rPr>
        <w:t xml:space="preserve"> Caso Lagos del Campo Vs. </w:t>
      </w:r>
      <w:r w:rsidRPr="00BA6F15">
        <w:rPr>
          <w:i/>
          <w:lang w:val="es-CR"/>
        </w:rPr>
        <w:t>Perú, supra</w:t>
      </w:r>
      <w:r w:rsidRPr="00C959C6">
        <w:rPr>
          <w:lang w:val="es-MX"/>
        </w:rPr>
        <w:t xml:space="preserve">, párr. </w:t>
      </w:r>
      <w:r w:rsidRPr="00CF137F">
        <w:rPr>
          <w:lang w:val="es-ES_tradnl"/>
        </w:rPr>
        <w:t xml:space="preserve">157. </w:t>
      </w:r>
    </w:p>
  </w:footnote>
  <w:footnote w:id="337">
    <w:p w14:paraId="0F283BD9" w14:textId="77777777" w:rsidR="00D86616" w:rsidRPr="00C959C6" w:rsidRDefault="00D86616" w:rsidP="00F83E8F">
      <w:pPr>
        <w:pStyle w:val="FootnoteText"/>
        <w:spacing w:after="120"/>
        <w:rPr>
          <w:lang w:val="es-MX"/>
        </w:rPr>
      </w:pPr>
      <w:r w:rsidRPr="00CF137F">
        <w:rPr>
          <w:rStyle w:val="FootnoteReference"/>
        </w:rPr>
        <w:footnoteRef/>
      </w:r>
      <w:r w:rsidRPr="00C959C6">
        <w:rPr>
          <w:vertAlign w:val="superscript"/>
          <w:lang w:val="es-MX"/>
        </w:rPr>
        <w:t xml:space="preserve"> </w:t>
      </w:r>
      <w:r w:rsidRPr="00C959C6">
        <w:rPr>
          <w:lang w:val="es-MX"/>
        </w:rPr>
        <w:tab/>
      </w:r>
      <w:r w:rsidRPr="00CF137F">
        <w:rPr>
          <w:i/>
          <w:lang w:val="es-ES_tradnl"/>
        </w:rPr>
        <w:t>Cfr</w:t>
      </w:r>
      <w:r w:rsidRPr="00CF137F">
        <w:rPr>
          <w:lang w:val="es-ES_tradnl"/>
        </w:rPr>
        <w:t xml:space="preserve">. </w:t>
      </w:r>
      <w:r w:rsidRPr="00C959C6">
        <w:rPr>
          <w:i/>
          <w:lang w:val="es-MX"/>
        </w:rPr>
        <w:t xml:space="preserve">Caso Lagos del Campo Vs. </w:t>
      </w:r>
      <w:r w:rsidRPr="00BA6F15">
        <w:rPr>
          <w:i/>
          <w:lang w:val="es-CR"/>
        </w:rPr>
        <w:t>Perú, supra</w:t>
      </w:r>
      <w:r w:rsidRPr="00C959C6">
        <w:rPr>
          <w:lang w:val="es-MX"/>
        </w:rPr>
        <w:t xml:space="preserve">, párr. </w:t>
      </w:r>
      <w:r w:rsidRPr="00CF137F">
        <w:rPr>
          <w:lang w:val="es-ES_tradnl"/>
        </w:rPr>
        <w:t xml:space="preserve">157; </w:t>
      </w:r>
      <w:r w:rsidRPr="00444309">
        <w:rPr>
          <w:rStyle w:val="Strong"/>
          <w:b w:val="0"/>
          <w:i/>
          <w:color w:val="000000"/>
          <w:shd w:val="clear" w:color="auto" w:fill="FFFFFF"/>
          <w:lang w:val="es-CR"/>
        </w:rPr>
        <w:t xml:space="preserve">Caso Baena Ricardo y otros Vs. Panamá, supra, </w:t>
      </w:r>
      <w:r w:rsidRPr="00444309">
        <w:rPr>
          <w:rStyle w:val="Strong"/>
          <w:b w:val="0"/>
          <w:color w:val="000000"/>
          <w:shd w:val="clear" w:color="auto" w:fill="FFFFFF"/>
          <w:lang w:val="es-CR"/>
        </w:rPr>
        <w:t>párrs 156 y 158</w:t>
      </w:r>
      <w:r w:rsidRPr="00444309">
        <w:rPr>
          <w:b/>
          <w:lang w:val="es-EC"/>
        </w:rPr>
        <w:t>;</w:t>
      </w:r>
      <w:r w:rsidRPr="00CF137F">
        <w:rPr>
          <w:lang w:val="es-EC"/>
        </w:rPr>
        <w:t xml:space="preserve"> </w:t>
      </w:r>
      <w:r w:rsidRPr="00CF137F">
        <w:rPr>
          <w:i/>
          <w:lang w:val="es-EC"/>
        </w:rPr>
        <w:t>Caso Huilca Tecse vs. Perú</w:t>
      </w:r>
      <w:r>
        <w:rPr>
          <w:i/>
          <w:lang w:val="es-EC"/>
        </w:rPr>
        <w:t xml:space="preserve">, supra, </w:t>
      </w:r>
      <w:r w:rsidRPr="00CF137F">
        <w:rPr>
          <w:lang w:val="es-EC"/>
        </w:rPr>
        <w:t xml:space="preserve">párrs. 67, 69, 70, 73, 75, 77, y </w:t>
      </w:r>
      <w:r w:rsidRPr="00CF137F">
        <w:rPr>
          <w:i/>
          <w:lang w:val="es-EC"/>
        </w:rPr>
        <w:t>Caso Cantoral Huamaní y García Santa Cruz vs. Perú</w:t>
      </w:r>
      <w:r>
        <w:rPr>
          <w:i/>
          <w:lang w:val="es-EC"/>
        </w:rPr>
        <w:t xml:space="preserve">, supra, </w:t>
      </w:r>
      <w:r w:rsidRPr="00CF137F">
        <w:rPr>
          <w:lang w:val="es-EC"/>
        </w:rPr>
        <w:t xml:space="preserve">párrs. 144, 145, 146 y </w:t>
      </w:r>
      <w:r w:rsidRPr="00C959C6">
        <w:rPr>
          <w:i/>
          <w:lang w:val="es-MX"/>
        </w:rPr>
        <w:t>Cfr.</w:t>
      </w:r>
      <w:r w:rsidRPr="00C959C6">
        <w:rPr>
          <w:lang w:val="es-MX"/>
        </w:rPr>
        <w:t xml:space="preserve"> OIT. Convenio Número 87 Relativo a la Libertad Sindical y a la Protección del Derecho de Sindicación, de 17 de junio de 1948 y Convenio Número 98 Relativo a la Aplicación de los Principios del Derecho de Sindicación y de Negociación Colectiva, de 8 de junio de 1949.</w:t>
      </w:r>
    </w:p>
  </w:footnote>
  <w:footnote w:id="338">
    <w:p w14:paraId="158CA2F7" w14:textId="77777777" w:rsidR="00D86616" w:rsidRPr="00CF137F" w:rsidRDefault="00D86616" w:rsidP="00F83E8F">
      <w:pPr>
        <w:pStyle w:val="NormalWeb"/>
        <w:spacing w:before="0" w:beforeAutospacing="0" w:after="120" w:afterAutospacing="0"/>
        <w:jc w:val="both"/>
        <w:rPr>
          <w:rFonts w:ascii="Verdana" w:hAnsi="Verdana"/>
          <w:sz w:val="16"/>
          <w:szCs w:val="16"/>
        </w:rPr>
      </w:pPr>
      <w:r w:rsidRPr="00444309">
        <w:rPr>
          <w:rStyle w:val="FootnoteReference"/>
          <w:rFonts w:eastAsia="Batang"/>
          <w:szCs w:val="16"/>
          <w:lang w:val="en-US" w:eastAsia="es-ES"/>
        </w:rPr>
        <w:footnoteRef/>
      </w:r>
      <w:r w:rsidRPr="00CB3D61">
        <w:rPr>
          <w:rStyle w:val="FootnoteReference"/>
          <w:rFonts w:eastAsia="Batang"/>
          <w:lang w:eastAsia="es-ES"/>
        </w:rPr>
        <w:t xml:space="preserve"> </w:t>
      </w:r>
      <w:r w:rsidRPr="00CF137F">
        <w:rPr>
          <w:rFonts w:ascii="Verdana" w:hAnsi="Verdana"/>
          <w:sz w:val="16"/>
          <w:szCs w:val="16"/>
        </w:rPr>
        <w:tab/>
        <w:t xml:space="preserve">En consecuencia, la Corte considera que la interpretación más favorable </w:t>
      </w:r>
      <w:r w:rsidRPr="00CF137F">
        <w:rPr>
          <w:rFonts w:ascii="Verdana" w:hAnsi="Verdana"/>
          <w:sz w:val="16"/>
          <w:szCs w:val="16"/>
          <w:u w:val="single"/>
        </w:rPr>
        <w:t>del artículo 8.1.a conlleva entender que all</w:t>
      </w:r>
      <w:r>
        <w:rPr>
          <w:rFonts w:ascii="Verdana" w:hAnsi="Verdana"/>
          <w:sz w:val="16"/>
          <w:szCs w:val="16"/>
          <w:u w:val="single"/>
        </w:rPr>
        <w:t>í</w:t>
      </w:r>
      <w:r w:rsidRPr="00CF137F">
        <w:rPr>
          <w:rFonts w:ascii="Verdana" w:hAnsi="Verdana"/>
          <w:sz w:val="16"/>
          <w:szCs w:val="16"/>
          <w:u w:val="single"/>
        </w:rPr>
        <w:t xml:space="preserve"> </w:t>
      </w:r>
      <w:r w:rsidRPr="00CF137F">
        <w:rPr>
          <w:rFonts w:ascii="Verdana" w:hAnsi="Verdana"/>
          <w:b/>
          <w:sz w:val="16"/>
          <w:szCs w:val="16"/>
          <w:u w:val="single"/>
        </w:rPr>
        <w:t>se consagran derechos</w:t>
      </w:r>
      <w:r w:rsidRPr="00CF137F">
        <w:rPr>
          <w:rFonts w:ascii="Verdana" w:hAnsi="Verdana"/>
          <w:sz w:val="16"/>
          <w:szCs w:val="16"/>
          <w:u w:val="single"/>
        </w:rPr>
        <w:t xml:space="preserve"> a favor de los sindicatos, las federaciones y las confederaciones,</w:t>
      </w:r>
      <w:r w:rsidRPr="00CF137F">
        <w:rPr>
          <w:rFonts w:ascii="Verdana" w:hAnsi="Verdana"/>
          <w:sz w:val="16"/>
          <w:szCs w:val="16"/>
        </w:rPr>
        <w:t xml:space="preserve"> dado que son interlocutores de sus asociados y buscan salvaguardar y velar por sus derechos e intereses. Llegar a una conclusión diferente implicaría excluir el efecto de la Carta de la OEA y, por ende, desfavorecer el goce efectivo de los derechos en ella reconocidos. </w:t>
      </w:r>
      <w:r w:rsidRPr="00CF137F">
        <w:rPr>
          <w:rFonts w:ascii="Verdana" w:hAnsi="Verdana" w:cs="Verdana"/>
          <w:bCs/>
          <w:i/>
          <w:sz w:val="16"/>
          <w:szCs w:val="16"/>
          <w:lang w:val="es-ES"/>
        </w:rPr>
        <w:t>Titularidad de derechos de las personas jurídicas en el sistema interamericano de derechos humanos (Interpretación y alcance del artículo 1.2, en relación con los artículos 1.1, 8, 11.2, 13, 16, 21, 24, 25, 29, 30, 44, 46, y 62.3 de la Convención Americana sobre Derechos Humanos, así como del artículo 8.1 A y B del Protocolo de San Salvador)</w:t>
      </w:r>
      <w:r w:rsidRPr="00CF137F">
        <w:rPr>
          <w:rFonts w:ascii="Verdana" w:hAnsi="Verdana" w:cs="Verdana"/>
          <w:bCs/>
          <w:sz w:val="16"/>
          <w:szCs w:val="16"/>
          <w:lang w:val="es-ES"/>
        </w:rPr>
        <w:t>.</w:t>
      </w:r>
      <w:r>
        <w:rPr>
          <w:rFonts w:ascii="Verdana" w:hAnsi="Verdana" w:cs="Verdana"/>
          <w:bCs/>
          <w:sz w:val="16"/>
          <w:szCs w:val="16"/>
          <w:lang w:val="es-ES"/>
        </w:rPr>
        <w:t xml:space="preserve"> </w:t>
      </w:r>
      <w:r w:rsidRPr="00BA6F15">
        <w:rPr>
          <w:rFonts w:ascii="Verdana" w:hAnsi="Verdana" w:cs="Verdana"/>
          <w:bCs/>
          <w:i/>
          <w:sz w:val="16"/>
          <w:szCs w:val="16"/>
          <w:lang w:val="es-ES"/>
        </w:rPr>
        <w:t>OC-22/16,</w:t>
      </w:r>
      <w:r>
        <w:rPr>
          <w:rFonts w:ascii="Verdana" w:hAnsi="Verdana" w:cs="Verdana"/>
          <w:bCs/>
          <w:i/>
          <w:sz w:val="16"/>
          <w:szCs w:val="16"/>
          <w:lang w:val="es-ES"/>
        </w:rPr>
        <w:t xml:space="preserve"> </w:t>
      </w:r>
      <w:r w:rsidRPr="00BA6F15">
        <w:rPr>
          <w:rFonts w:ascii="Verdana" w:hAnsi="Verdana" w:cs="Verdana"/>
          <w:bCs/>
          <w:i/>
          <w:sz w:val="16"/>
          <w:szCs w:val="16"/>
          <w:lang w:val="es-ES"/>
        </w:rPr>
        <w:t>supra</w:t>
      </w:r>
      <w:r>
        <w:rPr>
          <w:rFonts w:ascii="Verdana" w:hAnsi="Verdana" w:cs="Verdana"/>
          <w:bCs/>
          <w:sz w:val="16"/>
          <w:szCs w:val="16"/>
          <w:lang w:val="es-ES"/>
        </w:rPr>
        <w:t xml:space="preserve">, </w:t>
      </w:r>
      <w:r w:rsidRPr="00CF137F">
        <w:rPr>
          <w:rFonts w:ascii="Verdana" w:hAnsi="Verdana" w:cs="Verdana"/>
          <w:bCs/>
          <w:sz w:val="16"/>
          <w:szCs w:val="16"/>
          <w:lang w:val="es-ES"/>
        </w:rPr>
        <w:t xml:space="preserve">párr. </w:t>
      </w:r>
      <w:r w:rsidRPr="00CF137F">
        <w:rPr>
          <w:rFonts w:ascii="Verdana" w:hAnsi="Verdana"/>
          <w:sz w:val="16"/>
          <w:szCs w:val="16"/>
        </w:rPr>
        <w:t>97.</w:t>
      </w:r>
    </w:p>
  </w:footnote>
  <w:footnote w:id="339">
    <w:p w14:paraId="4F549ADF" w14:textId="77777777" w:rsidR="00D86616" w:rsidRPr="00CF137F" w:rsidRDefault="00D86616" w:rsidP="00F83E8F">
      <w:pPr>
        <w:pStyle w:val="FootnoteText"/>
        <w:spacing w:after="120"/>
        <w:rPr>
          <w:rFonts w:cs="Verdana"/>
          <w:bCs/>
          <w:lang w:val="es-ES"/>
        </w:rPr>
      </w:pPr>
      <w:r w:rsidRPr="00CF137F">
        <w:rPr>
          <w:rStyle w:val="FootnoteReference"/>
        </w:rPr>
        <w:footnoteRef/>
      </w:r>
      <w:r w:rsidRPr="00C959C6">
        <w:rPr>
          <w:lang w:val="es-MX"/>
        </w:rPr>
        <w:t xml:space="preserve"> </w:t>
      </w:r>
      <w:r w:rsidRPr="00CF137F">
        <w:rPr>
          <w:lang w:val="es-ES_tradnl"/>
        </w:rPr>
        <w:tab/>
      </w:r>
      <w:r w:rsidRPr="00CF137F">
        <w:rPr>
          <w:rFonts w:cs="Verdana"/>
          <w:bCs/>
          <w:i/>
          <w:lang w:val="es-ES"/>
        </w:rPr>
        <w:t>Titularidad de derechos de las personas jurídicas en el sistema interamericano de derechos humanos (Interpretación y alcance del artículo 1.2, en relación con los artículos 1.1, 8, 11.2, 13, 16, 21, 24, 25, 29, 30, 44, 46, y 62.3 de la Convención Americana sobre Derechos Humanos, así como del artículo 8.1 A y B del Protocolo de San Salvador)</w:t>
      </w:r>
      <w:r w:rsidRPr="00CF137F">
        <w:rPr>
          <w:rFonts w:cs="Verdana"/>
          <w:bCs/>
          <w:lang w:val="es-ES"/>
        </w:rPr>
        <w:t xml:space="preserve">. </w:t>
      </w:r>
      <w:r w:rsidRPr="00BA6F15">
        <w:rPr>
          <w:rFonts w:cs="Verdana"/>
          <w:bCs/>
          <w:i/>
          <w:lang w:val="es-ES"/>
        </w:rPr>
        <w:t>OC-22/16, supra,</w:t>
      </w:r>
      <w:r>
        <w:rPr>
          <w:rFonts w:cs="Verdana"/>
          <w:bCs/>
          <w:lang w:val="es-ES"/>
        </w:rPr>
        <w:t xml:space="preserve"> </w:t>
      </w:r>
      <w:r w:rsidRPr="00CF137F">
        <w:rPr>
          <w:rFonts w:cs="Verdana"/>
          <w:bCs/>
          <w:lang w:val="es-ES"/>
        </w:rPr>
        <w:t xml:space="preserve">párr. 101 y 102. </w:t>
      </w:r>
    </w:p>
  </w:footnote>
  <w:footnote w:id="340">
    <w:p w14:paraId="7BC63F3D" w14:textId="77777777" w:rsidR="00D86616" w:rsidRPr="00CF137F" w:rsidRDefault="00D86616" w:rsidP="00F83E8F">
      <w:pPr>
        <w:pStyle w:val="FootnoteText"/>
        <w:spacing w:after="120"/>
        <w:rPr>
          <w:rFonts w:cs="Verdana"/>
          <w:b/>
          <w:bCs/>
          <w:lang w:val="es-ES"/>
        </w:rPr>
      </w:pPr>
      <w:r w:rsidRPr="00CF137F">
        <w:rPr>
          <w:rStyle w:val="FootnoteReference"/>
        </w:rPr>
        <w:footnoteRef/>
      </w:r>
      <w:r w:rsidRPr="00C959C6">
        <w:rPr>
          <w:lang w:val="es-MX"/>
        </w:rPr>
        <w:t xml:space="preserve"> </w:t>
      </w:r>
      <w:r w:rsidRPr="00CF137F">
        <w:rPr>
          <w:lang w:val="es-ES_tradnl"/>
        </w:rPr>
        <w:tab/>
      </w:r>
      <w:r w:rsidRPr="00CF137F">
        <w:rPr>
          <w:i/>
          <w:lang w:val="es-ES_tradnl"/>
        </w:rPr>
        <w:t xml:space="preserve">Cfr. </w:t>
      </w:r>
      <w:r w:rsidRPr="00CF137F">
        <w:rPr>
          <w:rFonts w:cs="Verdana"/>
          <w:bCs/>
          <w:i/>
          <w:lang w:val="es-ES"/>
        </w:rPr>
        <w:t>El derecho a la información sobre la asistencia consular en el marco de las garantías del debido proceso legal.</w:t>
      </w:r>
      <w:r w:rsidRPr="00CF137F">
        <w:rPr>
          <w:rFonts w:cs="Verdana"/>
          <w:bCs/>
          <w:lang w:val="es-ES"/>
        </w:rPr>
        <w:t xml:space="preserve"> Opinión Consultiva OC-16/99 de 1 de octubre de 1999. Serie A No. 16, párr. 114.</w:t>
      </w:r>
      <w:r w:rsidRPr="00CF137F">
        <w:rPr>
          <w:rFonts w:cs="Verdana"/>
          <w:b/>
          <w:bCs/>
          <w:lang w:val="es-ES"/>
        </w:rPr>
        <w:t xml:space="preserve"> </w:t>
      </w:r>
    </w:p>
  </w:footnote>
  <w:footnote w:id="341">
    <w:p w14:paraId="7F750C61" w14:textId="77777777" w:rsidR="00D86616" w:rsidRPr="00CF137F" w:rsidRDefault="00D86616" w:rsidP="00F83E8F">
      <w:pPr>
        <w:pStyle w:val="FootnoteText"/>
        <w:spacing w:after="120"/>
        <w:rPr>
          <w:rFonts w:cs="Verdana"/>
          <w:bCs/>
          <w:lang w:val="es-ES"/>
        </w:rPr>
      </w:pPr>
      <w:r w:rsidRPr="00CF137F">
        <w:rPr>
          <w:rStyle w:val="FootnoteReference"/>
        </w:rPr>
        <w:footnoteRef/>
      </w:r>
      <w:r w:rsidRPr="00C959C6">
        <w:rPr>
          <w:lang w:val="es-MX"/>
        </w:rPr>
        <w:t xml:space="preserve"> </w:t>
      </w:r>
      <w:r w:rsidRPr="00C959C6">
        <w:rPr>
          <w:lang w:val="es-MX"/>
        </w:rPr>
        <w:tab/>
        <w:t xml:space="preserve">Por ejemplo, esto puede verse especialmente reflejado en la jurisprudencia en materia indígena respecto del artículo 21 de la Convención Americana, </w:t>
      </w:r>
      <w:r w:rsidRPr="00C959C6">
        <w:rPr>
          <w:i/>
          <w:lang w:val="es-MX"/>
        </w:rPr>
        <w:t xml:space="preserve">Cfr. </w:t>
      </w:r>
      <w:r w:rsidRPr="00CF137F">
        <w:rPr>
          <w:rFonts w:cs="Verdana"/>
          <w:bCs/>
          <w:i/>
          <w:lang w:val="es-ES"/>
        </w:rPr>
        <w:t>Caso de la Comunidad Mayagna (Sumo) Awas Tingni Vs. Nicaragua. Fondo, Reparaciones y Costas.</w:t>
      </w:r>
      <w:r w:rsidRPr="00CF137F">
        <w:rPr>
          <w:rFonts w:cs="Verdana"/>
          <w:bCs/>
          <w:lang w:val="es-ES"/>
        </w:rPr>
        <w:t xml:space="preserve"> Sentencia de 31 de agosto de 2001. Serie C No. 79 y </w:t>
      </w:r>
      <w:r w:rsidRPr="00CF137F">
        <w:rPr>
          <w:rFonts w:cs="Verdana"/>
          <w:bCs/>
          <w:i/>
          <w:lang w:val="es-ES"/>
        </w:rPr>
        <w:t>Caso Pueblos Kaliña y Lokono Vs. Surinam. Fondo, Reparaciones y Costas.</w:t>
      </w:r>
      <w:r w:rsidRPr="00CF137F">
        <w:rPr>
          <w:rFonts w:cs="Verdana"/>
          <w:bCs/>
          <w:lang w:val="es-ES"/>
        </w:rPr>
        <w:t xml:space="preserve"> Sentencia de 25 de noviembre de 2015. Serie C No. 309.</w:t>
      </w:r>
    </w:p>
  </w:footnote>
  <w:footnote w:id="342">
    <w:p w14:paraId="4868E3CB" w14:textId="77777777" w:rsidR="00D86616" w:rsidRPr="00CF137F" w:rsidRDefault="00D86616" w:rsidP="00F83E8F">
      <w:pPr>
        <w:pStyle w:val="FootnoteText"/>
        <w:spacing w:after="120"/>
        <w:rPr>
          <w:lang w:val="es-ES_tradnl"/>
        </w:rPr>
      </w:pPr>
      <w:r w:rsidRPr="00CF137F">
        <w:rPr>
          <w:rStyle w:val="FootnoteReference"/>
        </w:rPr>
        <w:footnoteRef/>
      </w:r>
      <w:r w:rsidRPr="00C959C6">
        <w:rPr>
          <w:lang w:val="es-MX"/>
        </w:rPr>
        <w:t xml:space="preserve"> </w:t>
      </w:r>
      <w:r w:rsidRPr="00CF137F">
        <w:rPr>
          <w:lang w:val="es-ES_tradnl"/>
        </w:rPr>
        <w:tab/>
        <w:t xml:space="preserve">Véase particularmente la construcción que hace la Corte IDH en el caso Gonzales </w:t>
      </w:r>
      <w:proofErr w:type="spellStart"/>
      <w:r w:rsidRPr="00CF137F">
        <w:rPr>
          <w:lang w:val="es-ES_tradnl"/>
        </w:rPr>
        <w:t>LLuy</w:t>
      </w:r>
      <w:proofErr w:type="spellEnd"/>
      <w:r w:rsidRPr="00CF137F">
        <w:rPr>
          <w:lang w:val="es-ES_tradnl"/>
        </w:rPr>
        <w:t xml:space="preserve"> respecto del Derecho a la Educación. </w:t>
      </w:r>
      <w:r w:rsidRPr="00CF137F">
        <w:rPr>
          <w:rFonts w:cs="Verdana"/>
          <w:bCs/>
          <w:i/>
          <w:lang w:val="es-ES"/>
        </w:rPr>
        <w:t>Caso Gonzales Lluy y otros Vs. Ecuador</w:t>
      </w:r>
      <w:r>
        <w:rPr>
          <w:rFonts w:cs="Verdana"/>
          <w:bCs/>
          <w:i/>
          <w:lang w:val="es-ES"/>
        </w:rPr>
        <w:t xml:space="preserve">, supra, </w:t>
      </w:r>
      <w:r w:rsidRPr="00CF137F">
        <w:rPr>
          <w:rFonts w:cs="Verdana"/>
          <w:bCs/>
          <w:lang w:val="es-ES"/>
        </w:rPr>
        <w:t>párrs. 233 a 291.</w:t>
      </w:r>
      <w:r w:rsidRPr="00CF137F">
        <w:rPr>
          <w:rFonts w:cs="Verdana"/>
          <w:b/>
          <w:bCs/>
          <w:lang w:val="es-ES"/>
        </w:rPr>
        <w:t xml:space="preserve">   </w:t>
      </w:r>
      <w:r w:rsidRPr="00CF137F">
        <w:rPr>
          <w:lang w:val="es-ES_tradnl"/>
        </w:rPr>
        <w:t xml:space="preserve"> </w:t>
      </w:r>
    </w:p>
  </w:footnote>
  <w:footnote w:id="343">
    <w:p w14:paraId="7AF7B4A4" w14:textId="77777777" w:rsidR="00D86616" w:rsidRPr="00C959C6" w:rsidRDefault="00D86616" w:rsidP="00F83E8F">
      <w:pPr>
        <w:pStyle w:val="FootnoteText"/>
        <w:rPr>
          <w:u w:val="single"/>
          <w:lang w:val="es-MX"/>
        </w:rPr>
      </w:pPr>
      <w:r w:rsidRPr="008D2569">
        <w:rPr>
          <w:rStyle w:val="FootnoteReference"/>
        </w:rPr>
        <w:footnoteRef/>
      </w:r>
      <w:r w:rsidRPr="00C959C6">
        <w:rPr>
          <w:lang w:val="es-MX"/>
        </w:rPr>
        <w:t xml:space="preserve"> </w:t>
      </w:r>
      <w:r w:rsidRPr="008D2569">
        <w:rPr>
          <w:lang w:val="es-ES_tradnl"/>
        </w:rPr>
        <w:tab/>
      </w:r>
      <w:r w:rsidRPr="00C959C6">
        <w:rPr>
          <w:lang w:val="es-MX"/>
        </w:rPr>
        <w:t xml:space="preserve">Inclusive, en materia laboral, tenemos matices; por ejemplo, pueden existir personas que trabajen o laboren dentro de una organización o asociación y que se les impida llevar a cabo su trabajo o labor, lo cual vería infringido evidentemente su derecho de asociación laboral. No obstante, en el caso Lagos del Campos, su </w:t>
      </w:r>
      <w:r w:rsidRPr="00C959C6">
        <w:rPr>
          <w:u w:val="single"/>
          <w:lang w:val="es-MX"/>
        </w:rPr>
        <w:t xml:space="preserve">finalidad era la defensa y promoción de sus intereses laborales, lo cual hace aún más </w:t>
      </w:r>
      <w:proofErr w:type="gramStart"/>
      <w:r w:rsidRPr="00C959C6">
        <w:rPr>
          <w:u w:val="single"/>
          <w:lang w:val="es-MX"/>
        </w:rPr>
        <w:t>especifico</w:t>
      </w:r>
      <w:proofErr w:type="gramEnd"/>
      <w:r w:rsidRPr="00C959C6">
        <w:rPr>
          <w:u w:val="single"/>
          <w:lang w:val="es-MX"/>
        </w:rPr>
        <w:t xml:space="preserve"> el derecho de asociación laboral para los contextos laborales de asociaciones laborales no sindicales.</w:t>
      </w:r>
    </w:p>
    <w:p w14:paraId="0BD9E5E0" w14:textId="77777777" w:rsidR="00D86616" w:rsidRPr="008D2569" w:rsidRDefault="00D86616" w:rsidP="00F83E8F">
      <w:pPr>
        <w:pStyle w:val="FootnoteText"/>
        <w:rPr>
          <w:lang w:val="es-ES_tradnl"/>
        </w:rPr>
      </w:pPr>
    </w:p>
  </w:footnote>
  <w:footnote w:id="344">
    <w:p w14:paraId="4154843D" w14:textId="39B277CD" w:rsidR="00D86616" w:rsidRPr="008D2569" w:rsidRDefault="00D86616" w:rsidP="00F83E8F">
      <w:pPr>
        <w:pStyle w:val="NormalWeb"/>
        <w:spacing w:before="0" w:beforeAutospacing="0" w:after="0" w:afterAutospacing="0"/>
        <w:jc w:val="both"/>
        <w:rPr>
          <w:rFonts w:ascii="Verdana" w:hAnsi="Verdana"/>
          <w:sz w:val="16"/>
          <w:szCs w:val="16"/>
        </w:rPr>
      </w:pPr>
      <w:r w:rsidRPr="00CB3D61">
        <w:rPr>
          <w:rStyle w:val="FootnoteReference"/>
          <w:rFonts w:eastAsiaTheme="majorEastAsia"/>
          <w:szCs w:val="20"/>
        </w:rPr>
        <w:footnoteRef/>
      </w:r>
      <w:r w:rsidRPr="00CB3D61">
        <w:rPr>
          <w:rFonts w:ascii="Verdana" w:hAnsi="Verdana"/>
          <w:sz w:val="20"/>
          <w:szCs w:val="20"/>
        </w:rPr>
        <w:t xml:space="preserve"> </w:t>
      </w:r>
      <w:r w:rsidR="00150F4F">
        <w:rPr>
          <w:rFonts w:ascii="Verdana" w:hAnsi="Verdana"/>
          <w:sz w:val="16"/>
          <w:szCs w:val="16"/>
        </w:rPr>
        <w:t xml:space="preserve">       </w:t>
      </w:r>
      <w:r w:rsidRPr="008D2569">
        <w:rPr>
          <w:rFonts w:ascii="Verdana" w:hAnsi="Verdana"/>
          <w:i/>
          <w:sz w:val="16"/>
          <w:szCs w:val="16"/>
        </w:rPr>
        <w:t>Cfr.</w:t>
      </w:r>
      <w:r w:rsidRPr="008D2569">
        <w:rPr>
          <w:rFonts w:ascii="Verdana" w:hAnsi="Verdana"/>
          <w:sz w:val="16"/>
          <w:szCs w:val="16"/>
        </w:rPr>
        <w:t xml:space="preserve"> </w:t>
      </w:r>
      <w:r w:rsidRPr="008D2569">
        <w:rPr>
          <w:rFonts w:ascii="Verdana" w:hAnsi="Verdana"/>
          <w:bCs/>
          <w:i/>
          <w:sz w:val="16"/>
          <w:szCs w:val="16"/>
        </w:rPr>
        <w:t>Caso Kawas Fernández Vs. Honduras. Fondo, Reparaciones y Costas</w:t>
      </w:r>
      <w:r w:rsidRPr="008D2569">
        <w:rPr>
          <w:rFonts w:ascii="Verdana" w:hAnsi="Verdana"/>
          <w:bCs/>
          <w:sz w:val="16"/>
          <w:szCs w:val="16"/>
        </w:rPr>
        <w:t>. Sentencia de 3 de abril de 2009. Serie C No. 196, párr. 151.</w:t>
      </w:r>
      <w:r w:rsidRPr="008D2569">
        <w:rPr>
          <w:rFonts w:ascii="Verdana" w:hAnsi="Verdana"/>
          <w:sz w:val="16"/>
          <w:szCs w:val="16"/>
        </w:rPr>
        <w:t xml:space="preserve"> </w:t>
      </w:r>
    </w:p>
    <w:p w14:paraId="6261E509" w14:textId="77777777" w:rsidR="00D86616" w:rsidRPr="008D2569" w:rsidRDefault="00D86616" w:rsidP="00F83E8F">
      <w:pPr>
        <w:pStyle w:val="NormalWeb"/>
        <w:spacing w:before="0" w:beforeAutospacing="0" w:after="0" w:afterAutospacing="0"/>
        <w:jc w:val="both"/>
        <w:rPr>
          <w:rFonts w:ascii="Verdana" w:hAnsi="Verdana"/>
          <w:sz w:val="16"/>
          <w:szCs w:val="16"/>
        </w:rPr>
      </w:pPr>
    </w:p>
  </w:footnote>
  <w:footnote w:id="345">
    <w:p w14:paraId="609C720B" w14:textId="70AE5597" w:rsidR="00D86616" w:rsidRPr="008D2569" w:rsidRDefault="00D86616" w:rsidP="00F83E8F">
      <w:pPr>
        <w:pStyle w:val="FootnoteText"/>
        <w:rPr>
          <w:bCs/>
          <w:lang w:val="es-MX"/>
        </w:rPr>
      </w:pPr>
      <w:r w:rsidRPr="008D2569">
        <w:rPr>
          <w:rStyle w:val="FootnoteReference"/>
        </w:rPr>
        <w:footnoteRef/>
      </w:r>
      <w:r w:rsidR="00150F4F">
        <w:rPr>
          <w:lang w:val="es-MX"/>
        </w:rPr>
        <w:t xml:space="preserve">       </w:t>
      </w:r>
      <w:r w:rsidRPr="00BA6F15">
        <w:rPr>
          <w:i/>
          <w:lang w:val="es-MX"/>
        </w:rPr>
        <w:t>Cfr.</w:t>
      </w:r>
      <w:r w:rsidRPr="00BA6F15">
        <w:rPr>
          <w:lang w:val="es-MX"/>
        </w:rPr>
        <w:t xml:space="preserve"> </w:t>
      </w:r>
      <w:r w:rsidRPr="008D2569">
        <w:rPr>
          <w:bCs/>
          <w:i/>
          <w:lang w:val="es-MX"/>
        </w:rPr>
        <w:t xml:space="preserve">Caso Kawas Fernández Vs. Honduras, </w:t>
      </w:r>
      <w:r>
        <w:rPr>
          <w:bCs/>
          <w:i/>
          <w:lang w:val="es-MX"/>
        </w:rPr>
        <w:t xml:space="preserve">supra, </w:t>
      </w:r>
      <w:r w:rsidRPr="00BA6F15">
        <w:rPr>
          <w:bCs/>
          <w:lang w:val="es-MX"/>
        </w:rPr>
        <w:t>párr. 149</w:t>
      </w:r>
      <w:r w:rsidRPr="008D2569">
        <w:rPr>
          <w:bCs/>
          <w:lang w:val="es-MX"/>
        </w:rPr>
        <w:t>.</w:t>
      </w:r>
    </w:p>
    <w:p w14:paraId="6CCFFFC9" w14:textId="77777777" w:rsidR="00D86616" w:rsidRPr="008D2569" w:rsidRDefault="00D86616" w:rsidP="00F83E8F">
      <w:pPr>
        <w:pStyle w:val="FootnoteText"/>
        <w:rPr>
          <w:lang w:val="es-ES_tradnl"/>
        </w:rPr>
      </w:pPr>
    </w:p>
  </w:footnote>
  <w:footnote w:id="346">
    <w:p w14:paraId="0294C287" w14:textId="6B16650F" w:rsidR="00D86616" w:rsidRPr="008D2569" w:rsidRDefault="00D86616" w:rsidP="00F83E8F">
      <w:pPr>
        <w:rPr>
          <w:rFonts w:ascii="Verdana" w:eastAsia="Times New Roman" w:hAnsi="Verdana"/>
          <w:sz w:val="16"/>
          <w:szCs w:val="16"/>
          <w:lang w:val="es-MX"/>
        </w:rPr>
      </w:pPr>
      <w:r w:rsidRPr="00CB3D61">
        <w:rPr>
          <w:rStyle w:val="FootnoteReference"/>
          <w:szCs w:val="20"/>
        </w:rPr>
        <w:footnoteRef/>
      </w:r>
      <w:r w:rsidRPr="00CB3D61">
        <w:rPr>
          <w:rFonts w:ascii="Verdana" w:hAnsi="Verdana"/>
          <w:sz w:val="20"/>
          <w:szCs w:val="20"/>
        </w:rPr>
        <w:t xml:space="preserve"> </w:t>
      </w:r>
      <w:r>
        <w:rPr>
          <w:rFonts w:ascii="Verdana" w:hAnsi="Verdana"/>
          <w:sz w:val="16"/>
          <w:szCs w:val="16"/>
        </w:rPr>
        <w:t xml:space="preserve">     </w:t>
      </w:r>
      <w:r w:rsidR="00150F4F">
        <w:rPr>
          <w:rFonts w:ascii="Verdana" w:hAnsi="Verdana"/>
          <w:sz w:val="16"/>
          <w:szCs w:val="16"/>
        </w:rPr>
        <w:t xml:space="preserve"> </w:t>
      </w:r>
      <w:r w:rsidRPr="008D2569">
        <w:rPr>
          <w:rFonts w:ascii="Verdana" w:hAnsi="Verdana"/>
          <w:i/>
          <w:sz w:val="16"/>
          <w:szCs w:val="16"/>
        </w:rPr>
        <w:t>Cfr.</w:t>
      </w:r>
      <w:r w:rsidRPr="008D2569">
        <w:rPr>
          <w:rFonts w:ascii="Verdana" w:hAnsi="Verdana"/>
          <w:sz w:val="16"/>
          <w:szCs w:val="16"/>
        </w:rPr>
        <w:t xml:space="preserve"> </w:t>
      </w:r>
      <w:r w:rsidRPr="008D2569">
        <w:rPr>
          <w:rFonts w:ascii="Verdana" w:eastAsia="Times New Roman" w:hAnsi="Verdana"/>
          <w:bCs/>
          <w:i/>
          <w:sz w:val="16"/>
          <w:szCs w:val="16"/>
          <w:lang w:val="es-MX"/>
        </w:rPr>
        <w:t xml:space="preserve">Caso </w:t>
      </w:r>
      <w:proofErr w:type="spellStart"/>
      <w:r w:rsidRPr="008D2569">
        <w:rPr>
          <w:rFonts w:ascii="Verdana" w:eastAsia="Times New Roman" w:hAnsi="Verdana"/>
          <w:bCs/>
          <w:i/>
          <w:sz w:val="16"/>
          <w:szCs w:val="16"/>
          <w:lang w:val="es-MX"/>
        </w:rPr>
        <w:t>Kawas</w:t>
      </w:r>
      <w:proofErr w:type="spellEnd"/>
      <w:r w:rsidRPr="008D2569">
        <w:rPr>
          <w:rFonts w:ascii="Verdana" w:eastAsia="Times New Roman" w:hAnsi="Verdana"/>
          <w:bCs/>
          <w:i/>
          <w:sz w:val="16"/>
          <w:szCs w:val="16"/>
          <w:lang w:val="es-MX"/>
        </w:rPr>
        <w:t xml:space="preserve"> Fernández Vs. Honduras</w:t>
      </w:r>
      <w:r>
        <w:rPr>
          <w:rFonts w:ascii="Verdana" w:eastAsia="Times New Roman" w:hAnsi="Verdana"/>
          <w:bCs/>
          <w:i/>
          <w:sz w:val="16"/>
          <w:szCs w:val="16"/>
          <w:lang w:val="es-MX"/>
        </w:rPr>
        <w:t>, supra,</w:t>
      </w:r>
      <w:r w:rsidRPr="008D2569">
        <w:rPr>
          <w:rFonts w:ascii="Verdana" w:eastAsia="Times New Roman" w:hAnsi="Verdana"/>
          <w:bCs/>
          <w:sz w:val="16"/>
          <w:szCs w:val="16"/>
          <w:lang w:val="es-MX"/>
        </w:rPr>
        <w:t xml:space="preserve"> párr. 146. </w:t>
      </w:r>
    </w:p>
    <w:p w14:paraId="1FF755F0" w14:textId="77777777" w:rsidR="00D86616" w:rsidRPr="00426B3D" w:rsidRDefault="00D86616" w:rsidP="00F83E8F">
      <w:pPr>
        <w:pStyle w:val="FootnoteText"/>
        <w:rPr>
          <w:color w:val="FF0000"/>
          <w:lang w:val="es-ES_tradnl"/>
        </w:rPr>
      </w:pPr>
    </w:p>
  </w:footnote>
  <w:footnote w:id="347">
    <w:p w14:paraId="6EA8A810" w14:textId="77777777" w:rsidR="00D86616" w:rsidRPr="00CF137F" w:rsidRDefault="00D86616" w:rsidP="00F83E8F">
      <w:pPr>
        <w:pStyle w:val="FootnoteText"/>
        <w:spacing w:after="120"/>
        <w:rPr>
          <w:lang w:val="es-ES_tradnl"/>
        </w:rPr>
      </w:pPr>
      <w:r w:rsidRPr="00CF137F">
        <w:rPr>
          <w:rStyle w:val="FootnoteReference"/>
        </w:rPr>
        <w:footnoteRef/>
      </w:r>
      <w:r w:rsidRPr="00C959C6">
        <w:rPr>
          <w:lang w:val="es-MX"/>
        </w:rPr>
        <w:t xml:space="preserve"> </w:t>
      </w:r>
      <w:r w:rsidRPr="00C959C6">
        <w:rPr>
          <w:lang w:val="es-MX"/>
        </w:rPr>
        <w:tab/>
      </w:r>
      <w:r w:rsidRPr="00CF137F">
        <w:rPr>
          <w:i/>
          <w:lang w:val="es-ES_tradnl"/>
        </w:rPr>
        <w:t>Cfr</w:t>
      </w:r>
      <w:r w:rsidRPr="00CF137F">
        <w:rPr>
          <w:lang w:val="es-ES_tradnl"/>
        </w:rPr>
        <w:t xml:space="preserve">. </w:t>
      </w:r>
      <w:r w:rsidRPr="00C959C6">
        <w:rPr>
          <w:i/>
          <w:lang w:val="es-MX"/>
        </w:rPr>
        <w:t xml:space="preserve">Caso Lagos del Campo Vs. </w:t>
      </w:r>
      <w:r w:rsidRPr="00BA6F15">
        <w:rPr>
          <w:i/>
          <w:lang w:val="es-MX"/>
        </w:rPr>
        <w:t>Perú</w:t>
      </w:r>
      <w:r>
        <w:rPr>
          <w:i/>
          <w:lang w:val="es-MX"/>
        </w:rPr>
        <w:t>,</w:t>
      </w:r>
      <w:r w:rsidRPr="00BA6F15">
        <w:rPr>
          <w:i/>
          <w:lang w:val="es-MX"/>
        </w:rPr>
        <w:t xml:space="preserve"> </w:t>
      </w:r>
      <w:r>
        <w:rPr>
          <w:i/>
          <w:lang w:val="es-MX"/>
        </w:rPr>
        <w:t>supra</w:t>
      </w:r>
      <w:r w:rsidRPr="00C959C6">
        <w:rPr>
          <w:lang w:val="es-MX"/>
        </w:rPr>
        <w:t xml:space="preserve">, párr. </w:t>
      </w:r>
      <w:r w:rsidRPr="00CF137F">
        <w:rPr>
          <w:lang w:val="es-ES_tradnl"/>
        </w:rPr>
        <w:t>161.</w:t>
      </w:r>
    </w:p>
  </w:footnote>
  <w:footnote w:id="348">
    <w:p w14:paraId="5744506B" w14:textId="77777777" w:rsidR="00D86616" w:rsidRPr="00CF137F" w:rsidRDefault="00D86616" w:rsidP="00F83E8F">
      <w:pPr>
        <w:pStyle w:val="FootnoteText"/>
        <w:spacing w:after="120"/>
        <w:rPr>
          <w:lang w:val="es-ES_tradnl"/>
        </w:rPr>
      </w:pPr>
      <w:r w:rsidRPr="00CF137F">
        <w:rPr>
          <w:rStyle w:val="FootnoteReference"/>
        </w:rPr>
        <w:footnoteRef/>
      </w:r>
      <w:r w:rsidRPr="00C959C6">
        <w:rPr>
          <w:lang w:val="es-MX"/>
        </w:rPr>
        <w:t xml:space="preserve"> </w:t>
      </w:r>
      <w:r w:rsidRPr="00CF137F">
        <w:rPr>
          <w:lang w:val="es-ES_tradnl"/>
        </w:rPr>
        <w:tab/>
      </w:r>
      <w:r w:rsidRPr="00CF137F">
        <w:rPr>
          <w:i/>
          <w:lang w:val="es-ES_tradnl"/>
        </w:rPr>
        <w:t>Cfr</w:t>
      </w:r>
      <w:r w:rsidRPr="00CF137F">
        <w:rPr>
          <w:lang w:val="es-ES_tradnl"/>
        </w:rPr>
        <w:t xml:space="preserve">. </w:t>
      </w:r>
      <w:r w:rsidRPr="00C959C6">
        <w:rPr>
          <w:i/>
          <w:lang w:val="es-MX"/>
        </w:rPr>
        <w:t xml:space="preserve">Caso Lagos del Campo Vs. </w:t>
      </w:r>
      <w:r w:rsidRPr="00BA6F15">
        <w:rPr>
          <w:i/>
          <w:lang w:val="es-CR"/>
        </w:rPr>
        <w:t>Perú, supra</w:t>
      </w:r>
      <w:r w:rsidRPr="00C959C6">
        <w:rPr>
          <w:lang w:val="es-MX"/>
        </w:rPr>
        <w:t xml:space="preserve">, párr. </w:t>
      </w:r>
      <w:r w:rsidRPr="00CF137F">
        <w:rPr>
          <w:lang w:val="es-ES_tradnl"/>
        </w:rPr>
        <w:t>162.</w:t>
      </w:r>
    </w:p>
  </w:footnote>
  <w:footnote w:id="349">
    <w:p w14:paraId="72CDF435" w14:textId="77777777" w:rsidR="00D86616" w:rsidRPr="00CF137F" w:rsidRDefault="00D86616" w:rsidP="00F83E8F">
      <w:pPr>
        <w:pStyle w:val="FootnoteText"/>
        <w:spacing w:after="120"/>
        <w:rPr>
          <w:lang w:val="es-ES_tradnl"/>
        </w:rPr>
      </w:pPr>
      <w:r w:rsidRPr="00CF137F">
        <w:rPr>
          <w:rStyle w:val="FootnoteReference"/>
        </w:rPr>
        <w:footnoteRef/>
      </w:r>
      <w:r w:rsidRPr="00C959C6">
        <w:rPr>
          <w:lang w:val="es-MX"/>
        </w:rPr>
        <w:t xml:space="preserve"> </w:t>
      </w:r>
      <w:r w:rsidRPr="00CF137F">
        <w:rPr>
          <w:lang w:val="es-ES_tradnl"/>
        </w:rPr>
        <w:tab/>
      </w:r>
      <w:r w:rsidRPr="00CF137F">
        <w:rPr>
          <w:i/>
          <w:lang w:val="es-ES_tradnl"/>
        </w:rPr>
        <w:t>Cfr</w:t>
      </w:r>
      <w:r w:rsidRPr="00CF137F">
        <w:rPr>
          <w:lang w:val="es-ES_tradnl"/>
        </w:rPr>
        <w:t xml:space="preserve">. </w:t>
      </w:r>
      <w:r w:rsidRPr="00C959C6">
        <w:rPr>
          <w:i/>
          <w:lang w:val="es-MX"/>
        </w:rPr>
        <w:t xml:space="preserve">Caso Lagos del Campo Vs. </w:t>
      </w:r>
      <w:r w:rsidRPr="00BA6F15">
        <w:rPr>
          <w:i/>
          <w:lang w:val="es-CR"/>
        </w:rPr>
        <w:t>Perú, supra</w:t>
      </w:r>
      <w:r w:rsidRPr="00C959C6">
        <w:rPr>
          <w:lang w:val="es-MX"/>
        </w:rPr>
        <w:t xml:space="preserve">, párrs. </w:t>
      </w:r>
      <w:r w:rsidRPr="00CF137F">
        <w:rPr>
          <w:lang w:val="es-ES_tradnl"/>
        </w:rPr>
        <w:t xml:space="preserve">157 y 158. </w:t>
      </w:r>
    </w:p>
  </w:footnote>
  <w:footnote w:id="350">
    <w:p w14:paraId="621E7F33" w14:textId="77777777" w:rsidR="00D86616" w:rsidRPr="00CF137F" w:rsidRDefault="00D86616" w:rsidP="00F83E8F">
      <w:pPr>
        <w:pStyle w:val="FootnoteText"/>
        <w:spacing w:after="120"/>
        <w:rPr>
          <w:lang w:val="es-ES_tradnl"/>
        </w:rPr>
      </w:pPr>
      <w:r w:rsidRPr="00CF137F">
        <w:rPr>
          <w:rStyle w:val="FootnoteReference"/>
        </w:rPr>
        <w:footnoteRef/>
      </w:r>
      <w:r w:rsidRPr="00C959C6">
        <w:rPr>
          <w:lang w:val="es-MX"/>
        </w:rPr>
        <w:t xml:space="preserve"> </w:t>
      </w:r>
      <w:r w:rsidRPr="00C959C6">
        <w:rPr>
          <w:lang w:val="es-MX"/>
        </w:rPr>
        <w:tab/>
      </w:r>
      <w:r w:rsidRPr="00CF137F">
        <w:rPr>
          <w:i/>
          <w:lang w:val="es-ES_tradnl"/>
        </w:rPr>
        <w:t>Cfr</w:t>
      </w:r>
      <w:r w:rsidRPr="00CF137F">
        <w:rPr>
          <w:lang w:val="es-ES_tradnl"/>
        </w:rPr>
        <w:t xml:space="preserve">. </w:t>
      </w:r>
      <w:r w:rsidRPr="00C959C6">
        <w:rPr>
          <w:i/>
          <w:lang w:val="es-MX"/>
        </w:rPr>
        <w:t xml:space="preserve">Caso Lagos del Campo Vs. </w:t>
      </w:r>
      <w:r w:rsidRPr="00BA6F15">
        <w:rPr>
          <w:i/>
          <w:lang w:val="es-CR"/>
        </w:rPr>
        <w:t>Perú, supra</w:t>
      </w:r>
      <w:r w:rsidRPr="00C959C6">
        <w:rPr>
          <w:lang w:val="es-MX"/>
        </w:rPr>
        <w:t xml:space="preserve">, párrs. </w:t>
      </w:r>
      <w:r w:rsidRPr="00CF137F">
        <w:rPr>
          <w:lang w:val="es-ES_tradnl"/>
        </w:rPr>
        <w:t>159 y 160.</w:t>
      </w:r>
    </w:p>
  </w:footnote>
  <w:footnote w:id="351">
    <w:p w14:paraId="4702C196" w14:textId="77777777" w:rsidR="00D86616" w:rsidRPr="00CF137F" w:rsidRDefault="00D86616" w:rsidP="00F83E8F">
      <w:pPr>
        <w:pStyle w:val="FootnoteText"/>
        <w:spacing w:after="120"/>
        <w:rPr>
          <w:lang w:val="es-ES_tradnl"/>
        </w:rPr>
      </w:pPr>
      <w:r w:rsidRPr="00CF137F">
        <w:rPr>
          <w:rStyle w:val="FootnoteReference"/>
        </w:rPr>
        <w:footnoteRef/>
      </w:r>
      <w:r w:rsidRPr="00C959C6">
        <w:rPr>
          <w:lang w:val="es-MX"/>
        </w:rPr>
        <w:t xml:space="preserve"> </w:t>
      </w:r>
      <w:r w:rsidRPr="00C959C6">
        <w:rPr>
          <w:lang w:val="es-MX"/>
        </w:rPr>
        <w:tab/>
      </w:r>
      <w:r w:rsidRPr="00CF137F">
        <w:rPr>
          <w:i/>
          <w:lang w:val="es-ES_tradnl"/>
        </w:rPr>
        <w:t>Cfr</w:t>
      </w:r>
      <w:r w:rsidRPr="00CF137F">
        <w:rPr>
          <w:lang w:val="es-ES_tradnl"/>
        </w:rPr>
        <w:t xml:space="preserve">. </w:t>
      </w:r>
      <w:r w:rsidRPr="00C959C6">
        <w:rPr>
          <w:i/>
          <w:lang w:val="es-MX"/>
        </w:rPr>
        <w:t xml:space="preserve">Caso Lagos del Campo Vs. </w:t>
      </w:r>
      <w:r w:rsidRPr="00BA6F15">
        <w:rPr>
          <w:i/>
          <w:lang w:val="es-CR"/>
        </w:rPr>
        <w:t>Perú, supra</w:t>
      </w:r>
      <w:r w:rsidRPr="00C959C6">
        <w:rPr>
          <w:lang w:val="es-MX"/>
        </w:rPr>
        <w:t xml:space="preserve">, párr. </w:t>
      </w:r>
      <w:r w:rsidRPr="00CF137F">
        <w:rPr>
          <w:lang w:val="es-ES_tradnl"/>
        </w:rPr>
        <w:t xml:space="preserve">157. </w:t>
      </w:r>
    </w:p>
  </w:footnote>
  <w:footnote w:id="352">
    <w:p w14:paraId="4FC96D36" w14:textId="77777777" w:rsidR="00D86616" w:rsidRPr="00C959C6" w:rsidRDefault="00D86616" w:rsidP="00F83E8F">
      <w:pPr>
        <w:pStyle w:val="FootnoteText"/>
        <w:rPr>
          <w:lang w:val="es-MX"/>
        </w:rPr>
      </w:pPr>
      <w:r w:rsidRPr="004D230F">
        <w:rPr>
          <w:rStyle w:val="FootnoteReference"/>
        </w:rPr>
        <w:footnoteRef/>
      </w:r>
      <w:r w:rsidRPr="00C959C6">
        <w:rPr>
          <w:lang w:val="es-MX"/>
        </w:rPr>
        <w:t xml:space="preserve"> </w:t>
      </w:r>
      <w:r w:rsidRPr="004D230F">
        <w:rPr>
          <w:lang w:val="es-ES_tradnl"/>
        </w:rPr>
        <w:tab/>
      </w:r>
      <w:r w:rsidRPr="00C959C6">
        <w:rPr>
          <w:i/>
          <w:lang w:val="es-MX"/>
        </w:rPr>
        <w:t>Cfr.</w:t>
      </w:r>
      <w:r w:rsidRPr="00C959C6">
        <w:rPr>
          <w:lang w:val="es-MX"/>
        </w:rPr>
        <w:t xml:space="preserve"> </w:t>
      </w:r>
      <w:r w:rsidRPr="00C959C6">
        <w:rPr>
          <w:i/>
          <w:lang w:val="es-MX"/>
        </w:rPr>
        <w:t xml:space="preserve">Caso Lagos del Campo Vs. </w:t>
      </w:r>
      <w:r w:rsidRPr="00BA6F15">
        <w:rPr>
          <w:i/>
          <w:lang w:val="es-CR"/>
        </w:rPr>
        <w:t>Perú, supra</w:t>
      </w:r>
      <w:r w:rsidRPr="00C959C6">
        <w:rPr>
          <w:lang w:val="es-MX"/>
        </w:rPr>
        <w:t xml:space="preserve">, párrs. 158 y 163. </w:t>
      </w:r>
    </w:p>
    <w:p w14:paraId="7D6F82A9" w14:textId="77777777" w:rsidR="00D86616" w:rsidRPr="008F14B6" w:rsidRDefault="00D86616" w:rsidP="00F83E8F">
      <w:pPr>
        <w:pStyle w:val="FootnoteText"/>
        <w:rPr>
          <w:lang w:val="es-ES_tradnl"/>
        </w:rPr>
      </w:pPr>
    </w:p>
  </w:footnote>
  <w:footnote w:id="353">
    <w:p w14:paraId="39F489A0" w14:textId="77777777" w:rsidR="00D86616" w:rsidRPr="00CF137F" w:rsidRDefault="00D86616" w:rsidP="00F83E8F">
      <w:pPr>
        <w:pStyle w:val="FootnoteText"/>
        <w:spacing w:after="120"/>
        <w:rPr>
          <w:lang w:val="es-ES_tradnl"/>
        </w:rPr>
      </w:pPr>
      <w:r w:rsidRPr="00CF137F">
        <w:rPr>
          <w:rStyle w:val="FootnoteReference"/>
        </w:rPr>
        <w:footnoteRef/>
      </w:r>
      <w:r w:rsidRPr="00C959C6">
        <w:rPr>
          <w:lang w:val="es-MX"/>
        </w:rPr>
        <w:t xml:space="preserve"> </w:t>
      </w:r>
      <w:r w:rsidRPr="00C959C6">
        <w:rPr>
          <w:lang w:val="es-MX"/>
        </w:rPr>
        <w:tab/>
      </w:r>
      <w:r w:rsidRPr="00CF137F">
        <w:rPr>
          <w:i/>
          <w:lang w:val="es-ES_tradnl"/>
        </w:rPr>
        <w:t>Cfr</w:t>
      </w:r>
      <w:r w:rsidRPr="00CF137F">
        <w:rPr>
          <w:lang w:val="es-ES_tradnl"/>
        </w:rPr>
        <w:t xml:space="preserve">. </w:t>
      </w:r>
      <w:r w:rsidRPr="00C959C6">
        <w:rPr>
          <w:i/>
          <w:lang w:val="es-MX"/>
        </w:rPr>
        <w:t xml:space="preserve">Caso Lagos del Campo Vs. </w:t>
      </w:r>
      <w:r w:rsidRPr="00FC4FC8">
        <w:rPr>
          <w:i/>
          <w:lang w:val="es-CR"/>
        </w:rPr>
        <w:t>Perú, supra</w:t>
      </w:r>
      <w:r w:rsidRPr="00C959C6">
        <w:rPr>
          <w:lang w:val="es-MX"/>
        </w:rPr>
        <w:t xml:space="preserve">, párr. </w:t>
      </w:r>
      <w:r w:rsidRPr="00CF137F">
        <w:rPr>
          <w:lang w:val="es-ES_tradnl"/>
        </w:rPr>
        <w:t xml:space="preserve">158. </w:t>
      </w:r>
    </w:p>
  </w:footnote>
  <w:footnote w:id="354">
    <w:p w14:paraId="75509F1B" w14:textId="77777777" w:rsidR="00D86616" w:rsidRPr="00CB3D61" w:rsidRDefault="00D86616" w:rsidP="00F83E8F">
      <w:pPr>
        <w:spacing w:after="120"/>
        <w:jc w:val="both"/>
        <w:rPr>
          <w:rFonts w:ascii="Verdana" w:hAnsi="Verdana"/>
          <w:b/>
          <w:sz w:val="20"/>
          <w:szCs w:val="16"/>
          <w:lang w:val="es-ES"/>
        </w:rPr>
      </w:pPr>
      <w:r w:rsidRPr="00CB3D61">
        <w:rPr>
          <w:rStyle w:val="FootnoteReference"/>
          <w:szCs w:val="16"/>
        </w:rPr>
        <w:footnoteRef/>
      </w:r>
      <w:r w:rsidRPr="00CF137F">
        <w:rPr>
          <w:rFonts w:ascii="Verdana" w:hAnsi="Verdana"/>
          <w:sz w:val="16"/>
          <w:szCs w:val="16"/>
        </w:rPr>
        <w:t xml:space="preserve"> </w:t>
      </w:r>
      <w:r w:rsidRPr="00CF137F">
        <w:rPr>
          <w:rFonts w:ascii="Verdana" w:hAnsi="Verdana"/>
          <w:sz w:val="16"/>
          <w:szCs w:val="16"/>
        </w:rPr>
        <w:tab/>
        <w:t xml:space="preserve">El Protocolo de San Salvador dispone: </w:t>
      </w:r>
      <w:r>
        <w:rPr>
          <w:rFonts w:ascii="Verdana" w:hAnsi="Verdana"/>
          <w:sz w:val="16"/>
          <w:szCs w:val="16"/>
        </w:rPr>
        <w:t>“</w:t>
      </w:r>
      <w:r>
        <w:rPr>
          <w:rFonts w:ascii="Verdana" w:hAnsi="Verdana"/>
          <w:sz w:val="16"/>
          <w:szCs w:val="16"/>
          <w:lang w:val="es-ES"/>
        </w:rPr>
        <w:t>Art. 6.</w:t>
      </w:r>
      <w:r w:rsidRPr="00CF137F">
        <w:rPr>
          <w:rFonts w:ascii="Verdana" w:hAnsi="Verdana"/>
          <w:sz w:val="16"/>
          <w:szCs w:val="16"/>
          <w:lang w:val="es-ES"/>
        </w:rPr>
        <w:t xml:space="preserve"> </w:t>
      </w:r>
      <w:r w:rsidRPr="00CF137F">
        <w:rPr>
          <w:rFonts w:ascii="Verdana" w:hAnsi="Verdana"/>
          <w:bCs/>
          <w:sz w:val="16"/>
          <w:szCs w:val="16"/>
          <w:lang w:val="es-ES"/>
        </w:rPr>
        <w:t>Derecho al Trabajo del Protocolo de San Salvador</w:t>
      </w:r>
      <w:r w:rsidRPr="00CF137F">
        <w:rPr>
          <w:rFonts w:ascii="Verdana" w:hAnsi="Verdana"/>
          <w:sz w:val="16"/>
          <w:szCs w:val="16"/>
          <w:lang w:val="es-ES"/>
        </w:rPr>
        <w:t xml:space="preserve">. 1. Toda persona tiene derecho al trabajo, el cual incluye la oportunidad de obtener los medios para llevar una vida digna y decorosa a través del desempeño de una actividad lícita libremente escogida o aceptada. 2. Los Estados partes se comprometen a adoptar las medidas que garanticen plena efectividad al  derecho al trabajo, en especial las referidas al logro del pleno empleo, a la orientación vocacional y  al desarrollo de proyectos de capacitación técnico-profesional, particularmente aquellos destinados a los minusválidos. Los Estados partes se comprometen también a ejecutar y a fortalecer programas que coadyuven a una adecuada atención familiar, encaminados a que la mujer pueda contar con </w:t>
      </w:r>
      <w:r w:rsidRPr="00CB3D61">
        <w:rPr>
          <w:rFonts w:ascii="Verdana" w:hAnsi="Verdana"/>
          <w:sz w:val="16"/>
          <w:szCs w:val="16"/>
          <w:lang w:val="es-ES"/>
        </w:rPr>
        <w:t>una efectiva posibilidad de ejercer el derecho al trabajo”.</w:t>
      </w:r>
    </w:p>
  </w:footnote>
  <w:footnote w:id="355">
    <w:p w14:paraId="30F4C2CD" w14:textId="77777777" w:rsidR="00D86616" w:rsidRDefault="00D86616" w:rsidP="00F83E8F">
      <w:pPr>
        <w:pStyle w:val="ListParagraph"/>
        <w:widowControl w:val="0"/>
        <w:autoSpaceDE w:val="0"/>
        <w:autoSpaceDN w:val="0"/>
        <w:adjustRightInd w:val="0"/>
        <w:ind w:left="0" w:right="49"/>
        <w:jc w:val="both"/>
        <w:rPr>
          <w:rFonts w:ascii="Verdana" w:eastAsia="Times New Roman" w:hAnsi="Verdana"/>
          <w:bCs/>
          <w:sz w:val="16"/>
          <w:szCs w:val="16"/>
          <w:lang w:val="es-MX"/>
        </w:rPr>
      </w:pPr>
      <w:r w:rsidRPr="00CB3D61">
        <w:rPr>
          <w:rStyle w:val="FootnoteReference"/>
          <w:szCs w:val="16"/>
        </w:rPr>
        <w:footnoteRef/>
      </w:r>
      <w:r w:rsidRPr="00CB3D61">
        <w:rPr>
          <w:rFonts w:ascii="Verdana" w:hAnsi="Verdana"/>
          <w:sz w:val="20"/>
          <w:szCs w:val="16"/>
        </w:rPr>
        <w:t xml:space="preserve"> </w:t>
      </w:r>
      <w:r w:rsidRPr="008D2569">
        <w:rPr>
          <w:rFonts w:ascii="Verdana" w:hAnsi="Verdana"/>
          <w:sz w:val="16"/>
          <w:szCs w:val="16"/>
        </w:rPr>
        <w:tab/>
        <w:t xml:space="preserve">Si bien en el </w:t>
      </w:r>
      <w:r w:rsidRPr="008D2569">
        <w:rPr>
          <w:rFonts w:ascii="Verdana" w:hAnsi="Verdana"/>
          <w:i/>
          <w:sz w:val="16"/>
          <w:szCs w:val="16"/>
        </w:rPr>
        <w:t xml:space="preserve">caso </w:t>
      </w:r>
      <w:proofErr w:type="spellStart"/>
      <w:r w:rsidRPr="008D2569">
        <w:rPr>
          <w:rFonts w:ascii="Verdana" w:hAnsi="Verdana"/>
          <w:i/>
          <w:sz w:val="16"/>
          <w:szCs w:val="16"/>
        </w:rPr>
        <w:t>Kawas</w:t>
      </w:r>
      <w:proofErr w:type="spellEnd"/>
      <w:r w:rsidRPr="008D2569">
        <w:rPr>
          <w:rFonts w:ascii="Verdana" w:hAnsi="Verdana"/>
          <w:i/>
          <w:sz w:val="16"/>
          <w:szCs w:val="16"/>
        </w:rPr>
        <w:t xml:space="preserve"> Fernández</w:t>
      </w:r>
      <w:r w:rsidRPr="008D2569">
        <w:rPr>
          <w:rFonts w:ascii="Verdana" w:hAnsi="Verdana"/>
          <w:sz w:val="16"/>
          <w:szCs w:val="16"/>
        </w:rPr>
        <w:t xml:space="preserve"> la Corte IDH considera la violación del artículo 16 de la Convención Americana, este se refiere a la labor como defensora de derechos humanos (del medio ambiente, es decir, </w:t>
      </w:r>
      <w:r w:rsidRPr="008D2569">
        <w:rPr>
          <w:rFonts w:ascii="Verdana" w:eastAsia="Times New Roman" w:hAnsi="Verdana" w:cs="Tahoma"/>
          <w:sz w:val="16"/>
          <w:szCs w:val="16"/>
          <w:shd w:val="clear" w:color="auto" w:fill="FFFFFF"/>
        </w:rPr>
        <w:t xml:space="preserve">por </w:t>
      </w:r>
      <w:r w:rsidRPr="008D2569">
        <w:rPr>
          <w:rFonts w:ascii="Verdana" w:hAnsi="Verdana"/>
          <w:sz w:val="16"/>
          <w:szCs w:val="16"/>
          <w:u w:val="single"/>
        </w:rPr>
        <w:t>formar y participar libremente en organizaciones, asociaciones o grupos no gubernamentales orientados a la vigilancia, denuncia y promoción de los derechos humanos, no por ser parte de una asociación laboral.</w:t>
      </w:r>
      <w:r w:rsidRPr="008D2569">
        <w:rPr>
          <w:rFonts w:ascii="Verdana" w:hAnsi="Verdana"/>
          <w:sz w:val="16"/>
          <w:szCs w:val="16"/>
        </w:rPr>
        <w:t xml:space="preserve"> </w:t>
      </w:r>
      <w:r w:rsidRPr="008D2569">
        <w:rPr>
          <w:rFonts w:ascii="Verdana" w:hAnsi="Verdana"/>
          <w:i/>
          <w:sz w:val="16"/>
          <w:szCs w:val="16"/>
        </w:rPr>
        <w:t>Cfr.</w:t>
      </w:r>
      <w:r w:rsidRPr="008D2569">
        <w:rPr>
          <w:rFonts w:ascii="Verdana" w:hAnsi="Verdana"/>
          <w:sz w:val="16"/>
          <w:szCs w:val="16"/>
        </w:rPr>
        <w:t xml:space="preserve"> </w:t>
      </w:r>
      <w:r w:rsidRPr="008D2569">
        <w:rPr>
          <w:rFonts w:ascii="Verdana" w:eastAsia="Times New Roman" w:hAnsi="Verdana"/>
          <w:bCs/>
          <w:i/>
          <w:sz w:val="16"/>
          <w:szCs w:val="16"/>
          <w:lang w:val="es-MX"/>
        </w:rPr>
        <w:t xml:space="preserve">Caso </w:t>
      </w:r>
      <w:proofErr w:type="spellStart"/>
      <w:r w:rsidRPr="008D2569">
        <w:rPr>
          <w:rFonts w:ascii="Verdana" w:eastAsia="Times New Roman" w:hAnsi="Verdana"/>
          <w:bCs/>
          <w:i/>
          <w:sz w:val="16"/>
          <w:szCs w:val="16"/>
          <w:lang w:val="es-MX"/>
        </w:rPr>
        <w:t>Kawas</w:t>
      </w:r>
      <w:proofErr w:type="spellEnd"/>
      <w:r w:rsidRPr="008D2569">
        <w:rPr>
          <w:rFonts w:ascii="Verdana" w:eastAsia="Times New Roman" w:hAnsi="Verdana"/>
          <w:bCs/>
          <w:i/>
          <w:sz w:val="16"/>
          <w:szCs w:val="16"/>
          <w:lang w:val="es-MX"/>
        </w:rPr>
        <w:t xml:space="preserve"> Fernández Vs. Honduras. Fondo, Reparaciones y Costas</w:t>
      </w:r>
      <w:r w:rsidRPr="008D2569">
        <w:rPr>
          <w:rFonts w:ascii="Verdana" w:eastAsia="Times New Roman" w:hAnsi="Verdana"/>
          <w:bCs/>
          <w:sz w:val="16"/>
          <w:szCs w:val="16"/>
          <w:lang w:val="es-MX"/>
        </w:rPr>
        <w:t>. Sentencia de 3 de abril de 2009. Serie C No. 196, párr. 146.</w:t>
      </w:r>
    </w:p>
    <w:p w14:paraId="38E1ECD8" w14:textId="77777777" w:rsidR="00D86616" w:rsidRPr="005D6C54" w:rsidRDefault="00D86616" w:rsidP="00F83E8F">
      <w:pPr>
        <w:pStyle w:val="ListParagraph"/>
        <w:widowControl w:val="0"/>
        <w:autoSpaceDE w:val="0"/>
        <w:autoSpaceDN w:val="0"/>
        <w:adjustRightInd w:val="0"/>
        <w:ind w:left="0" w:right="49"/>
        <w:jc w:val="both"/>
        <w:rPr>
          <w:rFonts w:ascii="Verdana" w:eastAsia="Times New Roman" w:hAnsi="Verdana" w:cs="Tahoma"/>
          <w:sz w:val="16"/>
          <w:szCs w:val="16"/>
          <w:shd w:val="clear" w:color="auto" w:fill="FFFFFF"/>
        </w:rPr>
      </w:pPr>
    </w:p>
  </w:footnote>
  <w:footnote w:id="356">
    <w:p w14:paraId="4E47E10D" w14:textId="3A2D799E" w:rsidR="00D86616" w:rsidRDefault="00D86616" w:rsidP="00F83E8F">
      <w:pPr>
        <w:pStyle w:val="FootnoteText"/>
        <w:rPr>
          <w:lang w:val="es-ES_tradnl"/>
        </w:rPr>
      </w:pPr>
      <w:r w:rsidRPr="008D2569">
        <w:rPr>
          <w:rStyle w:val="FootnoteReference"/>
        </w:rPr>
        <w:footnoteRef/>
      </w:r>
      <w:r w:rsidR="003B3688">
        <w:rPr>
          <w:lang w:val="es-MX"/>
        </w:rPr>
        <w:t xml:space="preserve"> </w:t>
      </w:r>
      <w:r w:rsidR="003B3688">
        <w:rPr>
          <w:lang w:val="es-MX"/>
        </w:rPr>
        <w:tab/>
        <w:t xml:space="preserve">   </w:t>
      </w:r>
      <w:r w:rsidRPr="00C959C6">
        <w:rPr>
          <w:lang w:val="es-MX"/>
        </w:rPr>
        <w:t>El supues</w:t>
      </w:r>
      <w:r>
        <w:rPr>
          <w:lang w:val="es-MX"/>
        </w:rPr>
        <w:t>to del Señor Lagos del Campo es</w:t>
      </w:r>
      <w:r w:rsidRPr="00C959C6">
        <w:rPr>
          <w:lang w:val="es-MX"/>
        </w:rPr>
        <w:t xml:space="preserve"> un tipo </w:t>
      </w:r>
      <w:proofErr w:type="gramStart"/>
      <w:r w:rsidRPr="00C959C6">
        <w:rPr>
          <w:lang w:val="es-MX"/>
        </w:rPr>
        <w:t>especifico</w:t>
      </w:r>
      <w:proofErr w:type="gramEnd"/>
      <w:r w:rsidRPr="00C959C6">
        <w:rPr>
          <w:lang w:val="es-MX"/>
        </w:rPr>
        <w:t xml:space="preserve"> de asociación laboral (</w:t>
      </w:r>
      <w:r w:rsidRPr="00C959C6">
        <w:rPr>
          <w:rFonts w:cs="Tahoma"/>
          <w:shd w:val="clear" w:color="auto" w:fill="FFFFFF"/>
          <w:lang w:val="es-MX"/>
        </w:rPr>
        <w:t xml:space="preserve">para la defensa y promoción de sus intereses). </w:t>
      </w:r>
    </w:p>
    <w:p w14:paraId="36918D9C" w14:textId="77777777" w:rsidR="00D86616" w:rsidRPr="00954C4C" w:rsidRDefault="00D86616" w:rsidP="00F83E8F">
      <w:pPr>
        <w:pStyle w:val="FootnoteText"/>
        <w:rPr>
          <w:rStyle w:val="FootnoteReference"/>
          <w:rFonts w:eastAsia="Calibri"/>
          <w:lang w:val="es-CR" w:eastAsia="en-US"/>
        </w:rPr>
      </w:pPr>
    </w:p>
  </w:footnote>
  <w:footnote w:id="357">
    <w:p w14:paraId="5BAAAD04" w14:textId="64E40E2A" w:rsidR="00061C0D" w:rsidRPr="00CF137F" w:rsidRDefault="00D86616" w:rsidP="00061C0D">
      <w:pPr>
        <w:spacing w:after="120"/>
        <w:jc w:val="both"/>
        <w:rPr>
          <w:rFonts w:ascii="Verdana" w:eastAsia="Times New Roman" w:hAnsi="Verdana"/>
          <w:bCs/>
          <w:color w:val="000000"/>
          <w:sz w:val="16"/>
          <w:szCs w:val="16"/>
          <w:lang w:val="es-MX"/>
        </w:rPr>
      </w:pPr>
      <w:r w:rsidRPr="00CB3D61">
        <w:rPr>
          <w:rStyle w:val="FootnoteReference"/>
          <w:szCs w:val="16"/>
        </w:rPr>
        <w:footnoteRef/>
      </w:r>
      <w:r w:rsidR="003B3688">
        <w:rPr>
          <w:rFonts w:ascii="Verdana" w:hAnsi="Verdana"/>
          <w:i/>
          <w:sz w:val="16"/>
          <w:szCs w:val="16"/>
        </w:rPr>
        <w:t xml:space="preserve"> </w:t>
      </w:r>
      <w:r w:rsidR="003B3688">
        <w:rPr>
          <w:rFonts w:ascii="Verdana" w:hAnsi="Verdana"/>
          <w:i/>
          <w:sz w:val="16"/>
          <w:szCs w:val="16"/>
        </w:rPr>
        <w:tab/>
      </w:r>
      <w:r w:rsidRPr="00CF137F">
        <w:rPr>
          <w:rFonts w:ascii="Verdana" w:hAnsi="Verdana"/>
          <w:i/>
          <w:sz w:val="16"/>
          <w:szCs w:val="16"/>
        </w:rPr>
        <w:t>Cfr.</w:t>
      </w:r>
      <w:r w:rsidRPr="00CF137F">
        <w:rPr>
          <w:rFonts w:ascii="Verdana" w:hAnsi="Verdana"/>
          <w:sz w:val="16"/>
          <w:szCs w:val="16"/>
        </w:rPr>
        <w:t xml:space="preserve"> </w:t>
      </w:r>
      <w:r w:rsidRPr="00CF137F">
        <w:rPr>
          <w:rFonts w:ascii="Verdana" w:eastAsia="Times New Roman" w:hAnsi="Verdana"/>
          <w:bCs/>
          <w:i/>
          <w:color w:val="000000"/>
          <w:sz w:val="16"/>
          <w:szCs w:val="16"/>
          <w:lang w:val="es-MX"/>
        </w:rPr>
        <w:t>Caso "Cinco Pensionistas" Vs. Perú. Fondo, Reparaciones y Costas</w:t>
      </w:r>
      <w:r w:rsidRPr="00CF137F">
        <w:rPr>
          <w:rFonts w:ascii="Verdana" w:eastAsia="Times New Roman" w:hAnsi="Verdana"/>
          <w:bCs/>
          <w:color w:val="000000"/>
          <w:sz w:val="16"/>
          <w:szCs w:val="16"/>
          <w:lang w:val="es-MX"/>
        </w:rPr>
        <w:t xml:space="preserve">. Sentencia de 28 de febrero de 2003. Serie C No. 98, párr. 142. En el </w:t>
      </w:r>
      <w:r w:rsidRPr="00BA6F15">
        <w:rPr>
          <w:rFonts w:ascii="Verdana" w:eastAsia="Times New Roman" w:hAnsi="Verdana"/>
          <w:bCs/>
          <w:i/>
          <w:color w:val="000000"/>
          <w:sz w:val="16"/>
          <w:szCs w:val="16"/>
          <w:lang w:val="es-MX"/>
        </w:rPr>
        <w:t xml:space="preserve">Caso </w:t>
      </w:r>
      <w:proofErr w:type="spellStart"/>
      <w:r w:rsidRPr="00BA6F15">
        <w:rPr>
          <w:rFonts w:ascii="Verdana" w:eastAsia="Times New Roman" w:hAnsi="Verdana"/>
          <w:bCs/>
          <w:i/>
          <w:color w:val="000000"/>
          <w:sz w:val="16"/>
          <w:szCs w:val="16"/>
          <w:lang w:val="es-MX"/>
        </w:rPr>
        <w:t>Yakye</w:t>
      </w:r>
      <w:proofErr w:type="spellEnd"/>
      <w:r w:rsidRPr="00BA6F15">
        <w:rPr>
          <w:rFonts w:ascii="Verdana" w:eastAsia="Times New Roman" w:hAnsi="Verdana"/>
          <w:bCs/>
          <w:i/>
          <w:color w:val="000000"/>
          <w:sz w:val="16"/>
          <w:szCs w:val="16"/>
          <w:lang w:val="es-MX"/>
        </w:rPr>
        <w:t xml:space="preserve"> Axa Vs. Paraguay</w:t>
      </w:r>
      <w:r w:rsidRPr="00CF137F">
        <w:rPr>
          <w:rFonts w:ascii="Verdana" w:eastAsia="Times New Roman" w:hAnsi="Verdana"/>
          <w:bCs/>
          <w:color w:val="000000"/>
          <w:sz w:val="16"/>
          <w:szCs w:val="16"/>
          <w:lang w:val="es-MX"/>
        </w:rPr>
        <w:t xml:space="preserve"> (2005), la Comisión Interamericana relacionó el artículo 26 de la Convención Americana con la violación del artículo 4, en este sentido señaló que: “</w:t>
      </w:r>
      <w:r w:rsidRPr="00CF137F">
        <w:rPr>
          <w:rFonts w:ascii="Verdana" w:eastAsia="Times New Roman" w:hAnsi="Verdana"/>
          <w:bCs/>
          <w:color w:val="000000"/>
          <w:sz w:val="16"/>
          <w:szCs w:val="16"/>
        </w:rPr>
        <w:t xml:space="preserve"> 157. […] </w:t>
      </w:r>
      <w:r w:rsidRPr="00CF137F">
        <w:rPr>
          <w:rFonts w:ascii="Verdana" w:hAnsi="Verdana"/>
          <w:sz w:val="16"/>
          <w:szCs w:val="16"/>
        </w:rPr>
        <w:t xml:space="preserve">e) la situación de riesgo o vulnerabilidad de la Comunidad indígena </w:t>
      </w:r>
      <w:proofErr w:type="spellStart"/>
      <w:r w:rsidRPr="00CF137F">
        <w:rPr>
          <w:rFonts w:ascii="Verdana" w:hAnsi="Verdana"/>
          <w:sz w:val="16"/>
          <w:szCs w:val="16"/>
        </w:rPr>
        <w:t>Yakye</w:t>
      </w:r>
      <w:proofErr w:type="spellEnd"/>
      <w:r w:rsidRPr="00CF137F">
        <w:rPr>
          <w:rFonts w:ascii="Verdana" w:hAnsi="Verdana"/>
          <w:sz w:val="16"/>
          <w:szCs w:val="16"/>
        </w:rPr>
        <w:t xml:space="preserve"> Axa ha sido creada por la negligencia del Estado, lo cual no ha sido cuestionado; por el contrario, el propio Estado declaró en 1999 en “estado de emergencia a la Comunidad”. Esta negligencia se produjo en un contexto en que el Paraguay tiene el deber de garantizar las condiciones necesarias para la consecución de una vida digna, un deber que es subrayado por el compromiso recogido en el </w:t>
      </w:r>
      <w:proofErr w:type="spellStart"/>
      <w:r w:rsidRPr="00CF137F">
        <w:rPr>
          <w:rFonts w:ascii="Verdana" w:hAnsi="Verdana"/>
          <w:sz w:val="16"/>
          <w:szCs w:val="16"/>
        </w:rPr>
        <w:t>artículo</w:t>
      </w:r>
      <w:proofErr w:type="spellEnd"/>
      <w:r w:rsidRPr="00CF137F">
        <w:rPr>
          <w:rFonts w:ascii="Verdana" w:hAnsi="Verdana"/>
          <w:sz w:val="16"/>
          <w:szCs w:val="16"/>
        </w:rPr>
        <w:t xml:space="preserve"> 26 de la Convención Americana, de adoptar medidas apropiadas para alcanzar la completa realización de los derechos sociales. Sin embargo, a </w:t>
      </w:r>
      <w:proofErr w:type="spellStart"/>
      <w:r w:rsidRPr="00CF137F">
        <w:rPr>
          <w:rFonts w:ascii="Verdana" w:hAnsi="Verdana"/>
          <w:sz w:val="16"/>
          <w:szCs w:val="16"/>
        </w:rPr>
        <w:t>través</w:t>
      </w:r>
      <w:proofErr w:type="spellEnd"/>
      <w:r w:rsidRPr="00CF137F">
        <w:rPr>
          <w:rFonts w:ascii="Verdana" w:hAnsi="Verdana"/>
          <w:sz w:val="16"/>
          <w:szCs w:val="16"/>
        </w:rPr>
        <w:t xml:space="preserve"> de la omisión en sus </w:t>
      </w:r>
      <w:proofErr w:type="spellStart"/>
      <w:r w:rsidRPr="00CF137F">
        <w:rPr>
          <w:rFonts w:ascii="Verdana" w:hAnsi="Verdana"/>
          <w:sz w:val="16"/>
          <w:szCs w:val="16"/>
        </w:rPr>
        <w:t>políticas</w:t>
      </w:r>
      <w:proofErr w:type="spellEnd"/>
      <w:r w:rsidRPr="00CF137F">
        <w:rPr>
          <w:rFonts w:ascii="Verdana" w:hAnsi="Verdana"/>
          <w:sz w:val="16"/>
          <w:szCs w:val="16"/>
        </w:rPr>
        <w:t xml:space="preserve"> de salud el Estado disminuyo</w:t>
      </w:r>
      <w:r>
        <w:rPr>
          <w:rFonts w:ascii="Verdana" w:hAnsi="Verdana"/>
          <w:sz w:val="16"/>
          <w:szCs w:val="16"/>
        </w:rPr>
        <w:t xml:space="preserve">́ el goce de los miembros de la </w:t>
      </w:r>
      <w:r w:rsidRPr="00CF137F">
        <w:rPr>
          <w:rFonts w:ascii="Verdana" w:hAnsi="Verdana"/>
          <w:sz w:val="16"/>
          <w:szCs w:val="16"/>
        </w:rPr>
        <w:t xml:space="preserve">Comunidad </w:t>
      </w:r>
      <w:proofErr w:type="spellStart"/>
      <w:r w:rsidRPr="00CF137F">
        <w:rPr>
          <w:rFonts w:ascii="Verdana" w:hAnsi="Verdana"/>
          <w:sz w:val="16"/>
          <w:szCs w:val="16"/>
        </w:rPr>
        <w:t>Yakye</w:t>
      </w:r>
      <w:proofErr w:type="spellEnd"/>
      <w:r w:rsidRPr="00CF137F">
        <w:rPr>
          <w:rFonts w:ascii="Verdana" w:hAnsi="Verdana"/>
          <w:sz w:val="16"/>
          <w:szCs w:val="16"/>
        </w:rPr>
        <w:t xml:space="preserve"> Axa de las condiciones </w:t>
      </w:r>
      <w:proofErr w:type="spellStart"/>
      <w:r w:rsidRPr="00CF137F">
        <w:rPr>
          <w:rFonts w:ascii="Verdana" w:hAnsi="Verdana"/>
          <w:sz w:val="16"/>
          <w:szCs w:val="16"/>
        </w:rPr>
        <w:t>mínimas</w:t>
      </w:r>
      <w:proofErr w:type="spellEnd"/>
      <w:r w:rsidRPr="00CF137F">
        <w:rPr>
          <w:rFonts w:ascii="Verdana" w:hAnsi="Verdana"/>
          <w:sz w:val="16"/>
          <w:szCs w:val="16"/>
        </w:rPr>
        <w:t xml:space="preserve"> en el campo sanitario, alimenticio y </w:t>
      </w:r>
      <w:proofErr w:type="gramStart"/>
      <w:r w:rsidRPr="00CF137F">
        <w:rPr>
          <w:rFonts w:ascii="Verdana" w:hAnsi="Verdana"/>
          <w:sz w:val="16"/>
          <w:szCs w:val="16"/>
        </w:rPr>
        <w:t>habitacional[</w:t>
      </w:r>
      <w:proofErr w:type="gramEnd"/>
      <w:r w:rsidRPr="00CF137F">
        <w:rPr>
          <w:rFonts w:ascii="Verdana" w:hAnsi="Verdana"/>
          <w:sz w:val="16"/>
          <w:szCs w:val="16"/>
        </w:rPr>
        <w:t>…]”.</w:t>
      </w:r>
      <w:r>
        <w:rPr>
          <w:rFonts w:ascii="Verdana" w:hAnsi="Verdana"/>
          <w:sz w:val="16"/>
          <w:szCs w:val="16"/>
        </w:rPr>
        <w:t xml:space="preserve"> </w:t>
      </w:r>
      <w:r w:rsidRPr="00CF137F">
        <w:rPr>
          <w:rFonts w:ascii="Verdana" w:eastAsia="Times New Roman" w:hAnsi="Verdana"/>
          <w:bCs/>
          <w:i/>
          <w:color w:val="000000"/>
          <w:sz w:val="16"/>
          <w:szCs w:val="16"/>
          <w:lang w:val="es-MX"/>
        </w:rPr>
        <w:t xml:space="preserve">Caso Comunidad Indígena </w:t>
      </w:r>
      <w:proofErr w:type="spellStart"/>
      <w:r w:rsidRPr="00CF137F">
        <w:rPr>
          <w:rFonts w:ascii="Verdana" w:eastAsia="Times New Roman" w:hAnsi="Verdana"/>
          <w:bCs/>
          <w:i/>
          <w:color w:val="000000"/>
          <w:sz w:val="16"/>
          <w:szCs w:val="16"/>
          <w:lang w:val="es-MX"/>
        </w:rPr>
        <w:t>Yakye</w:t>
      </w:r>
      <w:proofErr w:type="spellEnd"/>
      <w:r w:rsidRPr="00CF137F">
        <w:rPr>
          <w:rFonts w:ascii="Verdana" w:eastAsia="Times New Roman" w:hAnsi="Verdana"/>
          <w:bCs/>
          <w:i/>
          <w:color w:val="000000"/>
          <w:sz w:val="16"/>
          <w:szCs w:val="16"/>
          <w:lang w:val="es-MX"/>
        </w:rPr>
        <w:t xml:space="preserve"> Axa Vs. Paraguay. Fondo Reparaciones y Costas</w:t>
      </w:r>
      <w:r w:rsidRPr="00CF137F">
        <w:rPr>
          <w:rFonts w:ascii="Verdana" w:eastAsia="Times New Roman" w:hAnsi="Verdana"/>
          <w:bCs/>
          <w:color w:val="000000"/>
          <w:sz w:val="16"/>
          <w:szCs w:val="16"/>
          <w:lang w:val="es-MX"/>
        </w:rPr>
        <w:t>. Sentencia 17 de junio de 200</w:t>
      </w:r>
      <w:r>
        <w:rPr>
          <w:rFonts w:ascii="Verdana" w:eastAsia="Times New Roman" w:hAnsi="Verdana"/>
          <w:bCs/>
          <w:color w:val="000000"/>
          <w:sz w:val="16"/>
          <w:szCs w:val="16"/>
          <w:lang w:val="es-MX"/>
        </w:rPr>
        <w:t>5. Serie C No. 125, párr. 157.</w:t>
      </w:r>
      <w:r w:rsidRPr="00CF137F">
        <w:rPr>
          <w:rFonts w:ascii="Verdana" w:eastAsia="Times New Roman" w:hAnsi="Verdana"/>
          <w:bCs/>
          <w:color w:val="000000"/>
          <w:sz w:val="16"/>
          <w:szCs w:val="16"/>
          <w:lang w:val="es-MX"/>
        </w:rPr>
        <w:t xml:space="preserve"> </w:t>
      </w:r>
      <w:bookmarkStart w:id="78" w:name="_GoBack"/>
      <w:bookmarkEnd w:id="78"/>
    </w:p>
  </w:footnote>
  <w:footnote w:id="358">
    <w:p w14:paraId="55F33508" w14:textId="462ADD2E" w:rsidR="00D86616" w:rsidRPr="007D19F0" w:rsidRDefault="00D86616" w:rsidP="00061C0D">
      <w:pPr>
        <w:spacing w:after="120"/>
        <w:jc w:val="both"/>
        <w:rPr>
          <w:rFonts w:ascii="Verdana" w:eastAsia="Times New Roman" w:hAnsi="Verdana"/>
          <w:bCs/>
          <w:color w:val="000000"/>
          <w:sz w:val="16"/>
          <w:szCs w:val="16"/>
          <w:lang w:val="es-MX"/>
        </w:rPr>
      </w:pPr>
      <w:r w:rsidRPr="00CB3D61">
        <w:rPr>
          <w:rStyle w:val="FootnoteReference"/>
          <w:szCs w:val="16"/>
        </w:rPr>
        <w:footnoteRef/>
      </w:r>
      <w:r w:rsidR="003B3688">
        <w:rPr>
          <w:rFonts w:ascii="Verdana" w:hAnsi="Verdana"/>
          <w:i/>
          <w:sz w:val="16"/>
          <w:szCs w:val="16"/>
        </w:rPr>
        <w:t xml:space="preserve"> </w:t>
      </w:r>
      <w:r w:rsidR="003B3688">
        <w:rPr>
          <w:rFonts w:ascii="Verdana" w:hAnsi="Verdana"/>
          <w:i/>
          <w:sz w:val="16"/>
          <w:szCs w:val="16"/>
        </w:rPr>
        <w:tab/>
      </w:r>
      <w:r w:rsidRPr="00CF137F">
        <w:rPr>
          <w:rFonts w:ascii="Verdana" w:hAnsi="Verdana"/>
          <w:i/>
          <w:sz w:val="16"/>
          <w:szCs w:val="16"/>
        </w:rPr>
        <w:t>Cfr.</w:t>
      </w:r>
      <w:r w:rsidRPr="00CF137F">
        <w:rPr>
          <w:rFonts w:ascii="Verdana" w:hAnsi="Verdana"/>
          <w:sz w:val="16"/>
          <w:szCs w:val="16"/>
        </w:rPr>
        <w:t xml:space="preserve"> </w:t>
      </w:r>
      <w:r w:rsidRPr="00CF137F">
        <w:rPr>
          <w:rFonts w:ascii="Verdana" w:eastAsia="Times New Roman" w:hAnsi="Verdana"/>
          <w:bCs/>
          <w:i/>
          <w:color w:val="000000"/>
          <w:sz w:val="16"/>
          <w:szCs w:val="16"/>
          <w:lang w:val="es-MX"/>
        </w:rPr>
        <w:t>Caso "Instituto de Reeducación del Menor" Vs. Paraguay. Excepciones Preliminares, Fondo, Reparaciones y Costas.</w:t>
      </w:r>
      <w:r w:rsidRPr="00CF137F">
        <w:rPr>
          <w:rFonts w:ascii="Verdana" w:eastAsia="Times New Roman" w:hAnsi="Verdana"/>
          <w:bCs/>
          <w:color w:val="000000"/>
          <w:sz w:val="16"/>
          <w:szCs w:val="16"/>
          <w:lang w:val="es-MX"/>
        </w:rPr>
        <w:t xml:space="preserve"> Sentencia de 2 de septiembre de 2004. Serie C No. 112, párr. 253; </w:t>
      </w:r>
      <w:r w:rsidRPr="00CF137F">
        <w:rPr>
          <w:rFonts w:ascii="Verdana" w:eastAsia="Times New Roman" w:hAnsi="Verdana"/>
          <w:bCs/>
          <w:i/>
          <w:color w:val="000000"/>
          <w:sz w:val="16"/>
          <w:szCs w:val="16"/>
          <w:lang w:val="es-MX"/>
        </w:rPr>
        <w:t xml:space="preserve">Caso de las niñas </w:t>
      </w:r>
      <w:proofErr w:type="spellStart"/>
      <w:r w:rsidRPr="00CF137F">
        <w:rPr>
          <w:rFonts w:ascii="Verdana" w:eastAsia="Times New Roman" w:hAnsi="Verdana"/>
          <w:bCs/>
          <w:i/>
          <w:color w:val="000000"/>
          <w:sz w:val="16"/>
          <w:szCs w:val="16"/>
          <w:lang w:val="es-MX"/>
        </w:rPr>
        <w:t>Yean</w:t>
      </w:r>
      <w:proofErr w:type="spellEnd"/>
      <w:r w:rsidRPr="00CF137F">
        <w:rPr>
          <w:rFonts w:ascii="Verdana" w:eastAsia="Times New Roman" w:hAnsi="Verdana"/>
          <w:bCs/>
          <w:i/>
          <w:color w:val="000000"/>
          <w:sz w:val="16"/>
          <w:szCs w:val="16"/>
          <w:lang w:val="es-MX"/>
        </w:rPr>
        <w:t xml:space="preserve"> y </w:t>
      </w:r>
      <w:proofErr w:type="spellStart"/>
      <w:r w:rsidRPr="00CF137F">
        <w:rPr>
          <w:rFonts w:ascii="Verdana" w:eastAsia="Times New Roman" w:hAnsi="Verdana"/>
          <w:bCs/>
          <w:i/>
          <w:color w:val="000000"/>
          <w:sz w:val="16"/>
          <w:szCs w:val="16"/>
          <w:lang w:val="es-MX"/>
        </w:rPr>
        <w:t>Bosico</w:t>
      </w:r>
      <w:proofErr w:type="spellEnd"/>
      <w:r w:rsidRPr="00CF137F">
        <w:rPr>
          <w:rFonts w:ascii="Verdana" w:eastAsia="Times New Roman" w:hAnsi="Verdana"/>
          <w:bCs/>
          <w:i/>
          <w:color w:val="000000"/>
          <w:sz w:val="16"/>
          <w:szCs w:val="16"/>
          <w:lang w:val="es-MX"/>
        </w:rPr>
        <w:t xml:space="preserve"> Vs. República Dominicana</w:t>
      </w:r>
      <w:r w:rsidRPr="00CF137F">
        <w:rPr>
          <w:rFonts w:ascii="Verdana" w:eastAsia="Times New Roman" w:hAnsi="Verdana"/>
          <w:bCs/>
          <w:color w:val="000000"/>
          <w:sz w:val="16"/>
          <w:szCs w:val="16"/>
          <w:lang w:val="es-MX"/>
        </w:rPr>
        <w:t>. Sentencia de 8 de septiembre de 2005. Serie C No. 130, párr. 115. B (en este caso los representa</w:t>
      </w:r>
      <w:r>
        <w:rPr>
          <w:rFonts w:ascii="Verdana" w:eastAsia="Times New Roman" w:hAnsi="Verdana"/>
          <w:bCs/>
          <w:color w:val="000000"/>
          <w:sz w:val="16"/>
          <w:szCs w:val="16"/>
          <w:lang w:val="es-MX"/>
        </w:rPr>
        <w:t>n</w:t>
      </w:r>
      <w:r w:rsidRPr="00CF137F">
        <w:rPr>
          <w:rFonts w:ascii="Verdana" w:eastAsia="Times New Roman" w:hAnsi="Verdana"/>
          <w:bCs/>
          <w:color w:val="000000"/>
          <w:sz w:val="16"/>
          <w:szCs w:val="16"/>
          <w:lang w:val="es-MX"/>
        </w:rPr>
        <w:t xml:space="preserve">tes alegaron que el derecho a la educación era un derecho tutelado por el artículo 26 de la Convención Americana bajo el contexto de la violación del artículo 19 de la </w:t>
      </w:r>
      <w:proofErr w:type="spellStart"/>
      <w:r w:rsidRPr="00CF137F">
        <w:rPr>
          <w:rFonts w:ascii="Verdana" w:eastAsia="Times New Roman" w:hAnsi="Verdana"/>
          <w:bCs/>
          <w:color w:val="000000"/>
          <w:sz w:val="16"/>
          <w:szCs w:val="16"/>
          <w:lang w:val="es-MX"/>
        </w:rPr>
        <w:t>Convencióin</w:t>
      </w:r>
      <w:proofErr w:type="spellEnd"/>
      <w:r w:rsidRPr="00CF137F">
        <w:rPr>
          <w:rFonts w:ascii="Verdana" w:eastAsia="Times New Roman" w:hAnsi="Verdana"/>
          <w:bCs/>
          <w:color w:val="000000"/>
          <w:sz w:val="16"/>
          <w:szCs w:val="16"/>
          <w:lang w:val="es-MX"/>
        </w:rPr>
        <w:t xml:space="preserve"> Americana); </w:t>
      </w:r>
      <w:r w:rsidRPr="00CF137F">
        <w:rPr>
          <w:rFonts w:ascii="Verdana" w:eastAsia="Times New Roman" w:hAnsi="Verdana"/>
          <w:bCs/>
          <w:i/>
          <w:color w:val="000000"/>
          <w:sz w:val="16"/>
          <w:szCs w:val="16"/>
          <w:lang w:val="es-MX"/>
        </w:rPr>
        <w:t>Caso Trabajadores Cesados del Congreso (Aguado Alfaro y otros) Vs. Perú. Excepciones Preliminares, Fondo, Reparaciones y Costas</w:t>
      </w:r>
      <w:r w:rsidRPr="00CF137F">
        <w:rPr>
          <w:rFonts w:ascii="Verdana" w:eastAsia="Times New Roman" w:hAnsi="Verdana"/>
          <w:bCs/>
          <w:color w:val="000000"/>
          <w:sz w:val="16"/>
          <w:szCs w:val="16"/>
          <w:lang w:val="es-MX"/>
        </w:rPr>
        <w:t xml:space="preserve">. Sentencia de 24 de noviembre de 2006. Serie C No. 158, párr. 134; </w:t>
      </w:r>
      <w:r w:rsidRPr="00CF137F">
        <w:rPr>
          <w:rFonts w:ascii="Verdana" w:eastAsia="Times New Roman" w:hAnsi="Verdana"/>
          <w:bCs/>
          <w:i/>
          <w:color w:val="000000"/>
          <w:sz w:val="16"/>
          <w:szCs w:val="16"/>
          <w:lang w:val="es-MX"/>
        </w:rPr>
        <w:t>Caso Acevedo Buendía y otros (“Cesantes y Jubilados de la Contraloría”) Vs. Perú. Excepción Preliminar, Fondo, Reparaciones y Costas</w:t>
      </w:r>
      <w:r w:rsidRPr="00CF137F">
        <w:rPr>
          <w:rFonts w:ascii="Verdana" w:eastAsia="Times New Roman" w:hAnsi="Verdana"/>
          <w:bCs/>
          <w:color w:val="000000"/>
          <w:sz w:val="16"/>
          <w:szCs w:val="16"/>
          <w:lang w:val="es-MX"/>
        </w:rPr>
        <w:t xml:space="preserve">. Sentencia de 1 de julio de 2009. Serie C No. 198, párr. 4; </w:t>
      </w:r>
      <w:r w:rsidRPr="00CF137F">
        <w:rPr>
          <w:rFonts w:ascii="Verdana" w:eastAsia="Times New Roman" w:hAnsi="Verdana"/>
          <w:bCs/>
          <w:i/>
          <w:color w:val="000000"/>
          <w:sz w:val="16"/>
          <w:szCs w:val="16"/>
          <w:lang w:val="es-MX"/>
        </w:rPr>
        <w:t xml:space="preserve">Caso Pueblo Indígena </w:t>
      </w:r>
      <w:proofErr w:type="spellStart"/>
      <w:r w:rsidRPr="00CF137F">
        <w:rPr>
          <w:rFonts w:ascii="Verdana" w:eastAsia="Times New Roman" w:hAnsi="Verdana"/>
          <w:bCs/>
          <w:i/>
          <w:color w:val="000000"/>
          <w:sz w:val="16"/>
          <w:szCs w:val="16"/>
          <w:lang w:val="es-MX"/>
        </w:rPr>
        <w:t>Kichwa</w:t>
      </w:r>
      <w:proofErr w:type="spellEnd"/>
      <w:r w:rsidRPr="00CF137F">
        <w:rPr>
          <w:rFonts w:ascii="Verdana" w:eastAsia="Times New Roman" w:hAnsi="Verdana"/>
          <w:bCs/>
          <w:i/>
          <w:color w:val="000000"/>
          <w:sz w:val="16"/>
          <w:szCs w:val="16"/>
          <w:lang w:val="es-MX"/>
        </w:rPr>
        <w:t xml:space="preserve"> de </w:t>
      </w:r>
      <w:proofErr w:type="spellStart"/>
      <w:r w:rsidRPr="00CF137F">
        <w:rPr>
          <w:rFonts w:ascii="Verdana" w:eastAsia="Times New Roman" w:hAnsi="Verdana"/>
          <w:bCs/>
          <w:i/>
          <w:color w:val="000000"/>
          <w:sz w:val="16"/>
          <w:szCs w:val="16"/>
          <w:lang w:val="es-MX"/>
        </w:rPr>
        <w:t>Sarayaku</w:t>
      </w:r>
      <w:proofErr w:type="spellEnd"/>
      <w:r w:rsidRPr="00CF137F">
        <w:rPr>
          <w:rFonts w:ascii="Verdana" w:eastAsia="Times New Roman" w:hAnsi="Verdana"/>
          <w:bCs/>
          <w:i/>
          <w:color w:val="000000"/>
          <w:sz w:val="16"/>
          <w:szCs w:val="16"/>
          <w:lang w:val="es-MX"/>
        </w:rPr>
        <w:t xml:space="preserve"> Vs. Ecuador. Fondo y reparaciones</w:t>
      </w:r>
      <w:r w:rsidRPr="00CF137F">
        <w:rPr>
          <w:rFonts w:ascii="Verdana" w:eastAsia="Times New Roman" w:hAnsi="Verdana"/>
          <w:bCs/>
          <w:color w:val="000000"/>
          <w:sz w:val="16"/>
          <w:szCs w:val="16"/>
          <w:lang w:val="es-MX"/>
        </w:rPr>
        <w:t xml:space="preserve">. Sentencia de 27 de junio de 2012. Serie C No. 245, párr. 137 a 139 y </w:t>
      </w:r>
      <w:r w:rsidRPr="00CF137F">
        <w:rPr>
          <w:rFonts w:ascii="Verdana" w:eastAsia="Times New Roman" w:hAnsi="Verdana"/>
          <w:bCs/>
          <w:i/>
          <w:color w:val="000000"/>
          <w:sz w:val="16"/>
          <w:szCs w:val="16"/>
          <w:lang w:val="es-MX"/>
        </w:rPr>
        <w:t xml:space="preserve">Caso Gonzales </w:t>
      </w:r>
      <w:proofErr w:type="spellStart"/>
      <w:r w:rsidRPr="00CF137F">
        <w:rPr>
          <w:rFonts w:ascii="Verdana" w:eastAsia="Times New Roman" w:hAnsi="Verdana"/>
          <w:bCs/>
          <w:i/>
          <w:color w:val="000000"/>
          <w:sz w:val="16"/>
          <w:szCs w:val="16"/>
          <w:lang w:val="es-MX"/>
        </w:rPr>
        <w:t>Lluy</w:t>
      </w:r>
      <w:proofErr w:type="spellEnd"/>
      <w:r w:rsidRPr="00CF137F">
        <w:rPr>
          <w:rFonts w:ascii="Verdana" w:eastAsia="Times New Roman" w:hAnsi="Verdana"/>
          <w:bCs/>
          <w:i/>
          <w:color w:val="000000"/>
          <w:sz w:val="16"/>
          <w:szCs w:val="16"/>
          <w:lang w:val="es-MX"/>
        </w:rPr>
        <w:t xml:space="preserve"> y otros Vs. Ecuador</w:t>
      </w:r>
      <w:r>
        <w:rPr>
          <w:rFonts w:ascii="Verdana" w:eastAsia="Times New Roman" w:hAnsi="Verdana"/>
          <w:bCs/>
          <w:i/>
          <w:color w:val="000000"/>
          <w:sz w:val="16"/>
          <w:szCs w:val="16"/>
          <w:lang w:val="es-MX"/>
        </w:rPr>
        <w:t xml:space="preserve">, supra, </w:t>
      </w:r>
      <w:r>
        <w:rPr>
          <w:rFonts w:ascii="Verdana" w:eastAsia="Times New Roman" w:hAnsi="Verdana"/>
          <w:bCs/>
          <w:color w:val="000000"/>
          <w:sz w:val="16"/>
          <w:szCs w:val="16"/>
          <w:lang w:val="es-MX"/>
        </w:rPr>
        <w:t xml:space="preserve">párr. 159. </w:t>
      </w:r>
    </w:p>
  </w:footnote>
  <w:footnote w:id="359">
    <w:p w14:paraId="6E46565C" w14:textId="77777777" w:rsidR="00D86616" w:rsidRPr="007D19F0" w:rsidRDefault="00D86616" w:rsidP="00F83E8F">
      <w:pPr>
        <w:jc w:val="both"/>
        <w:textAlignment w:val="baseline"/>
        <w:rPr>
          <w:rFonts w:ascii="Verdana" w:eastAsia="Times New Roman" w:hAnsi="Verdana"/>
          <w:color w:val="333333"/>
          <w:sz w:val="16"/>
          <w:szCs w:val="16"/>
          <w:lang w:val="es-MX"/>
        </w:rPr>
      </w:pPr>
      <w:r w:rsidRPr="00CB3D61">
        <w:rPr>
          <w:rStyle w:val="FootnoteReference"/>
          <w:szCs w:val="20"/>
        </w:rPr>
        <w:footnoteRef/>
      </w:r>
      <w:r w:rsidRPr="00CB3D61">
        <w:rPr>
          <w:rFonts w:ascii="Verdana" w:hAnsi="Verdana"/>
          <w:sz w:val="20"/>
          <w:szCs w:val="20"/>
        </w:rPr>
        <w:t xml:space="preserve"> </w:t>
      </w:r>
      <w:r w:rsidRPr="007D19F0">
        <w:rPr>
          <w:rFonts w:ascii="Verdana" w:hAnsi="Verdana"/>
          <w:sz w:val="16"/>
          <w:szCs w:val="16"/>
        </w:rPr>
        <w:tab/>
        <w:t>Al respecto</w:t>
      </w:r>
      <w:r>
        <w:rPr>
          <w:rFonts w:ascii="Verdana" w:hAnsi="Verdana"/>
          <w:sz w:val="16"/>
          <w:szCs w:val="16"/>
        </w:rPr>
        <w:t>,</w:t>
      </w:r>
      <w:r w:rsidRPr="007D19F0">
        <w:rPr>
          <w:rFonts w:ascii="Verdana" w:hAnsi="Verdana"/>
          <w:sz w:val="16"/>
          <w:szCs w:val="16"/>
        </w:rPr>
        <w:t xml:space="preserve"> es importante señalar que esta tendencia se ha materializado en el seno de </w:t>
      </w:r>
      <w:r>
        <w:rPr>
          <w:rFonts w:ascii="Verdana" w:hAnsi="Verdana"/>
          <w:sz w:val="16"/>
          <w:szCs w:val="16"/>
        </w:rPr>
        <w:t xml:space="preserve">las </w:t>
      </w:r>
      <w:r w:rsidRPr="007D19F0">
        <w:rPr>
          <w:rFonts w:ascii="Verdana" w:hAnsi="Verdana"/>
          <w:sz w:val="16"/>
          <w:szCs w:val="16"/>
        </w:rPr>
        <w:t>Naciones Unidas al entrar en vigor (</w:t>
      </w:r>
      <w:r>
        <w:rPr>
          <w:rFonts w:ascii="Verdana" w:hAnsi="Verdana"/>
          <w:sz w:val="16"/>
          <w:szCs w:val="16"/>
        </w:rPr>
        <w:t xml:space="preserve">en </w:t>
      </w:r>
      <w:r w:rsidRPr="007D19F0">
        <w:rPr>
          <w:rFonts w:ascii="Verdana" w:hAnsi="Verdana"/>
          <w:sz w:val="16"/>
          <w:szCs w:val="16"/>
        </w:rPr>
        <w:t>2013) el Protocolo Facultativo al Pacto Internacional de los Derechos Económicos, Sociales y Culturales (PF-PIDESC)</w:t>
      </w:r>
      <w:r>
        <w:rPr>
          <w:rFonts w:ascii="Verdana" w:hAnsi="Verdana"/>
          <w:sz w:val="16"/>
          <w:szCs w:val="16"/>
        </w:rPr>
        <w:t>,</w:t>
      </w:r>
      <w:r w:rsidRPr="007D19F0">
        <w:rPr>
          <w:rFonts w:ascii="Verdana" w:hAnsi="Verdana"/>
          <w:sz w:val="16"/>
          <w:szCs w:val="16"/>
        </w:rPr>
        <w:t xml:space="preserve"> adoptado en 2008. </w:t>
      </w:r>
      <w:r>
        <w:rPr>
          <w:rFonts w:ascii="Verdana" w:hAnsi="Verdana"/>
          <w:sz w:val="16"/>
          <w:szCs w:val="16"/>
        </w:rPr>
        <w:t>C</w:t>
      </w:r>
      <w:r w:rsidRPr="007D19F0">
        <w:rPr>
          <w:rFonts w:ascii="Verdana" w:hAnsi="Verdana"/>
          <w:sz w:val="16"/>
          <w:szCs w:val="16"/>
        </w:rPr>
        <w:t>on la entrada en vigor del PF-PIDESC</w:t>
      </w:r>
      <w:r>
        <w:rPr>
          <w:rFonts w:ascii="Verdana" w:hAnsi="Verdana"/>
          <w:sz w:val="16"/>
          <w:szCs w:val="16"/>
        </w:rPr>
        <w:t>,</w:t>
      </w:r>
      <w:r w:rsidRPr="007D19F0">
        <w:rPr>
          <w:rFonts w:ascii="Verdana" w:hAnsi="Verdana"/>
          <w:sz w:val="16"/>
          <w:szCs w:val="16"/>
        </w:rPr>
        <w:t xml:space="preserve"> el Comité de Derechos Económicos, Sociales y Culturales ha podido conocer de comunicaciones individuales </w:t>
      </w:r>
      <w:r>
        <w:rPr>
          <w:rFonts w:ascii="Verdana" w:hAnsi="Verdana"/>
          <w:sz w:val="16"/>
          <w:szCs w:val="16"/>
        </w:rPr>
        <w:t xml:space="preserve">a partir de las cuales </w:t>
      </w:r>
      <w:r w:rsidRPr="007D19F0">
        <w:rPr>
          <w:rFonts w:ascii="Verdana" w:hAnsi="Verdana"/>
          <w:sz w:val="16"/>
          <w:szCs w:val="16"/>
        </w:rPr>
        <w:t xml:space="preserve">ha declarado la infracción de las disposiciones del PIDESC.  Pueden verse al respecto: Comité DESC, </w:t>
      </w:r>
      <w:r w:rsidRPr="007D19F0">
        <w:rPr>
          <w:rFonts w:ascii="Verdana" w:hAnsi="Verdana"/>
          <w:i/>
          <w:sz w:val="16"/>
          <w:szCs w:val="16"/>
        </w:rPr>
        <w:t>Caso I.D.G Vs. España</w:t>
      </w:r>
      <w:r w:rsidRPr="007D19F0">
        <w:rPr>
          <w:rFonts w:ascii="Verdana" w:hAnsi="Verdana"/>
          <w:sz w:val="16"/>
          <w:szCs w:val="16"/>
        </w:rPr>
        <w:t xml:space="preserve">, </w:t>
      </w:r>
      <w:r w:rsidRPr="007D19F0">
        <w:rPr>
          <w:rFonts w:ascii="Verdana" w:eastAsia="Times New Roman" w:hAnsi="Verdana"/>
          <w:color w:val="333333"/>
          <w:sz w:val="16"/>
          <w:szCs w:val="16"/>
          <w:lang w:val="es-MX"/>
        </w:rPr>
        <w:t xml:space="preserve">E/C.12/55/D/2/2014, 17 de junio de 2015 y </w:t>
      </w:r>
      <w:r w:rsidRPr="007D19F0">
        <w:rPr>
          <w:rFonts w:ascii="Verdana" w:eastAsia="Times New Roman" w:hAnsi="Verdana"/>
          <w:i/>
          <w:color w:val="333333"/>
          <w:sz w:val="16"/>
          <w:szCs w:val="16"/>
          <w:lang w:val="es-MX"/>
        </w:rPr>
        <w:t>Caso López Rodriguez Vs. España</w:t>
      </w:r>
      <w:r w:rsidRPr="007D19F0">
        <w:rPr>
          <w:rFonts w:ascii="Verdana" w:eastAsia="Times New Roman" w:hAnsi="Verdana"/>
          <w:color w:val="333333"/>
          <w:sz w:val="16"/>
          <w:szCs w:val="16"/>
          <w:lang w:val="es-MX"/>
        </w:rPr>
        <w:t xml:space="preserve">, E/C.12/57/D/1/2013, 4 de marzo de 2016. </w:t>
      </w:r>
    </w:p>
    <w:p w14:paraId="1B6BFB30" w14:textId="77777777" w:rsidR="00D86616" w:rsidRPr="00513BDD" w:rsidRDefault="00D86616" w:rsidP="00F83E8F">
      <w:pPr>
        <w:pStyle w:val="FootnoteText"/>
        <w:rPr>
          <w:highlight w:val="yellow"/>
          <w:lang w:val="es-ES_tradnl"/>
        </w:rPr>
      </w:pPr>
    </w:p>
  </w:footnote>
  <w:footnote w:id="360">
    <w:p w14:paraId="18902C58" w14:textId="77777777" w:rsidR="00D86616" w:rsidRPr="004A58EA" w:rsidRDefault="00D86616" w:rsidP="00F83E8F">
      <w:pPr>
        <w:jc w:val="both"/>
        <w:rPr>
          <w:rFonts w:ascii="Verdana" w:hAnsi="Verdana"/>
          <w:sz w:val="16"/>
          <w:szCs w:val="16"/>
        </w:rPr>
      </w:pPr>
      <w:r w:rsidRPr="00CB3D61">
        <w:rPr>
          <w:rStyle w:val="FootnoteReference"/>
          <w:szCs w:val="20"/>
        </w:rPr>
        <w:footnoteRef/>
      </w:r>
      <w:r w:rsidRPr="00CB3D61">
        <w:rPr>
          <w:rFonts w:ascii="Verdana" w:hAnsi="Verdana"/>
          <w:sz w:val="20"/>
          <w:szCs w:val="20"/>
        </w:rPr>
        <w:t xml:space="preserve"> </w:t>
      </w:r>
      <w:r w:rsidRPr="004A58EA">
        <w:rPr>
          <w:rFonts w:ascii="Verdana" w:hAnsi="Verdana"/>
          <w:sz w:val="16"/>
          <w:szCs w:val="16"/>
        </w:rPr>
        <w:tab/>
        <w:t>Resulta espe</w:t>
      </w:r>
      <w:r>
        <w:rPr>
          <w:rFonts w:ascii="Verdana" w:hAnsi="Verdana"/>
          <w:sz w:val="16"/>
          <w:szCs w:val="16"/>
        </w:rPr>
        <w:t xml:space="preserve">cialmente significativo que la </w:t>
      </w:r>
      <w:proofErr w:type="spellStart"/>
      <w:r>
        <w:rPr>
          <w:rFonts w:ascii="Verdana" w:hAnsi="Verdana"/>
          <w:sz w:val="16"/>
          <w:szCs w:val="16"/>
        </w:rPr>
        <w:t>justiciabilidad</w:t>
      </w:r>
      <w:proofErr w:type="spellEnd"/>
      <w:r>
        <w:rPr>
          <w:rFonts w:ascii="Verdana" w:hAnsi="Verdana"/>
          <w:sz w:val="16"/>
          <w:szCs w:val="16"/>
        </w:rPr>
        <w:t xml:space="preserve"> directa de los DESCA se </w:t>
      </w:r>
      <w:proofErr w:type="spellStart"/>
      <w:r>
        <w:rPr>
          <w:rFonts w:ascii="Verdana" w:hAnsi="Verdana"/>
          <w:sz w:val="16"/>
          <w:szCs w:val="16"/>
        </w:rPr>
        <w:t>de</w:t>
      </w:r>
      <w:proofErr w:type="spellEnd"/>
      <w:r w:rsidRPr="004A58EA">
        <w:rPr>
          <w:rFonts w:ascii="Verdana" w:hAnsi="Verdana"/>
          <w:sz w:val="16"/>
          <w:szCs w:val="16"/>
        </w:rPr>
        <w:t xml:space="preserve"> al cumplirse cien años </w:t>
      </w:r>
      <w:r>
        <w:rPr>
          <w:rFonts w:ascii="Verdana" w:hAnsi="Verdana"/>
          <w:sz w:val="16"/>
          <w:szCs w:val="16"/>
        </w:rPr>
        <w:t xml:space="preserve">de </w:t>
      </w:r>
      <w:r w:rsidRPr="004A58EA">
        <w:rPr>
          <w:rFonts w:ascii="Verdana" w:hAnsi="Verdana"/>
          <w:sz w:val="16"/>
          <w:szCs w:val="16"/>
        </w:rPr>
        <w:t>la Constitución de Querétaro de 1917, primer ordenamiento constitucional en consagrar derechos sociales y particularmente derechos laborales. El constitucionalismo social tiene su origen en el texto original de la vigente Constitución Política de los Estados Unidos Mexicanos, promulgada el lunes 5 de febrero de 1917 en la ciudad de Querétaro, entrando en vigor el 1 de mayo de ese mismo año. Además de establecer el derecho a la educación (art. 3) y el derecho a la tierra (art. 27), se establecieron derechos laborales especí</w:t>
      </w:r>
      <w:r>
        <w:rPr>
          <w:rFonts w:ascii="Verdana" w:hAnsi="Verdana"/>
          <w:sz w:val="16"/>
          <w:szCs w:val="16"/>
        </w:rPr>
        <w:t xml:space="preserve">ficos (art. 123). En efecto, </w:t>
      </w:r>
      <w:r w:rsidRPr="004A58EA">
        <w:rPr>
          <w:rFonts w:ascii="Verdana" w:hAnsi="Verdana"/>
          <w:sz w:val="16"/>
          <w:szCs w:val="16"/>
        </w:rPr>
        <w:t>el Título Sexto, denominado “DEL TRABAJO Y</w:t>
      </w:r>
      <w:r>
        <w:rPr>
          <w:rFonts w:ascii="Verdana" w:hAnsi="Verdana"/>
          <w:sz w:val="16"/>
          <w:szCs w:val="16"/>
        </w:rPr>
        <w:t xml:space="preserve"> DE</w:t>
      </w:r>
      <w:r w:rsidRPr="004A58EA">
        <w:rPr>
          <w:rFonts w:ascii="Verdana" w:hAnsi="Verdana"/>
          <w:sz w:val="16"/>
          <w:szCs w:val="16"/>
        </w:rPr>
        <w:t xml:space="preserve"> LA PREVISIÓN SOCIAL”, consagró en las </w:t>
      </w:r>
      <w:r>
        <w:rPr>
          <w:rFonts w:ascii="Verdana" w:hAnsi="Verdana"/>
          <w:sz w:val="16"/>
          <w:szCs w:val="16"/>
        </w:rPr>
        <w:t>treinta fracciones del Artículo 123</w:t>
      </w:r>
      <w:r w:rsidRPr="004A58EA">
        <w:rPr>
          <w:rFonts w:ascii="Verdana" w:hAnsi="Verdana"/>
          <w:sz w:val="16"/>
          <w:szCs w:val="16"/>
        </w:rPr>
        <w:t xml:space="preserve"> derechos laborales a favor de obreros, jornaleros, emple</w:t>
      </w:r>
      <w:r>
        <w:rPr>
          <w:rFonts w:ascii="Verdana" w:hAnsi="Verdana"/>
          <w:sz w:val="16"/>
          <w:szCs w:val="16"/>
        </w:rPr>
        <w:t>ados, domésticos y artesanos:  d</w:t>
      </w:r>
      <w:r w:rsidRPr="004A58EA">
        <w:rPr>
          <w:rFonts w:ascii="Verdana" w:hAnsi="Verdana"/>
          <w:sz w:val="16"/>
          <w:szCs w:val="16"/>
        </w:rPr>
        <w:t>uración máxima de la jornada laboral; prohibición de contratar a menores de 12 años de edad; prohibición de que mujeres y menores de 16 años realicen labores insalubres o peligrosas o cualquier otra después de las 10 de la noche; derecho al descanso; derechos a mujeres embarazadas y durante el periodo de lactancia; derecho al salario mínimo y remunerador, así como la prohibición de su embargo, compensación o descuento; derecho del trabajador a participar en las utilidades de la empresa; derecho al pago de las horas extra de trabajo; obligación de los patronos agrícolas, industrial</w:t>
      </w:r>
      <w:r>
        <w:rPr>
          <w:rFonts w:ascii="Verdana" w:hAnsi="Verdana"/>
          <w:sz w:val="16"/>
          <w:szCs w:val="16"/>
        </w:rPr>
        <w:t>es o mineros</w:t>
      </w:r>
      <w:r w:rsidRPr="004A58EA">
        <w:rPr>
          <w:rFonts w:ascii="Verdana" w:hAnsi="Verdana"/>
          <w:sz w:val="16"/>
          <w:szCs w:val="16"/>
        </w:rPr>
        <w:t xml:space="preserve"> de proporcionar a los trabajadores habitaciones cómodas e higiénicas con rentas de precio restringido y a establecer otros servicios necesarios en la comunidad (escuelas, enfermerías, etc.); obligación del Estado de inculcar la previsión popular (mediante cajas de seguros populares, de invalidez, etc.); derecho a la indemnización por accidentes de trabajo y enfermedades profesionales; derecho de los trabajadores  a colegiarse, de huelga y paro; </w:t>
      </w:r>
      <w:r>
        <w:rPr>
          <w:rFonts w:ascii="Verdana" w:hAnsi="Verdana"/>
          <w:sz w:val="16"/>
          <w:szCs w:val="16"/>
        </w:rPr>
        <w:t xml:space="preserve">y </w:t>
      </w:r>
      <w:r w:rsidRPr="004A58EA">
        <w:rPr>
          <w:rFonts w:ascii="Verdana" w:hAnsi="Verdana"/>
          <w:sz w:val="16"/>
          <w:szCs w:val="16"/>
        </w:rPr>
        <w:t>derecho del trabajador a reinstalación o indemnización por despido injustificado.</w:t>
      </w:r>
    </w:p>
    <w:p w14:paraId="6E01DF84" w14:textId="77777777" w:rsidR="00D86616" w:rsidRPr="00C749DE" w:rsidRDefault="00D86616" w:rsidP="00F83E8F">
      <w:pPr>
        <w:jc w:val="both"/>
        <w:rPr>
          <w:rFonts w:ascii="Verdana" w:hAnsi="Verdana"/>
          <w:sz w:val="16"/>
          <w:szCs w:val="16"/>
        </w:rPr>
      </w:pPr>
    </w:p>
  </w:footnote>
  <w:footnote w:id="361">
    <w:p w14:paraId="58E8C9F5" w14:textId="77777777" w:rsidR="00D86616" w:rsidRPr="00B031D0" w:rsidRDefault="00D86616" w:rsidP="00F83E8F">
      <w:pPr>
        <w:spacing w:after="120"/>
        <w:jc w:val="both"/>
        <w:rPr>
          <w:rFonts w:ascii="Verdana" w:hAnsi="Verdana"/>
          <w:sz w:val="16"/>
          <w:szCs w:val="16"/>
        </w:rPr>
      </w:pPr>
      <w:r w:rsidRPr="00CB3D61">
        <w:rPr>
          <w:rStyle w:val="FootnoteReference"/>
          <w:szCs w:val="20"/>
        </w:rPr>
        <w:footnoteRef/>
      </w:r>
      <w:r w:rsidRPr="000D431F">
        <w:rPr>
          <w:rFonts w:ascii="Verdana" w:hAnsi="Verdana"/>
          <w:sz w:val="16"/>
          <w:szCs w:val="16"/>
        </w:rPr>
        <w:t xml:space="preserve"> </w:t>
      </w:r>
      <w:r w:rsidRPr="000D431F">
        <w:rPr>
          <w:rFonts w:ascii="Verdana" w:hAnsi="Verdana"/>
          <w:sz w:val="16"/>
          <w:szCs w:val="16"/>
        </w:rPr>
        <w:tab/>
      </w:r>
      <w:r w:rsidRPr="000D431F">
        <w:rPr>
          <w:rFonts w:ascii="Verdana" w:eastAsia="Times New Roman" w:hAnsi="Verdana" w:cs="Arial"/>
          <w:sz w:val="16"/>
          <w:szCs w:val="16"/>
          <w:shd w:val="clear" w:color="auto" w:fill="FFFFFF"/>
        </w:rPr>
        <w:t>El 25 de septiembre de 2015, los líderes mundiales adoptaron un conjunto de objetivos globales para erradicar la pobreza, proteger el planeta y asegurar la prosperidad para todos como parte de una</w:t>
      </w:r>
      <w:r w:rsidRPr="000D431F">
        <w:rPr>
          <w:rStyle w:val="apple-converted-space"/>
          <w:rFonts w:ascii="Verdana" w:eastAsia="Times New Roman" w:hAnsi="Verdana" w:cs="Arial"/>
          <w:sz w:val="16"/>
          <w:szCs w:val="16"/>
          <w:shd w:val="clear" w:color="auto" w:fill="FFFFFF"/>
        </w:rPr>
        <w:t> </w:t>
      </w:r>
      <w:r w:rsidRPr="000D431F">
        <w:rPr>
          <w:rFonts w:ascii="Verdana" w:eastAsia="Times New Roman" w:hAnsi="Verdana" w:cs="Arial"/>
          <w:sz w:val="16"/>
          <w:szCs w:val="16"/>
        </w:rPr>
        <w:t>nueva agenda de desarrollo sostenible</w:t>
      </w:r>
      <w:r w:rsidRPr="000D431F">
        <w:rPr>
          <w:rFonts w:ascii="Verdana" w:eastAsia="Times New Roman" w:hAnsi="Verdana" w:cs="Arial"/>
          <w:sz w:val="16"/>
          <w:szCs w:val="16"/>
          <w:shd w:val="clear" w:color="auto" w:fill="FFFFFF"/>
        </w:rPr>
        <w:t>. Cada objetivo tiene metas específicas que deben alcanzarse en los próximos 15 a</w:t>
      </w:r>
      <w:r>
        <w:rPr>
          <w:rFonts w:ascii="Verdana" w:eastAsia="Times New Roman" w:hAnsi="Verdana" w:cs="Arial"/>
          <w:sz w:val="16"/>
          <w:szCs w:val="16"/>
          <w:shd w:val="clear" w:color="auto" w:fill="FFFFFF"/>
        </w:rPr>
        <w:t xml:space="preserve">ños. </w:t>
      </w:r>
      <w:r w:rsidRPr="000D431F">
        <w:rPr>
          <w:rFonts w:ascii="Verdana" w:hAnsi="Verdana"/>
          <w:sz w:val="16"/>
          <w:szCs w:val="16"/>
        </w:rPr>
        <w:t>Entre los Objetivos</w:t>
      </w:r>
      <w:r>
        <w:rPr>
          <w:rFonts w:ascii="Verdana" w:hAnsi="Verdana"/>
          <w:sz w:val="16"/>
          <w:szCs w:val="16"/>
        </w:rPr>
        <w:t xml:space="preserve"> destacan poner fin a</w:t>
      </w:r>
      <w:r w:rsidRPr="000D431F">
        <w:rPr>
          <w:rFonts w:ascii="Verdana" w:hAnsi="Verdana"/>
          <w:sz w:val="16"/>
          <w:szCs w:val="16"/>
        </w:rPr>
        <w:t xml:space="preserve"> la pobreza (Objetivo No. 1), hambre cero (Objetivo No. 2), salud y bienestar (Objetivo No.3), educación de calidad (Objetivo No. 4), agua limpia y saneamiento (Objetivo No. 6), trabajo decente y crecimiento económico (Objetivo No. 8), reducción de desigualdades (Objetivo No. 10), acción por el clima, la vida submarina y la vida de los ecosistemas terrestres (Objetivos No. 13,14 y 15)</w:t>
      </w:r>
      <w:r>
        <w:rPr>
          <w:rFonts w:ascii="Verdana" w:hAnsi="Verdana"/>
          <w:sz w:val="16"/>
          <w:szCs w:val="16"/>
        </w:rPr>
        <w:t>. Estos Objetivos, claramente</w:t>
      </w:r>
      <w:r w:rsidRPr="000D431F">
        <w:rPr>
          <w:rFonts w:ascii="Verdana" w:hAnsi="Verdana"/>
          <w:sz w:val="16"/>
          <w:szCs w:val="16"/>
        </w:rPr>
        <w:t xml:space="preserve"> se encuentran en el plano de los derechos económicos, sociales, culturales y ambientales. </w:t>
      </w:r>
    </w:p>
  </w:footnote>
  <w:footnote w:id="362">
    <w:p w14:paraId="75989158" w14:textId="77777777" w:rsidR="00D86616" w:rsidRPr="00B031D0" w:rsidRDefault="00D86616" w:rsidP="00F83E8F">
      <w:pPr>
        <w:spacing w:after="120"/>
        <w:jc w:val="both"/>
        <w:rPr>
          <w:rFonts w:ascii="Verdana" w:hAnsi="Verdana"/>
          <w:sz w:val="16"/>
          <w:szCs w:val="16"/>
        </w:rPr>
      </w:pPr>
      <w:r w:rsidRPr="00CB3D61">
        <w:rPr>
          <w:rStyle w:val="FootnoteReference"/>
          <w:szCs w:val="20"/>
        </w:rPr>
        <w:footnoteRef/>
      </w:r>
      <w:r w:rsidRPr="00CB3D61">
        <w:rPr>
          <w:rFonts w:ascii="Verdana" w:hAnsi="Verdana"/>
          <w:sz w:val="20"/>
          <w:szCs w:val="20"/>
        </w:rPr>
        <w:t xml:space="preserve"> </w:t>
      </w:r>
      <w:r w:rsidRPr="000D431F">
        <w:rPr>
          <w:rFonts w:ascii="Verdana" w:hAnsi="Verdana"/>
          <w:sz w:val="16"/>
          <w:szCs w:val="16"/>
        </w:rPr>
        <w:tab/>
      </w:r>
      <w:r>
        <w:rPr>
          <w:rFonts w:ascii="Verdana" w:hAnsi="Verdana"/>
          <w:sz w:val="16"/>
          <w:szCs w:val="16"/>
        </w:rPr>
        <w:t>Asimismo, véase nota 216 de la Sentencia.</w:t>
      </w:r>
    </w:p>
  </w:footnote>
  <w:footnote w:id="363">
    <w:p w14:paraId="790CD8E6" w14:textId="77777777" w:rsidR="00D86616" w:rsidRPr="003668F4" w:rsidRDefault="00D86616" w:rsidP="00F83E8F">
      <w:pPr>
        <w:jc w:val="both"/>
        <w:rPr>
          <w:rFonts w:ascii="Verdana" w:eastAsia="Times New Roman" w:hAnsi="Verdana"/>
          <w:sz w:val="16"/>
          <w:szCs w:val="16"/>
          <w:lang w:val="es-MX"/>
        </w:rPr>
      </w:pPr>
      <w:r w:rsidRPr="00CB3D61">
        <w:rPr>
          <w:rStyle w:val="FootnoteReference"/>
          <w:szCs w:val="20"/>
        </w:rPr>
        <w:footnoteRef/>
      </w:r>
      <w:r w:rsidRPr="00CB3D61">
        <w:rPr>
          <w:rFonts w:ascii="Verdana" w:hAnsi="Verdana"/>
          <w:sz w:val="20"/>
          <w:szCs w:val="20"/>
        </w:rPr>
        <w:t xml:space="preserve"> </w:t>
      </w:r>
      <w:r w:rsidRPr="007D68DD">
        <w:rPr>
          <w:rFonts w:ascii="Verdana" w:hAnsi="Verdana"/>
          <w:sz w:val="16"/>
          <w:szCs w:val="16"/>
        </w:rPr>
        <w:tab/>
      </w:r>
      <w:r w:rsidRPr="003B0E36">
        <w:rPr>
          <w:rFonts w:ascii="Verdana" w:hAnsi="Verdana"/>
          <w:sz w:val="16"/>
          <w:szCs w:val="16"/>
        </w:rPr>
        <w:t xml:space="preserve">Véase </w:t>
      </w:r>
      <w:r w:rsidRPr="003B0E36">
        <w:rPr>
          <w:rFonts w:ascii="Verdana" w:hAnsi="Verdana"/>
          <w:i/>
          <w:sz w:val="16"/>
          <w:szCs w:val="16"/>
        </w:rPr>
        <w:t>Panorámica Social de América Latina</w:t>
      </w:r>
      <w:r w:rsidRPr="003B0E36">
        <w:rPr>
          <w:rFonts w:ascii="Verdana" w:hAnsi="Verdana"/>
          <w:sz w:val="16"/>
          <w:szCs w:val="16"/>
        </w:rPr>
        <w:t xml:space="preserve"> </w:t>
      </w:r>
      <w:r w:rsidRPr="003B0E36">
        <w:rPr>
          <w:rFonts w:ascii="Verdana" w:hAnsi="Verdana"/>
          <w:i/>
          <w:sz w:val="16"/>
          <w:szCs w:val="16"/>
        </w:rPr>
        <w:t>2016</w:t>
      </w:r>
      <w:r w:rsidRPr="003B0E36">
        <w:rPr>
          <w:rFonts w:ascii="Verdana" w:hAnsi="Verdana"/>
          <w:sz w:val="16"/>
          <w:szCs w:val="16"/>
        </w:rPr>
        <w:t>, Comisión Económica para Am</w:t>
      </w:r>
      <w:r>
        <w:rPr>
          <w:rFonts w:ascii="Verdana" w:hAnsi="Verdana"/>
          <w:sz w:val="16"/>
          <w:szCs w:val="16"/>
        </w:rPr>
        <w:t>érica Latina y el Caribe</w:t>
      </w:r>
      <w:r w:rsidRPr="003B0E36">
        <w:rPr>
          <w:rFonts w:ascii="Verdana" w:hAnsi="Verdana"/>
          <w:sz w:val="16"/>
          <w:szCs w:val="16"/>
        </w:rPr>
        <w:t xml:space="preserve">, Naciones Unidas, 2017, p. 11. </w:t>
      </w:r>
      <w:r>
        <w:rPr>
          <w:rFonts w:ascii="Verdana" w:hAnsi="Verdana"/>
          <w:sz w:val="16"/>
          <w:szCs w:val="16"/>
        </w:rPr>
        <w:t>Asimismo, sostiene la</w:t>
      </w:r>
      <w:r w:rsidRPr="003B0E36">
        <w:rPr>
          <w:rFonts w:ascii="Verdana" w:hAnsi="Verdana"/>
          <w:sz w:val="16"/>
          <w:szCs w:val="16"/>
        </w:rPr>
        <w:t xml:space="preserve"> CEPAL</w:t>
      </w:r>
      <w:r>
        <w:rPr>
          <w:rFonts w:ascii="Verdana" w:hAnsi="Verdana"/>
          <w:sz w:val="16"/>
          <w:szCs w:val="16"/>
        </w:rPr>
        <w:t xml:space="preserve"> que</w:t>
      </w:r>
      <w:r w:rsidRPr="003B0E36">
        <w:rPr>
          <w:rFonts w:ascii="Verdana" w:hAnsi="Verdana"/>
          <w:sz w:val="16"/>
          <w:szCs w:val="16"/>
        </w:rPr>
        <w:t xml:space="preserve"> “la desigualdad se manifiesta en que no todos los individuos pueden ejercer plenamente sus derechos civiles, políticos, económicos, sociales y medioambientales y que, por tanto, el principio de universalidad ha sido vulnerado”.</w:t>
      </w:r>
      <w:r w:rsidRPr="007D68DD">
        <w:rPr>
          <w:rFonts w:ascii="Verdana" w:hAnsi="Verdana"/>
          <w:sz w:val="16"/>
          <w:szCs w:val="16"/>
        </w:rPr>
        <w:t xml:space="preserve"> </w:t>
      </w:r>
      <w:r w:rsidRPr="00A54BFE">
        <w:rPr>
          <w:rFonts w:ascii="Verdana" w:hAnsi="Verdana"/>
          <w:sz w:val="16"/>
          <w:szCs w:val="16"/>
        </w:rPr>
        <w:t>Por su parte, el Preámbulo de la Convención Americana, en su párrafo quinto, estipula que “</w:t>
      </w:r>
      <w:r w:rsidRPr="00A54BFE">
        <w:rPr>
          <w:rFonts w:ascii="Verdana" w:eastAsia="Times New Roman" w:hAnsi="Verdana" w:cs="Tahoma"/>
          <w:color w:val="000000"/>
          <w:sz w:val="16"/>
          <w:szCs w:val="16"/>
          <w:lang w:val="es-MX"/>
        </w:rPr>
        <w:t xml:space="preserve">Reiterando que, con arreglo a la Declaración Universal de los Derechos Humanos, </w:t>
      </w:r>
      <w:r w:rsidRPr="00A54BFE">
        <w:rPr>
          <w:rFonts w:ascii="Verdana" w:eastAsia="Times New Roman" w:hAnsi="Verdana" w:cs="Tahoma"/>
          <w:color w:val="000000"/>
          <w:sz w:val="16"/>
          <w:szCs w:val="16"/>
          <w:u w:val="single"/>
          <w:lang w:val="es-MX"/>
        </w:rPr>
        <w:t>sólo puede realizarse el ideal del ser humano libre, exento del temor y de la miseria, si se crean condiciones que permitan a cada persona gozar de sus derechos económicos, sociales y culturales, tanto como de sus derechos civiles y políticos</w:t>
      </w:r>
      <w:r w:rsidRPr="00A54BFE">
        <w:rPr>
          <w:rFonts w:ascii="Verdana" w:eastAsia="Times New Roman" w:hAnsi="Verdana"/>
          <w:sz w:val="16"/>
          <w:szCs w:val="16"/>
          <w:lang w:val="es-MX"/>
        </w:rPr>
        <w:t>”.</w:t>
      </w:r>
      <w:r w:rsidRPr="003668F4">
        <w:rPr>
          <w:rFonts w:ascii="Verdana" w:eastAsia="Times New Roman" w:hAnsi="Verdana"/>
          <w:sz w:val="16"/>
          <w:szCs w:val="16"/>
          <w:lang w:val="es-MX"/>
        </w:rPr>
        <w:t xml:space="preserve"> </w:t>
      </w:r>
    </w:p>
    <w:p w14:paraId="7CE9DA06" w14:textId="77777777" w:rsidR="00D86616" w:rsidRPr="007D68DD" w:rsidRDefault="00D86616" w:rsidP="00F83E8F">
      <w:pPr>
        <w:jc w:val="both"/>
        <w:textAlignment w:val="baseline"/>
        <w:rPr>
          <w:rFonts w:ascii="Verdana" w:hAnsi="Verdana"/>
          <w:sz w:val="16"/>
          <w:szCs w:val="16"/>
        </w:rPr>
      </w:pPr>
    </w:p>
    <w:p w14:paraId="325E1CBB" w14:textId="77777777" w:rsidR="00D86616" w:rsidRPr="00513BDD" w:rsidRDefault="00D86616" w:rsidP="00F83E8F">
      <w:pPr>
        <w:pStyle w:val="FootnoteText"/>
        <w:rPr>
          <w:highlight w:val="yellow"/>
          <w:lang w:val="es-ES_tradnl"/>
        </w:rPr>
      </w:pPr>
    </w:p>
  </w:footnote>
  <w:footnote w:id="364">
    <w:p w14:paraId="392FB052" w14:textId="77777777" w:rsidR="00D86616" w:rsidRPr="00032C73" w:rsidRDefault="00D86616" w:rsidP="003C2143">
      <w:pPr>
        <w:pStyle w:val="FootnoteText"/>
        <w:rPr>
          <w:lang w:val="es-ES"/>
        </w:rPr>
      </w:pPr>
      <w:r w:rsidRPr="00032C73">
        <w:rPr>
          <w:rStyle w:val="FootnoteReference"/>
        </w:rPr>
        <w:footnoteRef/>
      </w:r>
      <w:r w:rsidRPr="00032C73">
        <w:rPr>
          <w:lang w:val="es-ES"/>
        </w:rPr>
        <w:t xml:space="preserve"> Art. 66.2 de la Convención: “</w:t>
      </w:r>
      <w:r w:rsidRPr="00032C73">
        <w:rPr>
          <w:i/>
          <w:lang w:val="es-ES"/>
        </w:rPr>
        <w:t>Si el fallo no expresare en todo o en parte la opinión unánime de los jueces, cualquiera de éstos tendrá derecho a que se agregue al fallo su opinión disidente o individual</w:t>
      </w:r>
      <w:r w:rsidRPr="00032C73">
        <w:rPr>
          <w:lang w:val="es-ES"/>
        </w:rPr>
        <w:t xml:space="preserve">.” </w:t>
      </w:r>
    </w:p>
    <w:p w14:paraId="758C119A" w14:textId="77777777" w:rsidR="00D86616" w:rsidRPr="00032C73" w:rsidRDefault="00D86616" w:rsidP="003C2143">
      <w:pPr>
        <w:pStyle w:val="FootnoteText"/>
        <w:rPr>
          <w:i/>
          <w:lang w:val="es-ES"/>
        </w:rPr>
      </w:pPr>
      <w:r w:rsidRPr="00032C73">
        <w:rPr>
          <w:lang w:val="es-ES"/>
        </w:rPr>
        <w:t>Art, 24.3 de los Estatutos de la Corte: “</w:t>
      </w:r>
      <w:r w:rsidRPr="00032C73">
        <w:rPr>
          <w:i/>
          <w:lang w:val="es-ES"/>
        </w:rPr>
        <w:t>Las decisiones, juicios y opiniones de la Corte se comunicarán en sesiones públicas y se notificarán por escrito a las partes. Además, se publicarán conjuntamente con los votos y opiniones separados de los jueces y con cualesquiera otros datos o antecedentes que la Corte considere conveniente.”</w:t>
      </w:r>
    </w:p>
    <w:p w14:paraId="198C3CA8" w14:textId="77777777" w:rsidR="00D86616" w:rsidRPr="00032C73" w:rsidRDefault="00D86616" w:rsidP="003C2143">
      <w:pPr>
        <w:pStyle w:val="FootnoteText"/>
        <w:rPr>
          <w:i/>
          <w:lang w:val="es-ES"/>
        </w:rPr>
      </w:pPr>
      <w:r w:rsidRPr="00032C73">
        <w:rPr>
          <w:lang w:val="es-ES"/>
        </w:rPr>
        <w:t>Art.65.2 del Reglamento de la Corte: “</w:t>
      </w:r>
      <w:r w:rsidRPr="00032C73">
        <w:rPr>
          <w:i/>
          <w:lang w:val="es-ES"/>
        </w:rPr>
        <w:t>Todo Juez que haya participado en el examen de un caso tiene derecho a unir a la sentencia su voto concurrente o disidente que deberá ser razonado. Estos votos deberán ser presentados dentro del plazo fijado por la Presidencia, de modo que puedan ser conocidos por los Jueces antes de la notificación de la sentencia. Dichos votos sólo podrán referirse a lo tratado en las sentencias.”</w:t>
      </w:r>
    </w:p>
    <w:p w14:paraId="33FFA850" w14:textId="77777777" w:rsidR="00D86616" w:rsidRPr="00032C73" w:rsidRDefault="00D86616" w:rsidP="003C2143">
      <w:pPr>
        <w:pStyle w:val="FootnoteText"/>
        <w:rPr>
          <w:lang w:val="es-ES"/>
        </w:rPr>
      </w:pPr>
      <w:r w:rsidRPr="00032C73">
        <w:rPr>
          <w:lang w:val="es-ES"/>
        </w:rPr>
        <w:t>En lo sucesivo, cada vez que se cite una disposición sin indicar a cual instrumento jurídico corresponde, se entenderá que es de la Convención Americana sobre Derechos Humanos.</w:t>
      </w:r>
    </w:p>
    <w:p w14:paraId="71E8D023" w14:textId="77777777" w:rsidR="00D86616" w:rsidRPr="00032C73" w:rsidRDefault="00D86616" w:rsidP="003C2143">
      <w:pPr>
        <w:pStyle w:val="FootnoteText"/>
        <w:rPr>
          <w:lang w:val="es-ES"/>
        </w:rPr>
      </w:pPr>
    </w:p>
  </w:footnote>
  <w:footnote w:id="365">
    <w:p w14:paraId="0B85CF12" w14:textId="77777777" w:rsidR="00D86616" w:rsidRPr="00032C73" w:rsidRDefault="00D86616" w:rsidP="003C2143">
      <w:pPr>
        <w:pStyle w:val="FootnoteText"/>
        <w:rPr>
          <w:lang w:val="es-ES"/>
        </w:rPr>
      </w:pPr>
      <w:r w:rsidRPr="00032C73">
        <w:rPr>
          <w:rStyle w:val="FootnoteReference"/>
        </w:rPr>
        <w:footnoteRef/>
      </w:r>
      <w:r w:rsidRPr="00032C73">
        <w:rPr>
          <w:lang w:val="es-ES"/>
        </w:rPr>
        <w:t xml:space="preserve"> En adelante, la Sentencia.</w:t>
      </w:r>
    </w:p>
    <w:p w14:paraId="27659EDC" w14:textId="77777777" w:rsidR="00D86616" w:rsidRPr="00032C73" w:rsidRDefault="00D86616" w:rsidP="003C2143">
      <w:pPr>
        <w:pStyle w:val="FootnoteText"/>
        <w:rPr>
          <w:lang w:val="es-ES"/>
        </w:rPr>
      </w:pPr>
    </w:p>
  </w:footnote>
  <w:footnote w:id="366">
    <w:p w14:paraId="008C360B" w14:textId="77777777" w:rsidR="00D86616" w:rsidRPr="00032C73" w:rsidRDefault="00D86616" w:rsidP="003C2143">
      <w:pPr>
        <w:pStyle w:val="FootnoteText"/>
        <w:rPr>
          <w:i/>
          <w:lang w:val="es-ES"/>
        </w:rPr>
      </w:pPr>
      <w:r w:rsidRPr="00032C73">
        <w:rPr>
          <w:rStyle w:val="FootnoteReference"/>
        </w:rPr>
        <w:footnoteRef/>
      </w:r>
      <w:r w:rsidRPr="00032C73">
        <w:rPr>
          <w:lang w:val="es-ES"/>
        </w:rPr>
        <w:t xml:space="preserve"> </w:t>
      </w:r>
      <w:r w:rsidRPr="00032C73">
        <w:rPr>
          <w:i/>
          <w:lang w:val="es-ES"/>
        </w:rPr>
        <w:t xml:space="preserve">“Desarrollo Progresivo.  Los Estados Partes se comprometen a adoptar providencias, tanto a nivel interno como mediante la cooperación internacional, especialmente económica y técnica, para lograr progresivamente la plena efectividad de los derechos que se derivan de las normas económicas, sociales y sobre educación, ciencia y cultura, contenidas en la Carta de la Organización de los Estados Americanos, reformada por el Protocolo de Buenos Aires, en la medida de los recursos disponibles, por vía legislativa u otros medios apropiados.” </w:t>
      </w:r>
    </w:p>
    <w:p w14:paraId="1E01E87D" w14:textId="77777777" w:rsidR="00D86616" w:rsidRPr="00032C73" w:rsidRDefault="00D86616" w:rsidP="003C2143">
      <w:pPr>
        <w:pStyle w:val="FootnoteText"/>
        <w:rPr>
          <w:lang w:val="es-ES"/>
        </w:rPr>
      </w:pPr>
      <w:r w:rsidRPr="00032C73">
        <w:rPr>
          <w:lang w:val="es-ES"/>
        </w:rPr>
        <w:t>En adelante, la Organización de los Estados Americanos será denominada OEA.</w:t>
      </w:r>
    </w:p>
    <w:p w14:paraId="4A40C87F" w14:textId="77777777" w:rsidR="00D86616" w:rsidRPr="00032C73" w:rsidRDefault="00D86616" w:rsidP="003C2143">
      <w:pPr>
        <w:pStyle w:val="FootnoteText"/>
        <w:rPr>
          <w:lang w:val="es-ES"/>
        </w:rPr>
      </w:pPr>
    </w:p>
  </w:footnote>
  <w:footnote w:id="367">
    <w:p w14:paraId="3258813F" w14:textId="77777777" w:rsidR="00D86616" w:rsidRPr="00032C73" w:rsidRDefault="00D86616" w:rsidP="003C2143">
      <w:pPr>
        <w:pStyle w:val="FootnoteText"/>
        <w:rPr>
          <w:lang w:val="es-ES"/>
        </w:rPr>
      </w:pPr>
      <w:r w:rsidRPr="00032C73">
        <w:rPr>
          <w:rStyle w:val="FootnoteReference"/>
        </w:rPr>
        <w:footnoteRef/>
      </w:r>
      <w:r w:rsidRPr="00032C73">
        <w:rPr>
          <w:lang w:val="es-ES"/>
        </w:rPr>
        <w:t xml:space="preserve"> En adelante, la Convención. </w:t>
      </w:r>
    </w:p>
    <w:p w14:paraId="08632C9A" w14:textId="77777777" w:rsidR="00D86616" w:rsidRPr="00032C73" w:rsidRDefault="00D86616" w:rsidP="003C2143">
      <w:pPr>
        <w:pStyle w:val="FootnoteText"/>
        <w:rPr>
          <w:lang w:val="es-ES"/>
        </w:rPr>
      </w:pPr>
    </w:p>
  </w:footnote>
  <w:footnote w:id="368">
    <w:p w14:paraId="5FB2B3D6" w14:textId="77777777" w:rsidR="00D86616" w:rsidRPr="00032C73" w:rsidRDefault="00D86616" w:rsidP="003C2143">
      <w:pPr>
        <w:pStyle w:val="FootnoteText"/>
        <w:rPr>
          <w:lang w:val="es-ES"/>
        </w:rPr>
      </w:pPr>
      <w:r w:rsidRPr="00032C73">
        <w:rPr>
          <w:rStyle w:val="FootnoteReference"/>
        </w:rPr>
        <w:footnoteRef/>
      </w:r>
      <w:r w:rsidRPr="00032C73">
        <w:rPr>
          <w:lang w:val="es-ES"/>
        </w:rPr>
        <w:t xml:space="preserve"> “</w:t>
      </w:r>
      <w:r w:rsidRPr="00032C73">
        <w:rPr>
          <w:i/>
          <w:lang w:val="es-ES"/>
        </w:rPr>
        <w:t>El Estado es responsable por la violación al derecho a la estabilidad laboral, reconocido en el artículo 26 de la Convención Americana, en relación con los artículos 1.1, 13, 8 y 16 de la misma, en perjuicio del señor Lagos del Campo, en los términos de los párrafos 133 a 154 y 166 de la presente Sentencia</w:t>
      </w:r>
      <w:r w:rsidRPr="00032C73">
        <w:rPr>
          <w:lang w:val="es-ES"/>
        </w:rPr>
        <w:t>.”</w:t>
      </w:r>
    </w:p>
    <w:p w14:paraId="65A9F2CE" w14:textId="77777777" w:rsidR="00D86616" w:rsidRPr="00032C73" w:rsidRDefault="00D86616" w:rsidP="003C2143">
      <w:pPr>
        <w:pStyle w:val="FootnoteText"/>
        <w:rPr>
          <w:lang w:val="es-ES"/>
        </w:rPr>
      </w:pPr>
    </w:p>
  </w:footnote>
  <w:footnote w:id="369">
    <w:p w14:paraId="43D4AF6A" w14:textId="77777777" w:rsidR="00D86616" w:rsidRPr="00032C73" w:rsidRDefault="00D86616" w:rsidP="003C2143">
      <w:pPr>
        <w:pStyle w:val="FootnoteText"/>
        <w:rPr>
          <w:lang w:val="es-ES"/>
        </w:rPr>
      </w:pPr>
      <w:r w:rsidRPr="00032C73">
        <w:rPr>
          <w:rStyle w:val="FootnoteReference"/>
        </w:rPr>
        <w:footnoteRef/>
      </w:r>
      <w:r w:rsidRPr="00032C73">
        <w:rPr>
          <w:lang w:val="es-ES"/>
        </w:rPr>
        <w:t xml:space="preserve"> “</w:t>
      </w:r>
      <w:r w:rsidRPr="00032C73">
        <w:rPr>
          <w:i/>
          <w:lang w:val="es-ES"/>
        </w:rPr>
        <w:t>El Estado es responsable por la violación al derecho a la libertad de asociación, reconocido en los artículos 16 y 26 de la Convención Americana, en relación con los artículos 1.1, 13 y 8 de la misma, en perjuicio del señor Lagos del Campo, en los términos de los párrafos 155 a 163 de la presente Sentencia</w:t>
      </w:r>
      <w:r w:rsidRPr="00032C73">
        <w:rPr>
          <w:lang w:val="es-ES"/>
        </w:rPr>
        <w:t>.”</w:t>
      </w:r>
    </w:p>
    <w:p w14:paraId="515A4289" w14:textId="77777777" w:rsidR="00D86616" w:rsidRPr="00032C73" w:rsidRDefault="00D86616" w:rsidP="003C2143">
      <w:pPr>
        <w:pStyle w:val="FootnoteText"/>
        <w:rPr>
          <w:lang w:val="es-ES"/>
        </w:rPr>
      </w:pPr>
    </w:p>
  </w:footnote>
  <w:footnote w:id="370">
    <w:p w14:paraId="0EB7511F" w14:textId="77777777" w:rsidR="00D86616" w:rsidRPr="00032C73" w:rsidRDefault="00D86616" w:rsidP="003C2143">
      <w:pPr>
        <w:pStyle w:val="FootnoteText"/>
        <w:rPr>
          <w:lang w:val="es-ES"/>
        </w:rPr>
      </w:pPr>
      <w:r w:rsidRPr="00032C73">
        <w:rPr>
          <w:rStyle w:val="FootnoteReference"/>
        </w:rPr>
        <w:footnoteRef/>
      </w:r>
      <w:r w:rsidRPr="00032C73">
        <w:rPr>
          <w:lang w:val="es-ES"/>
        </w:rPr>
        <w:t xml:space="preserve"> En adelante, la Corte.</w:t>
      </w:r>
    </w:p>
    <w:p w14:paraId="29AFD373" w14:textId="77777777" w:rsidR="00D86616" w:rsidRPr="00032C73" w:rsidRDefault="00D86616" w:rsidP="003C2143">
      <w:pPr>
        <w:pStyle w:val="FootnoteText"/>
        <w:rPr>
          <w:lang w:val="es-ES"/>
        </w:rPr>
      </w:pPr>
    </w:p>
  </w:footnote>
  <w:footnote w:id="371">
    <w:p w14:paraId="594FBDAA" w14:textId="77777777" w:rsidR="00D86616" w:rsidRPr="00032C73" w:rsidRDefault="00D86616" w:rsidP="003C2143">
      <w:pPr>
        <w:pStyle w:val="FootnoteText"/>
        <w:rPr>
          <w:lang w:val="es-ES"/>
        </w:rPr>
      </w:pPr>
      <w:r w:rsidRPr="00032C73">
        <w:rPr>
          <w:rStyle w:val="FootnoteReference"/>
        </w:rPr>
        <w:footnoteRef/>
      </w:r>
      <w:r w:rsidRPr="00032C73">
        <w:rPr>
          <w:lang w:val="es-ES"/>
        </w:rPr>
        <w:t xml:space="preserve"> Art.62.3: “</w:t>
      </w:r>
      <w:r w:rsidRPr="00032C73">
        <w:rPr>
          <w:i/>
          <w:lang w:val="es-ES"/>
        </w:rPr>
        <w:t>La Corte tiene competencia para conocer de cualquier caso relativo a la interpretación y aplicación de las disposiciones de esta Convención que le sea sometido, siempre que los Estados Partes en el caso hayan reconocido o reconozcan dicha competencia, ora por declaración especial, como se indica en los incisos anteriores, ora por convención especial.</w:t>
      </w:r>
      <w:r w:rsidRPr="00032C73">
        <w:rPr>
          <w:lang w:val="es-ES"/>
        </w:rPr>
        <w:t>”</w:t>
      </w:r>
    </w:p>
    <w:p w14:paraId="632C0942" w14:textId="77777777" w:rsidR="00D86616" w:rsidRPr="00032C73" w:rsidRDefault="00D86616" w:rsidP="003C2143">
      <w:pPr>
        <w:pStyle w:val="FootnoteText"/>
        <w:rPr>
          <w:lang w:val="es-ES"/>
        </w:rPr>
      </w:pPr>
    </w:p>
  </w:footnote>
  <w:footnote w:id="372">
    <w:p w14:paraId="2B6C1566" w14:textId="77777777" w:rsidR="00D86616" w:rsidRPr="00032C73" w:rsidRDefault="00D86616" w:rsidP="003C2143">
      <w:pPr>
        <w:pStyle w:val="FootnoteText"/>
        <w:rPr>
          <w:lang w:val="es-ES"/>
        </w:rPr>
      </w:pPr>
      <w:r w:rsidRPr="00032C73">
        <w:rPr>
          <w:rStyle w:val="FootnoteReference"/>
        </w:rPr>
        <w:footnoteRef/>
      </w:r>
      <w:r w:rsidRPr="00032C73">
        <w:rPr>
          <w:lang w:val="es-ES"/>
        </w:rPr>
        <w:t xml:space="preserve"> </w:t>
      </w:r>
      <w:r w:rsidRPr="00032C73">
        <w:rPr>
          <w:i/>
          <w:lang w:val="es-ES"/>
        </w:rPr>
        <w:t>“Un tratado deberá interpretarse de buena fe conforme al sentido corriente que haya de atribuirse a los términos del tratado en el contexto de estos y teniendo en cuenta su objeto y fin.”</w:t>
      </w:r>
      <w:r w:rsidRPr="00032C73">
        <w:rPr>
          <w:lang w:val="es-ES"/>
        </w:rPr>
        <w:t xml:space="preserve">  </w:t>
      </w:r>
    </w:p>
    <w:p w14:paraId="6C7DBD86" w14:textId="77777777" w:rsidR="00D86616" w:rsidRPr="00032C73" w:rsidRDefault="00D86616" w:rsidP="003C2143">
      <w:pPr>
        <w:pStyle w:val="FootnoteText"/>
        <w:rPr>
          <w:lang w:val="es-ES"/>
        </w:rPr>
      </w:pPr>
    </w:p>
  </w:footnote>
  <w:footnote w:id="373">
    <w:p w14:paraId="2EDCA4DB" w14:textId="77777777" w:rsidR="00D86616" w:rsidRPr="00032C73" w:rsidRDefault="00D86616" w:rsidP="003C2143">
      <w:pPr>
        <w:pStyle w:val="FootnoteText"/>
        <w:rPr>
          <w:lang w:val="es-ES"/>
        </w:rPr>
      </w:pPr>
      <w:r w:rsidRPr="00032C73">
        <w:rPr>
          <w:rStyle w:val="FootnoteReference"/>
        </w:rPr>
        <w:footnoteRef/>
      </w:r>
      <w:r w:rsidRPr="00032C73">
        <w:rPr>
          <w:lang w:val="es-ES"/>
        </w:rPr>
        <w:t xml:space="preserve"> Nota a pie de pág. Nº 8.</w:t>
      </w:r>
    </w:p>
    <w:p w14:paraId="61AD440B" w14:textId="77777777" w:rsidR="00D86616" w:rsidRPr="00032C73" w:rsidRDefault="00D86616" w:rsidP="003C2143">
      <w:pPr>
        <w:pStyle w:val="FootnoteText"/>
        <w:rPr>
          <w:lang w:val="es-ES"/>
        </w:rPr>
      </w:pPr>
    </w:p>
  </w:footnote>
  <w:footnote w:id="374">
    <w:p w14:paraId="4F1835B5" w14:textId="77777777" w:rsidR="00D86616" w:rsidRPr="00032C73" w:rsidRDefault="00D86616" w:rsidP="003C2143">
      <w:pPr>
        <w:pStyle w:val="FootnoteText"/>
        <w:rPr>
          <w:lang w:val="es-ES"/>
        </w:rPr>
      </w:pPr>
      <w:r w:rsidRPr="00032C73">
        <w:rPr>
          <w:rStyle w:val="FootnoteReference"/>
        </w:rPr>
        <w:footnoteRef/>
      </w:r>
      <w:r w:rsidRPr="00032C73">
        <w:rPr>
          <w:lang w:val="es-ES"/>
        </w:rPr>
        <w:t xml:space="preserve"> En adelante la Comisión.</w:t>
      </w:r>
    </w:p>
    <w:p w14:paraId="6ED1472E" w14:textId="77777777" w:rsidR="00D86616" w:rsidRPr="00032C73" w:rsidRDefault="00D86616" w:rsidP="003C2143">
      <w:pPr>
        <w:pStyle w:val="FootnoteText"/>
        <w:rPr>
          <w:i/>
          <w:lang w:val="es-ES"/>
        </w:rPr>
      </w:pPr>
      <w:r w:rsidRPr="00032C73">
        <w:rPr>
          <w:lang w:val="es-ES"/>
        </w:rPr>
        <w:t>Art. 41: “</w:t>
      </w:r>
      <w:r w:rsidRPr="00032C73">
        <w:rPr>
          <w:i/>
          <w:lang w:val="es-ES"/>
        </w:rPr>
        <w:t>La Comisión tiene la función principal de promover la observancia y la defensa de los derechos humanos, y en el ejercicio de su mandato tiene las siguientes funciones y atribuciones:</w:t>
      </w:r>
    </w:p>
    <w:p w14:paraId="6DA49529" w14:textId="77777777" w:rsidR="00D86616" w:rsidRPr="00032C73" w:rsidRDefault="00D86616" w:rsidP="003C2143">
      <w:pPr>
        <w:pStyle w:val="FootnoteText"/>
        <w:rPr>
          <w:i/>
          <w:lang w:val="es-ES"/>
        </w:rPr>
      </w:pPr>
      <w:r w:rsidRPr="00032C73">
        <w:rPr>
          <w:i/>
          <w:lang w:val="es-ES"/>
        </w:rPr>
        <w:t xml:space="preserve"> a) estimular la conciencia de los derechos humanos en los pueblos de América;</w:t>
      </w:r>
    </w:p>
    <w:p w14:paraId="5DFB43D9" w14:textId="77777777" w:rsidR="00D86616" w:rsidRPr="00032C73" w:rsidRDefault="00D86616" w:rsidP="003C2143">
      <w:pPr>
        <w:pStyle w:val="FootnoteText"/>
        <w:rPr>
          <w:i/>
          <w:lang w:val="es-ES"/>
        </w:rPr>
      </w:pPr>
      <w:r w:rsidRPr="00032C73">
        <w:rPr>
          <w:i/>
          <w:lang w:val="es-ES"/>
        </w:rPr>
        <w:t xml:space="preserve"> b) formular recomendaciones, cuando lo estime conveniente, a los gobiernos de los Estados miembros para que adopten medidas progresivas en favor de los derechos humanos dentro del marco de sus leyes internas y sus preceptos constitucionales, al igual que disposiciones apropiadas para fomentar el debido respeto a esos derechos;</w:t>
      </w:r>
    </w:p>
    <w:p w14:paraId="0B66C2B6" w14:textId="77777777" w:rsidR="00D86616" w:rsidRPr="00032C73" w:rsidRDefault="00D86616" w:rsidP="003C2143">
      <w:pPr>
        <w:pStyle w:val="FootnoteText"/>
        <w:rPr>
          <w:i/>
          <w:lang w:val="es-ES"/>
        </w:rPr>
      </w:pPr>
      <w:r w:rsidRPr="00032C73">
        <w:rPr>
          <w:i/>
          <w:lang w:val="es-ES"/>
        </w:rPr>
        <w:t xml:space="preserve"> c) preparar los estudios e informes que considere convenientes para el desempeño de sus funciones;</w:t>
      </w:r>
    </w:p>
    <w:p w14:paraId="004882A8" w14:textId="77777777" w:rsidR="00D86616" w:rsidRPr="00032C73" w:rsidRDefault="00D86616" w:rsidP="003C2143">
      <w:pPr>
        <w:pStyle w:val="FootnoteText"/>
        <w:rPr>
          <w:i/>
          <w:lang w:val="es-ES"/>
        </w:rPr>
      </w:pPr>
      <w:r w:rsidRPr="00032C73">
        <w:rPr>
          <w:i/>
          <w:lang w:val="es-ES"/>
        </w:rPr>
        <w:t xml:space="preserve"> d) solicitar de los gobiernos de los Estados miembros que le proporcionen informes sobre las medidas que adopten en materia de derechos humanos;</w:t>
      </w:r>
    </w:p>
    <w:p w14:paraId="78C925E5" w14:textId="77777777" w:rsidR="00D86616" w:rsidRPr="00032C73" w:rsidRDefault="00D86616" w:rsidP="003C2143">
      <w:pPr>
        <w:pStyle w:val="FootnoteText"/>
        <w:rPr>
          <w:i/>
          <w:lang w:val="es-ES"/>
        </w:rPr>
      </w:pPr>
      <w:r w:rsidRPr="00032C73">
        <w:rPr>
          <w:i/>
          <w:lang w:val="es-ES"/>
        </w:rPr>
        <w:t xml:space="preserve"> e) atender las consultas que, por medio de la Secretaría General de la Organización de los Estados Americanos, le formulen los Estados miembros en cuestiones relacionadas con los derechos humanos y, dentro de sus posibilidades, les prestará el asesoramiento que éstos le soliciten;</w:t>
      </w:r>
    </w:p>
    <w:p w14:paraId="57BFAB3E" w14:textId="77777777" w:rsidR="00D86616" w:rsidRPr="00032C73" w:rsidRDefault="00D86616" w:rsidP="003C2143">
      <w:pPr>
        <w:pStyle w:val="FootnoteText"/>
        <w:rPr>
          <w:i/>
          <w:lang w:val="es-ES"/>
        </w:rPr>
      </w:pPr>
      <w:r w:rsidRPr="00032C73">
        <w:rPr>
          <w:i/>
          <w:lang w:val="es-ES"/>
        </w:rPr>
        <w:t xml:space="preserve"> f) actuar respecto de las peticiones y otras comunicaciones en ejercicio de su autoridad de conformidad con lo dispuesto en los artículos 44 al 51 de esta Convención, y</w:t>
      </w:r>
    </w:p>
    <w:p w14:paraId="6F1944B5" w14:textId="77777777" w:rsidR="00D86616" w:rsidRPr="00032C73" w:rsidRDefault="00D86616" w:rsidP="003C2143">
      <w:pPr>
        <w:pStyle w:val="FootnoteText"/>
        <w:rPr>
          <w:i/>
          <w:lang w:val="es-ES"/>
        </w:rPr>
      </w:pPr>
      <w:r w:rsidRPr="00032C73">
        <w:rPr>
          <w:i/>
          <w:lang w:val="es-ES"/>
        </w:rPr>
        <w:t xml:space="preserve"> g) rendir un informe anual a la Asamblea General de la Organización de los Estados Americanos.”</w:t>
      </w:r>
    </w:p>
    <w:p w14:paraId="376DD621" w14:textId="77777777" w:rsidR="00D86616" w:rsidRPr="00032C73" w:rsidRDefault="00D86616" w:rsidP="003C2143">
      <w:pPr>
        <w:pStyle w:val="FootnoteText"/>
        <w:rPr>
          <w:lang w:val="es-ES"/>
        </w:rPr>
      </w:pPr>
    </w:p>
  </w:footnote>
  <w:footnote w:id="375">
    <w:p w14:paraId="0BBC8BEE" w14:textId="77777777" w:rsidR="00D86616" w:rsidRPr="00032C73" w:rsidRDefault="00D86616" w:rsidP="003C2143">
      <w:pPr>
        <w:pStyle w:val="FootnoteText"/>
        <w:rPr>
          <w:lang w:val="es-ES"/>
        </w:rPr>
      </w:pPr>
      <w:r w:rsidRPr="00032C73">
        <w:rPr>
          <w:rStyle w:val="FootnoteReference"/>
        </w:rPr>
        <w:footnoteRef/>
      </w:r>
      <w:r w:rsidRPr="00032C73">
        <w:rPr>
          <w:lang w:val="es-ES"/>
        </w:rPr>
        <w:t xml:space="preserve"> Art.68.1: “</w:t>
      </w:r>
      <w:r w:rsidRPr="00032C73">
        <w:rPr>
          <w:i/>
          <w:lang w:val="es-ES"/>
        </w:rPr>
        <w:t>Los Estados Partes en la Convención se comprometen a cumplir la decisión de la Corte en todo caso en que sean partes</w:t>
      </w:r>
      <w:r w:rsidRPr="00032C73">
        <w:rPr>
          <w:lang w:val="es-ES"/>
        </w:rPr>
        <w:t>.”</w:t>
      </w:r>
    </w:p>
    <w:p w14:paraId="5B50D811" w14:textId="77777777" w:rsidR="00D86616" w:rsidRPr="00032C73" w:rsidRDefault="00D86616" w:rsidP="003C2143">
      <w:pPr>
        <w:pStyle w:val="FootnoteText"/>
        <w:rPr>
          <w:lang w:val="es-ES"/>
        </w:rPr>
      </w:pPr>
      <w:r w:rsidRPr="00032C73">
        <w:rPr>
          <w:lang w:val="es-ES"/>
        </w:rPr>
        <w:t xml:space="preserve">Art. 46.1 de la </w:t>
      </w:r>
      <w:proofErr w:type="spellStart"/>
      <w:r w:rsidRPr="00032C73">
        <w:rPr>
          <w:lang w:val="es-ES"/>
        </w:rPr>
        <w:t>Convention</w:t>
      </w:r>
      <w:proofErr w:type="spellEnd"/>
      <w:r w:rsidRPr="00032C73">
        <w:rPr>
          <w:lang w:val="es-ES"/>
        </w:rPr>
        <w:t xml:space="preserve"> </w:t>
      </w:r>
      <w:proofErr w:type="spellStart"/>
      <w:r w:rsidRPr="00032C73">
        <w:rPr>
          <w:lang w:val="es-ES"/>
        </w:rPr>
        <w:t>Européenne</w:t>
      </w:r>
      <w:proofErr w:type="spellEnd"/>
      <w:r w:rsidRPr="00032C73">
        <w:rPr>
          <w:lang w:val="es-ES"/>
        </w:rPr>
        <w:t xml:space="preserve"> des </w:t>
      </w:r>
      <w:proofErr w:type="spellStart"/>
      <w:r w:rsidRPr="00032C73">
        <w:rPr>
          <w:lang w:val="es-ES"/>
        </w:rPr>
        <w:t>Droit</w:t>
      </w:r>
      <w:proofErr w:type="spellEnd"/>
      <w:r w:rsidRPr="00032C73">
        <w:rPr>
          <w:lang w:val="es-ES"/>
        </w:rPr>
        <w:t xml:space="preserve"> de </w:t>
      </w:r>
      <w:proofErr w:type="spellStart"/>
      <w:r w:rsidRPr="00032C73">
        <w:rPr>
          <w:lang w:val="es-ES"/>
        </w:rPr>
        <w:t>l’Homme</w:t>
      </w:r>
      <w:proofErr w:type="spellEnd"/>
      <w:r w:rsidRPr="00032C73">
        <w:rPr>
          <w:lang w:val="es-ES"/>
        </w:rPr>
        <w:t>: “</w:t>
      </w:r>
      <w:r w:rsidRPr="00032C73">
        <w:rPr>
          <w:i/>
          <w:lang w:val="es-ES"/>
        </w:rPr>
        <w:t xml:space="preserve">Les Hautes </w:t>
      </w:r>
      <w:proofErr w:type="spellStart"/>
      <w:r w:rsidRPr="00032C73">
        <w:rPr>
          <w:i/>
          <w:lang w:val="es-ES"/>
        </w:rPr>
        <w:t>Parties</w:t>
      </w:r>
      <w:proofErr w:type="spellEnd"/>
      <w:r w:rsidRPr="00032C73">
        <w:rPr>
          <w:i/>
          <w:lang w:val="es-ES"/>
        </w:rPr>
        <w:t xml:space="preserve"> </w:t>
      </w:r>
      <w:proofErr w:type="spellStart"/>
      <w:r w:rsidRPr="00032C73">
        <w:rPr>
          <w:i/>
          <w:lang w:val="es-ES"/>
        </w:rPr>
        <w:t>contractantes</w:t>
      </w:r>
      <w:proofErr w:type="spellEnd"/>
      <w:r w:rsidRPr="00032C73">
        <w:rPr>
          <w:i/>
          <w:lang w:val="es-ES"/>
        </w:rPr>
        <w:t xml:space="preserve"> </w:t>
      </w:r>
      <w:proofErr w:type="spellStart"/>
      <w:r w:rsidRPr="00032C73">
        <w:rPr>
          <w:i/>
          <w:lang w:val="es-ES"/>
        </w:rPr>
        <w:t>s’engagent</w:t>
      </w:r>
      <w:proofErr w:type="spellEnd"/>
      <w:r w:rsidRPr="00032C73">
        <w:rPr>
          <w:i/>
          <w:lang w:val="es-ES"/>
        </w:rPr>
        <w:t xml:space="preserve"> à se </w:t>
      </w:r>
      <w:proofErr w:type="spellStart"/>
      <w:r w:rsidRPr="00032C73">
        <w:rPr>
          <w:i/>
          <w:lang w:val="es-ES"/>
        </w:rPr>
        <w:t>conformer</w:t>
      </w:r>
      <w:proofErr w:type="spellEnd"/>
      <w:r w:rsidRPr="00032C73">
        <w:rPr>
          <w:i/>
          <w:lang w:val="es-ES"/>
        </w:rPr>
        <w:t xml:space="preserve"> </w:t>
      </w:r>
      <w:proofErr w:type="spellStart"/>
      <w:r w:rsidRPr="00032C73">
        <w:rPr>
          <w:i/>
          <w:lang w:val="es-ES"/>
        </w:rPr>
        <w:t>aux</w:t>
      </w:r>
      <w:proofErr w:type="spellEnd"/>
      <w:r w:rsidRPr="00032C73">
        <w:rPr>
          <w:i/>
          <w:lang w:val="es-ES"/>
        </w:rPr>
        <w:t xml:space="preserve"> </w:t>
      </w:r>
      <w:proofErr w:type="spellStart"/>
      <w:r w:rsidRPr="00032C73">
        <w:rPr>
          <w:i/>
          <w:lang w:val="es-ES"/>
        </w:rPr>
        <w:t>arrêts</w:t>
      </w:r>
      <w:proofErr w:type="spellEnd"/>
      <w:r w:rsidRPr="00032C73">
        <w:rPr>
          <w:i/>
          <w:lang w:val="es-ES"/>
        </w:rPr>
        <w:t xml:space="preserve"> </w:t>
      </w:r>
      <w:proofErr w:type="spellStart"/>
      <w:r w:rsidRPr="00032C73">
        <w:rPr>
          <w:i/>
          <w:lang w:val="es-ES"/>
        </w:rPr>
        <w:t>définitifs</w:t>
      </w:r>
      <w:proofErr w:type="spellEnd"/>
      <w:r w:rsidRPr="00032C73">
        <w:rPr>
          <w:i/>
          <w:lang w:val="es-ES"/>
        </w:rPr>
        <w:t xml:space="preserve"> de la </w:t>
      </w:r>
      <w:proofErr w:type="spellStart"/>
      <w:r w:rsidRPr="00032C73">
        <w:rPr>
          <w:i/>
          <w:lang w:val="es-ES"/>
        </w:rPr>
        <w:t>Cour</w:t>
      </w:r>
      <w:proofErr w:type="spellEnd"/>
      <w:r w:rsidRPr="00032C73">
        <w:rPr>
          <w:i/>
          <w:lang w:val="es-ES"/>
        </w:rPr>
        <w:t xml:space="preserve"> </w:t>
      </w:r>
      <w:proofErr w:type="spellStart"/>
      <w:r w:rsidRPr="00032C73">
        <w:rPr>
          <w:i/>
          <w:lang w:val="es-ES"/>
        </w:rPr>
        <w:t>dans</w:t>
      </w:r>
      <w:proofErr w:type="spellEnd"/>
      <w:r w:rsidRPr="00032C73">
        <w:rPr>
          <w:i/>
          <w:lang w:val="es-ES"/>
        </w:rPr>
        <w:t xml:space="preserve"> les </w:t>
      </w:r>
      <w:proofErr w:type="spellStart"/>
      <w:r w:rsidRPr="00032C73">
        <w:rPr>
          <w:i/>
          <w:lang w:val="es-ES"/>
        </w:rPr>
        <w:t>litiges</w:t>
      </w:r>
      <w:proofErr w:type="spellEnd"/>
      <w:r w:rsidRPr="00032C73">
        <w:rPr>
          <w:i/>
          <w:lang w:val="es-ES"/>
        </w:rPr>
        <w:t xml:space="preserve"> </w:t>
      </w:r>
      <w:proofErr w:type="spellStart"/>
      <w:r w:rsidRPr="00032C73">
        <w:rPr>
          <w:i/>
          <w:lang w:val="es-ES"/>
        </w:rPr>
        <w:t>auxquels</w:t>
      </w:r>
      <w:proofErr w:type="spellEnd"/>
      <w:r w:rsidRPr="00032C73">
        <w:rPr>
          <w:i/>
          <w:lang w:val="es-ES"/>
        </w:rPr>
        <w:t xml:space="preserve"> elles </w:t>
      </w:r>
      <w:proofErr w:type="spellStart"/>
      <w:r w:rsidRPr="00032C73">
        <w:rPr>
          <w:i/>
          <w:lang w:val="es-ES"/>
        </w:rPr>
        <w:t>sont</w:t>
      </w:r>
      <w:proofErr w:type="spellEnd"/>
      <w:r w:rsidRPr="00032C73">
        <w:rPr>
          <w:i/>
          <w:lang w:val="es-ES"/>
        </w:rPr>
        <w:t xml:space="preserve"> </w:t>
      </w:r>
      <w:proofErr w:type="spellStart"/>
      <w:r w:rsidRPr="00032C73">
        <w:rPr>
          <w:i/>
          <w:lang w:val="es-ES"/>
        </w:rPr>
        <w:t>parties</w:t>
      </w:r>
      <w:proofErr w:type="spellEnd"/>
      <w:r w:rsidRPr="00032C73">
        <w:rPr>
          <w:lang w:val="es-ES"/>
        </w:rPr>
        <w:t>.”</w:t>
      </w:r>
    </w:p>
    <w:p w14:paraId="477DDD44" w14:textId="77777777" w:rsidR="00D86616" w:rsidRPr="00032C73" w:rsidRDefault="00D86616" w:rsidP="003C2143">
      <w:pPr>
        <w:pStyle w:val="FootnoteText"/>
        <w:rPr>
          <w:lang w:val="es-ES"/>
        </w:rPr>
      </w:pPr>
      <w:r w:rsidRPr="00032C73">
        <w:rPr>
          <w:lang w:val="es-ES"/>
        </w:rPr>
        <w:t xml:space="preserve">Art. 46. y 3 du </w:t>
      </w:r>
      <w:proofErr w:type="spellStart"/>
      <w:r w:rsidRPr="00032C73">
        <w:rPr>
          <w:lang w:val="es-ES"/>
        </w:rPr>
        <w:t>Statut</w:t>
      </w:r>
      <w:proofErr w:type="spellEnd"/>
      <w:r w:rsidRPr="00032C73">
        <w:rPr>
          <w:lang w:val="es-ES"/>
        </w:rPr>
        <w:t xml:space="preserve"> de la </w:t>
      </w:r>
      <w:proofErr w:type="spellStart"/>
      <w:r w:rsidRPr="00032C73">
        <w:rPr>
          <w:lang w:val="es-ES"/>
        </w:rPr>
        <w:t>Cour</w:t>
      </w:r>
      <w:proofErr w:type="spellEnd"/>
      <w:r w:rsidRPr="00032C73">
        <w:rPr>
          <w:lang w:val="es-ES"/>
        </w:rPr>
        <w:t xml:space="preserve"> </w:t>
      </w:r>
      <w:proofErr w:type="spellStart"/>
      <w:r w:rsidRPr="00032C73">
        <w:rPr>
          <w:lang w:val="es-ES"/>
        </w:rPr>
        <w:t>Africaine</w:t>
      </w:r>
      <w:proofErr w:type="spellEnd"/>
      <w:r w:rsidRPr="00032C73">
        <w:rPr>
          <w:lang w:val="es-ES"/>
        </w:rPr>
        <w:t xml:space="preserve"> de </w:t>
      </w:r>
      <w:proofErr w:type="spellStart"/>
      <w:r w:rsidRPr="00032C73">
        <w:rPr>
          <w:lang w:val="es-ES"/>
        </w:rPr>
        <w:t>Justice</w:t>
      </w:r>
      <w:proofErr w:type="spellEnd"/>
      <w:r w:rsidRPr="00032C73">
        <w:rPr>
          <w:lang w:val="es-ES"/>
        </w:rPr>
        <w:t xml:space="preserve"> y des </w:t>
      </w:r>
      <w:proofErr w:type="spellStart"/>
      <w:r w:rsidRPr="00032C73">
        <w:rPr>
          <w:lang w:val="es-ES"/>
        </w:rPr>
        <w:t>Droits</w:t>
      </w:r>
      <w:proofErr w:type="spellEnd"/>
      <w:r w:rsidRPr="00032C73">
        <w:rPr>
          <w:lang w:val="es-ES"/>
        </w:rPr>
        <w:t xml:space="preserve"> de </w:t>
      </w:r>
      <w:proofErr w:type="spellStart"/>
      <w:r w:rsidRPr="00032C73">
        <w:rPr>
          <w:lang w:val="es-ES"/>
        </w:rPr>
        <w:t>l´Homme</w:t>
      </w:r>
      <w:proofErr w:type="spellEnd"/>
      <w:r w:rsidRPr="00032C73">
        <w:rPr>
          <w:lang w:val="es-ES"/>
        </w:rPr>
        <w:t>: “</w:t>
      </w:r>
      <w:proofErr w:type="spellStart"/>
      <w:r w:rsidRPr="00032C73">
        <w:rPr>
          <w:i/>
          <w:lang w:val="es-ES"/>
        </w:rPr>
        <w:t>Force</w:t>
      </w:r>
      <w:proofErr w:type="spellEnd"/>
      <w:r w:rsidRPr="00032C73">
        <w:rPr>
          <w:i/>
          <w:lang w:val="es-ES"/>
        </w:rPr>
        <w:t xml:space="preserve"> </w:t>
      </w:r>
      <w:proofErr w:type="spellStart"/>
      <w:r w:rsidRPr="00032C73">
        <w:rPr>
          <w:i/>
          <w:lang w:val="es-ES"/>
        </w:rPr>
        <w:t>obligatoire</w:t>
      </w:r>
      <w:proofErr w:type="spellEnd"/>
      <w:r w:rsidRPr="00032C73">
        <w:rPr>
          <w:i/>
          <w:lang w:val="es-ES"/>
        </w:rPr>
        <w:t xml:space="preserve"> et </w:t>
      </w:r>
      <w:proofErr w:type="spellStart"/>
      <w:r w:rsidRPr="00032C73">
        <w:rPr>
          <w:i/>
          <w:lang w:val="es-ES"/>
        </w:rPr>
        <w:t>exécution</w:t>
      </w:r>
      <w:proofErr w:type="spellEnd"/>
      <w:r w:rsidRPr="00032C73">
        <w:rPr>
          <w:i/>
          <w:lang w:val="es-ES"/>
        </w:rPr>
        <w:t xml:space="preserve"> des </w:t>
      </w:r>
      <w:proofErr w:type="spellStart"/>
      <w:r w:rsidRPr="00032C73">
        <w:rPr>
          <w:i/>
          <w:lang w:val="es-ES"/>
        </w:rPr>
        <w:t>décisions</w:t>
      </w:r>
      <w:proofErr w:type="spellEnd"/>
      <w:r w:rsidRPr="00032C73">
        <w:rPr>
          <w:i/>
          <w:lang w:val="es-ES"/>
        </w:rPr>
        <w:t xml:space="preserve">. 1. La </w:t>
      </w:r>
      <w:proofErr w:type="spellStart"/>
      <w:r w:rsidRPr="00032C73">
        <w:rPr>
          <w:i/>
          <w:lang w:val="es-ES"/>
        </w:rPr>
        <w:t>décision</w:t>
      </w:r>
      <w:proofErr w:type="spellEnd"/>
      <w:r w:rsidRPr="00032C73">
        <w:rPr>
          <w:i/>
          <w:lang w:val="es-ES"/>
        </w:rPr>
        <w:t xml:space="preserve"> de la </w:t>
      </w:r>
      <w:proofErr w:type="spellStart"/>
      <w:r w:rsidRPr="00032C73">
        <w:rPr>
          <w:i/>
          <w:lang w:val="es-ES"/>
        </w:rPr>
        <w:t>Cour</w:t>
      </w:r>
      <w:proofErr w:type="spellEnd"/>
      <w:r w:rsidRPr="00032C73">
        <w:rPr>
          <w:i/>
          <w:lang w:val="es-ES"/>
        </w:rPr>
        <w:t xml:space="preserve"> </w:t>
      </w:r>
      <w:proofErr w:type="spellStart"/>
      <w:r w:rsidRPr="00032C73">
        <w:rPr>
          <w:i/>
          <w:lang w:val="es-ES"/>
        </w:rPr>
        <w:t>n'est</w:t>
      </w:r>
      <w:proofErr w:type="spellEnd"/>
      <w:r w:rsidRPr="00032C73">
        <w:rPr>
          <w:i/>
          <w:lang w:val="es-ES"/>
        </w:rPr>
        <w:t xml:space="preserve"> </w:t>
      </w:r>
      <w:proofErr w:type="spellStart"/>
      <w:r w:rsidRPr="00032C73">
        <w:rPr>
          <w:i/>
          <w:lang w:val="es-ES"/>
        </w:rPr>
        <w:t>obligatoire</w:t>
      </w:r>
      <w:proofErr w:type="spellEnd"/>
      <w:r w:rsidRPr="00032C73">
        <w:rPr>
          <w:i/>
          <w:lang w:val="es-ES"/>
        </w:rPr>
        <w:t xml:space="preserve"> que </w:t>
      </w:r>
      <w:proofErr w:type="spellStart"/>
      <w:r w:rsidRPr="00032C73">
        <w:rPr>
          <w:i/>
          <w:lang w:val="es-ES"/>
        </w:rPr>
        <w:t>pour</w:t>
      </w:r>
      <w:proofErr w:type="spellEnd"/>
      <w:r w:rsidRPr="00032C73">
        <w:rPr>
          <w:i/>
          <w:lang w:val="es-ES"/>
        </w:rPr>
        <w:t xml:space="preserve"> les </w:t>
      </w:r>
      <w:proofErr w:type="spellStart"/>
      <w:r w:rsidRPr="00032C73">
        <w:rPr>
          <w:i/>
          <w:lang w:val="es-ES"/>
        </w:rPr>
        <w:t>parties</w:t>
      </w:r>
      <w:proofErr w:type="spellEnd"/>
      <w:r w:rsidRPr="00032C73">
        <w:rPr>
          <w:i/>
          <w:lang w:val="es-ES"/>
        </w:rPr>
        <w:t xml:space="preserve"> en </w:t>
      </w:r>
      <w:proofErr w:type="spellStart"/>
      <w:r w:rsidRPr="00032C73">
        <w:rPr>
          <w:i/>
          <w:lang w:val="es-ES"/>
        </w:rPr>
        <w:t>litige</w:t>
      </w:r>
      <w:proofErr w:type="spellEnd"/>
      <w:r w:rsidRPr="00032C73">
        <w:rPr>
          <w:i/>
          <w:lang w:val="es-ES"/>
        </w:rPr>
        <w:t xml:space="preserve">. ... 3. Les </w:t>
      </w:r>
      <w:proofErr w:type="spellStart"/>
      <w:r w:rsidRPr="00032C73">
        <w:rPr>
          <w:i/>
          <w:lang w:val="es-ES"/>
        </w:rPr>
        <w:t>parties</w:t>
      </w:r>
      <w:proofErr w:type="spellEnd"/>
      <w:r w:rsidRPr="00032C73">
        <w:rPr>
          <w:i/>
          <w:lang w:val="es-ES"/>
        </w:rPr>
        <w:t xml:space="preserve"> </w:t>
      </w:r>
      <w:proofErr w:type="spellStart"/>
      <w:r w:rsidRPr="00032C73">
        <w:rPr>
          <w:i/>
          <w:lang w:val="es-ES"/>
        </w:rPr>
        <w:t>doivent</w:t>
      </w:r>
      <w:proofErr w:type="spellEnd"/>
      <w:r w:rsidRPr="00032C73">
        <w:rPr>
          <w:i/>
          <w:lang w:val="es-ES"/>
        </w:rPr>
        <w:t xml:space="preserve"> se </w:t>
      </w:r>
      <w:proofErr w:type="spellStart"/>
      <w:r w:rsidRPr="00032C73">
        <w:rPr>
          <w:i/>
          <w:lang w:val="es-ES"/>
        </w:rPr>
        <w:t>conformer</w:t>
      </w:r>
      <w:proofErr w:type="spellEnd"/>
      <w:r w:rsidRPr="00032C73">
        <w:rPr>
          <w:i/>
          <w:lang w:val="es-ES"/>
        </w:rPr>
        <w:t xml:space="preserve"> </w:t>
      </w:r>
      <w:proofErr w:type="spellStart"/>
      <w:r w:rsidRPr="00032C73">
        <w:rPr>
          <w:i/>
          <w:lang w:val="es-ES"/>
        </w:rPr>
        <w:t>aux</w:t>
      </w:r>
      <w:proofErr w:type="spellEnd"/>
      <w:r w:rsidRPr="00032C73">
        <w:rPr>
          <w:i/>
          <w:lang w:val="es-ES"/>
        </w:rPr>
        <w:t xml:space="preserve"> </w:t>
      </w:r>
      <w:proofErr w:type="spellStart"/>
      <w:r w:rsidRPr="00032C73">
        <w:rPr>
          <w:i/>
          <w:lang w:val="es-ES"/>
        </w:rPr>
        <w:t>décisions</w:t>
      </w:r>
      <w:proofErr w:type="spellEnd"/>
      <w:r w:rsidRPr="00032C73">
        <w:rPr>
          <w:i/>
          <w:lang w:val="es-ES"/>
        </w:rPr>
        <w:t xml:space="preserve"> </w:t>
      </w:r>
      <w:proofErr w:type="spellStart"/>
      <w:r w:rsidRPr="00032C73">
        <w:rPr>
          <w:i/>
          <w:lang w:val="es-ES"/>
        </w:rPr>
        <w:t>rendues</w:t>
      </w:r>
      <w:proofErr w:type="spellEnd"/>
      <w:r w:rsidRPr="00032C73">
        <w:rPr>
          <w:i/>
          <w:lang w:val="es-ES"/>
        </w:rPr>
        <w:t xml:space="preserve"> </w:t>
      </w:r>
      <w:proofErr w:type="spellStart"/>
      <w:r w:rsidRPr="00032C73">
        <w:rPr>
          <w:i/>
          <w:lang w:val="es-ES"/>
        </w:rPr>
        <w:t>par</w:t>
      </w:r>
      <w:proofErr w:type="spellEnd"/>
      <w:r w:rsidRPr="00032C73">
        <w:rPr>
          <w:i/>
          <w:lang w:val="es-ES"/>
        </w:rPr>
        <w:t xml:space="preserve"> la </w:t>
      </w:r>
      <w:proofErr w:type="spellStart"/>
      <w:r w:rsidRPr="00032C73">
        <w:rPr>
          <w:i/>
          <w:lang w:val="es-ES"/>
        </w:rPr>
        <w:t>Cour</w:t>
      </w:r>
      <w:proofErr w:type="spellEnd"/>
      <w:r w:rsidRPr="00032C73">
        <w:rPr>
          <w:i/>
          <w:lang w:val="es-ES"/>
        </w:rPr>
        <w:t xml:space="preserve"> </w:t>
      </w:r>
      <w:proofErr w:type="spellStart"/>
      <w:r w:rsidRPr="00032C73">
        <w:rPr>
          <w:i/>
          <w:lang w:val="es-ES"/>
        </w:rPr>
        <w:t>dans</w:t>
      </w:r>
      <w:proofErr w:type="spellEnd"/>
      <w:r w:rsidRPr="00032C73">
        <w:rPr>
          <w:i/>
          <w:lang w:val="es-ES"/>
        </w:rPr>
        <w:t xml:space="preserve"> </w:t>
      </w:r>
      <w:proofErr w:type="spellStart"/>
      <w:r w:rsidRPr="00032C73">
        <w:rPr>
          <w:i/>
          <w:lang w:val="es-ES"/>
        </w:rPr>
        <w:t>tout</w:t>
      </w:r>
      <w:proofErr w:type="spellEnd"/>
      <w:r w:rsidRPr="00032C73">
        <w:rPr>
          <w:i/>
          <w:lang w:val="es-ES"/>
        </w:rPr>
        <w:t xml:space="preserve"> </w:t>
      </w:r>
      <w:proofErr w:type="spellStart"/>
      <w:r w:rsidRPr="00032C73">
        <w:rPr>
          <w:i/>
          <w:lang w:val="es-ES"/>
        </w:rPr>
        <w:t>litige</w:t>
      </w:r>
      <w:proofErr w:type="spellEnd"/>
      <w:r w:rsidRPr="00032C73">
        <w:rPr>
          <w:i/>
          <w:lang w:val="es-ES"/>
        </w:rPr>
        <w:t xml:space="preserve"> </w:t>
      </w:r>
      <w:proofErr w:type="spellStart"/>
      <w:r w:rsidRPr="00032C73">
        <w:rPr>
          <w:i/>
          <w:lang w:val="es-ES"/>
        </w:rPr>
        <w:t>auquel</w:t>
      </w:r>
      <w:proofErr w:type="spellEnd"/>
      <w:r w:rsidRPr="00032C73">
        <w:rPr>
          <w:i/>
          <w:lang w:val="es-ES"/>
        </w:rPr>
        <w:t xml:space="preserve"> elles </w:t>
      </w:r>
      <w:proofErr w:type="spellStart"/>
      <w:r w:rsidRPr="00032C73">
        <w:rPr>
          <w:i/>
          <w:lang w:val="es-ES"/>
        </w:rPr>
        <w:t>sont</w:t>
      </w:r>
      <w:proofErr w:type="spellEnd"/>
      <w:r w:rsidRPr="00032C73">
        <w:rPr>
          <w:i/>
          <w:lang w:val="es-ES"/>
        </w:rPr>
        <w:t xml:space="preserve"> </w:t>
      </w:r>
      <w:proofErr w:type="spellStart"/>
      <w:r w:rsidRPr="00032C73">
        <w:rPr>
          <w:i/>
          <w:lang w:val="es-ES"/>
        </w:rPr>
        <w:t>parties</w:t>
      </w:r>
      <w:proofErr w:type="spellEnd"/>
      <w:r w:rsidRPr="00032C73">
        <w:rPr>
          <w:i/>
          <w:lang w:val="es-ES"/>
        </w:rPr>
        <w:t xml:space="preserve">, et en </w:t>
      </w:r>
      <w:proofErr w:type="spellStart"/>
      <w:r w:rsidRPr="00032C73">
        <w:rPr>
          <w:i/>
          <w:lang w:val="es-ES"/>
        </w:rPr>
        <w:t>assurer</w:t>
      </w:r>
      <w:proofErr w:type="spellEnd"/>
      <w:r w:rsidRPr="00032C73">
        <w:rPr>
          <w:i/>
          <w:lang w:val="es-ES"/>
        </w:rPr>
        <w:t xml:space="preserve"> </w:t>
      </w:r>
      <w:proofErr w:type="spellStart"/>
      <w:r w:rsidRPr="00032C73">
        <w:rPr>
          <w:i/>
          <w:lang w:val="es-ES"/>
        </w:rPr>
        <w:t>l’exécution</w:t>
      </w:r>
      <w:proofErr w:type="spellEnd"/>
      <w:r w:rsidRPr="00032C73">
        <w:rPr>
          <w:i/>
          <w:lang w:val="es-ES"/>
        </w:rPr>
        <w:t xml:space="preserve"> </w:t>
      </w:r>
      <w:proofErr w:type="spellStart"/>
      <w:r w:rsidRPr="00032C73">
        <w:rPr>
          <w:i/>
          <w:lang w:val="es-ES"/>
        </w:rPr>
        <w:t>dans</w:t>
      </w:r>
      <w:proofErr w:type="spellEnd"/>
      <w:r w:rsidRPr="00032C73">
        <w:rPr>
          <w:i/>
          <w:lang w:val="es-ES"/>
        </w:rPr>
        <w:t xml:space="preserve"> le </w:t>
      </w:r>
      <w:proofErr w:type="spellStart"/>
      <w:r w:rsidRPr="00032C73">
        <w:rPr>
          <w:i/>
          <w:lang w:val="es-ES"/>
        </w:rPr>
        <w:t>délai</w:t>
      </w:r>
      <w:proofErr w:type="spellEnd"/>
      <w:r w:rsidRPr="00032C73">
        <w:rPr>
          <w:i/>
          <w:lang w:val="es-ES"/>
        </w:rPr>
        <w:t xml:space="preserve"> </w:t>
      </w:r>
      <w:proofErr w:type="spellStart"/>
      <w:r w:rsidRPr="00032C73">
        <w:rPr>
          <w:i/>
          <w:lang w:val="es-ES"/>
        </w:rPr>
        <w:t>fixé</w:t>
      </w:r>
      <w:proofErr w:type="spellEnd"/>
      <w:r w:rsidRPr="00032C73">
        <w:rPr>
          <w:i/>
          <w:lang w:val="es-ES"/>
        </w:rPr>
        <w:t xml:space="preserve"> </w:t>
      </w:r>
      <w:proofErr w:type="spellStart"/>
      <w:r w:rsidRPr="00032C73">
        <w:rPr>
          <w:i/>
          <w:lang w:val="es-ES"/>
        </w:rPr>
        <w:t>par</w:t>
      </w:r>
      <w:proofErr w:type="spellEnd"/>
      <w:r w:rsidRPr="00032C73">
        <w:rPr>
          <w:i/>
          <w:lang w:val="es-ES"/>
        </w:rPr>
        <w:t xml:space="preserve"> la </w:t>
      </w:r>
      <w:proofErr w:type="spellStart"/>
      <w:r w:rsidRPr="00032C73">
        <w:rPr>
          <w:i/>
          <w:lang w:val="es-ES"/>
        </w:rPr>
        <w:t>Cour</w:t>
      </w:r>
      <w:proofErr w:type="spellEnd"/>
      <w:r w:rsidRPr="00032C73">
        <w:rPr>
          <w:i/>
          <w:lang w:val="es-ES"/>
        </w:rPr>
        <w:t>.”</w:t>
      </w:r>
    </w:p>
    <w:p w14:paraId="429E526B" w14:textId="77777777" w:rsidR="00D86616" w:rsidRPr="00032C73" w:rsidRDefault="00D86616" w:rsidP="003C2143">
      <w:pPr>
        <w:pStyle w:val="FootnoteText"/>
        <w:rPr>
          <w:lang w:val="es-ES"/>
        </w:rPr>
      </w:pPr>
      <w:r w:rsidRPr="00032C73">
        <w:rPr>
          <w:lang w:val="es-ES"/>
        </w:rPr>
        <w:t>Art. 59 del Estatuto de la Corte Internacional de Justicia: “</w:t>
      </w:r>
      <w:r w:rsidRPr="00032C73">
        <w:rPr>
          <w:i/>
          <w:lang w:val="es-ES"/>
        </w:rPr>
        <w:t>La decisión de la Corte no es obligatoria sino para las partes en litigio y respecto del caso que ha sido decidido</w:t>
      </w:r>
      <w:r w:rsidRPr="00032C73">
        <w:rPr>
          <w:lang w:val="es-ES"/>
        </w:rPr>
        <w:t>.”</w:t>
      </w:r>
    </w:p>
    <w:p w14:paraId="4ECCAF1B" w14:textId="77777777" w:rsidR="00D86616" w:rsidRPr="00032C73" w:rsidRDefault="00D86616" w:rsidP="003C2143">
      <w:pPr>
        <w:pStyle w:val="FootnoteText"/>
        <w:rPr>
          <w:lang w:val="es-ES"/>
        </w:rPr>
      </w:pPr>
    </w:p>
  </w:footnote>
  <w:footnote w:id="376">
    <w:p w14:paraId="1D668FA7" w14:textId="77777777" w:rsidR="00D86616" w:rsidRPr="00032C73" w:rsidRDefault="00D86616" w:rsidP="003C2143">
      <w:pPr>
        <w:pStyle w:val="FootnoteText"/>
        <w:rPr>
          <w:i/>
          <w:lang w:val="es-ES"/>
        </w:rPr>
      </w:pPr>
      <w:r w:rsidRPr="00032C73">
        <w:rPr>
          <w:rStyle w:val="FootnoteReference"/>
        </w:rPr>
        <w:footnoteRef/>
      </w:r>
      <w:r w:rsidRPr="00032C73">
        <w:rPr>
          <w:lang w:val="es-ES"/>
        </w:rPr>
        <w:t xml:space="preserve"> Art.38 del Estatuto de la Corte Internacional de Justicia: </w:t>
      </w:r>
      <w:r w:rsidRPr="00032C73">
        <w:rPr>
          <w:i/>
          <w:lang w:val="es-ES"/>
        </w:rPr>
        <w:t>“1. La Corte, cuya función es decidir conforme al derecho internacional las controversias que le sean sometidas, deberá aplicar:</w:t>
      </w:r>
    </w:p>
    <w:p w14:paraId="02A1C247" w14:textId="77777777" w:rsidR="00D86616" w:rsidRPr="00032C73" w:rsidRDefault="00D86616" w:rsidP="003C2143">
      <w:pPr>
        <w:pStyle w:val="FootnoteText"/>
        <w:rPr>
          <w:i/>
          <w:lang w:val="es-ES"/>
        </w:rPr>
      </w:pPr>
      <w:r w:rsidRPr="00032C73">
        <w:rPr>
          <w:i/>
          <w:lang w:val="es-ES"/>
        </w:rPr>
        <w:t>a. las convenciones internacionales, sean generales o particulares, que establecen reglas expresamente reconocidas por los Estados litigantes;</w:t>
      </w:r>
    </w:p>
    <w:p w14:paraId="12A6D1A5" w14:textId="77777777" w:rsidR="00D86616" w:rsidRPr="00032C73" w:rsidRDefault="00D86616" w:rsidP="003C2143">
      <w:pPr>
        <w:pStyle w:val="FootnoteText"/>
        <w:rPr>
          <w:i/>
          <w:lang w:val="es-ES"/>
        </w:rPr>
      </w:pPr>
      <w:r w:rsidRPr="00032C73">
        <w:rPr>
          <w:i/>
          <w:lang w:val="es-ES"/>
        </w:rPr>
        <w:t>b. la costumbre internacional como prueba de una práctica generalmente aceptada como derecho;</w:t>
      </w:r>
    </w:p>
    <w:p w14:paraId="24C57519" w14:textId="77777777" w:rsidR="00D86616" w:rsidRPr="00032C73" w:rsidRDefault="00D86616" w:rsidP="003C2143">
      <w:pPr>
        <w:pStyle w:val="FootnoteText"/>
        <w:rPr>
          <w:i/>
          <w:lang w:val="es-ES"/>
        </w:rPr>
      </w:pPr>
      <w:r w:rsidRPr="00032C73">
        <w:rPr>
          <w:i/>
          <w:lang w:val="es-ES"/>
        </w:rPr>
        <w:t>c. los principios generales de derecho reconocidos por las naciones civilizadas;</w:t>
      </w:r>
    </w:p>
    <w:p w14:paraId="4629F581" w14:textId="77777777" w:rsidR="00D86616" w:rsidRPr="00032C73" w:rsidRDefault="00D86616" w:rsidP="003C2143">
      <w:pPr>
        <w:pStyle w:val="FootnoteText"/>
        <w:rPr>
          <w:i/>
          <w:lang w:val="es-ES"/>
        </w:rPr>
      </w:pPr>
      <w:r w:rsidRPr="00032C73">
        <w:rPr>
          <w:i/>
          <w:lang w:val="es-ES"/>
        </w:rPr>
        <w:t>d. las decisiones judiciales y las doctrinas de los publicistas de mayor competencia de las distintas naciones, como medio auxiliar para la determinación de las reglas de derecho, sin perjuicio de lo dispuesto en el Artículo 59.</w:t>
      </w:r>
    </w:p>
    <w:p w14:paraId="52BC4342" w14:textId="77777777" w:rsidR="00D86616" w:rsidRPr="00032C73" w:rsidRDefault="00D86616" w:rsidP="003C2143">
      <w:pPr>
        <w:pStyle w:val="FootnoteText"/>
        <w:rPr>
          <w:i/>
          <w:lang w:val="es-ES"/>
        </w:rPr>
      </w:pPr>
      <w:r w:rsidRPr="00032C73">
        <w:rPr>
          <w:i/>
          <w:lang w:val="es-ES"/>
        </w:rPr>
        <w:t>2. La presente disposición no restringe la facultad de la Corte para decidir un litigio ex aequo et bono, si las partes así lo convinieren.”</w:t>
      </w:r>
    </w:p>
    <w:p w14:paraId="1B6D1C50" w14:textId="77777777" w:rsidR="00D86616" w:rsidRPr="00032C73" w:rsidRDefault="00D86616" w:rsidP="003C2143">
      <w:pPr>
        <w:pStyle w:val="FootnoteText"/>
        <w:rPr>
          <w:lang w:val="es-ES"/>
        </w:rPr>
      </w:pPr>
    </w:p>
  </w:footnote>
  <w:footnote w:id="377">
    <w:p w14:paraId="43E3DAAA" w14:textId="77777777" w:rsidR="00D86616" w:rsidRPr="00032C73" w:rsidRDefault="00D86616" w:rsidP="003C2143">
      <w:pPr>
        <w:pStyle w:val="FootnoteText"/>
        <w:rPr>
          <w:lang w:val="es-ES"/>
        </w:rPr>
      </w:pPr>
      <w:r w:rsidRPr="00032C73">
        <w:rPr>
          <w:rStyle w:val="FootnoteReference"/>
        </w:rPr>
        <w:footnoteRef/>
      </w:r>
      <w:r w:rsidRPr="00032C73">
        <w:rPr>
          <w:lang w:val="es-ES"/>
        </w:rPr>
        <w:t xml:space="preserve"> Art. 31: “</w:t>
      </w:r>
      <w:r w:rsidRPr="00032C73">
        <w:rPr>
          <w:i/>
          <w:lang w:val="es-ES"/>
        </w:rPr>
        <w:t>Reconocimiento de Otros Derechos. Podrán ser incluidos en el régimen de protección de esta Convención otros derechos y libertades que sean reconocidos de acuerdo con los procedimientos establecidos en los artículos 76 y 77.”</w:t>
      </w:r>
    </w:p>
    <w:p w14:paraId="17488F0A" w14:textId="77777777" w:rsidR="00D86616" w:rsidRPr="00032C73" w:rsidRDefault="00D86616" w:rsidP="003C2143">
      <w:pPr>
        <w:pStyle w:val="FootnoteText"/>
        <w:rPr>
          <w:lang w:val="es-ES"/>
        </w:rPr>
      </w:pPr>
      <w:r w:rsidRPr="00032C73">
        <w:rPr>
          <w:lang w:val="es-ES"/>
        </w:rPr>
        <w:t>Art. 76.1</w:t>
      </w:r>
      <w:r w:rsidRPr="00032C73">
        <w:rPr>
          <w:i/>
          <w:lang w:val="es-ES"/>
        </w:rPr>
        <w:t>:” Cualquier Estado parte directamente y la Comisión o la Corte por conducto del Secretario General, pueden someter a la Asamblea General, para lo que estime conveniente, una propuesta de enmienda a esta Convención.”</w:t>
      </w:r>
    </w:p>
    <w:p w14:paraId="55A43FF5" w14:textId="77777777" w:rsidR="00D86616" w:rsidRPr="00032C73" w:rsidRDefault="00D86616" w:rsidP="003C2143">
      <w:pPr>
        <w:pStyle w:val="FootnoteText"/>
        <w:rPr>
          <w:lang w:val="es-ES"/>
        </w:rPr>
      </w:pPr>
      <w:r w:rsidRPr="00032C73">
        <w:rPr>
          <w:lang w:val="es-ES"/>
        </w:rPr>
        <w:t>Art.77.1</w:t>
      </w:r>
      <w:r w:rsidRPr="00032C73">
        <w:rPr>
          <w:i/>
          <w:lang w:val="es-ES"/>
        </w:rPr>
        <w:t>:“De acuerdo con la facultad establecida en el artículo 31, cualquier Estado parte y la Comisión podrán someter a la consideración de los Estados Partes reunidos con ocasión de la Asamblea General, proyectos de protocolos adicionales a esta Convención, con la finalidad de incluir progresivamente en el régimen de protección de la misma otros derechos y libertades.”</w:t>
      </w:r>
    </w:p>
  </w:footnote>
  <w:footnote w:id="378">
    <w:p w14:paraId="1936853B" w14:textId="77777777" w:rsidR="00D86616" w:rsidRPr="00032C73" w:rsidRDefault="00D86616" w:rsidP="003C2143">
      <w:pPr>
        <w:pStyle w:val="FootnoteText"/>
        <w:rPr>
          <w:i/>
          <w:lang w:val="es-ES"/>
        </w:rPr>
      </w:pPr>
      <w:r w:rsidRPr="00032C73">
        <w:rPr>
          <w:rStyle w:val="FootnoteReference"/>
        </w:rPr>
        <w:footnoteRef/>
      </w:r>
      <w:r w:rsidRPr="00032C73">
        <w:rPr>
          <w:lang w:val="es-ES"/>
        </w:rPr>
        <w:t xml:space="preserve"> Art. 31. 3.c) de la Convención de Viena sobre el Derecho de los Tratados: “</w:t>
      </w:r>
      <w:r w:rsidRPr="00032C73">
        <w:rPr>
          <w:i/>
          <w:lang w:val="es-ES"/>
        </w:rPr>
        <w:t>Juntamente con el contexto, habrá de tenerse en cuenta: ... c) “toda norma pertinente de derecho internacional aplicable en las relaciones entre las partes.”</w:t>
      </w:r>
    </w:p>
    <w:p w14:paraId="5BA1D923" w14:textId="77777777" w:rsidR="00D86616" w:rsidRPr="00032C73" w:rsidRDefault="00D86616" w:rsidP="003C2143">
      <w:pPr>
        <w:pStyle w:val="FootnoteText"/>
        <w:rPr>
          <w:i/>
          <w:lang w:val="es-ES"/>
        </w:rPr>
      </w:pPr>
    </w:p>
  </w:footnote>
  <w:footnote w:id="379">
    <w:p w14:paraId="6B13F019" w14:textId="77777777" w:rsidR="00D86616" w:rsidRPr="00032C73" w:rsidRDefault="00D86616" w:rsidP="003C2143">
      <w:pPr>
        <w:pStyle w:val="FootnoteText"/>
        <w:rPr>
          <w:lang w:val="es-ES"/>
        </w:rPr>
      </w:pPr>
      <w:r w:rsidRPr="00032C73">
        <w:rPr>
          <w:rStyle w:val="FootnoteReference"/>
        </w:rPr>
        <w:footnoteRef/>
      </w:r>
      <w:r w:rsidRPr="00032C73">
        <w:rPr>
          <w:lang w:val="es-ES"/>
        </w:rPr>
        <w:t xml:space="preserve"> </w:t>
      </w:r>
      <w:proofErr w:type="spellStart"/>
      <w:r w:rsidRPr="00032C73">
        <w:rPr>
          <w:lang w:val="es-ES"/>
        </w:rPr>
        <w:t>Párrs</w:t>
      </w:r>
      <w:proofErr w:type="spellEnd"/>
      <w:r w:rsidRPr="00032C73">
        <w:rPr>
          <w:lang w:val="es-ES"/>
        </w:rPr>
        <w:t>. Nºs.141  a 150. En lo sucesivo, cada vez que se cite un párrafo, se hará como “</w:t>
      </w:r>
      <w:proofErr w:type="spellStart"/>
      <w:r w:rsidRPr="00032C73">
        <w:rPr>
          <w:i/>
          <w:lang w:val="es-ES"/>
        </w:rPr>
        <w:t>párr</w:t>
      </w:r>
      <w:proofErr w:type="spellEnd"/>
      <w:r w:rsidRPr="00032C73">
        <w:rPr>
          <w:lang w:val="es-ES"/>
        </w:rPr>
        <w:t>”, en plural “</w:t>
      </w:r>
      <w:proofErr w:type="spellStart"/>
      <w:r w:rsidRPr="00032C73">
        <w:rPr>
          <w:i/>
          <w:lang w:val="es-ES"/>
        </w:rPr>
        <w:t>párrs</w:t>
      </w:r>
      <w:proofErr w:type="spellEnd"/>
      <w:r w:rsidRPr="00032C73">
        <w:rPr>
          <w:i/>
          <w:lang w:val="es-ES"/>
        </w:rPr>
        <w:t>”</w:t>
      </w:r>
      <w:r w:rsidRPr="00032C73">
        <w:rPr>
          <w:lang w:val="es-ES"/>
        </w:rPr>
        <w:t xml:space="preserve"> y se entenderá que corresponde a la Sentencia.</w:t>
      </w:r>
    </w:p>
    <w:p w14:paraId="76EEEDDC" w14:textId="77777777" w:rsidR="00D86616" w:rsidRPr="00032C73" w:rsidRDefault="00D86616" w:rsidP="003C2143">
      <w:pPr>
        <w:pStyle w:val="FootnoteText"/>
        <w:rPr>
          <w:lang w:val="es-ES"/>
        </w:rPr>
      </w:pPr>
    </w:p>
  </w:footnote>
  <w:footnote w:id="380">
    <w:p w14:paraId="4727F7A6" w14:textId="77777777" w:rsidR="00D86616" w:rsidRPr="00032C73" w:rsidRDefault="00D86616" w:rsidP="003C2143">
      <w:pPr>
        <w:pStyle w:val="FootnoteText"/>
        <w:rPr>
          <w:i/>
          <w:lang w:val="es-ES"/>
        </w:rPr>
      </w:pPr>
      <w:r w:rsidRPr="00032C73">
        <w:rPr>
          <w:rStyle w:val="FootnoteReference"/>
        </w:rPr>
        <w:footnoteRef/>
      </w:r>
      <w:r w:rsidRPr="00032C73">
        <w:rPr>
          <w:lang w:val="es-ES"/>
        </w:rPr>
        <w:t xml:space="preserve"> “</w:t>
      </w:r>
      <w:r w:rsidRPr="00032C73">
        <w:rPr>
          <w:i/>
          <w:lang w:val="es-ES"/>
        </w:rPr>
        <w:t>Libertad de Asociación. Todas las personas tienen derecho a asociarse libremente con fines ideológicos, religiosos, políticos, económicos, laborales, sociales, culturales, deportivos o de cualquiera otra índole.”</w:t>
      </w:r>
    </w:p>
    <w:p w14:paraId="63547657" w14:textId="77777777" w:rsidR="00D86616" w:rsidRPr="00032C73" w:rsidRDefault="00D86616" w:rsidP="003C2143">
      <w:pPr>
        <w:pStyle w:val="FootnoteText"/>
        <w:rPr>
          <w:lang w:val="es-ES"/>
        </w:rPr>
      </w:pPr>
    </w:p>
  </w:footnote>
  <w:footnote w:id="381">
    <w:p w14:paraId="3A4CDC0B" w14:textId="77777777" w:rsidR="00D86616" w:rsidRPr="00032C73" w:rsidRDefault="00D86616" w:rsidP="003C2143">
      <w:pPr>
        <w:pStyle w:val="FootnoteText"/>
        <w:rPr>
          <w:lang w:val="es-ES"/>
        </w:rPr>
      </w:pPr>
      <w:r w:rsidRPr="00032C73">
        <w:rPr>
          <w:rStyle w:val="FootnoteReference"/>
        </w:rPr>
        <w:footnoteRef/>
      </w:r>
      <w:r w:rsidRPr="00032C73">
        <w:rPr>
          <w:lang w:val="es-ES"/>
        </w:rPr>
        <w:t xml:space="preserve"> </w:t>
      </w:r>
      <w:proofErr w:type="spellStart"/>
      <w:r w:rsidRPr="00032C73">
        <w:rPr>
          <w:lang w:val="es-ES"/>
        </w:rPr>
        <w:t>Párrs</w:t>
      </w:r>
      <w:proofErr w:type="spellEnd"/>
      <w:r w:rsidRPr="00032C73">
        <w:rPr>
          <w:lang w:val="es-ES"/>
        </w:rPr>
        <w:t xml:space="preserve"> 155 a 160.</w:t>
      </w:r>
    </w:p>
    <w:p w14:paraId="31A2762D" w14:textId="77777777" w:rsidR="00D86616" w:rsidRPr="00032C73" w:rsidRDefault="00D86616" w:rsidP="003C2143">
      <w:pPr>
        <w:pStyle w:val="FootnoteText"/>
        <w:rPr>
          <w:lang w:val="es-ES"/>
        </w:rPr>
      </w:pPr>
    </w:p>
  </w:footnote>
  <w:footnote w:id="382">
    <w:p w14:paraId="409C7091" w14:textId="77777777" w:rsidR="00D86616" w:rsidRPr="00032C73" w:rsidRDefault="00D86616" w:rsidP="003C2143">
      <w:pPr>
        <w:pStyle w:val="FootnoteText"/>
        <w:rPr>
          <w:lang w:val="es-ES"/>
        </w:rPr>
      </w:pPr>
      <w:r w:rsidRPr="00032C73">
        <w:rPr>
          <w:rStyle w:val="FootnoteReference"/>
        </w:rPr>
        <w:footnoteRef/>
      </w:r>
      <w:r w:rsidRPr="00032C73">
        <w:rPr>
          <w:lang w:val="es-ES"/>
        </w:rPr>
        <w:t xml:space="preserve"> Párr. 158.</w:t>
      </w:r>
    </w:p>
    <w:p w14:paraId="4C974ACF" w14:textId="77777777" w:rsidR="00D86616" w:rsidRPr="00032C73" w:rsidRDefault="00D86616" w:rsidP="003C2143">
      <w:pPr>
        <w:pStyle w:val="FootnoteText"/>
        <w:rPr>
          <w:lang w:val="es-ES"/>
        </w:rPr>
      </w:pPr>
    </w:p>
  </w:footnote>
  <w:footnote w:id="383">
    <w:p w14:paraId="631DC2C3" w14:textId="77777777" w:rsidR="00D86616" w:rsidRPr="00032C73" w:rsidRDefault="00D86616" w:rsidP="003C2143">
      <w:pPr>
        <w:pStyle w:val="FootnoteText"/>
        <w:rPr>
          <w:lang w:val="es-ES"/>
        </w:rPr>
      </w:pPr>
      <w:r w:rsidRPr="00032C73">
        <w:rPr>
          <w:rStyle w:val="FootnoteReference"/>
        </w:rPr>
        <w:footnoteRef/>
      </w:r>
      <w:r w:rsidRPr="00032C73">
        <w:rPr>
          <w:lang w:val="es-ES"/>
        </w:rPr>
        <w:t xml:space="preserve"> Párr. 159.</w:t>
      </w:r>
    </w:p>
    <w:p w14:paraId="07C58B55" w14:textId="77777777" w:rsidR="00D86616" w:rsidRPr="00032C73" w:rsidRDefault="00D86616" w:rsidP="003C2143">
      <w:pPr>
        <w:pStyle w:val="FootnoteText"/>
        <w:rPr>
          <w:lang w:val="es-ES"/>
        </w:rPr>
      </w:pPr>
    </w:p>
  </w:footnote>
  <w:footnote w:id="384">
    <w:p w14:paraId="407F0336" w14:textId="77777777" w:rsidR="00D86616" w:rsidRDefault="00D86616" w:rsidP="003C2143">
      <w:pPr>
        <w:pStyle w:val="FootnoteText"/>
        <w:rPr>
          <w:i/>
          <w:lang w:val="es-ES"/>
        </w:rPr>
      </w:pPr>
      <w:r w:rsidRPr="00032C73">
        <w:rPr>
          <w:rStyle w:val="FootnoteReference"/>
        </w:rPr>
        <w:footnoteRef/>
      </w:r>
      <w:r w:rsidRPr="00032C73">
        <w:rPr>
          <w:lang w:val="es-ES"/>
        </w:rPr>
        <w:t xml:space="preserve">  Art. 31.3.c) de la Convención de Viena sobre el Derecho de los Tratados: “</w:t>
      </w:r>
      <w:r w:rsidRPr="00032C73">
        <w:rPr>
          <w:i/>
          <w:lang w:val="es-ES"/>
        </w:rPr>
        <w:t>Regla general de interpretación.... Juntamente con el contexto, habrá de tenerse en cuenta: ... toda norma pertinente de derecho internacional aplicable en las relaciones entre las partes.”</w:t>
      </w:r>
    </w:p>
    <w:p w14:paraId="63AB0575" w14:textId="77777777" w:rsidR="00D86616" w:rsidRPr="00032C73" w:rsidRDefault="00D86616" w:rsidP="003C2143">
      <w:pPr>
        <w:pStyle w:val="FootnoteText"/>
        <w:rPr>
          <w:i/>
          <w:lang w:val="es-ES"/>
        </w:rPr>
      </w:pPr>
    </w:p>
  </w:footnote>
  <w:footnote w:id="385">
    <w:p w14:paraId="32FD475A" w14:textId="77777777" w:rsidR="00D86616" w:rsidRPr="00032C73" w:rsidRDefault="00D86616" w:rsidP="003C2143">
      <w:pPr>
        <w:pStyle w:val="FootnoteText"/>
        <w:rPr>
          <w:lang w:val="es-ES"/>
        </w:rPr>
      </w:pPr>
      <w:r w:rsidRPr="00032C73">
        <w:rPr>
          <w:rStyle w:val="FootnoteReference"/>
        </w:rPr>
        <w:footnoteRef/>
      </w:r>
      <w:r w:rsidRPr="00032C73">
        <w:rPr>
          <w:lang w:val="es-ES"/>
        </w:rPr>
        <w:t xml:space="preserve"> </w:t>
      </w:r>
      <w:r w:rsidRPr="00032C73">
        <w:rPr>
          <w:i/>
          <w:lang w:val="es-ES"/>
        </w:rPr>
        <w:t>“Los Estados Partes en esta Convención se comprometen a respetar los derechos y libertades reconocidos en ella y a garantizar su libre y pleno ejercicio a toda persona que esté sujeta a su jurisdicción, sin discriminación alguna por motivos de raza, color, sexo, idioma, religión, opiniones políticas o de cualquier otra índole, origen nacional o social, posición económica, nacimiento o cualquier otra condición social</w:t>
      </w:r>
      <w:r w:rsidRPr="00032C73">
        <w:rPr>
          <w:lang w:val="es-ES"/>
        </w:rPr>
        <w:t>.”</w:t>
      </w:r>
    </w:p>
    <w:p w14:paraId="39A7061C" w14:textId="77777777" w:rsidR="00D86616" w:rsidRPr="00032C73" w:rsidRDefault="00D86616" w:rsidP="003C2143">
      <w:pPr>
        <w:pStyle w:val="FootnoteText"/>
        <w:rPr>
          <w:lang w:val="es-ES"/>
        </w:rPr>
      </w:pPr>
    </w:p>
  </w:footnote>
  <w:footnote w:id="386">
    <w:p w14:paraId="57A245C6" w14:textId="77777777" w:rsidR="00D86616" w:rsidRPr="00032C73" w:rsidRDefault="00D86616" w:rsidP="003C2143">
      <w:pPr>
        <w:pStyle w:val="FootnoteText"/>
        <w:rPr>
          <w:i/>
          <w:lang w:val="es-ES"/>
        </w:rPr>
      </w:pPr>
      <w:r w:rsidRPr="00032C73">
        <w:rPr>
          <w:rStyle w:val="FootnoteReference"/>
        </w:rPr>
        <w:footnoteRef/>
      </w:r>
      <w:r w:rsidRPr="00032C73">
        <w:rPr>
          <w:lang w:val="es-ES"/>
        </w:rPr>
        <w:t xml:space="preserve"> </w:t>
      </w:r>
      <w:r w:rsidRPr="00032C73">
        <w:rPr>
          <w:i/>
          <w:lang w:val="es-ES"/>
        </w:rPr>
        <w:t xml:space="preserve">“Normas de interpretación. Ninguna disposición de la presente Convención puede ser </w:t>
      </w:r>
      <w:r>
        <w:rPr>
          <w:i/>
          <w:lang w:val="es-ES"/>
        </w:rPr>
        <w:t>interpretada en el sentido de: [</w:t>
      </w:r>
      <w:r w:rsidRPr="00032C73">
        <w:rPr>
          <w:i/>
          <w:lang w:val="es-ES"/>
        </w:rPr>
        <w:t>...</w:t>
      </w:r>
      <w:r>
        <w:rPr>
          <w:i/>
          <w:lang w:val="es-ES"/>
        </w:rPr>
        <w:t>]</w:t>
      </w:r>
      <w:r w:rsidRPr="00032C73">
        <w:rPr>
          <w:i/>
          <w:lang w:val="es-ES"/>
        </w:rPr>
        <w:t xml:space="preserve"> permitir a alguno de los Estados Partes, grupo o persona, suprimir el goce y ejercicio de los derechos y libertades reconocidos en la Convención o limitarlos en mayor medida que la prevista en ella</w:t>
      </w:r>
      <w:r w:rsidRPr="00032C73">
        <w:rPr>
          <w:lang w:val="es-ES"/>
        </w:rPr>
        <w:t>”.</w:t>
      </w:r>
    </w:p>
    <w:p w14:paraId="075BA276" w14:textId="77777777" w:rsidR="00D86616" w:rsidRPr="00032C73" w:rsidRDefault="00D86616" w:rsidP="003C2143">
      <w:pPr>
        <w:pStyle w:val="FootnoteText"/>
        <w:rPr>
          <w:lang w:val="es-ES"/>
        </w:rPr>
      </w:pPr>
    </w:p>
  </w:footnote>
  <w:footnote w:id="387">
    <w:p w14:paraId="61744110" w14:textId="77777777" w:rsidR="00D86616" w:rsidRPr="00032C73" w:rsidRDefault="00D86616" w:rsidP="003C2143">
      <w:pPr>
        <w:pStyle w:val="FootnoteText"/>
        <w:rPr>
          <w:lang w:val="es-ES"/>
        </w:rPr>
      </w:pPr>
      <w:r w:rsidRPr="00032C73">
        <w:rPr>
          <w:rStyle w:val="FootnoteReference"/>
        </w:rPr>
        <w:footnoteRef/>
      </w:r>
      <w:r w:rsidRPr="00032C73">
        <w:rPr>
          <w:lang w:val="es-ES"/>
        </w:rPr>
        <w:t xml:space="preserve"> Art 45.1: “</w:t>
      </w:r>
      <w:r w:rsidRPr="00032C73">
        <w:rPr>
          <w:i/>
          <w:lang w:val="es-ES"/>
        </w:rPr>
        <w:t>Todo Estado parte puede, en el momento del depósito de su instrumento de ratificación o adhesión de esta Convención, o en cualquier momento posterior, declarar que reconoce la competencia de la Comisión para recibir y examinar las comunicaciones en que un Estado parte alegue que otro Estado parte ha incurrido en violaciones de los derechos humanos establecidos en esta Convención.</w:t>
      </w:r>
      <w:r w:rsidRPr="00032C73">
        <w:rPr>
          <w:lang w:val="es-ES"/>
        </w:rPr>
        <w:t>”</w:t>
      </w:r>
    </w:p>
    <w:p w14:paraId="43F0E57E" w14:textId="77777777" w:rsidR="00D86616" w:rsidRPr="00032C73" w:rsidRDefault="00D86616" w:rsidP="003C2143">
      <w:pPr>
        <w:pStyle w:val="FootnoteText"/>
        <w:rPr>
          <w:lang w:val="es-ES"/>
        </w:rPr>
      </w:pPr>
    </w:p>
  </w:footnote>
  <w:footnote w:id="388">
    <w:p w14:paraId="0BA0F515" w14:textId="77777777" w:rsidR="00D86616" w:rsidRPr="00032C73" w:rsidRDefault="00D86616" w:rsidP="003C2143">
      <w:pPr>
        <w:pStyle w:val="FootnoteText"/>
        <w:rPr>
          <w:lang w:val="es-ES"/>
        </w:rPr>
      </w:pPr>
      <w:r w:rsidRPr="00032C73">
        <w:rPr>
          <w:rStyle w:val="FootnoteReference"/>
        </w:rPr>
        <w:footnoteRef/>
      </w:r>
      <w:r w:rsidRPr="00032C73">
        <w:rPr>
          <w:lang w:val="es-ES"/>
        </w:rPr>
        <w:t xml:space="preserve"> Art 47.b: “</w:t>
      </w:r>
      <w:r w:rsidRPr="00032C73">
        <w:rPr>
          <w:i/>
          <w:lang w:val="es-ES"/>
        </w:rPr>
        <w:t xml:space="preserve">La Comisión declarará inadmisible toda petición o comunicación presentada de acuerdo con los artículos 44 </w:t>
      </w:r>
      <w:proofErr w:type="spellStart"/>
      <w:r w:rsidRPr="00032C73">
        <w:rPr>
          <w:i/>
          <w:lang w:val="es-ES"/>
        </w:rPr>
        <w:t>ó</w:t>
      </w:r>
      <w:proofErr w:type="spellEnd"/>
      <w:r w:rsidRPr="00032C73">
        <w:rPr>
          <w:i/>
          <w:lang w:val="es-ES"/>
        </w:rPr>
        <w:t xml:space="preserve"> 45 cuando: ... no exponga hechos que caractericen una violación de los derechos garantizados por esta Convención</w:t>
      </w:r>
      <w:r w:rsidRPr="00032C73">
        <w:rPr>
          <w:lang w:val="es-ES"/>
        </w:rPr>
        <w:t>;”</w:t>
      </w:r>
    </w:p>
    <w:p w14:paraId="38E6E618" w14:textId="77777777" w:rsidR="00D86616" w:rsidRPr="00032C73" w:rsidRDefault="00D86616" w:rsidP="003C2143">
      <w:pPr>
        <w:pStyle w:val="FootnoteText"/>
        <w:rPr>
          <w:lang w:val="es-ES"/>
        </w:rPr>
      </w:pPr>
    </w:p>
  </w:footnote>
  <w:footnote w:id="389">
    <w:p w14:paraId="0D15FACB" w14:textId="77777777" w:rsidR="00D86616" w:rsidRPr="00032C73" w:rsidRDefault="00D86616" w:rsidP="003C2143">
      <w:pPr>
        <w:pStyle w:val="FootnoteText"/>
        <w:rPr>
          <w:i/>
          <w:lang w:val="es-ES"/>
        </w:rPr>
      </w:pPr>
      <w:r w:rsidRPr="00032C73">
        <w:rPr>
          <w:rStyle w:val="FootnoteReference"/>
        </w:rPr>
        <w:footnoteRef/>
      </w:r>
      <w:r w:rsidRPr="00032C73">
        <w:rPr>
          <w:lang w:val="es-ES"/>
        </w:rPr>
        <w:t xml:space="preserve"> Art.48.1: “</w:t>
      </w:r>
      <w:r w:rsidRPr="00032C73">
        <w:rPr>
          <w:i/>
          <w:lang w:val="es-ES"/>
        </w:rPr>
        <w:t>La Comisión, al recibir una petición o comunicación en la que se alegue la violación de cualquiera de los derechos que consagra esta Convención, procederá en los siguientes términos: ...”</w:t>
      </w:r>
    </w:p>
    <w:p w14:paraId="1F42E995" w14:textId="77777777" w:rsidR="00D86616" w:rsidRPr="00032C73" w:rsidRDefault="00D86616" w:rsidP="003C2143">
      <w:pPr>
        <w:pStyle w:val="FootnoteText"/>
        <w:rPr>
          <w:lang w:val="es-ES"/>
        </w:rPr>
      </w:pPr>
    </w:p>
  </w:footnote>
  <w:footnote w:id="390">
    <w:p w14:paraId="6507B691" w14:textId="77777777" w:rsidR="00D86616" w:rsidRPr="00032C73" w:rsidRDefault="00D86616" w:rsidP="003C2143">
      <w:pPr>
        <w:pStyle w:val="FootnoteText"/>
        <w:rPr>
          <w:lang w:val="es-ES"/>
        </w:rPr>
      </w:pPr>
      <w:r w:rsidRPr="00032C73">
        <w:rPr>
          <w:rStyle w:val="FootnoteReference"/>
        </w:rPr>
        <w:footnoteRef/>
      </w:r>
      <w:r w:rsidRPr="00032C73">
        <w:rPr>
          <w:lang w:val="es-ES"/>
        </w:rPr>
        <w:t xml:space="preserve"> Art.63.1: “</w:t>
      </w:r>
      <w:r w:rsidRPr="00032C73">
        <w:rPr>
          <w:i/>
          <w:lang w:val="es-ES"/>
        </w:rPr>
        <w:t>Cuando decida que hubo violación de un derecho o libertad protegidos en esta Convención, la Corte dispondrá que se garantice al lesionado en el goce de su derecho o libertad conculcados.  Dispondrá asimismo, si ello fuera procedente, que se reparen las consecuencias de la medida o situación que ha configurado la vulneración de esos derechos y el pago de una justa indemnización a la parte lesionada</w:t>
      </w:r>
      <w:r w:rsidRPr="00032C73">
        <w:rPr>
          <w:lang w:val="es-ES"/>
        </w:rPr>
        <w:t>.”</w:t>
      </w:r>
    </w:p>
    <w:p w14:paraId="73F3D6C7" w14:textId="77777777" w:rsidR="00D86616" w:rsidRPr="00032C73" w:rsidRDefault="00D86616" w:rsidP="003C2143">
      <w:pPr>
        <w:pStyle w:val="FootnoteText"/>
        <w:rPr>
          <w:lang w:val="es-ES"/>
        </w:rPr>
      </w:pPr>
    </w:p>
  </w:footnote>
  <w:footnote w:id="391">
    <w:p w14:paraId="6C838507" w14:textId="77777777" w:rsidR="00D86616" w:rsidRPr="00032C73" w:rsidRDefault="00D86616" w:rsidP="003C2143">
      <w:pPr>
        <w:pStyle w:val="FootnoteText"/>
        <w:rPr>
          <w:lang w:val="es-ES"/>
        </w:rPr>
      </w:pPr>
      <w:r w:rsidRPr="00032C73">
        <w:rPr>
          <w:rStyle w:val="FootnoteReference"/>
        </w:rPr>
        <w:footnoteRef/>
      </w:r>
      <w:r w:rsidRPr="00032C73">
        <w:rPr>
          <w:lang w:val="es-ES"/>
        </w:rPr>
        <w:t xml:space="preserve"> En lo sucesivo, cada vez que se haga referencia  a los derechos “</w:t>
      </w:r>
      <w:r w:rsidRPr="00032C73">
        <w:rPr>
          <w:i/>
          <w:lang w:val="es-ES"/>
        </w:rPr>
        <w:t>reconocidos</w:t>
      </w:r>
      <w:r w:rsidRPr="00032C73">
        <w:rPr>
          <w:lang w:val="es-ES"/>
        </w:rPr>
        <w:t>” en la Convención, se deberá entender que se incluyen también a los “</w:t>
      </w:r>
      <w:r w:rsidRPr="00032C73">
        <w:rPr>
          <w:i/>
          <w:lang w:val="es-ES"/>
        </w:rPr>
        <w:t>establecidos</w:t>
      </w:r>
      <w:r w:rsidRPr="00032C73">
        <w:rPr>
          <w:lang w:val="es-ES"/>
        </w:rPr>
        <w:t>”, “</w:t>
      </w:r>
      <w:r w:rsidRPr="00032C73">
        <w:rPr>
          <w:i/>
          <w:lang w:val="es-ES"/>
        </w:rPr>
        <w:t>garantizados</w:t>
      </w:r>
      <w:r w:rsidRPr="00032C73">
        <w:rPr>
          <w:lang w:val="es-ES"/>
        </w:rPr>
        <w:t>”,  “</w:t>
      </w:r>
      <w:r w:rsidRPr="00032C73">
        <w:rPr>
          <w:i/>
          <w:lang w:val="es-ES"/>
        </w:rPr>
        <w:t>consagrados</w:t>
      </w:r>
      <w:r w:rsidRPr="00032C73">
        <w:rPr>
          <w:lang w:val="es-ES"/>
        </w:rPr>
        <w:t>”  o “</w:t>
      </w:r>
      <w:r w:rsidRPr="00032C73">
        <w:rPr>
          <w:i/>
          <w:lang w:val="es-ES"/>
        </w:rPr>
        <w:t>protegidos”</w:t>
      </w:r>
      <w:r w:rsidRPr="00032C73">
        <w:rPr>
          <w:lang w:val="es-ES"/>
        </w:rPr>
        <w:t xml:space="preserve"> en ella.</w:t>
      </w:r>
    </w:p>
  </w:footnote>
  <w:footnote w:id="392">
    <w:p w14:paraId="0C935D99" w14:textId="77777777" w:rsidR="00D86616" w:rsidRPr="00032C73" w:rsidRDefault="00D86616" w:rsidP="003C2143">
      <w:pPr>
        <w:pStyle w:val="FootnoteText"/>
        <w:rPr>
          <w:lang w:val="es-ES"/>
        </w:rPr>
      </w:pPr>
      <w:r w:rsidRPr="00032C73">
        <w:rPr>
          <w:rStyle w:val="FootnoteReference"/>
        </w:rPr>
        <w:footnoteRef/>
      </w:r>
      <w:r w:rsidRPr="00032C73">
        <w:rPr>
          <w:lang w:val="es-ES"/>
        </w:rPr>
        <w:t xml:space="preserve"> Procede llamar la atención en cuanto a que la Convención asimismo hace mención a “</w:t>
      </w:r>
      <w:r w:rsidRPr="00032C73">
        <w:rPr>
          <w:i/>
          <w:lang w:val="es-ES"/>
        </w:rPr>
        <w:t>principios</w:t>
      </w:r>
      <w:r w:rsidRPr="00032C73">
        <w:rPr>
          <w:lang w:val="es-ES"/>
        </w:rPr>
        <w:t xml:space="preserve">”, refiriéndose </w:t>
      </w:r>
      <w:proofErr w:type="spellStart"/>
      <w:r w:rsidRPr="00032C73">
        <w:rPr>
          <w:lang w:val="es-ES"/>
        </w:rPr>
        <w:t>a“</w:t>
      </w:r>
      <w:r w:rsidRPr="00032C73">
        <w:rPr>
          <w:i/>
          <w:lang w:val="es-ES"/>
        </w:rPr>
        <w:t>un</w:t>
      </w:r>
      <w:proofErr w:type="spellEnd"/>
      <w:r w:rsidRPr="00032C73">
        <w:rPr>
          <w:i/>
          <w:lang w:val="es-ES"/>
        </w:rPr>
        <w:t xml:space="preserve"> régimen de libertad personal y de justicia social, </w:t>
      </w:r>
      <w:r w:rsidRPr="00032C73">
        <w:rPr>
          <w:lang w:val="es-ES"/>
        </w:rPr>
        <w:t xml:space="preserve">fundado en el </w:t>
      </w:r>
      <w:r w:rsidRPr="00032C73">
        <w:rPr>
          <w:i/>
          <w:lang w:val="es-ES"/>
        </w:rPr>
        <w:t>respeto de los derechos esenciales del hombre”</w:t>
      </w:r>
      <w:r w:rsidRPr="00032C73">
        <w:rPr>
          <w:lang w:val="es-ES"/>
        </w:rPr>
        <w:t>, en tanto que éstos “</w:t>
      </w:r>
      <w:r w:rsidRPr="00032C73">
        <w:rPr>
          <w:i/>
          <w:lang w:val="es-ES"/>
        </w:rPr>
        <w:t>no nacen del hecho de ser nacional de determinado Estado, sino que tienen como fundamento los atributos de la persona humana</w:t>
      </w:r>
      <w:r w:rsidRPr="00032C73">
        <w:rPr>
          <w:lang w:val="es-ES"/>
        </w:rPr>
        <w:t>” y que “</w:t>
      </w:r>
      <w:r w:rsidRPr="00032C73">
        <w:rPr>
          <w:i/>
          <w:lang w:val="es-ES"/>
        </w:rPr>
        <w:t xml:space="preserve">han sido consagrados en la Carta de la Organización de los Estados Americanos, en la Declaración Americana de los Derechos y Deberes del Hombre y en la Declaración Universal de los Derechos Humanos que han sido reafirmados y desarrollados en otros instrumentos internacionales, tanto de ámbito universal como regional.” </w:t>
      </w:r>
      <w:r w:rsidRPr="00032C73">
        <w:rPr>
          <w:lang w:val="es-ES"/>
        </w:rPr>
        <w:t>Párrs.1</w:t>
      </w:r>
      <w:proofErr w:type="gramStart"/>
      <w:r w:rsidRPr="00032C73">
        <w:rPr>
          <w:lang w:val="es-ES"/>
        </w:rPr>
        <w:t>,2</w:t>
      </w:r>
      <w:proofErr w:type="gramEnd"/>
      <w:r w:rsidRPr="00032C73">
        <w:rPr>
          <w:lang w:val="es-ES"/>
        </w:rPr>
        <w:t xml:space="preserve"> y 3 del Preámbulo.</w:t>
      </w:r>
    </w:p>
    <w:p w14:paraId="0C7A7A65" w14:textId="77777777" w:rsidR="00D86616" w:rsidRPr="00032C73" w:rsidRDefault="00D86616" w:rsidP="003C2143">
      <w:pPr>
        <w:pStyle w:val="FootnoteText"/>
        <w:rPr>
          <w:i/>
          <w:lang w:val="es-ES"/>
        </w:rPr>
      </w:pPr>
    </w:p>
  </w:footnote>
  <w:footnote w:id="393">
    <w:p w14:paraId="51B636ED" w14:textId="77777777" w:rsidR="00D86616" w:rsidRPr="00032C73" w:rsidRDefault="00D86616" w:rsidP="003C2143">
      <w:pPr>
        <w:pStyle w:val="FootnoteText"/>
        <w:rPr>
          <w:i/>
          <w:lang w:val="es-ES"/>
        </w:rPr>
      </w:pPr>
      <w:r w:rsidRPr="00032C73">
        <w:rPr>
          <w:rStyle w:val="FootnoteReference"/>
        </w:rPr>
        <w:footnoteRef/>
      </w:r>
      <w:r>
        <w:rPr>
          <w:lang w:val="es-ES"/>
        </w:rPr>
        <w:t xml:space="preserve"> Párrafo 4º del Preámbulo:</w:t>
      </w:r>
      <w:r w:rsidRPr="00032C73">
        <w:rPr>
          <w:lang w:val="es-ES"/>
        </w:rPr>
        <w:t xml:space="preserve"> </w:t>
      </w:r>
      <w:r w:rsidRPr="00032C73">
        <w:rPr>
          <w:i/>
          <w:lang w:val="es-ES"/>
        </w:rPr>
        <w:t>“Reiterando que, con arreglo a la Declaración Universal de los Derechos Humanos, sólo puede realizarse el ideal del ser humano libre, exento del temor y de la miseria, si se crean condiciones que permitan a cada persona gozar de sus derechos económicos, sociales y culturales, tanto como de sus derechos civiles y políticos.”</w:t>
      </w:r>
    </w:p>
    <w:p w14:paraId="566611D1" w14:textId="77777777" w:rsidR="00D86616" w:rsidRPr="00032C73" w:rsidRDefault="00D86616" w:rsidP="003C2143">
      <w:pPr>
        <w:pStyle w:val="FootnoteText"/>
        <w:rPr>
          <w:lang w:val="es-ES"/>
        </w:rPr>
      </w:pPr>
    </w:p>
  </w:footnote>
  <w:footnote w:id="394">
    <w:p w14:paraId="24C65219" w14:textId="77777777" w:rsidR="00D86616" w:rsidRPr="00032C73" w:rsidRDefault="00D86616" w:rsidP="003C2143">
      <w:pPr>
        <w:pStyle w:val="FootnoteText"/>
        <w:rPr>
          <w:i/>
          <w:lang w:val="es-ES"/>
        </w:rPr>
      </w:pPr>
      <w:r w:rsidRPr="00032C73">
        <w:rPr>
          <w:rStyle w:val="FootnoteReference"/>
        </w:rPr>
        <w:footnoteRef/>
      </w:r>
      <w:r w:rsidRPr="00032C73">
        <w:rPr>
          <w:lang w:val="es-ES"/>
        </w:rPr>
        <w:t xml:space="preserve"> Art.2, </w:t>
      </w:r>
      <w:r w:rsidRPr="00032C73">
        <w:rPr>
          <w:i/>
          <w:lang w:val="es-ES"/>
        </w:rPr>
        <w:t xml:space="preserve">cit. </w:t>
      </w:r>
      <w:r w:rsidRPr="00032C73">
        <w:rPr>
          <w:lang w:val="es-ES"/>
        </w:rPr>
        <w:t>en nota a pie de pág. Nº 3.</w:t>
      </w:r>
    </w:p>
    <w:p w14:paraId="67485462" w14:textId="77777777" w:rsidR="00D86616" w:rsidRPr="00032C73" w:rsidRDefault="00D86616" w:rsidP="003C2143">
      <w:pPr>
        <w:pStyle w:val="FootnoteText"/>
        <w:rPr>
          <w:lang w:val="es-ES"/>
        </w:rPr>
      </w:pPr>
    </w:p>
  </w:footnote>
  <w:footnote w:id="395">
    <w:p w14:paraId="5CDA227E" w14:textId="77777777" w:rsidR="00D86616" w:rsidRPr="00032C73" w:rsidRDefault="00D86616" w:rsidP="003C2143">
      <w:pPr>
        <w:pStyle w:val="FootnoteText"/>
        <w:rPr>
          <w:lang w:val="es-ES"/>
        </w:rPr>
      </w:pPr>
      <w:r w:rsidRPr="00032C73">
        <w:rPr>
          <w:rStyle w:val="FootnoteReference"/>
        </w:rPr>
        <w:footnoteRef/>
      </w:r>
      <w:r w:rsidRPr="00032C73">
        <w:rPr>
          <w:lang w:val="es-ES"/>
        </w:rPr>
        <w:t xml:space="preserve"> </w:t>
      </w:r>
      <w:r>
        <w:rPr>
          <w:lang w:val="es-ES"/>
        </w:rPr>
        <w:t xml:space="preserve">Art. 29.b; “. </w:t>
      </w:r>
      <w:r w:rsidRPr="00032C73">
        <w:rPr>
          <w:i/>
          <w:lang w:val="es-ES"/>
        </w:rPr>
        <w:t>Normas de Interpretación. Ninguna disposición de la presente Convención puede ser interpretada en el sentido de:... limitar el goce y ejercicio de cualquier derecho o libertad que pueda estar reconocido de acuerdo con las leyes de cualquiera de los Estados Partes o de acuerdo con otra convención en que sea parte uno de dichos Estados</w:t>
      </w:r>
      <w:r>
        <w:rPr>
          <w:lang w:val="es-ES"/>
        </w:rPr>
        <w:t>;”</w:t>
      </w:r>
    </w:p>
    <w:p w14:paraId="376A3562" w14:textId="77777777" w:rsidR="00D86616" w:rsidRPr="00032C73" w:rsidRDefault="00D86616" w:rsidP="003C2143">
      <w:pPr>
        <w:pStyle w:val="FootnoteText"/>
        <w:rPr>
          <w:lang w:val="es-ES"/>
        </w:rPr>
      </w:pPr>
    </w:p>
  </w:footnote>
  <w:footnote w:id="396">
    <w:p w14:paraId="008EC2E1" w14:textId="77777777" w:rsidR="00D86616" w:rsidRPr="00032C73" w:rsidRDefault="00D86616" w:rsidP="003C2143">
      <w:pPr>
        <w:pStyle w:val="FootnoteText"/>
        <w:rPr>
          <w:lang w:val="es-ES"/>
        </w:rPr>
      </w:pPr>
      <w:r w:rsidRPr="00032C73">
        <w:rPr>
          <w:rStyle w:val="FootnoteReference"/>
        </w:rPr>
        <w:footnoteRef/>
      </w:r>
      <w:r>
        <w:rPr>
          <w:lang w:val="es-ES"/>
        </w:rPr>
        <w:t xml:space="preserve"> Art. 29.</w:t>
      </w:r>
      <w:r w:rsidRPr="00032C73">
        <w:rPr>
          <w:lang w:val="es-ES"/>
        </w:rPr>
        <w:t xml:space="preserve">c): </w:t>
      </w:r>
      <w:r w:rsidRPr="00032C73">
        <w:rPr>
          <w:i/>
          <w:lang w:val="es-ES"/>
        </w:rPr>
        <w:t>“Normas de Interpretación. Ninguna disposición de la presente Convención puede ser interpretada en el sentido de: ...</w:t>
      </w:r>
      <w:r>
        <w:rPr>
          <w:lang w:val="es-ES"/>
        </w:rPr>
        <w:t xml:space="preserve"> </w:t>
      </w:r>
      <w:r w:rsidRPr="00032C73">
        <w:rPr>
          <w:i/>
          <w:lang w:val="es-ES"/>
        </w:rPr>
        <w:t xml:space="preserve">excluir otros derechos y garantías que son inherentes al ser humano o que se derivan de la forma democrática representativa de gobierno, </w:t>
      </w:r>
      <w:r>
        <w:rPr>
          <w:i/>
          <w:lang w:val="es-ES"/>
        </w:rPr>
        <w:t>[</w:t>
      </w:r>
      <w:r w:rsidRPr="00032C73">
        <w:rPr>
          <w:i/>
          <w:lang w:val="es-ES"/>
        </w:rPr>
        <w:t>...</w:t>
      </w:r>
      <w:r>
        <w:rPr>
          <w:i/>
          <w:lang w:val="es-ES"/>
        </w:rPr>
        <w:t>]</w:t>
      </w:r>
      <w:r w:rsidRPr="00032C73">
        <w:rPr>
          <w:i/>
          <w:lang w:val="es-ES"/>
        </w:rPr>
        <w:t>”</w:t>
      </w:r>
    </w:p>
    <w:p w14:paraId="7FD6CFC8" w14:textId="77777777" w:rsidR="00D86616" w:rsidRPr="00032C73" w:rsidRDefault="00D86616" w:rsidP="003C2143">
      <w:pPr>
        <w:pStyle w:val="FootnoteText"/>
        <w:rPr>
          <w:lang w:val="es-ES"/>
        </w:rPr>
      </w:pPr>
    </w:p>
  </w:footnote>
  <w:footnote w:id="397">
    <w:p w14:paraId="6EEE25A3" w14:textId="77777777" w:rsidR="00D86616" w:rsidRPr="00032C73" w:rsidRDefault="00D86616" w:rsidP="003C2143">
      <w:pPr>
        <w:pStyle w:val="FootnoteText"/>
        <w:rPr>
          <w:lang w:val="es-ES"/>
        </w:rPr>
      </w:pPr>
      <w:r w:rsidRPr="00032C73">
        <w:rPr>
          <w:rStyle w:val="FootnoteReference"/>
        </w:rPr>
        <w:footnoteRef/>
      </w:r>
      <w:r w:rsidRPr="00032C73">
        <w:rPr>
          <w:lang w:val="es-ES"/>
        </w:rPr>
        <w:t xml:space="preserve"> Párrs.142 y 154.</w:t>
      </w:r>
    </w:p>
    <w:p w14:paraId="4126DEDE" w14:textId="77777777" w:rsidR="00D86616" w:rsidRPr="00032C73" w:rsidRDefault="00D86616" w:rsidP="003C2143">
      <w:pPr>
        <w:pStyle w:val="FootnoteText"/>
        <w:rPr>
          <w:lang w:val="es-ES"/>
        </w:rPr>
      </w:pPr>
    </w:p>
  </w:footnote>
  <w:footnote w:id="398">
    <w:p w14:paraId="0B40BFD8" w14:textId="77777777" w:rsidR="00D86616" w:rsidRPr="00032C73" w:rsidRDefault="00D86616" w:rsidP="003C2143">
      <w:pPr>
        <w:pStyle w:val="FootnoteText"/>
        <w:rPr>
          <w:i/>
          <w:lang w:val="es-ES"/>
        </w:rPr>
      </w:pPr>
      <w:r w:rsidRPr="00032C73">
        <w:rPr>
          <w:rStyle w:val="FootnoteReference"/>
        </w:rPr>
        <w:footnoteRef/>
      </w:r>
      <w:r w:rsidRPr="00032C73">
        <w:rPr>
          <w:lang w:val="es-ES"/>
        </w:rPr>
        <w:t xml:space="preserve"> Art. 33: “</w:t>
      </w:r>
      <w:r w:rsidRPr="00032C73">
        <w:rPr>
          <w:i/>
          <w:lang w:val="es-ES"/>
        </w:rPr>
        <w:t xml:space="preserve">Son competentes para conocer de los asuntos relacionados con el cumplimiento de los </w:t>
      </w:r>
    </w:p>
    <w:p w14:paraId="4E0C891A" w14:textId="77777777" w:rsidR="00D86616" w:rsidRPr="00032C73" w:rsidRDefault="00D86616" w:rsidP="003C2143">
      <w:pPr>
        <w:pStyle w:val="FootnoteText"/>
        <w:rPr>
          <w:i/>
          <w:lang w:val="es-ES"/>
        </w:rPr>
      </w:pPr>
      <w:r w:rsidRPr="00032C73">
        <w:rPr>
          <w:i/>
          <w:lang w:val="es-ES"/>
        </w:rPr>
        <w:t>compromisos contraídos por los Estados Partes en esta Convención:</w:t>
      </w:r>
    </w:p>
    <w:p w14:paraId="51F476CC" w14:textId="77777777" w:rsidR="00D86616" w:rsidRPr="00032C73" w:rsidRDefault="00D86616" w:rsidP="003C2143">
      <w:pPr>
        <w:pStyle w:val="FootnoteText"/>
        <w:rPr>
          <w:i/>
          <w:lang w:val="es-ES"/>
        </w:rPr>
      </w:pPr>
      <w:r w:rsidRPr="00032C73">
        <w:rPr>
          <w:i/>
          <w:lang w:val="es-ES"/>
        </w:rPr>
        <w:t xml:space="preserve"> a) la Comisión Interamericana de Derechos Humanos, llamada en adelante la Comisión, y</w:t>
      </w:r>
    </w:p>
    <w:p w14:paraId="2A7E4D79" w14:textId="77777777" w:rsidR="00D86616" w:rsidRPr="00032C73" w:rsidRDefault="00D86616" w:rsidP="003C2143">
      <w:pPr>
        <w:pStyle w:val="FootnoteText"/>
        <w:rPr>
          <w:i/>
          <w:lang w:val="es-ES"/>
        </w:rPr>
      </w:pPr>
      <w:r w:rsidRPr="00032C73">
        <w:rPr>
          <w:i/>
          <w:lang w:val="es-ES"/>
        </w:rPr>
        <w:t xml:space="preserve"> b) la Corte Interamericana de Derechos Humanos, llamada en adelante la Corte.”</w:t>
      </w:r>
    </w:p>
    <w:p w14:paraId="4A6EDADF" w14:textId="77777777" w:rsidR="00D86616" w:rsidRPr="00032C73" w:rsidRDefault="00D86616" w:rsidP="003C2143">
      <w:pPr>
        <w:pStyle w:val="FootnoteText"/>
        <w:rPr>
          <w:lang w:val="es-ES"/>
        </w:rPr>
      </w:pPr>
    </w:p>
  </w:footnote>
  <w:footnote w:id="399">
    <w:p w14:paraId="19CF7488" w14:textId="77777777" w:rsidR="00D86616" w:rsidRPr="00032C73" w:rsidRDefault="00D86616" w:rsidP="003C2143">
      <w:pPr>
        <w:pStyle w:val="FootnoteText"/>
        <w:rPr>
          <w:lang w:val="es-ES"/>
        </w:rPr>
      </w:pPr>
      <w:r w:rsidRPr="00032C73">
        <w:rPr>
          <w:rStyle w:val="FootnoteReference"/>
        </w:rPr>
        <w:footnoteRef/>
      </w:r>
      <w:r w:rsidRPr="00032C73">
        <w:rPr>
          <w:lang w:val="es-ES"/>
        </w:rPr>
        <w:t xml:space="preserve"> Existe también la posibilidad de que se suscriban protocolos que no impliquen incorporación de derechos al sistema de protección. Así,  por ejemplo, el </w:t>
      </w:r>
      <w:r w:rsidRPr="00032C73">
        <w:rPr>
          <w:i/>
          <w:lang w:val="es-ES"/>
        </w:rPr>
        <w:t>Protocolo a la Convención Americana sobre Derechos Humanos Relativo a la Abolición de la Pena de Muerte</w:t>
      </w:r>
      <w:r w:rsidRPr="00032C73">
        <w:rPr>
          <w:lang w:val="es-ES"/>
        </w:rPr>
        <w:t>, de 1990, se adopta en vista de que, según el párrafo 6º de su Preámbulo, “</w:t>
      </w:r>
      <w:r w:rsidRPr="00032C73">
        <w:rPr>
          <w:i/>
          <w:lang w:val="es-ES"/>
        </w:rPr>
        <w:t>es necesario alcanzar un acuerdo internacional que signifique un desarrollo progresivo de la Convención Americana sobre Derechos Humanos</w:t>
      </w:r>
      <w:r w:rsidRPr="00032C73">
        <w:rPr>
          <w:lang w:val="es-ES"/>
        </w:rPr>
        <w:t>”.</w:t>
      </w:r>
    </w:p>
    <w:p w14:paraId="46B63EE0" w14:textId="77777777" w:rsidR="00D86616" w:rsidRPr="00032C73" w:rsidRDefault="00D86616" w:rsidP="003C2143">
      <w:pPr>
        <w:pStyle w:val="FootnoteText"/>
        <w:rPr>
          <w:lang w:val="es-ES"/>
        </w:rPr>
      </w:pPr>
    </w:p>
  </w:footnote>
  <w:footnote w:id="400">
    <w:p w14:paraId="5896FD6D" w14:textId="77777777" w:rsidR="00D86616" w:rsidRDefault="00D86616" w:rsidP="003C2143">
      <w:pPr>
        <w:pStyle w:val="FootnoteText"/>
        <w:rPr>
          <w:lang w:val="es-ES"/>
        </w:rPr>
      </w:pPr>
      <w:r w:rsidRPr="00032C73">
        <w:rPr>
          <w:rStyle w:val="FootnoteReference"/>
        </w:rPr>
        <w:footnoteRef/>
      </w:r>
      <w:r w:rsidRPr="00032C73">
        <w:rPr>
          <w:lang w:val="es-ES"/>
        </w:rPr>
        <w:t xml:space="preserve"> Nota a pie de pág. Nº14. </w:t>
      </w:r>
    </w:p>
    <w:p w14:paraId="33852793" w14:textId="77777777" w:rsidR="00D86616" w:rsidRPr="00032C73" w:rsidRDefault="00D86616" w:rsidP="003C2143">
      <w:pPr>
        <w:pStyle w:val="FootnoteText"/>
        <w:rPr>
          <w:lang w:val="es-ES"/>
        </w:rPr>
      </w:pPr>
    </w:p>
  </w:footnote>
  <w:footnote w:id="401">
    <w:p w14:paraId="164BF83D" w14:textId="77777777" w:rsidR="00D86616" w:rsidRPr="00032C73" w:rsidRDefault="00D86616" w:rsidP="003C2143">
      <w:pPr>
        <w:pStyle w:val="FootnoteText"/>
        <w:rPr>
          <w:lang w:val="es-ES"/>
        </w:rPr>
      </w:pPr>
      <w:r w:rsidRPr="00032C73">
        <w:rPr>
          <w:rStyle w:val="FootnoteReference"/>
        </w:rPr>
        <w:footnoteRef/>
      </w:r>
      <w:r w:rsidRPr="00032C73">
        <w:rPr>
          <w:lang w:val="es-ES"/>
        </w:rPr>
        <w:t xml:space="preserve"> Párr. 142. </w:t>
      </w:r>
    </w:p>
    <w:p w14:paraId="7B7EFAB9" w14:textId="77777777" w:rsidR="00D86616" w:rsidRPr="00032C73" w:rsidRDefault="00D86616" w:rsidP="003C2143">
      <w:pPr>
        <w:pStyle w:val="FootnoteText"/>
        <w:rPr>
          <w:lang w:val="es-ES"/>
        </w:rPr>
      </w:pPr>
    </w:p>
  </w:footnote>
  <w:footnote w:id="402">
    <w:p w14:paraId="51657EBF" w14:textId="77777777" w:rsidR="00D86616" w:rsidRPr="00032C73" w:rsidRDefault="00D86616" w:rsidP="003C2143">
      <w:pPr>
        <w:pStyle w:val="FootnoteText"/>
        <w:rPr>
          <w:lang w:val="es-ES"/>
        </w:rPr>
      </w:pPr>
      <w:r w:rsidRPr="00032C73">
        <w:rPr>
          <w:rStyle w:val="FootnoteReference"/>
        </w:rPr>
        <w:footnoteRef/>
      </w:r>
      <w:r w:rsidRPr="00032C73">
        <w:rPr>
          <w:lang w:val="es-ES"/>
        </w:rPr>
        <w:t xml:space="preserve"> Considerando 7º: “</w:t>
      </w:r>
      <w:r w:rsidRPr="00032C73">
        <w:rPr>
          <w:i/>
          <w:lang w:val="es-ES"/>
        </w:rPr>
        <w:t>Considerando que la Convención Americana sobre Derechos Humanos establece que pueden someterse a la consideración de los Estados partes reunidos con ocasión de la Asamblea General de la Organización de los Estados Americanos proyectos de protocolos adicionales a esa Convención con la finalidad de incluir progresivamente en el régimen de protección de la misma otros derechos y libertades</w:t>
      </w:r>
      <w:r w:rsidRPr="00032C73">
        <w:rPr>
          <w:lang w:val="es-ES"/>
        </w:rPr>
        <w:t>.”</w:t>
      </w:r>
    </w:p>
    <w:p w14:paraId="3DBC42AC" w14:textId="77777777" w:rsidR="00D86616" w:rsidRPr="00032C73" w:rsidRDefault="00D86616" w:rsidP="003C2143">
      <w:pPr>
        <w:pStyle w:val="FootnoteText"/>
        <w:rPr>
          <w:i/>
          <w:lang w:val="es-ES"/>
        </w:rPr>
      </w:pPr>
    </w:p>
  </w:footnote>
  <w:footnote w:id="403">
    <w:p w14:paraId="7A569FCA" w14:textId="77777777" w:rsidR="00D86616" w:rsidRPr="00032C73" w:rsidRDefault="00D86616" w:rsidP="003C2143">
      <w:pPr>
        <w:pStyle w:val="FootnoteText"/>
        <w:rPr>
          <w:i/>
          <w:lang w:val="es-ES"/>
        </w:rPr>
      </w:pPr>
      <w:r w:rsidRPr="00032C73">
        <w:rPr>
          <w:rStyle w:val="FootnoteReference"/>
        </w:rPr>
        <w:footnoteRef/>
      </w:r>
      <w:r w:rsidRPr="00032C73">
        <w:rPr>
          <w:lang w:val="es-ES"/>
        </w:rPr>
        <w:t xml:space="preserve"> Art.1 del Protocolo de San Salvador: “</w:t>
      </w:r>
      <w:r w:rsidRPr="00032C73">
        <w:rPr>
          <w:i/>
          <w:lang w:val="es-ES"/>
        </w:rPr>
        <w:t>Obligación de Adoptar Medidas. Los Estados partes en el presente Protocolo Adicional a la Convención Americana sobre Derechos Humanos se comprometen a adoptar las medidas necesarias tanto de orden interno como mediante la cooperación entre los Estados, especialmente económica y técnica, hasta el máximo de los recursos disponibles y tomando en cuenta su grado de desarrollo, a fin de lograr progresivamente, y de conformidad con la legislación interna, la plena efectividad de los derechos que se reconocen en el presente Protocolo.”</w:t>
      </w:r>
    </w:p>
    <w:p w14:paraId="683D0A62" w14:textId="77777777" w:rsidR="00D86616" w:rsidRPr="00032C73" w:rsidRDefault="00D86616" w:rsidP="003C2143">
      <w:pPr>
        <w:pStyle w:val="FootnoteText"/>
        <w:rPr>
          <w:lang w:val="es-ES"/>
        </w:rPr>
      </w:pPr>
    </w:p>
  </w:footnote>
  <w:footnote w:id="404">
    <w:p w14:paraId="08C43124" w14:textId="77777777" w:rsidR="00D86616" w:rsidRPr="00032C73" w:rsidRDefault="00D86616" w:rsidP="003C2143">
      <w:pPr>
        <w:pStyle w:val="FootnoteText"/>
        <w:rPr>
          <w:i/>
          <w:lang w:val="es-ES"/>
        </w:rPr>
      </w:pPr>
      <w:r w:rsidRPr="00032C73">
        <w:rPr>
          <w:rStyle w:val="FootnoteReference"/>
        </w:rPr>
        <w:footnoteRef/>
      </w:r>
      <w:r w:rsidRPr="00032C73">
        <w:rPr>
          <w:lang w:val="es-ES"/>
        </w:rPr>
        <w:t xml:space="preserve"> Art.19.6 de dicho Protocolo: “</w:t>
      </w:r>
      <w:r w:rsidRPr="00032C73">
        <w:rPr>
          <w:i/>
          <w:lang w:val="es-ES"/>
        </w:rPr>
        <w:t>En el caso de que los derechos establecidos en el párrafo a) del artículo 8 y en el artículo 13 fuesen violados por una acción imputable directamente a un Estado parte del presente Protocolo, tal situación podría dar lugar, mediante la participación de la Comisión Interamericana de Derechos Humanos, y cuando proceda de la Corte Interamericana de Derechos Humanos, a la aplicación del sistema de peticiones individuales regulado por los artículos 44 a 51 y 61 a 69 de la Convención Americana sobre Derechos Humanos.”</w:t>
      </w:r>
    </w:p>
    <w:p w14:paraId="699DD5E4" w14:textId="77777777" w:rsidR="00D86616" w:rsidRPr="00032C73" w:rsidRDefault="00D86616" w:rsidP="003C2143">
      <w:pPr>
        <w:pStyle w:val="FootnoteText"/>
        <w:rPr>
          <w:i/>
          <w:lang w:val="es-ES"/>
        </w:rPr>
      </w:pPr>
    </w:p>
  </w:footnote>
  <w:footnote w:id="405">
    <w:p w14:paraId="67238549" w14:textId="77777777" w:rsidR="00D86616" w:rsidRPr="00032C73" w:rsidRDefault="00D86616" w:rsidP="003C2143">
      <w:pPr>
        <w:pStyle w:val="FootnoteText"/>
        <w:rPr>
          <w:lang w:val="es-ES"/>
        </w:rPr>
      </w:pPr>
      <w:r w:rsidRPr="00032C73">
        <w:rPr>
          <w:rStyle w:val="FootnoteReference"/>
        </w:rPr>
        <w:footnoteRef/>
      </w:r>
      <w:r w:rsidRPr="00032C73">
        <w:rPr>
          <w:lang w:val="es-ES"/>
        </w:rPr>
        <w:t xml:space="preserve"> Art.8.a) del mismo Protocolo: “</w:t>
      </w:r>
      <w:r w:rsidRPr="00032C73">
        <w:rPr>
          <w:i/>
          <w:lang w:val="es-ES"/>
        </w:rPr>
        <w:t>Los Estados partes garantizarán: a. el derecho de los trabajadores a organizar sindicatos y a afiliarse al de su elección, para la protección y promoción de sus intereses. Como proyección de este derecho, los Estados partes permitirán a los sindicatos formar federaciones y confederaciones nacionales y asociarse a las ya existentes, así como formar organizaciones sindicales  internacionales y asociarse a la de su elección. Los Estados partes también permitirán que los sindicatos, federaciones y confederaciones funcionen libremente</w:t>
      </w:r>
      <w:r w:rsidRPr="00032C73">
        <w:rPr>
          <w:lang w:val="es-ES"/>
        </w:rPr>
        <w:t>;”.</w:t>
      </w:r>
    </w:p>
    <w:p w14:paraId="58BD2C37" w14:textId="77777777" w:rsidR="00D86616" w:rsidRPr="00032C73" w:rsidRDefault="00D86616" w:rsidP="003C2143">
      <w:pPr>
        <w:pStyle w:val="FootnoteText"/>
        <w:rPr>
          <w:lang w:val="es-ES"/>
        </w:rPr>
      </w:pPr>
    </w:p>
  </w:footnote>
  <w:footnote w:id="406">
    <w:p w14:paraId="6C562CFE" w14:textId="77777777" w:rsidR="00D86616" w:rsidRPr="00032C73" w:rsidRDefault="00D86616" w:rsidP="003C2143">
      <w:pPr>
        <w:pStyle w:val="FootnoteText"/>
        <w:rPr>
          <w:i/>
          <w:lang w:val="es-ES"/>
        </w:rPr>
      </w:pPr>
      <w:r w:rsidRPr="00032C73">
        <w:rPr>
          <w:rStyle w:val="FootnoteReference"/>
        </w:rPr>
        <w:footnoteRef/>
      </w:r>
      <w:r w:rsidRPr="00032C73">
        <w:rPr>
          <w:lang w:val="es-ES"/>
        </w:rPr>
        <w:t xml:space="preserve"> Art.13 de tal Protocolo: </w:t>
      </w:r>
      <w:r w:rsidRPr="00032C73">
        <w:rPr>
          <w:i/>
          <w:lang w:val="es-ES"/>
        </w:rPr>
        <w:t>“Derecho a la Educación. 1. Toda persona tiene derecho a la educación. 2. Los Estados partes en el presente Protocolo convienen en que la educación deberá orientarse hacia el pleno desarrollo de la personalidad humana y del sentido de su dignidad y deberá fortalecer el respeto por los derechos humanos, el pluralismo ideológico, las libertades fundamentales, la justicia y la paz. Convienen, asimismo, en que la educación debe capacitar a todas las personas para participar efectivamente en una sociedad democrática y pluralista, lograr una subsistencia digna, favorecer la comprensión, la tolerancia y la amistad entre todas las naciones y todos los grupos raciales, étnicos o religiosos y promover las actividades en favor del mantenimiento de la paz. 3. Los Estados partes en el presente Protocolo reconocen que, con objeto de lograr el pleno ejercicio del derecho a la educación: a. la enseñanza primaria debe ser obligatoria y asequible a todos gratuitamente; b. la enseñanza secundaria en sus diferentes formas, incluso la enseñanza secundaria técnica y profesional, debe ser generalizada y hacerse accesible a todos, por cuantos medios sean apropiados, y en particular por la implantación progresiva de la enseñanza gratuita; c. la enseñanza superior debe hacerse igualmente accesible a todos, sobre la base de la capacidad de cada uno, por cuantos medios sean apropiados y en particular, por la implantación progresiva de la enseñanza gratuita; d. se deberá fomentar o intensificar, en la medida de lo posible, la educación básica para aquellas personas que no hayan recibido o terminado el ciclo completo de instrucción primaria; e. se deberán establecer programas de enseñanza diferenciada para los minusválidos a fin de proporcionar una especial instrucción y formación a personas con impedimentos físicos o deficiencias mentales. 4. Conforme con la legislación interna de los Estados partes, los padres tendrán derecho a escoger el tipo de educación que habrá de darse a sus hijos, siempre que ella se adecue a los principios enunciados precedentemente. 5. Nada de lo dispuesto en este Protocolo se interpretará como una restricción de la libertad de los particulares y entidades para establecer y dirigir instituciones de enseñanza, de acuerdo con la legislación interna de los Estados partes.”</w:t>
      </w:r>
    </w:p>
    <w:p w14:paraId="41090582" w14:textId="77777777" w:rsidR="00D86616" w:rsidRPr="00032C73" w:rsidRDefault="00D86616" w:rsidP="003C2143">
      <w:pPr>
        <w:pStyle w:val="FootnoteText"/>
        <w:rPr>
          <w:i/>
          <w:lang w:val="es-ES"/>
        </w:rPr>
      </w:pPr>
    </w:p>
  </w:footnote>
  <w:footnote w:id="407">
    <w:p w14:paraId="12252206" w14:textId="77777777" w:rsidR="00D86616" w:rsidRPr="00032C73" w:rsidRDefault="00D86616" w:rsidP="003C2143">
      <w:pPr>
        <w:pStyle w:val="FootnoteText"/>
        <w:rPr>
          <w:lang w:val="es-ES"/>
        </w:rPr>
      </w:pPr>
      <w:r w:rsidRPr="00032C73">
        <w:rPr>
          <w:rStyle w:val="FootnoteReference"/>
        </w:rPr>
        <w:footnoteRef/>
      </w:r>
      <w:r w:rsidRPr="00032C73">
        <w:rPr>
          <w:lang w:val="es-ES"/>
        </w:rPr>
        <w:t xml:space="preserve"> Nota a pie de pág. Nº 5.</w:t>
      </w:r>
    </w:p>
    <w:p w14:paraId="3596F2D5" w14:textId="77777777" w:rsidR="00D86616" w:rsidRPr="00032C73" w:rsidRDefault="00D86616" w:rsidP="003C2143">
      <w:pPr>
        <w:pStyle w:val="FootnoteText"/>
        <w:rPr>
          <w:lang w:val="es-ES"/>
        </w:rPr>
      </w:pPr>
    </w:p>
  </w:footnote>
  <w:footnote w:id="408">
    <w:p w14:paraId="7AEEA71F" w14:textId="77777777" w:rsidR="00D86616" w:rsidRPr="00032C73" w:rsidRDefault="00D86616" w:rsidP="003C2143">
      <w:pPr>
        <w:pStyle w:val="FootnoteText"/>
        <w:rPr>
          <w:i/>
          <w:lang w:val="es-ES"/>
        </w:rPr>
      </w:pPr>
      <w:r w:rsidRPr="00032C73">
        <w:rPr>
          <w:rStyle w:val="FootnoteReference"/>
        </w:rPr>
        <w:footnoteRef/>
      </w:r>
      <w:r w:rsidRPr="00032C73">
        <w:rPr>
          <w:lang w:val="es-ES"/>
        </w:rPr>
        <w:t xml:space="preserve"> Nota a pie de pág. Nº 3.</w:t>
      </w:r>
    </w:p>
    <w:p w14:paraId="308E56FC" w14:textId="77777777" w:rsidR="00D86616" w:rsidRPr="00032C73" w:rsidRDefault="00D86616" w:rsidP="003C2143">
      <w:pPr>
        <w:pStyle w:val="FootnoteText"/>
        <w:rPr>
          <w:lang w:val="es-ES"/>
        </w:rPr>
      </w:pPr>
    </w:p>
  </w:footnote>
  <w:footnote w:id="409">
    <w:p w14:paraId="5FABCBA6" w14:textId="77777777" w:rsidR="00D86616" w:rsidRDefault="00D86616" w:rsidP="003C2143">
      <w:pPr>
        <w:pStyle w:val="FootnoteText"/>
        <w:rPr>
          <w:i/>
          <w:lang w:val="es-ES"/>
        </w:rPr>
      </w:pPr>
      <w:r w:rsidRPr="00032C73">
        <w:rPr>
          <w:rStyle w:val="FootnoteReference"/>
        </w:rPr>
        <w:footnoteRef/>
      </w:r>
      <w:r w:rsidRPr="00032C73">
        <w:rPr>
          <w:lang w:val="es-ES"/>
        </w:rPr>
        <w:t xml:space="preserve"> </w:t>
      </w:r>
      <w:proofErr w:type="spellStart"/>
      <w:r w:rsidRPr="00032C73">
        <w:rPr>
          <w:i/>
          <w:lang w:val="es-ES"/>
        </w:rPr>
        <w:t>Idem</w:t>
      </w:r>
      <w:proofErr w:type="spellEnd"/>
      <w:r w:rsidRPr="00032C73">
        <w:rPr>
          <w:i/>
          <w:lang w:val="es-ES"/>
        </w:rPr>
        <w:t>.</w:t>
      </w:r>
    </w:p>
    <w:p w14:paraId="5CB091CB" w14:textId="77777777" w:rsidR="00D86616" w:rsidRPr="00032C73" w:rsidRDefault="00D86616" w:rsidP="003C2143">
      <w:pPr>
        <w:pStyle w:val="FootnoteText"/>
        <w:rPr>
          <w:i/>
          <w:lang w:val="es-ES"/>
        </w:rPr>
      </w:pPr>
    </w:p>
  </w:footnote>
  <w:footnote w:id="410">
    <w:p w14:paraId="7CD60790" w14:textId="77777777" w:rsidR="00D86616" w:rsidRDefault="00D86616" w:rsidP="003C2143">
      <w:pPr>
        <w:pStyle w:val="FootnoteText"/>
        <w:rPr>
          <w:lang w:val="es-ES"/>
        </w:rPr>
      </w:pPr>
      <w:r>
        <w:rPr>
          <w:rStyle w:val="FootnoteReference"/>
        </w:rPr>
        <w:footnoteRef/>
      </w:r>
      <w:r w:rsidRPr="00755450">
        <w:rPr>
          <w:lang w:val="es-ES"/>
        </w:rPr>
        <w:t xml:space="preserve"> </w:t>
      </w:r>
      <w:r>
        <w:rPr>
          <w:lang w:val="es-ES"/>
        </w:rPr>
        <w:t>“</w:t>
      </w:r>
      <w:r w:rsidRPr="00755450">
        <w:rPr>
          <w:i/>
          <w:lang w:val="es-ES"/>
        </w:rPr>
        <w:t>Deber de Adoptar Disposiciones de Derecho Interno.  Si el ejercicio de los derechos y libertades mencionados en el artículo 1 no estuviere ya garantizado por disposiciones legislativas o de otro carácter, los Estados Partes se comprometen a adoptar, con arreglo a sus procedimientos constitucionales y a las disposiciones de esta Convención, las medidas legislativas o de otro carácter que fueren necesarias para hacer efectivos tales derechos y libertades</w:t>
      </w:r>
      <w:r w:rsidRPr="00755450">
        <w:rPr>
          <w:lang w:val="es-ES"/>
        </w:rPr>
        <w:t>.</w:t>
      </w:r>
      <w:r>
        <w:rPr>
          <w:lang w:val="es-ES"/>
        </w:rPr>
        <w:t>”</w:t>
      </w:r>
    </w:p>
    <w:p w14:paraId="39ED11F4" w14:textId="77777777" w:rsidR="00D86616" w:rsidRPr="00755450" w:rsidRDefault="00D86616" w:rsidP="003C2143">
      <w:pPr>
        <w:pStyle w:val="FootnoteText"/>
        <w:rPr>
          <w:lang w:val="es-ES"/>
        </w:rPr>
      </w:pPr>
    </w:p>
  </w:footnote>
  <w:footnote w:id="411">
    <w:p w14:paraId="00F9E14F" w14:textId="43E1F737" w:rsidR="00D86616" w:rsidRPr="00432286" w:rsidRDefault="00D86616" w:rsidP="003C2143">
      <w:pPr>
        <w:pStyle w:val="FootnoteText"/>
        <w:rPr>
          <w:i/>
          <w:lang w:val="es-ES"/>
        </w:rPr>
      </w:pPr>
      <w:r>
        <w:rPr>
          <w:rStyle w:val="FootnoteReference"/>
        </w:rPr>
        <w:footnoteRef/>
      </w:r>
      <w:r w:rsidRPr="00432286">
        <w:rPr>
          <w:lang w:val="es-ES"/>
        </w:rPr>
        <w:t xml:space="preserve"> Art.32 de la Convención de Viena sobre el Derecho de los Tratados: “</w:t>
      </w:r>
      <w:r w:rsidRPr="00432286">
        <w:rPr>
          <w:i/>
          <w:lang w:val="es-ES"/>
        </w:rPr>
        <w:t>Medios de interpretación complementarios. Se podrán acudir a medios de</w:t>
      </w:r>
      <w:r>
        <w:rPr>
          <w:i/>
          <w:lang w:val="es-ES"/>
        </w:rPr>
        <w:t xml:space="preserve"> </w:t>
      </w:r>
      <w:r w:rsidRPr="00432286">
        <w:rPr>
          <w:i/>
          <w:lang w:val="es-ES"/>
        </w:rPr>
        <w:t>interpretación complementarios, en particular a los trabajo</w:t>
      </w:r>
      <w:r>
        <w:rPr>
          <w:i/>
          <w:lang w:val="es-ES"/>
        </w:rPr>
        <w:t xml:space="preserve">s preparatorios del tratado y a </w:t>
      </w:r>
      <w:r w:rsidRPr="00432286">
        <w:rPr>
          <w:i/>
          <w:lang w:val="es-ES"/>
        </w:rPr>
        <w:t>las circunstancias de su celebración, para confirmar el sent</w:t>
      </w:r>
      <w:r>
        <w:rPr>
          <w:i/>
          <w:lang w:val="es-ES"/>
        </w:rPr>
        <w:t xml:space="preserve">ido resultante de la aplicación del </w:t>
      </w:r>
      <w:r w:rsidRPr="00432286">
        <w:rPr>
          <w:i/>
          <w:lang w:val="es-ES"/>
        </w:rPr>
        <w:t>artículo 31, o para determinar el sentido cuando la interpretación dada de</w:t>
      </w:r>
      <w:r>
        <w:rPr>
          <w:i/>
          <w:lang w:val="es-ES"/>
        </w:rPr>
        <w:t xml:space="preserve"> </w:t>
      </w:r>
      <w:r w:rsidRPr="00432286">
        <w:rPr>
          <w:i/>
          <w:lang w:val="es-ES"/>
        </w:rPr>
        <w:t>conformidad con el artículo 31:</w:t>
      </w:r>
    </w:p>
    <w:p w14:paraId="0D45447B" w14:textId="77777777" w:rsidR="00D86616" w:rsidRPr="00432286" w:rsidRDefault="00D86616" w:rsidP="003C2143">
      <w:pPr>
        <w:pStyle w:val="FootnoteText"/>
        <w:rPr>
          <w:i/>
          <w:lang w:val="es-ES"/>
        </w:rPr>
      </w:pPr>
      <w:r w:rsidRPr="00432286">
        <w:rPr>
          <w:i/>
          <w:lang w:val="es-ES"/>
        </w:rPr>
        <w:t>a) deje ambiguo u oscuro el sentido; o</w:t>
      </w:r>
    </w:p>
    <w:p w14:paraId="3560DFAD" w14:textId="77777777" w:rsidR="00D86616" w:rsidRDefault="00D86616" w:rsidP="003C2143">
      <w:pPr>
        <w:pStyle w:val="FootnoteText"/>
        <w:rPr>
          <w:i/>
          <w:lang w:val="es-ES"/>
        </w:rPr>
      </w:pPr>
      <w:r w:rsidRPr="00432286">
        <w:rPr>
          <w:i/>
          <w:lang w:val="es-ES"/>
        </w:rPr>
        <w:t>b) conduzca a un resultado manifiestamente absurdo o irrazonable.</w:t>
      </w:r>
      <w:r>
        <w:rPr>
          <w:i/>
          <w:lang w:val="es-ES"/>
        </w:rPr>
        <w:t>”</w:t>
      </w:r>
    </w:p>
    <w:p w14:paraId="6071CFA4" w14:textId="77777777" w:rsidR="00D86616" w:rsidRPr="00432286" w:rsidRDefault="00D86616" w:rsidP="003C2143">
      <w:pPr>
        <w:pStyle w:val="FootnoteText"/>
        <w:rPr>
          <w:i/>
          <w:lang w:val="es-ES"/>
        </w:rPr>
      </w:pPr>
    </w:p>
  </w:footnote>
  <w:footnote w:id="412">
    <w:p w14:paraId="0937BC55" w14:textId="55EC7156" w:rsidR="00D86616" w:rsidRPr="00032C73" w:rsidRDefault="00D86616" w:rsidP="003C2143">
      <w:pPr>
        <w:pStyle w:val="FootnoteText"/>
        <w:rPr>
          <w:lang w:val="es-ES"/>
        </w:rPr>
      </w:pPr>
      <w:r w:rsidRPr="00032C73">
        <w:rPr>
          <w:rStyle w:val="FootnoteReference"/>
        </w:rPr>
        <w:footnoteRef/>
      </w:r>
      <w:r w:rsidRPr="00032C73">
        <w:rPr>
          <w:lang w:val="es-ES"/>
        </w:rPr>
        <w:t xml:space="preserve"> Voto concurrente del Juez Alberto Pérez </w:t>
      </w:r>
      <w:proofErr w:type="spellStart"/>
      <w:r w:rsidRPr="00032C73">
        <w:rPr>
          <w:lang w:val="es-ES"/>
        </w:rPr>
        <w:t>Pérez</w:t>
      </w:r>
      <w:proofErr w:type="spellEnd"/>
      <w:r w:rsidRPr="00032C73">
        <w:rPr>
          <w:lang w:val="es-ES"/>
        </w:rPr>
        <w:t xml:space="preserve">, </w:t>
      </w:r>
      <w:r w:rsidRPr="00032C73">
        <w:rPr>
          <w:i/>
          <w:lang w:val="es-ES"/>
        </w:rPr>
        <w:t xml:space="preserve">Caso Gonzales </w:t>
      </w:r>
      <w:proofErr w:type="spellStart"/>
      <w:r w:rsidRPr="00032C73">
        <w:rPr>
          <w:i/>
          <w:lang w:val="es-ES"/>
        </w:rPr>
        <w:t>Lluy</w:t>
      </w:r>
      <w:proofErr w:type="spellEnd"/>
      <w:r w:rsidRPr="00032C73">
        <w:rPr>
          <w:i/>
          <w:lang w:val="es-ES"/>
        </w:rPr>
        <w:t xml:space="preserve"> y Otros Vs. Ecuador,</w:t>
      </w:r>
      <w:r w:rsidRPr="00032C73">
        <w:rPr>
          <w:lang w:val="es-ES"/>
        </w:rPr>
        <w:t xml:space="preserve"> Sentencia de 1 de septiembre de 2015,</w:t>
      </w:r>
      <w:r>
        <w:rPr>
          <w:lang w:val="es-ES"/>
        </w:rPr>
        <w:t xml:space="preserve"> </w:t>
      </w:r>
      <w:r w:rsidRPr="00032C73">
        <w:rPr>
          <w:lang w:val="es-ES"/>
        </w:rPr>
        <w:t>(Excepciones Preliminares, Fondo, Reparaciones y Costas)</w:t>
      </w:r>
      <w:r>
        <w:rPr>
          <w:lang w:val="es-ES"/>
        </w:rPr>
        <w:t>.</w:t>
      </w:r>
    </w:p>
    <w:p w14:paraId="3A40BA68" w14:textId="77777777" w:rsidR="00D86616" w:rsidRPr="00032C73" w:rsidRDefault="00D86616" w:rsidP="003C2143">
      <w:pPr>
        <w:pStyle w:val="FootnoteText"/>
        <w:rPr>
          <w:i/>
          <w:lang w:val="es-ES"/>
        </w:rPr>
      </w:pPr>
    </w:p>
  </w:footnote>
  <w:footnote w:id="413">
    <w:p w14:paraId="603C0417" w14:textId="77777777" w:rsidR="00D86616" w:rsidRPr="00032C73" w:rsidRDefault="00D86616" w:rsidP="003C2143">
      <w:pPr>
        <w:pStyle w:val="FootnoteText"/>
        <w:rPr>
          <w:i/>
          <w:lang w:val="es-ES"/>
        </w:rPr>
      </w:pPr>
      <w:r w:rsidRPr="00032C73">
        <w:rPr>
          <w:rStyle w:val="FootnoteReference"/>
        </w:rPr>
        <w:footnoteRef/>
      </w:r>
      <w:r w:rsidRPr="00032C73">
        <w:rPr>
          <w:lang w:val="es-ES"/>
        </w:rPr>
        <w:t xml:space="preserve"> “</w:t>
      </w:r>
      <w:r w:rsidRPr="00032C73">
        <w:rPr>
          <w:i/>
          <w:lang w:val="es-ES"/>
        </w:rPr>
        <w:t>Los Estados miembros, convencidos de que el hombre sólo puede alcanzar la plena realización de sus aspiraciones dentro de un orden social justo, acompañado de desarrollo económico y verdadera paz, convienen en dedicar sus máximos esfuerzos a la aplicación de los siguientes principios y mecanismos:</w:t>
      </w:r>
    </w:p>
    <w:p w14:paraId="7975DE2A" w14:textId="77777777" w:rsidR="00D86616" w:rsidRPr="00032C73" w:rsidRDefault="00D86616" w:rsidP="003C2143">
      <w:pPr>
        <w:pStyle w:val="FootnoteText"/>
        <w:rPr>
          <w:i/>
          <w:lang w:val="es-ES"/>
        </w:rPr>
      </w:pPr>
      <w:r w:rsidRPr="00032C73">
        <w:rPr>
          <w:i/>
          <w:lang w:val="es-ES"/>
        </w:rPr>
        <w:t>... b) El trabajo es un derecho y un deber social, otorga dignidad a quien lo realiza y debe prestarse en condiciones que, incluyendo un régimen de salarios justos, aseguren la vida, la salud y un nivel económico decoroso para el trabajador y su familia, tanto en sus años de trabajo como en su vejez, o cuando cualquier circunstancia lo prive de la posibilidad de trabajar; c) Los empleadores y los trabajadores, tanto rurales como urbanos, tienen el derecho de asociarse libremente para la defensa y promoción de sus intereses, incluyendo el derecho de negociación colectiva y el de huelga por parte de los trabajadores, el reconocimiento de la personería jurídica de las asociaciones y la protección de su libertad e independencia, todo de conformidad con la legislación respectiva;”</w:t>
      </w:r>
    </w:p>
    <w:p w14:paraId="39D8DC1B" w14:textId="77777777" w:rsidR="00D86616" w:rsidRPr="00032C73" w:rsidRDefault="00D86616" w:rsidP="003C2143">
      <w:pPr>
        <w:pStyle w:val="FootnoteText"/>
        <w:rPr>
          <w:lang w:val="es-ES"/>
        </w:rPr>
      </w:pPr>
    </w:p>
  </w:footnote>
  <w:footnote w:id="414">
    <w:p w14:paraId="4F80D265" w14:textId="77777777" w:rsidR="00D86616" w:rsidRPr="00032C73" w:rsidRDefault="00D86616" w:rsidP="003C2143">
      <w:pPr>
        <w:pStyle w:val="FootnoteText"/>
        <w:rPr>
          <w:i/>
          <w:lang w:val="es-ES"/>
        </w:rPr>
      </w:pPr>
      <w:r w:rsidRPr="00032C73">
        <w:rPr>
          <w:rStyle w:val="FootnoteReference"/>
        </w:rPr>
        <w:footnoteRef/>
      </w:r>
      <w:r w:rsidRPr="00032C73">
        <w:rPr>
          <w:lang w:val="es-ES"/>
        </w:rPr>
        <w:t xml:space="preserve"> </w:t>
      </w:r>
      <w:r w:rsidRPr="00032C73">
        <w:rPr>
          <w:i/>
          <w:lang w:val="es-ES"/>
        </w:rPr>
        <w:t>“Los Estados miembros reconocen que, para facilitar el proceso de la integración regional latinoamericana, es necesario armonizar la legislación social de los países en desarrollo, especialmente en el campo laboral y de la seguridad social, a fin de que los derechos de los trabajadores sean igualmente protegidos, y convienen en realizar los máximos esfuerzos para alcanzar esta finalidad.”</w:t>
      </w:r>
    </w:p>
    <w:p w14:paraId="1C145DB0" w14:textId="77777777" w:rsidR="00D86616" w:rsidRPr="00032C73" w:rsidRDefault="00D86616" w:rsidP="003C2143">
      <w:pPr>
        <w:pStyle w:val="FootnoteText"/>
        <w:rPr>
          <w:i/>
          <w:lang w:val="es-ES"/>
        </w:rPr>
      </w:pPr>
    </w:p>
  </w:footnote>
  <w:footnote w:id="415">
    <w:p w14:paraId="545AD91E" w14:textId="77777777" w:rsidR="00D86616" w:rsidRPr="00032C73" w:rsidRDefault="00D86616" w:rsidP="003C2143">
      <w:pPr>
        <w:pStyle w:val="FootnoteText"/>
        <w:rPr>
          <w:i/>
          <w:lang w:val="es-ES"/>
        </w:rPr>
      </w:pPr>
      <w:r w:rsidRPr="00032C73">
        <w:rPr>
          <w:rStyle w:val="FootnoteReference"/>
        </w:rPr>
        <w:footnoteRef/>
      </w:r>
      <w:r w:rsidRPr="00032C73">
        <w:rPr>
          <w:lang w:val="es-ES"/>
        </w:rPr>
        <w:t xml:space="preserve"> </w:t>
      </w:r>
      <w:r w:rsidRPr="00032C73">
        <w:rPr>
          <w:i/>
          <w:lang w:val="es-ES"/>
        </w:rPr>
        <w:t>“Los Estados miembros convienen en que la igualdad de oportunidades, la eliminación de la pobreza crítica y la distribución equitativa de la riqueza y del ingreso, así como la plena participación de sus pueblos en las decisiones relativas a su propio desarrollo, son, entre otros, objetivos básicos del desarrollo integral. Para lograrlos, convienen asimismo en dedicar sus máximos esfuerzos a la consecución de las sigui</w:t>
      </w:r>
      <w:r>
        <w:rPr>
          <w:i/>
          <w:lang w:val="es-ES"/>
        </w:rPr>
        <w:t xml:space="preserve">entes metas básicas: ... g) </w:t>
      </w:r>
      <w:r w:rsidRPr="00032C73">
        <w:rPr>
          <w:i/>
          <w:lang w:val="es-ES"/>
        </w:rPr>
        <w:t>Salarios justos, oportunidades de empleo y condiciones de trabajo aceptables para todos;”</w:t>
      </w:r>
    </w:p>
    <w:p w14:paraId="3C4825DF" w14:textId="77777777" w:rsidR="00D86616" w:rsidRPr="00032C73" w:rsidRDefault="00D86616" w:rsidP="003C2143">
      <w:pPr>
        <w:pStyle w:val="FootnoteText"/>
        <w:rPr>
          <w:lang w:val="es-ES"/>
        </w:rPr>
      </w:pPr>
    </w:p>
  </w:footnote>
  <w:footnote w:id="416">
    <w:p w14:paraId="36E1AAE9" w14:textId="77777777" w:rsidR="00D86616" w:rsidRDefault="00D86616" w:rsidP="003C2143">
      <w:pPr>
        <w:pStyle w:val="FootnoteText"/>
        <w:rPr>
          <w:i/>
          <w:lang w:val="es-ES"/>
        </w:rPr>
      </w:pPr>
      <w:r w:rsidRPr="003B2532">
        <w:rPr>
          <w:rStyle w:val="FootnoteReference"/>
          <w:i/>
        </w:rPr>
        <w:footnoteRef/>
      </w:r>
      <w:r w:rsidRPr="003B2532">
        <w:rPr>
          <w:i/>
          <w:lang w:val="es-ES"/>
        </w:rPr>
        <w:t>“Los Estados miembros, inspirados en los principios de solidaridad y cooperación interamericanas, se comprometen a aunar esfuerzos para lograr que impere la justicia social internacional en sus relaciones y para que sus pueblos alcancen un desarrollo integral, condiciones indispensables para la paz y la seguridad. El desarrollo integral abarca los campos económico, social, educacional, cultural, científico y tecnológico, en los cuales deben obtenerse las metas que cada país defina para lograrlo.”</w:t>
      </w:r>
    </w:p>
    <w:p w14:paraId="0A6690C1" w14:textId="77777777" w:rsidR="00D86616" w:rsidRPr="003B2532" w:rsidRDefault="00D86616" w:rsidP="003C2143">
      <w:pPr>
        <w:pStyle w:val="FootnoteText"/>
        <w:rPr>
          <w:i/>
          <w:lang w:val="es-ES"/>
        </w:rPr>
      </w:pPr>
    </w:p>
  </w:footnote>
  <w:footnote w:id="417">
    <w:p w14:paraId="1BCBE301" w14:textId="77777777" w:rsidR="00D86616" w:rsidRPr="00032C73" w:rsidRDefault="00D86616" w:rsidP="003C2143">
      <w:pPr>
        <w:pStyle w:val="FootnoteText"/>
        <w:rPr>
          <w:lang w:val="es-ES"/>
        </w:rPr>
      </w:pPr>
      <w:r w:rsidRPr="00032C73">
        <w:rPr>
          <w:rStyle w:val="FootnoteReference"/>
        </w:rPr>
        <w:footnoteRef/>
      </w:r>
      <w:r w:rsidRPr="00032C73">
        <w:rPr>
          <w:lang w:val="es-ES"/>
        </w:rPr>
        <w:t xml:space="preserve"> Nota de pie de pág. Nº 9.</w:t>
      </w:r>
    </w:p>
    <w:p w14:paraId="77D05B40" w14:textId="77777777" w:rsidR="00D86616" w:rsidRPr="00032C73" w:rsidRDefault="00D86616" w:rsidP="003C2143">
      <w:pPr>
        <w:pStyle w:val="FootnoteText"/>
        <w:rPr>
          <w:lang w:val="es-ES"/>
        </w:rPr>
      </w:pPr>
    </w:p>
  </w:footnote>
  <w:footnote w:id="418">
    <w:p w14:paraId="0F49A7CE" w14:textId="77777777" w:rsidR="00D86616" w:rsidRDefault="00D86616" w:rsidP="003C2143">
      <w:pPr>
        <w:pStyle w:val="FootnoteText"/>
        <w:rPr>
          <w:lang w:val="es-ES"/>
        </w:rPr>
      </w:pPr>
      <w:r w:rsidRPr="00032C73">
        <w:rPr>
          <w:rStyle w:val="FootnoteReference"/>
        </w:rPr>
        <w:footnoteRef/>
      </w:r>
      <w:r w:rsidRPr="00032C73">
        <w:rPr>
          <w:lang w:val="es-ES"/>
        </w:rPr>
        <w:t xml:space="preserve"> Párr.  141.</w:t>
      </w:r>
    </w:p>
    <w:p w14:paraId="17B73F90" w14:textId="77777777" w:rsidR="00D86616" w:rsidRPr="00032C73" w:rsidRDefault="00D86616" w:rsidP="003C2143">
      <w:pPr>
        <w:pStyle w:val="FootnoteText"/>
        <w:rPr>
          <w:lang w:val="es-ES"/>
        </w:rPr>
      </w:pPr>
    </w:p>
  </w:footnote>
  <w:footnote w:id="419">
    <w:p w14:paraId="6C0E33DA" w14:textId="77777777" w:rsidR="00D86616" w:rsidRPr="00032C73" w:rsidRDefault="00D86616" w:rsidP="003C2143">
      <w:pPr>
        <w:pStyle w:val="FootnoteText"/>
        <w:rPr>
          <w:lang w:val="es-ES"/>
        </w:rPr>
      </w:pPr>
      <w:r w:rsidRPr="00032C73">
        <w:rPr>
          <w:rStyle w:val="FootnoteReference"/>
        </w:rPr>
        <w:footnoteRef/>
      </w:r>
      <w:r w:rsidRPr="00032C73">
        <w:rPr>
          <w:lang w:val="es-ES"/>
        </w:rPr>
        <w:t xml:space="preserve"> Nota a pie de pág. Nº 14.</w:t>
      </w:r>
    </w:p>
    <w:p w14:paraId="77E82967" w14:textId="77777777" w:rsidR="00D86616" w:rsidRPr="00032C73" w:rsidRDefault="00D86616" w:rsidP="003C2143">
      <w:pPr>
        <w:pStyle w:val="FootnoteText"/>
        <w:rPr>
          <w:lang w:val="es-ES"/>
        </w:rPr>
      </w:pPr>
    </w:p>
  </w:footnote>
  <w:footnote w:id="420">
    <w:p w14:paraId="20895453" w14:textId="77777777" w:rsidR="00D86616" w:rsidRPr="00032C73" w:rsidRDefault="00D86616" w:rsidP="003C2143">
      <w:pPr>
        <w:pStyle w:val="FootnoteText"/>
        <w:rPr>
          <w:lang w:val="es-ES"/>
        </w:rPr>
      </w:pPr>
      <w:r w:rsidRPr="00032C73">
        <w:rPr>
          <w:rStyle w:val="FootnoteReference"/>
        </w:rPr>
        <w:footnoteRef/>
      </w:r>
      <w:r w:rsidRPr="00032C73">
        <w:rPr>
          <w:lang w:val="es-ES"/>
        </w:rPr>
        <w:t xml:space="preserve"> Nota a pie de pág. Nº 42.</w:t>
      </w:r>
    </w:p>
    <w:p w14:paraId="4F74AA06" w14:textId="77777777" w:rsidR="00D86616" w:rsidRPr="00032C73" w:rsidRDefault="00D86616" w:rsidP="003C2143">
      <w:pPr>
        <w:pStyle w:val="FootnoteText"/>
        <w:rPr>
          <w:lang w:val="es-ES"/>
        </w:rPr>
      </w:pPr>
    </w:p>
  </w:footnote>
  <w:footnote w:id="421">
    <w:p w14:paraId="49AB9905" w14:textId="77777777" w:rsidR="00D86616" w:rsidRPr="00032C73" w:rsidRDefault="00D86616" w:rsidP="003C2143">
      <w:pPr>
        <w:pStyle w:val="FootnoteText"/>
        <w:rPr>
          <w:lang w:val="es-ES"/>
        </w:rPr>
      </w:pPr>
      <w:r w:rsidRPr="00032C73">
        <w:rPr>
          <w:rStyle w:val="FootnoteReference"/>
        </w:rPr>
        <w:footnoteRef/>
      </w:r>
      <w:r w:rsidRPr="00032C73">
        <w:rPr>
          <w:lang w:val="es-ES"/>
        </w:rPr>
        <w:t xml:space="preserve"> Así, por ejemplo, acorde a tal criterio y restringiendo la referencia únicamente a lo que atañe a los artículos de la Carta de la OEA citados en la Sentencia, es decir, a los artículos 34, 45 y 46, se podrían judicializar ante la Corte los derechos que “</w:t>
      </w:r>
      <w:r w:rsidRPr="00032C73">
        <w:rPr>
          <w:i/>
          <w:lang w:val="es-ES"/>
        </w:rPr>
        <w:t>derivan</w:t>
      </w:r>
      <w:r w:rsidRPr="00032C73">
        <w:rPr>
          <w:lang w:val="es-ES"/>
        </w:rPr>
        <w:t>” de las “</w:t>
      </w:r>
      <w:r w:rsidRPr="00032C73">
        <w:rPr>
          <w:i/>
          <w:lang w:val="es-ES"/>
        </w:rPr>
        <w:t>metas básicas</w:t>
      </w:r>
      <w:r w:rsidRPr="00032C73">
        <w:rPr>
          <w:lang w:val="es-ES"/>
        </w:rPr>
        <w:t>”, “</w:t>
      </w:r>
      <w:r w:rsidRPr="00032C73">
        <w:rPr>
          <w:i/>
          <w:lang w:val="es-ES"/>
        </w:rPr>
        <w:t>principios y mecanismos</w:t>
      </w:r>
      <w:r w:rsidRPr="00032C73">
        <w:rPr>
          <w:lang w:val="es-ES"/>
        </w:rPr>
        <w:t xml:space="preserve">” o </w:t>
      </w:r>
      <w:r w:rsidRPr="00032C73">
        <w:rPr>
          <w:i/>
          <w:lang w:val="es-ES"/>
        </w:rPr>
        <w:t>“finalidad</w:t>
      </w:r>
      <w:r w:rsidRPr="00032C73">
        <w:rPr>
          <w:lang w:val="es-ES"/>
        </w:rPr>
        <w:t xml:space="preserve">”, según corresponda, que establecen: </w:t>
      </w:r>
    </w:p>
    <w:p w14:paraId="571A43C9" w14:textId="77777777" w:rsidR="00D86616" w:rsidRPr="00032C73" w:rsidRDefault="00D86616" w:rsidP="003C2143">
      <w:pPr>
        <w:pStyle w:val="FootnoteText"/>
        <w:rPr>
          <w:i/>
          <w:lang w:val="es-ES"/>
        </w:rPr>
      </w:pPr>
      <w:r w:rsidRPr="00032C73">
        <w:rPr>
          <w:lang w:val="es-ES"/>
        </w:rPr>
        <w:t>Art. 34 :“</w:t>
      </w:r>
      <w:r w:rsidRPr="00032C73">
        <w:rPr>
          <w:i/>
          <w:lang w:val="es-ES"/>
        </w:rPr>
        <w:t>Los Estados miembros convienen en que la igualdad de oportunidades, la eliminación de la pobreza crítica y la distribución equitativa de la riqueza y del ingreso, así como la plena participación de sus pueblos en las decisiones relativas a su propio desarrollo, son, entre otros, objetivos básicos del desarrollo integral. Para lograrlos, convienen asimismo en dedicar sus máximos esfuerzos a la consecución de las siguientes metas básicas:</w:t>
      </w:r>
    </w:p>
    <w:p w14:paraId="25A7503C" w14:textId="77777777" w:rsidR="00D86616" w:rsidRPr="00032C73" w:rsidRDefault="00D86616" w:rsidP="003C2143">
      <w:pPr>
        <w:pStyle w:val="FootnoteText"/>
        <w:rPr>
          <w:i/>
          <w:lang w:val="es-ES"/>
        </w:rPr>
      </w:pPr>
      <w:r w:rsidRPr="00032C73">
        <w:rPr>
          <w:i/>
          <w:lang w:val="es-ES"/>
        </w:rPr>
        <w:t xml:space="preserve">a) Incremento sustancial y </w:t>
      </w:r>
      <w:proofErr w:type="spellStart"/>
      <w:r w:rsidRPr="00032C73">
        <w:rPr>
          <w:i/>
          <w:lang w:val="es-ES"/>
        </w:rPr>
        <w:t>autosostenido</w:t>
      </w:r>
      <w:proofErr w:type="spellEnd"/>
      <w:r w:rsidRPr="00032C73">
        <w:rPr>
          <w:i/>
          <w:lang w:val="es-ES"/>
        </w:rPr>
        <w:t xml:space="preserve"> del producto nacional per cápita; </w:t>
      </w:r>
    </w:p>
    <w:p w14:paraId="1EBDDBF3" w14:textId="77777777" w:rsidR="00D86616" w:rsidRPr="00032C73" w:rsidRDefault="00D86616" w:rsidP="003C2143">
      <w:pPr>
        <w:pStyle w:val="FootnoteText"/>
        <w:rPr>
          <w:i/>
          <w:lang w:val="es-ES"/>
        </w:rPr>
      </w:pPr>
      <w:r w:rsidRPr="00032C73">
        <w:rPr>
          <w:i/>
          <w:lang w:val="es-ES"/>
        </w:rPr>
        <w:t>b) Distribución equitativa del ingreso nacional;</w:t>
      </w:r>
    </w:p>
    <w:p w14:paraId="74ABBE0F" w14:textId="77777777" w:rsidR="00D86616" w:rsidRPr="00032C73" w:rsidRDefault="00D86616" w:rsidP="003C2143">
      <w:pPr>
        <w:pStyle w:val="FootnoteText"/>
        <w:rPr>
          <w:i/>
          <w:lang w:val="es-ES"/>
        </w:rPr>
      </w:pPr>
      <w:r w:rsidRPr="00032C73">
        <w:rPr>
          <w:i/>
          <w:lang w:val="es-ES"/>
        </w:rPr>
        <w:t>c) Sistemas impositivos adecuados y equitativos;</w:t>
      </w:r>
    </w:p>
    <w:p w14:paraId="7BA73BE8" w14:textId="77777777" w:rsidR="00D86616" w:rsidRPr="00032C73" w:rsidRDefault="00D86616" w:rsidP="003C2143">
      <w:pPr>
        <w:pStyle w:val="FootnoteText"/>
        <w:rPr>
          <w:i/>
          <w:lang w:val="es-ES"/>
        </w:rPr>
      </w:pPr>
      <w:r w:rsidRPr="00032C73">
        <w:rPr>
          <w:i/>
          <w:lang w:val="es-ES"/>
        </w:rPr>
        <w:t>d) Modernización de la vida rural y reformas que conduzcan a regímenes equitativos y eficaces de tenencia de la tierra, mayor productividad agrícola, expansión del uso de la tierra, diversificación de la producción y mejores sistemas para la industrialización y comercialización de productos agrícolas, y fortalecimiento y ampliación de los medios para alcanzar estos fines;</w:t>
      </w:r>
    </w:p>
    <w:p w14:paraId="59B23A3A" w14:textId="77777777" w:rsidR="00D86616" w:rsidRPr="00032C73" w:rsidRDefault="00D86616" w:rsidP="003C2143">
      <w:pPr>
        <w:pStyle w:val="FootnoteText"/>
        <w:rPr>
          <w:i/>
          <w:lang w:val="es-ES"/>
        </w:rPr>
      </w:pPr>
      <w:r w:rsidRPr="00032C73">
        <w:rPr>
          <w:i/>
          <w:lang w:val="es-ES"/>
        </w:rPr>
        <w:t>e) Industrialización acelerada y diversificada, especialmente de bienes de capital e intermedios;</w:t>
      </w:r>
    </w:p>
    <w:p w14:paraId="2570A228" w14:textId="77777777" w:rsidR="00D86616" w:rsidRPr="00032C73" w:rsidRDefault="00D86616" w:rsidP="003C2143">
      <w:pPr>
        <w:pStyle w:val="FootnoteText"/>
        <w:rPr>
          <w:i/>
          <w:lang w:val="es-ES"/>
        </w:rPr>
      </w:pPr>
      <w:r w:rsidRPr="00032C73">
        <w:rPr>
          <w:i/>
          <w:lang w:val="es-ES"/>
        </w:rPr>
        <w:t>f) Estabilidad del nivel de precios internos en armonía con el desarrollo económico sostenido y el logro de la justicia social;</w:t>
      </w:r>
    </w:p>
    <w:p w14:paraId="6D099F43" w14:textId="77777777" w:rsidR="00D86616" w:rsidRPr="00032C73" w:rsidRDefault="00D86616" w:rsidP="003C2143">
      <w:pPr>
        <w:pStyle w:val="FootnoteText"/>
        <w:rPr>
          <w:i/>
          <w:lang w:val="es-ES"/>
        </w:rPr>
      </w:pPr>
      <w:r w:rsidRPr="00032C73">
        <w:rPr>
          <w:i/>
          <w:lang w:val="es-ES"/>
        </w:rPr>
        <w:t>g) Salarios justos, oportunidades de empleo y condiciones de trabajo aceptables para todos;</w:t>
      </w:r>
    </w:p>
    <w:p w14:paraId="252FB92A" w14:textId="77777777" w:rsidR="00D86616" w:rsidRPr="00032C73" w:rsidRDefault="00D86616" w:rsidP="003C2143">
      <w:pPr>
        <w:pStyle w:val="FootnoteText"/>
        <w:rPr>
          <w:i/>
          <w:lang w:val="es-ES"/>
        </w:rPr>
      </w:pPr>
      <w:r w:rsidRPr="00032C73">
        <w:rPr>
          <w:i/>
          <w:lang w:val="es-ES"/>
        </w:rPr>
        <w:t>h) Erradicación rápida del analfabetismo y ampliación, para todos, de las oportunidades en el campo de la educación;</w:t>
      </w:r>
    </w:p>
    <w:p w14:paraId="32DF426C" w14:textId="77777777" w:rsidR="00D86616" w:rsidRPr="00032C73" w:rsidRDefault="00D86616" w:rsidP="003C2143">
      <w:pPr>
        <w:pStyle w:val="FootnoteText"/>
        <w:rPr>
          <w:i/>
          <w:lang w:val="es-ES"/>
        </w:rPr>
      </w:pPr>
      <w:r w:rsidRPr="00032C73">
        <w:rPr>
          <w:i/>
          <w:lang w:val="es-ES"/>
        </w:rPr>
        <w:t>i) Defensa del potencial humano mediante la extensión y aplicación de los modernos conocimientos de la ciencia médica;</w:t>
      </w:r>
    </w:p>
    <w:p w14:paraId="3A03EB9F" w14:textId="77777777" w:rsidR="00D86616" w:rsidRPr="00032C73" w:rsidRDefault="00D86616" w:rsidP="003C2143">
      <w:pPr>
        <w:pStyle w:val="FootnoteText"/>
        <w:rPr>
          <w:i/>
          <w:lang w:val="es-ES"/>
        </w:rPr>
      </w:pPr>
      <w:r w:rsidRPr="00032C73">
        <w:rPr>
          <w:i/>
          <w:lang w:val="es-ES"/>
        </w:rPr>
        <w:t>j) Nutrición adecuada, particularmente por medio de la aceleración de los esfuerzos nacionales para incrementar la producción y disponibilidad de alimentos;</w:t>
      </w:r>
    </w:p>
    <w:p w14:paraId="43730A0E" w14:textId="77777777" w:rsidR="00D86616" w:rsidRPr="00032C73" w:rsidRDefault="00D86616" w:rsidP="003C2143">
      <w:pPr>
        <w:pStyle w:val="FootnoteText"/>
        <w:rPr>
          <w:i/>
          <w:lang w:val="es-ES"/>
        </w:rPr>
      </w:pPr>
      <w:r w:rsidRPr="00032C73">
        <w:rPr>
          <w:i/>
          <w:lang w:val="es-ES"/>
        </w:rPr>
        <w:t>k) Vivienda adecuada para todos los sectores de la población;</w:t>
      </w:r>
    </w:p>
    <w:p w14:paraId="2F558604" w14:textId="77777777" w:rsidR="00D86616" w:rsidRPr="00032C73" w:rsidRDefault="00D86616" w:rsidP="003C2143">
      <w:pPr>
        <w:pStyle w:val="FootnoteText"/>
        <w:rPr>
          <w:i/>
          <w:lang w:val="es-ES"/>
        </w:rPr>
      </w:pPr>
      <w:r w:rsidRPr="00032C73">
        <w:rPr>
          <w:i/>
          <w:lang w:val="es-ES"/>
        </w:rPr>
        <w:t>l) Condiciones urbanas que hagan posible una vida sana, productiva y digna;</w:t>
      </w:r>
    </w:p>
    <w:p w14:paraId="7F031380" w14:textId="77777777" w:rsidR="00D86616" w:rsidRPr="00032C73" w:rsidRDefault="00D86616" w:rsidP="003C2143">
      <w:pPr>
        <w:pStyle w:val="FootnoteText"/>
        <w:rPr>
          <w:i/>
          <w:lang w:val="es-ES"/>
        </w:rPr>
      </w:pPr>
      <w:r w:rsidRPr="00032C73">
        <w:rPr>
          <w:i/>
          <w:lang w:val="es-ES"/>
        </w:rPr>
        <w:t>m) Promoción de la iniciativa y la inversión privadas en armonía con la acción del sector público, y</w:t>
      </w:r>
    </w:p>
    <w:p w14:paraId="341023B7" w14:textId="77777777" w:rsidR="00D86616" w:rsidRPr="00032C73" w:rsidRDefault="00D86616" w:rsidP="003C2143">
      <w:pPr>
        <w:pStyle w:val="FootnoteText"/>
        <w:rPr>
          <w:lang w:val="es-ES"/>
        </w:rPr>
      </w:pPr>
      <w:r w:rsidRPr="00032C73">
        <w:rPr>
          <w:i/>
          <w:lang w:val="es-ES"/>
        </w:rPr>
        <w:t>n) Expansión y diversificación de las exportaciones</w:t>
      </w:r>
      <w:r w:rsidRPr="00032C73">
        <w:rPr>
          <w:lang w:val="es-ES"/>
        </w:rPr>
        <w:t>.”</w:t>
      </w:r>
    </w:p>
    <w:p w14:paraId="6A36F3E0" w14:textId="77777777" w:rsidR="00D86616" w:rsidRPr="00032C73" w:rsidRDefault="00D86616" w:rsidP="003C2143">
      <w:pPr>
        <w:pStyle w:val="FootnoteText"/>
        <w:rPr>
          <w:i/>
          <w:lang w:val="es-ES"/>
        </w:rPr>
      </w:pPr>
      <w:r w:rsidRPr="00032C73">
        <w:rPr>
          <w:lang w:val="es-ES"/>
        </w:rPr>
        <w:t>Art.45: “</w:t>
      </w:r>
      <w:r w:rsidRPr="00032C73">
        <w:rPr>
          <w:i/>
          <w:lang w:val="es-ES"/>
        </w:rPr>
        <w:t>Los Estados miembros, convencidos de que el hombre sólo puede alcanzar la plena realización de sus aspiraciones dentro de un orden social justo, acompañado de desarrollo económico y verdadera paz, convienen en dedicar sus máximos esfuerzos a la aplicación de los siguientes principios y mecanismos:</w:t>
      </w:r>
    </w:p>
    <w:p w14:paraId="5936D4C1" w14:textId="77777777" w:rsidR="00D86616" w:rsidRPr="00032C73" w:rsidRDefault="00D86616" w:rsidP="003C2143">
      <w:pPr>
        <w:pStyle w:val="FootnoteText"/>
        <w:rPr>
          <w:i/>
          <w:lang w:val="es-ES"/>
        </w:rPr>
      </w:pPr>
      <w:r w:rsidRPr="00032C73">
        <w:rPr>
          <w:i/>
          <w:lang w:val="es-ES"/>
        </w:rPr>
        <w:t>a) Todos los seres humanos, sin distinción de raza, sexo, nacionalidad, credo o condición social, tienen derecho al bienestar material y a su desarrollo espiritual, en condiciones de libertad, dignidad, igualdad de oportunidades y seguridad económica;</w:t>
      </w:r>
    </w:p>
    <w:p w14:paraId="278CDE09" w14:textId="77777777" w:rsidR="00D86616" w:rsidRPr="00032C73" w:rsidRDefault="00D86616" w:rsidP="003C2143">
      <w:pPr>
        <w:pStyle w:val="FootnoteText"/>
        <w:rPr>
          <w:i/>
          <w:lang w:val="es-ES"/>
        </w:rPr>
      </w:pPr>
      <w:r w:rsidRPr="00032C73">
        <w:rPr>
          <w:i/>
          <w:lang w:val="es-ES"/>
        </w:rPr>
        <w:t>b) El trabajo es un derecho y un deber social, otorga dignidad a quien lo realiza y debe prestarse en condiciones que, incluyendo un régimen de salarios justos, aseguren la vida, la salud y un nivel económico decoroso para el trabajador y su familia, tanto en sus años de trabajo como en su vejez, o cuando cualquier circunstancia lo prive de la posibilidad de trabajar;</w:t>
      </w:r>
    </w:p>
    <w:p w14:paraId="622EC4A7" w14:textId="77777777" w:rsidR="00D86616" w:rsidRPr="00032C73" w:rsidRDefault="00D86616" w:rsidP="003C2143">
      <w:pPr>
        <w:pStyle w:val="FootnoteText"/>
        <w:rPr>
          <w:i/>
          <w:lang w:val="es-ES"/>
        </w:rPr>
      </w:pPr>
      <w:r w:rsidRPr="00032C73">
        <w:rPr>
          <w:i/>
          <w:lang w:val="es-ES"/>
        </w:rPr>
        <w:t>c) Los empleadores y los trabajadores, tanto rurales como urbanos, tienen el derecho de asociarse libremente para la defensa y promoción de sus intereses, incluyendo el derecho de negociación colectiva y el de huelga por parte de los trabajadores, el reconocimiento de la personería jurídica de las asociaciones y la protección de su libertad e independencia, todo de conformidad con la legislación respectiva;</w:t>
      </w:r>
    </w:p>
    <w:p w14:paraId="373B1C27" w14:textId="77777777" w:rsidR="00D86616" w:rsidRPr="00032C73" w:rsidRDefault="00D86616" w:rsidP="003C2143">
      <w:pPr>
        <w:pStyle w:val="FootnoteText"/>
        <w:rPr>
          <w:i/>
          <w:lang w:val="es-ES"/>
        </w:rPr>
      </w:pPr>
      <w:r w:rsidRPr="00032C73">
        <w:rPr>
          <w:i/>
          <w:lang w:val="es-ES"/>
        </w:rPr>
        <w:t>d) Justos y eficientes sistemas y procedimientos de consulta y colaboración entre los sectores de la producción, tomando en cuenta la protección de los intereses de toda la sociedad;</w:t>
      </w:r>
    </w:p>
    <w:p w14:paraId="71B3C3B4" w14:textId="77777777" w:rsidR="00D86616" w:rsidRPr="00032C73" w:rsidRDefault="00D86616" w:rsidP="003C2143">
      <w:pPr>
        <w:pStyle w:val="FootnoteText"/>
        <w:rPr>
          <w:i/>
          <w:lang w:val="es-ES"/>
        </w:rPr>
      </w:pPr>
      <w:r w:rsidRPr="00032C73">
        <w:rPr>
          <w:i/>
          <w:lang w:val="es-ES"/>
        </w:rPr>
        <w:t>e) El funcionamiento de los sistemas de administración pública, banca y crédito, empresa, distribución y ventas, en forma que, en armonía con el sector privado, responda a los requerimientos e intereses de la comunidad;</w:t>
      </w:r>
    </w:p>
    <w:p w14:paraId="1867D1CB" w14:textId="77777777" w:rsidR="00D86616" w:rsidRPr="00032C73" w:rsidRDefault="00D86616" w:rsidP="003C2143">
      <w:pPr>
        <w:pStyle w:val="FootnoteText"/>
        <w:rPr>
          <w:i/>
          <w:lang w:val="es-ES"/>
        </w:rPr>
      </w:pPr>
      <w:r w:rsidRPr="00032C73">
        <w:rPr>
          <w:i/>
          <w:lang w:val="es-ES"/>
        </w:rPr>
        <w:t>f) La incorporación y creciente participación de los sectores marginales de la población, tanto del campo como de la ciudad, en la vida económica, social, cívica, cultural y política de la nación, a fin de lograr la plena integración de la comunidad nacional, el aceleramiento del proceso de movilidad social y la consolidación del régimen democrático. El estímulo a todo esfuerzo de promoción y cooperación populares que tenga por fin el desarrollo y progreso de la comunidad;</w:t>
      </w:r>
    </w:p>
    <w:p w14:paraId="61E826E5" w14:textId="77777777" w:rsidR="00D86616" w:rsidRPr="00032C73" w:rsidRDefault="00D86616" w:rsidP="003C2143">
      <w:pPr>
        <w:pStyle w:val="FootnoteText"/>
        <w:rPr>
          <w:i/>
          <w:lang w:val="es-ES"/>
        </w:rPr>
      </w:pPr>
      <w:r w:rsidRPr="00032C73">
        <w:rPr>
          <w:i/>
          <w:lang w:val="es-ES"/>
        </w:rPr>
        <w:t>g) El reconocimiento de la importancia de la contribución de las organizaciones, tales como los sindicatos, las cooperativas y asociaciones culturales, profesionales, de negocios, vecinales y comunales, a la vida de la sociedad y al proceso de desarrollo;</w:t>
      </w:r>
    </w:p>
    <w:p w14:paraId="22290A57" w14:textId="77777777" w:rsidR="00D86616" w:rsidRPr="00032C73" w:rsidRDefault="00D86616" w:rsidP="003C2143">
      <w:pPr>
        <w:pStyle w:val="FootnoteText"/>
        <w:rPr>
          <w:i/>
          <w:lang w:val="es-ES"/>
        </w:rPr>
      </w:pPr>
      <w:r w:rsidRPr="00032C73">
        <w:rPr>
          <w:i/>
          <w:lang w:val="es-ES"/>
        </w:rPr>
        <w:t xml:space="preserve">h) Desarrollo de una política eficiente de seguridad social, e </w:t>
      </w:r>
    </w:p>
    <w:p w14:paraId="1B7E7BB5" w14:textId="77777777" w:rsidR="00D86616" w:rsidRPr="00032C73" w:rsidRDefault="00D86616" w:rsidP="003C2143">
      <w:pPr>
        <w:pStyle w:val="FootnoteText"/>
        <w:rPr>
          <w:lang w:val="es-ES"/>
        </w:rPr>
      </w:pPr>
      <w:r w:rsidRPr="00032C73">
        <w:rPr>
          <w:i/>
          <w:lang w:val="es-ES"/>
        </w:rPr>
        <w:t>i) Disposiciones adecuadas para que todas las personas tengan la debida asistencia legal para hacer valer sus derechos</w:t>
      </w:r>
      <w:r w:rsidRPr="00032C73">
        <w:rPr>
          <w:lang w:val="es-ES"/>
        </w:rPr>
        <w:t>.”</w:t>
      </w:r>
    </w:p>
    <w:p w14:paraId="5E5C88E6" w14:textId="77777777" w:rsidR="00D86616" w:rsidRPr="00032C73" w:rsidRDefault="00D86616" w:rsidP="003C2143">
      <w:pPr>
        <w:pStyle w:val="FootnoteText"/>
        <w:rPr>
          <w:i/>
          <w:lang w:val="es-ES"/>
        </w:rPr>
      </w:pPr>
      <w:r w:rsidRPr="00032C73">
        <w:rPr>
          <w:lang w:val="es-ES"/>
        </w:rPr>
        <w:t xml:space="preserve">Art.46:” </w:t>
      </w:r>
      <w:r w:rsidRPr="00032C73">
        <w:rPr>
          <w:i/>
          <w:lang w:val="es-ES"/>
        </w:rPr>
        <w:t>Los Estados miembros reconocen que, para facilitar el proceso de la integración regional</w:t>
      </w:r>
    </w:p>
    <w:p w14:paraId="1EFCB799" w14:textId="77777777" w:rsidR="00D86616" w:rsidRPr="00032C73" w:rsidRDefault="00D86616" w:rsidP="003C2143">
      <w:pPr>
        <w:pStyle w:val="FootnoteText"/>
        <w:rPr>
          <w:i/>
          <w:lang w:val="es-ES"/>
        </w:rPr>
      </w:pPr>
      <w:r w:rsidRPr="00032C73">
        <w:rPr>
          <w:i/>
          <w:lang w:val="es-ES"/>
        </w:rPr>
        <w:t>latinoamericana, es necesario armonizar la legislación social de los países en desarrollo, especialmente en el campo laboral y de la seguridad social, a fin de que los derechos de los trabajadores sean igualmente protegidos, y convienen en realizar los máximos esfuerzos para alcanzar esta finalidad</w:t>
      </w:r>
      <w:r w:rsidRPr="00032C73">
        <w:rPr>
          <w:lang w:val="es-ES"/>
        </w:rPr>
        <w:t>”.</w:t>
      </w:r>
    </w:p>
    <w:p w14:paraId="601C2C77" w14:textId="77777777" w:rsidR="00D86616" w:rsidRPr="00032C73" w:rsidRDefault="00D86616" w:rsidP="003C2143">
      <w:pPr>
        <w:pStyle w:val="FootnoteText"/>
        <w:rPr>
          <w:lang w:val="es-ES"/>
        </w:rPr>
      </w:pPr>
      <w:r w:rsidRPr="00032C73">
        <w:rPr>
          <w:lang w:val="es-ES"/>
        </w:rPr>
        <w:t xml:space="preserve">Y lo mismo se desprendería de otras normas del Capítulo VII de  la Carta de la OEA, artículos 30 a 52, todos concernientes al </w:t>
      </w:r>
      <w:r w:rsidRPr="00032C73">
        <w:rPr>
          <w:i/>
          <w:lang w:val="es-ES"/>
        </w:rPr>
        <w:t>“desarrollo integral</w:t>
      </w:r>
      <w:r w:rsidRPr="00032C73">
        <w:rPr>
          <w:lang w:val="es-ES"/>
        </w:rPr>
        <w:t>”, del que, según se deduciría de la Sentencia, también se derivaría un derecho cuya violación podría alegarse ante la Corte.</w:t>
      </w:r>
    </w:p>
    <w:p w14:paraId="33E2C0CD" w14:textId="77777777" w:rsidR="00D86616" w:rsidRPr="00032C73" w:rsidRDefault="00D86616" w:rsidP="003C2143">
      <w:pPr>
        <w:pStyle w:val="FootnoteText"/>
        <w:rPr>
          <w:lang w:val="es-ES"/>
        </w:rPr>
      </w:pPr>
    </w:p>
  </w:footnote>
  <w:footnote w:id="422">
    <w:p w14:paraId="1D0B3DB5" w14:textId="77777777" w:rsidR="00D86616" w:rsidRPr="00032C73" w:rsidRDefault="00D86616" w:rsidP="003C2143">
      <w:pPr>
        <w:pStyle w:val="FootnoteText"/>
        <w:rPr>
          <w:lang w:val="es-ES"/>
        </w:rPr>
      </w:pPr>
      <w:r w:rsidRPr="00032C73">
        <w:rPr>
          <w:rStyle w:val="FootnoteReference"/>
        </w:rPr>
        <w:footnoteRef/>
      </w:r>
      <w:r w:rsidRPr="00032C73">
        <w:rPr>
          <w:lang w:val="es-ES"/>
        </w:rPr>
        <w:t xml:space="preserve"> Ejemplo más reciente, </w:t>
      </w:r>
      <w:r w:rsidRPr="00032C73">
        <w:rPr>
          <w:i/>
          <w:lang w:val="es-ES"/>
        </w:rPr>
        <w:t>Caso I.V. Vs. Bolivia. Excepciones Preliminares, Fondo, Reparaciones y Costas.</w:t>
      </w:r>
      <w:r w:rsidRPr="00032C73">
        <w:rPr>
          <w:lang w:val="es-ES"/>
        </w:rPr>
        <w:t xml:space="preserve"> Sentencia de 30 de noviembre de 2016. Serie C No. 329, </w:t>
      </w:r>
      <w:proofErr w:type="spellStart"/>
      <w:r w:rsidRPr="00032C73">
        <w:rPr>
          <w:lang w:val="es-ES"/>
        </w:rPr>
        <w:t>párrs</w:t>
      </w:r>
      <w:proofErr w:type="spellEnd"/>
      <w:r w:rsidRPr="00032C73">
        <w:rPr>
          <w:lang w:val="es-ES"/>
        </w:rPr>
        <w:t>. 154, 155 y ss.</w:t>
      </w:r>
    </w:p>
    <w:p w14:paraId="534B1C4C" w14:textId="77777777" w:rsidR="00D86616" w:rsidRPr="00032C73" w:rsidRDefault="00D86616" w:rsidP="003C2143">
      <w:pPr>
        <w:pStyle w:val="FootnoteText"/>
        <w:rPr>
          <w:lang w:val="es-ES"/>
        </w:rPr>
      </w:pPr>
    </w:p>
  </w:footnote>
  <w:footnote w:id="423">
    <w:p w14:paraId="03897DC2" w14:textId="77777777" w:rsidR="00D86616" w:rsidRPr="00032C73" w:rsidRDefault="00D86616" w:rsidP="003C2143">
      <w:pPr>
        <w:pStyle w:val="FootnoteText"/>
        <w:rPr>
          <w:lang w:val="es-ES"/>
        </w:rPr>
      </w:pPr>
      <w:r w:rsidRPr="00032C73">
        <w:rPr>
          <w:rStyle w:val="FootnoteReference"/>
        </w:rPr>
        <w:footnoteRef/>
      </w:r>
      <w:r w:rsidRPr="00032C73">
        <w:rPr>
          <w:lang w:val="es-ES"/>
        </w:rPr>
        <w:t xml:space="preserve"> Párr. 141.</w:t>
      </w:r>
    </w:p>
    <w:p w14:paraId="4CAA2F67" w14:textId="77777777" w:rsidR="00D86616" w:rsidRPr="00032C73" w:rsidRDefault="00D86616" w:rsidP="003C2143">
      <w:pPr>
        <w:pStyle w:val="FootnoteText"/>
        <w:rPr>
          <w:lang w:val="es-ES"/>
        </w:rPr>
      </w:pPr>
    </w:p>
  </w:footnote>
  <w:footnote w:id="424">
    <w:p w14:paraId="37E9578A" w14:textId="77777777" w:rsidR="00D86616" w:rsidRPr="00032C73" w:rsidRDefault="00D86616" w:rsidP="003C2143">
      <w:pPr>
        <w:pStyle w:val="FootnoteText"/>
        <w:rPr>
          <w:lang w:val="es-ES"/>
        </w:rPr>
      </w:pPr>
      <w:r w:rsidRPr="00032C73">
        <w:rPr>
          <w:rStyle w:val="FootnoteReference"/>
        </w:rPr>
        <w:footnoteRef/>
      </w:r>
      <w:r w:rsidRPr="00032C73">
        <w:rPr>
          <w:lang w:val="es-ES"/>
        </w:rPr>
        <w:t xml:space="preserve"> Preámbulo, 2º Párr. : </w:t>
      </w:r>
      <w:r w:rsidRPr="00032C73">
        <w:rPr>
          <w:i/>
          <w:lang w:val="es-ES"/>
        </w:rPr>
        <w:t>“Reconociendo que los derechos esenciales del hombre no nacen del hecho de ser nacional de determinado Estado, sino que tienen como fundamento los atributos de la persona humana, razón por la cual justifican una protección internacional, de naturaleza convencional coadyuvante o complementaria de la que ofrece el derecho interno de los Estados americanos</w:t>
      </w:r>
      <w:r w:rsidRPr="00032C73">
        <w:rPr>
          <w:lang w:val="es-ES"/>
        </w:rPr>
        <w:t>;”</w:t>
      </w:r>
    </w:p>
    <w:p w14:paraId="0DD009CD" w14:textId="77777777" w:rsidR="00D86616" w:rsidRPr="00032C73" w:rsidRDefault="00D86616" w:rsidP="003C2143">
      <w:pPr>
        <w:pStyle w:val="FootnoteText"/>
        <w:rPr>
          <w:i/>
          <w:lang w:val="es-ES"/>
        </w:rPr>
      </w:pPr>
      <w:r w:rsidRPr="00032C73">
        <w:rPr>
          <w:lang w:val="es-ES"/>
        </w:rPr>
        <w:t>Art. 46: “</w:t>
      </w:r>
      <w:r w:rsidRPr="00032C73">
        <w:rPr>
          <w:i/>
          <w:lang w:val="es-ES"/>
        </w:rPr>
        <w:t xml:space="preserve">1. Para que una petición o comunicación presentada conforme a los artículos 44 </w:t>
      </w:r>
      <w:proofErr w:type="spellStart"/>
      <w:r w:rsidRPr="00032C73">
        <w:rPr>
          <w:i/>
          <w:lang w:val="es-ES"/>
        </w:rPr>
        <w:t>ó</w:t>
      </w:r>
      <w:proofErr w:type="spellEnd"/>
      <w:r w:rsidRPr="00032C73">
        <w:rPr>
          <w:i/>
          <w:lang w:val="es-ES"/>
        </w:rPr>
        <w:t xml:space="preserve"> 45 sea admitida por la Comisión, se requerirá:</w:t>
      </w:r>
    </w:p>
    <w:p w14:paraId="0114A796" w14:textId="77777777" w:rsidR="00D86616" w:rsidRPr="00032C73" w:rsidRDefault="00D86616" w:rsidP="003C2143">
      <w:pPr>
        <w:pStyle w:val="FootnoteText"/>
        <w:rPr>
          <w:i/>
          <w:lang w:val="es-ES"/>
        </w:rPr>
      </w:pPr>
      <w:r w:rsidRPr="00032C73">
        <w:rPr>
          <w:i/>
          <w:lang w:val="es-ES"/>
        </w:rPr>
        <w:t xml:space="preserve"> a) que se hayan interpuesto y agotado los recursos de jurisdicción interna, conforme a los principios del Derecho Internacional generalmente reconocidos;</w:t>
      </w:r>
    </w:p>
    <w:p w14:paraId="106DDC1E" w14:textId="77777777" w:rsidR="00D86616" w:rsidRPr="00032C73" w:rsidRDefault="00D86616" w:rsidP="003C2143">
      <w:pPr>
        <w:pStyle w:val="FootnoteText"/>
        <w:rPr>
          <w:i/>
          <w:lang w:val="es-ES"/>
        </w:rPr>
      </w:pPr>
      <w:r w:rsidRPr="00032C73">
        <w:rPr>
          <w:i/>
          <w:lang w:val="es-ES"/>
        </w:rPr>
        <w:t xml:space="preserve"> b) que sea presentada dentro del plazo de seis meses, a partir de la fecha en que el presunto lesionado en sus derechos haya sido notificado de la decisión definitiva;</w:t>
      </w:r>
    </w:p>
    <w:p w14:paraId="61A22E55" w14:textId="77777777" w:rsidR="00D86616" w:rsidRPr="00032C73" w:rsidRDefault="00D86616" w:rsidP="003C2143">
      <w:pPr>
        <w:pStyle w:val="FootnoteText"/>
        <w:rPr>
          <w:i/>
          <w:lang w:val="es-ES"/>
        </w:rPr>
      </w:pPr>
      <w:r w:rsidRPr="00032C73">
        <w:rPr>
          <w:i/>
          <w:lang w:val="es-ES"/>
        </w:rPr>
        <w:t xml:space="preserve"> c) que la materia de la petición o comunicación no esté pendiente de otro procedimiento de arreglo internacional, y</w:t>
      </w:r>
    </w:p>
    <w:p w14:paraId="25D86A81" w14:textId="77777777" w:rsidR="00D86616" w:rsidRPr="00032C73" w:rsidRDefault="00D86616" w:rsidP="003C2143">
      <w:pPr>
        <w:pStyle w:val="FootnoteText"/>
        <w:rPr>
          <w:i/>
          <w:lang w:val="es-ES"/>
        </w:rPr>
      </w:pPr>
      <w:r w:rsidRPr="00032C73">
        <w:rPr>
          <w:i/>
          <w:lang w:val="es-ES"/>
        </w:rPr>
        <w:t xml:space="preserve"> d) que en el caso del artículo 44 la petición contenga el nombre, la nacionalidad, la profesión, el domicilio y la firma de la persona o personas o del representante legal de la entidad que somete la petición.</w:t>
      </w:r>
    </w:p>
    <w:p w14:paraId="7A7A9D25" w14:textId="77777777" w:rsidR="00D86616" w:rsidRPr="00032C73" w:rsidRDefault="00D86616" w:rsidP="003C2143">
      <w:pPr>
        <w:pStyle w:val="FootnoteText"/>
        <w:rPr>
          <w:i/>
          <w:lang w:val="es-ES"/>
        </w:rPr>
      </w:pPr>
      <w:r w:rsidRPr="00032C73">
        <w:rPr>
          <w:i/>
          <w:lang w:val="es-ES"/>
        </w:rPr>
        <w:t xml:space="preserve"> 2. Las disposiciones de los incisos 1.a. y 1.b. del presente artículo no se aplicarán cuando:</w:t>
      </w:r>
    </w:p>
    <w:p w14:paraId="4CEB7CD1" w14:textId="77777777" w:rsidR="00D86616" w:rsidRPr="00032C73" w:rsidRDefault="00D86616" w:rsidP="003C2143">
      <w:pPr>
        <w:pStyle w:val="FootnoteText"/>
        <w:rPr>
          <w:i/>
          <w:lang w:val="es-ES"/>
        </w:rPr>
      </w:pPr>
      <w:r w:rsidRPr="00032C73">
        <w:rPr>
          <w:i/>
          <w:lang w:val="es-ES"/>
        </w:rPr>
        <w:t xml:space="preserve"> a) no exista en la legislación interna del Estado de que se trata el debido proceso legal para la protección del derecho o derechos que se alega han sido violados;</w:t>
      </w:r>
    </w:p>
    <w:p w14:paraId="012038D1" w14:textId="77777777" w:rsidR="00D86616" w:rsidRPr="00032C73" w:rsidRDefault="00D86616" w:rsidP="003C2143">
      <w:pPr>
        <w:pStyle w:val="FootnoteText"/>
        <w:rPr>
          <w:i/>
          <w:lang w:val="es-ES"/>
        </w:rPr>
      </w:pPr>
      <w:r w:rsidRPr="00032C73">
        <w:rPr>
          <w:i/>
          <w:lang w:val="es-ES"/>
        </w:rPr>
        <w:t xml:space="preserve"> b) no se haya permitido al presunto lesionado en sus derechos el acceso a los recursos de la jurisdicción interna, o haya sido impedido de agotarlos, y</w:t>
      </w:r>
    </w:p>
    <w:p w14:paraId="4C306A10" w14:textId="77777777" w:rsidR="00D86616" w:rsidRPr="00032C73" w:rsidRDefault="00D86616" w:rsidP="003C2143">
      <w:pPr>
        <w:pStyle w:val="FootnoteText"/>
        <w:rPr>
          <w:i/>
          <w:lang w:val="es-ES"/>
        </w:rPr>
      </w:pPr>
      <w:r w:rsidRPr="00032C73">
        <w:rPr>
          <w:i/>
          <w:lang w:val="es-ES"/>
        </w:rPr>
        <w:t xml:space="preserve"> c) haya retardo injustificado en la decisión sobre los mencionados recursos.”</w:t>
      </w:r>
    </w:p>
    <w:p w14:paraId="7861D43B" w14:textId="77777777" w:rsidR="00D86616" w:rsidRPr="00032C73" w:rsidRDefault="00D86616" w:rsidP="003C2143">
      <w:pPr>
        <w:pStyle w:val="FootnoteText"/>
        <w:rPr>
          <w:i/>
          <w:lang w:val="es-ES"/>
        </w:rPr>
      </w:pPr>
      <w:r w:rsidRPr="00032C73">
        <w:rPr>
          <w:lang w:val="es-ES"/>
        </w:rPr>
        <w:t xml:space="preserve">Art.61:” </w:t>
      </w:r>
      <w:r w:rsidRPr="00032C73">
        <w:rPr>
          <w:i/>
          <w:lang w:val="es-ES"/>
        </w:rPr>
        <w:t>1. Sólo los Estados Partes y la Comisión tienen derecho a someter un caso a la decisión de la Corte.</w:t>
      </w:r>
    </w:p>
    <w:p w14:paraId="5C17E0BB" w14:textId="77777777" w:rsidR="00D86616" w:rsidRPr="00032C73" w:rsidRDefault="00D86616" w:rsidP="003C2143">
      <w:pPr>
        <w:pStyle w:val="FootnoteText"/>
        <w:rPr>
          <w:i/>
          <w:lang w:val="es-ES"/>
        </w:rPr>
      </w:pPr>
      <w:r w:rsidRPr="00032C73">
        <w:rPr>
          <w:i/>
          <w:lang w:val="es-ES"/>
        </w:rPr>
        <w:t xml:space="preserve"> 2. Para que la Corte pueda conocer de cualquier caso, es necesario que sean agotados los procedimientos previstos en los artículos 48 a 50.”</w:t>
      </w:r>
    </w:p>
    <w:p w14:paraId="1B15452C" w14:textId="77777777" w:rsidR="00D86616" w:rsidRPr="00032C73" w:rsidRDefault="00D86616" w:rsidP="003C2143">
      <w:pPr>
        <w:pStyle w:val="FootnoteText"/>
        <w:rPr>
          <w:lang w:val="es-ES"/>
        </w:rPr>
      </w:pPr>
    </w:p>
  </w:footnote>
  <w:footnote w:id="425">
    <w:p w14:paraId="1A0B574B" w14:textId="77777777" w:rsidR="00D86616" w:rsidRDefault="00D86616" w:rsidP="003C2143">
      <w:pPr>
        <w:pStyle w:val="FootnoteText"/>
        <w:rPr>
          <w:lang w:val="es-ES"/>
        </w:rPr>
      </w:pPr>
      <w:r>
        <w:rPr>
          <w:rStyle w:val="FootnoteReference"/>
        </w:rPr>
        <w:footnoteRef/>
      </w:r>
      <w:r w:rsidRPr="008A4C41">
        <w:rPr>
          <w:lang w:val="es-ES"/>
        </w:rPr>
        <w:t xml:space="preserve"> Párr. 142.</w:t>
      </w:r>
    </w:p>
    <w:p w14:paraId="40209576" w14:textId="77777777" w:rsidR="00D86616" w:rsidRPr="00670DE6" w:rsidRDefault="00D86616" w:rsidP="003C2143">
      <w:pPr>
        <w:pStyle w:val="FootnoteText"/>
        <w:rPr>
          <w:lang w:val="es-ES"/>
        </w:rPr>
      </w:pPr>
    </w:p>
  </w:footnote>
  <w:footnote w:id="426">
    <w:p w14:paraId="3D12B911" w14:textId="77777777" w:rsidR="00D86616" w:rsidRPr="008A4C41" w:rsidRDefault="00D86616" w:rsidP="003C2143">
      <w:pPr>
        <w:pStyle w:val="FootnoteText"/>
        <w:rPr>
          <w:lang w:val="es-ES"/>
        </w:rPr>
      </w:pPr>
      <w:r>
        <w:rPr>
          <w:rStyle w:val="FootnoteReference"/>
        </w:rPr>
        <w:footnoteRef/>
      </w:r>
      <w:r w:rsidRPr="008A4C41">
        <w:rPr>
          <w:lang w:val="es-ES"/>
        </w:rPr>
        <w:t xml:space="preserve"> Párr.145.</w:t>
      </w:r>
    </w:p>
    <w:p w14:paraId="12529BEB" w14:textId="77777777" w:rsidR="00D86616" w:rsidRPr="008A4C41" w:rsidRDefault="00D86616" w:rsidP="003C2143">
      <w:pPr>
        <w:pStyle w:val="FootnoteText"/>
        <w:rPr>
          <w:lang w:val="es-ES"/>
        </w:rPr>
      </w:pPr>
    </w:p>
  </w:footnote>
  <w:footnote w:id="427">
    <w:p w14:paraId="06343894" w14:textId="77777777" w:rsidR="00D86616" w:rsidRDefault="00D86616" w:rsidP="003C2143">
      <w:pPr>
        <w:pStyle w:val="FootnoteText"/>
        <w:rPr>
          <w:lang w:val="es-ES"/>
        </w:rPr>
      </w:pPr>
      <w:r>
        <w:rPr>
          <w:rStyle w:val="FootnoteReference"/>
        </w:rPr>
        <w:footnoteRef/>
      </w:r>
      <w:r w:rsidRPr="000C3877">
        <w:rPr>
          <w:lang w:val="es-ES"/>
        </w:rPr>
        <w:t xml:space="preserve"> Párr. 147.</w:t>
      </w:r>
    </w:p>
    <w:p w14:paraId="1C6B2DB4" w14:textId="77777777" w:rsidR="00D86616" w:rsidRPr="000C3877" w:rsidRDefault="00D86616" w:rsidP="003C2143">
      <w:pPr>
        <w:pStyle w:val="FootnoteText"/>
        <w:rPr>
          <w:lang w:val="es-ES"/>
        </w:rPr>
      </w:pPr>
    </w:p>
  </w:footnote>
  <w:footnote w:id="428">
    <w:p w14:paraId="56C5251C" w14:textId="77777777" w:rsidR="00D86616" w:rsidRPr="00B16A81" w:rsidRDefault="00D86616" w:rsidP="003C2143">
      <w:pPr>
        <w:pStyle w:val="FootnoteText"/>
        <w:rPr>
          <w:lang w:val="es-ES"/>
        </w:rPr>
      </w:pPr>
      <w:r w:rsidRPr="00B16A81">
        <w:rPr>
          <w:rStyle w:val="FootnoteReference"/>
        </w:rPr>
        <w:footnoteRef/>
      </w:r>
      <w:r w:rsidRPr="00B16A81">
        <w:rPr>
          <w:lang w:val="es-ES"/>
        </w:rPr>
        <w:t xml:space="preserve"> Párr. 148</w:t>
      </w:r>
    </w:p>
    <w:p w14:paraId="642D9164" w14:textId="77777777" w:rsidR="00D86616" w:rsidRPr="00B16A81" w:rsidRDefault="00D86616" w:rsidP="003C2143">
      <w:pPr>
        <w:pStyle w:val="FootnoteText"/>
        <w:rPr>
          <w:lang w:val="es-ES"/>
        </w:rPr>
      </w:pPr>
    </w:p>
  </w:footnote>
  <w:footnote w:id="429">
    <w:p w14:paraId="432F8A96" w14:textId="77777777" w:rsidR="00D86616" w:rsidRPr="00B16A81" w:rsidRDefault="00D86616" w:rsidP="003C2143">
      <w:pPr>
        <w:pStyle w:val="FootnoteText"/>
        <w:rPr>
          <w:lang w:val="es-ES"/>
        </w:rPr>
      </w:pPr>
      <w:r w:rsidRPr="00B16A81">
        <w:rPr>
          <w:rStyle w:val="FootnoteReference"/>
        </w:rPr>
        <w:footnoteRef/>
      </w:r>
      <w:r w:rsidRPr="00B16A81">
        <w:rPr>
          <w:lang w:val="es-ES"/>
        </w:rPr>
        <w:t xml:space="preserve"> Párr. 144</w:t>
      </w:r>
    </w:p>
    <w:p w14:paraId="11E46D7E" w14:textId="77777777" w:rsidR="00D86616" w:rsidRPr="00B16A81" w:rsidRDefault="00D86616" w:rsidP="003C2143">
      <w:pPr>
        <w:pStyle w:val="FootnoteText"/>
        <w:rPr>
          <w:lang w:val="es-ES"/>
        </w:rPr>
      </w:pPr>
    </w:p>
  </w:footnote>
  <w:footnote w:id="430">
    <w:p w14:paraId="03493BD1" w14:textId="77777777" w:rsidR="00D86616" w:rsidRPr="00B16A81" w:rsidRDefault="00D86616" w:rsidP="003C2143">
      <w:pPr>
        <w:pStyle w:val="FootnoteText"/>
        <w:rPr>
          <w:i/>
          <w:lang w:val="es-ES"/>
        </w:rPr>
      </w:pPr>
      <w:r w:rsidRPr="00B16A81">
        <w:rPr>
          <w:rStyle w:val="FootnoteReference"/>
        </w:rPr>
        <w:footnoteRef/>
      </w:r>
      <w:r w:rsidRPr="00B16A81">
        <w:rPr>
          <w:lang w:val="es-ES"/>
        </w:rPr>
        <w:t xml:space="preserve"> </w:t>
      </w:r>
      <w:r w:rsidRPr="00B16A81">
        <w:rPr>
          <w:i/>
          <w:lang w:val="es-ES"/>
        </w:rPr>
        <w:t>“[n]</w:t>
      </w:r>
      <w:proofErr w:type="spellStart"/>
      <w:r w:rsidRPr="00B16A81">
        <w:rPr>
          <w:i/>
          <w:lang w:val="es-ES"/>
        </w:rPr>
        <w:t>inguna</w:t>
      </w:r>
      <w:proofErr w:type="spellEnd"/>
      <w:r w:rsidRPr="00B16A81">
        <w:rPr>
          <w:i/>
          <w:lang w:val="es-ES"/>
        </w:rPr>
        <w:t xml:space="preserve"> disposición de la presente Convención puede ser interpretada en el sentido de: […] d) excluir o limitar el efecto que puedan producir la Declaración Americana de Derechos y Deberes del Hombre y otros actos internacionales de la misma naturaleza”</w:t>
      </w:r>
    </w:p>
    <w:p w14:paraId="2B886784" w14:textId="77777777" w:rsidR="00D86616" w:rsidRPr="00B16A81" w:rsidRDefault="00D86616" w:rsidP="003C2143">
      <w:pPr>
        <w:pStyle w:val="FootnoteText"/>
        <w:rPr>
          <w:lang w:val="es-ES"/>
        </w:rPr>
      </w:pPr>
    </w:p>
  </w:footnote>
  <w:footnote w:id="431">
    <w:p w14:paraId="2AF7FB56" w14:textId="77777777" w:rsidR="00D86616" w:rsidRPr="00B16A81" w:rsidRDefault="00D86616" w:rsidP="003C2143">
      <w:pPr>
        <w:pStyle w:val="FootnoteText"/>
        <w:rPr>
          <w:i/>
          <w:lang w:val="es-ES"/>
        </w:rPr>
      </w:pPr>
      <w:r w:rsidRPr="00B16A81">
        <w:rPr>
          <w:rStyle w:val="FootnoteReference"/>
        </w:rPr>
        <w:footnoteRef/>
      </w:r>
      <w:r w:rsidRPr="00B16A81">
        <w:rPr>
          <w:lang w:val="es-ES"/>
        </w:rPr>
        <w:t xml:space="preserve"> </w:t>
      </w:r>
      <w:r w:rsidRPr="00B16A81">
        <w:rPr>
          <w:i/>
          <w:lang w:val="es-ES"/>
        </w:rPr>
        <w:t>“1. La Corte, cuya función es decidir conforme al derecho internacional las controversias que le sean sometidas, deberá aplicar: a. las convenciones internacionales, sean generales o particulares, que establecen reglas expresamente reconocidas por los Estados litigantes; b. la costumbre internacional como prueba de una práctica generalmente aceptada como derecho; c. los principios generales de derecho reconocidos por las naciones civilizadas; d. las decisiones judiciales y las doctrinas de los publicistas de mayor competencia de las distintas naciones, como medio auxiliar para la determinación de las reglas de derecho, sin perjuicio de lo dispuesto en el Artículo 59. 2. La presente disposición no restringe la facultad de la Corte para decidir un litigio ex aequo et bono, si las partes así lo convinieren.”</w:t>
      </w:r>
    </w:p>
    <w:p w14:paraId="0671EE8F" w14:textId="77777777" w:rsidR="00D86616" w:rsidRPr="00B16A81" w:rsidRDefault="00D86616" w:rsidP="003C2143">
      <w:pPr>
        <w:pStyle w:val="FootnoteText"/>
        <w:rPr>
          <w:i/>
          <w:lang w:val="es-ES"/>
        </w:rPr>
      </w:pPr>
    </w:p>
  </w:footnote>
  <w:footnote w:id="432">
    <w:p w14:paraId="5BD98F08" w14:textId="77777777" w:rsidR="00D86616" w:rsidRPr="00B16A81" w:rsidRDefault="00D86616" w:rsidP="003C2143">
      <w:pPr>
        <w:pStyle w:val="FootnoteText"/>
      </w:pPr>
      <w:r w:rsidRPr="00B16A81">
        <w:rPr>
          <w:rStyle w:val="FootnoteReference"/>
        </w:rPr>
        <w:footnoteRef/>
      </w:r>
      <w:r w:rsidRPr="00B16A81">
        <w:t xml:space="preserve"> </w:t>
      </w:r>
      <w:proofErr w:type="spellStart"/>
      <w:proofErr w:type="gramStart"/>
      <w:r w:rsidRPr="00B16A81">
        <w:t>Párrs</w:t>
      </w:r>
      <w:proofErr w:type="spellEnd"/>
      <w:r w:rsidRPr="00B16A81">
        <w:t>.</w:t>
      </w:r>
      <w:proofErr w:type="gramEnd"/>
      <w:r w:rsidRPr="00B16A81">
        <w:t xml:space="preserve"> </w:t>
      </w:r>
      <w:proofErr w:type="gramStart"/>
      <w:r w:rsidRPr="00B16A81">
        <w:t>143 a 149.</w:t>
      </w:r>
      <w:proofErr w:type="gramEnd"/>
    </w:p>
    <w:p w14:paraId="445110C1" w14:textId="77777777" w:rsidR="00D86616" w:rsidRPr="00B16A81" w:rsidRDefault="00D86616" w:rsidP="003C2143">
      <w:pPr>
        <w:pStyle w:val="FootnoteText"/>
      </w:pPr>
    </w:p>
  </w:footnote>
  <w:footnote w:id="433">
    <w:p w14:paraId="74FC96B3" w14:textId="77777777" w:rsidR="00D86616" w:rsidRPr="00B16A81" w:rsidRDefault="00D86616" w:rsidP="003C2143">
      <w:pPr>
        <w:pStyle w:val="FootnoteText"/>
      </w:pPr>
      <w:r w:rsidRPr="00B16A81">
        <w:rPr>
          <w:rStyle w:val="FootnoteReference"/>
        </w:rPr>
        <w:footnoteRef/>
      </w:r>
      <w:r w:rsidRPr="00B16A81">
        <w:t xml:space="preserve"> </w:t>
      </w:r>
      <w:proofErr w:type="spellStart"/>
      <w:proofErr w:type="gramStart"/>
      <w:r w:rsidRPr="00B16A81">
        <w:t>Párr</w:t>
      </w:r>
      <w:proofErr w:type="spellEnd"/>
      <w:r w:rsidRPr="00B16A81">
        <w:t>.</w:t>
      </w:r>
      <w:proofErr w:type="gramEnd"/>
      <w:r w:rsidRPr="00B16A81">
        <w:t xml:space="preserve"> 142.</w:t>
      </w:r>
    </w:p>
    <w:p w14:paraId="192E4206" w14:textId="77777777" w:rsidR="00D86616" w:rsidRPr="00310630" w:rsidRDefault="00D86616" w:rsidP="003C2143">
      <w:pPr>
        <w:pStyle w:val="FootnoteText"/>
      </w:pPr>
    </w:p>
  </w:footnote>
  <w:footnote w:id="434">
    <w:p w14:paraId="1EA7905C" w14:textId="77777777" w:rsidR="00D86616" w:rsidRPr="00B16A81" w:rsidRDefault="00D86616" w:rsidP="003C2143">
      <w:pPr>
        <w:pStyle w:val="FootnoteText"/>
      </w:pPr>
      <w:r w:rsidRPr="00B16A81">
        <w:rPr>
          <w:rStyle w:val="FootnoteReference"/>
        </w:rPr>
        <w:footnoteRef/>
      </w:r>
      <w:r w:rsidRPr="00B16A81">
        <w:t xml:space="preserve"> Art. 62.3. cit.</w:t>
      </w:r>
    </w:p>
    <w:p w14:paraId="1D59EB65" w14:textId="77777777" w:rsidR="00D86616" w:rsidRPr="00B16A81" w:rsidRDefault="00D86616" w:rsidP="003C2143">
      <w:pPr>
        <w:pStyle w:val="FootnoteText"/>
      </w:pPr>
    </w:p>
  </w:footnote>
  <w:footnote w:id="435">
    <w:p w14:paraId="1DA85098" w14:textId="77777777" w:rsidR="00D86616" w:rsidRPr="00B16A81" w:rsidRDefault="00D86616" w:rsidP="003C2143">
      <w:pPr>
        <w:pStyle w:val="FootnoteText"/>
        <w:rPr>
          <w:lang w:val="es-ES"/>
        </w:rPr>
      </w:pPr>
      <w:r w:rsidRPr="00B16A81">
        <w:rPr>
          <w:rStyle w:val="FootnoteReference"/>
        </w:rPr>
        <w:footnoteRef/>
      </w:r>
      <w:r w:rsidRPr="00B16A81">
        <w:rPr>
          <w:lang w:val="es-ES"/>
        </w:rPr>
        <w:t xml:space="preserve"> Párr. 142.</w:t>
      </w:r>
    </w:p>
    <w:p w14:paraId="5D2894F5" w14:textId="77777777" w:rsidR="00D86616" w:rsidRPr="00B16A81" w:rsidRDefault="00D86616" w:rsidP="003C2143">
      <w:pPr>
        <w:pStyle w:val="FootnoteText"/>
        <w:rPr>
          <w:lang w:val="es-ES"/>
        </w:rPr>
      </w:pPr>
    </w:p>
  </w:footnote>
  <w:footnote w:id="436">
    <w:p w14:paraId="78E76E9D" w14:textId="77777777" w:rsidR="00D86616" w:rsidRPr="00B16A81" w:rsidRDefault="00D86616" w:rsidP="003C2143">
      <w:pPr>
        <w:pStyle w:val="FootnoteText"/>
        <w:rPr>
          <w:lang w:val="es-ES"/>
        </w:rPr>
      </w:pPr>
      <w:r w:rsidRPr="00B16A81">
        <w:rPr>
          <w:rStyle w:val="FootnoteReference"/>
        </w:rPr>
        <w:footnoteRef/>
      </w:r>
      <w:r w:rsidRPr="00B16A81">
        <w:rPr>
          <w:lang w:val="es-ES"/>
        </w:rPr>
        <w:t xml:space="preserve"> </w:t>
      </w:r>
      <w:proofErr w:type="spellStart"/>
      <w:r w:rsidRPr="00B16A81">
        <w:rPr>
          <w:lang w:val="es-ES"/>
        </w:rPr>
        <w:t>Párrs</w:t>
      </w:r>
      <w:proofErr w:type="spellEnd"/>
      <w:r w:rsidRPr="00B16A81">
        <w:rPr>
          <w:lang w:val="es-ES"/>
        </w:rPr>
        <w:t>. 133 a 137.</w:t>
      </w:r>
    </w:p>
    <w:p w14:paraId="618B87A7" w14:textId="77777777" w:rsidR="00D86616" w:rsidRPr="00B16A81" w:rsidRDefault="00D86616" w:rsidP="003C2143">
      <w:pPr>
        <w:pStyle w:val="FootnoteText"/>
        <w:rPr>
          <w:lang w:val="es-ES"/>
        </w:rPr>
      </w:pPr>
    </w:p>
  </w:footnote>
  <w:footnote w:id="437">
    <w:p w14:paraId="40DFECDB" w14:textId="77777777" w:rsidR="00D86616" w:rsidRPr="00B16A81" w:rsidRDefault="00D86616" w:rsidP="003C2143">
      <w:pPr>
        <w:pStyle w:val="FootnoteText"/>
        <w:rPr>
          <w:lang w:val="es-ES"/>
        </w:rPr>
      </w:pPr>
      <w:r w:rsidRPr="00B16A81">
        <w:rPr>
          <w:rStyle w:val="FootnoteReference"/>
        </w:rPr>
        <w:footnoteRef/>
      </w:r>
      <w:r w:rsidRPr="00B16A81">
        <w:rPr>
          <w:lang w:val="es-ES"/>
        </w:rPr>
        <w:t xml:space="preserve"> Párr. 145.</w:t>
      </w:r>
    </w:p>
    <w:p w14:paraId="698E6991" w14:textId="77777777" w:rsidR="00D86616" w:rsidRPr="00B16A81" w:rsidRDefault="00D86616" w:rsidP="003C2143">
      <w:pPr>
        <w:pStyle w:val="FootnoteText"/>
        <w:rPr>
          <w:lang w:val="es-ES"/>
        </w:rPr>
      </w:pPr>
    </w:p>
  </w:footnote>
  <w:footnote w:id="438">
    <w:p w14:paraId="1774E1FB" w14:textId="77777777" w:rsidR="00D86616" w:rsidRPr="00B16A81" w:rsidRDefault="00D86616" w:rsidP="003C2143">
      <w:pPr>
        <w:pStyle w:val="FootnoteText"/>
        <w:rPr>
          <w:lang w:val="es-ES"/>
        </w:rPr>
      </w:pPr>
      <w:r w:rsidRPr="00B16A81">
        <w:rPr>
          <w:rStyle w:val="FootnoteReference"/>
        </w:rPr>
        <w:footnoteRef/>
      </w:r>
      <w:r w:rsidRPr="00B16A81">
        <w:rPr>
          <w:lang w:val="es-ES"/>
        </w:rPr>
        <w:t xml:space="preserve"> Párr. 145.</w:t>
      </w:r>
    </w:p>
    <w:p w14:paraId="7A0E08C9" w14:textId="77777777" w:rsidR="00D86616" w:rsidRPr="00032C73" w:rsidRDefault="00D86616" w:rsidP="003C2143">
      <w:pPr>
        <w:pStyle w:val="FootnoteText"/>
        <w:rPr>
          <w:lang w:val="es-ES"/>
        </w:rPr>
      </w:pPr>
    </w:p>
  </w:footnote>
  <w:footnote w:id="439">
    <w:p w14:paraId="0774067A" w14:textId="77777777" w:rsidR="00D86616" w:rsidRPr="00032C73" w:rsidRDefault="00D86616" w:rsidP="003C2143">
      <w:pPr>
        <w:pStyle w:val="FootnoteText"/>
        <w:rPr>
          <w:lang w:val="es-ES"/>
        </w:rPr>
      </w:pPr>
      <w:r w:rsidRPr="00032C73">
        <w:rPr>
          <w:rStyle w:val="FootnoteReference"/>
        </w:rPr>
        <w:footnoteRef/>
      </w:r>
      <w:r w:rsidRPr="00032C73">
        <w:rPr>
          <w:lang w:val="es-ES"/>
        </w:rPr>
        <w:t xml:space="preserve"> Adoptada en el Vigésimo Octavo Período Extraordinario de Sesiones de la Asamblea General de la OEA, 11 de septiembre de 2001, Lima, Perú. </w:t>
      </w:r>
    </w:p>
    <w:p w14:paraId="092928C0" w14:textId="77777777" w:rsidR="00D86616" w:rsidRPr="00032C73" w:rsidRDefault="00D86616" w:rsidP="003C2143">
      <w:pPr>
        <w:pStyle w:val="FootnoteText"/>
        <w:rPr>
          <w:lang w:val="es-ES"/>
        </w:rPr>
      </w:pPr>
      <w:r w:rsidRPr="00032C73">
        <w:rPr>
          <w:lang w:val="es-ES"/>
        </w:rPr>
        <w:t xml:space="preserve">Art. 3:” </w:t>
      </w:r>
      <w:r w:rsidRPr="00032C73">
        <w:rPr>
          <w:i/>
          <w:lang w:val="es-ES"/>
        </w:rPr>
        <w:t>Son elementos esenciales de la democracia representativa, entre otros, el respeto a los derechos humanos y las libertades fundamentales; el acceso al poder y su ejercicio con sujeción al estado de derecho; la celebración de elecciones periódicas, libres, justas y basadas en el sufragio universal y secreto como expresión de la soberanía del pueblo; el régimen plural de partidos y organizaciones políticas; y la separación e independencia de los poderes públicos</w:t>
      </w:r>
      <w:r w:rsidRPr="00032C73">
        <w:rPr>
          <w:lang w:val="es-ES"/>
        </w:rPr>
        <w:t>.”</w:t>
      </w:r>
    </w:p>
    <w:p w14:paraId="0B0D0A98" w14:textId="77777777" w:rsidR="00D86616" w:rsidRPr="00032C73" w:rsidRDefault="00D86616" w:rsidP="003C2143">
      <w:pPr>
        <w:pStyle w:val="FootnoteText"/>
        <w:rPr>
          <w:lang w:val="es-ES"/>
        </w:rPr>
      </w:pPr>
      <w:r w:rsidRPr="00032C73">
        <w:rPr>
          <w:lang w:val="es-ES"/>
        </w:rPr>
        <w:t>Art. 6: “</w:t>
      </w:r>
      <w:r w:rsidRPr="00032C73">
        <w:rPr>
          <w:i/>
          <w:lang w:val="es-ES"/>
        </w:rPr>
        <w:t>La participación de la ciudadanía en las decisiones relativas a su propio desarrollo es un derecho y una responsabilidad. Es también una condición necesaria para el pleno y efectivo ejercicio de la democracia. Promover y fomentar diversas formas de participación fortalece la democracia</w:t>
      </w:r>
      <w:r w:rsidRPr="00032C73">
        <w:rPr>
          <w:lang w:val="es-ES"/>
        </w:rPr>
        <w:t>.”</w:t>
      </w:r>
    </w:p>
    <w:p w14:paraId="0E5C2F94" w14:textId="77777777" w:rsidR="00D86616" w:rsidRPr="00032C73" w:rsidRDefault="00D86616" w:rsidP="003C2143">
      <w:pPr>
        <w:pStyle w:val="FootnoteText"/>
        <w:rPr>
          <w:lang w:val="es-ES"/>
        </w:rPr>
      </w:pPr>
    </w:p>
  </w:footnote>
  <w:footnote w:id="440">
    <w:p w14:paraId="019A09C0" w14:textId="77777777" w:rsidR="00D86616" w:rsidRPr="00032C73" w:rsidRDefault="00D86616" w:rsidP="003C2143">
      <w:pPr>
        <w:pStyle w:val="FootnoteText"/>
        <w:rPr>
          <w:lang w:val="es-ES"/>
        </w:rPr>
      </w:pPr>
      <w:r w:rsidRPr="00032C73">
        <w:rPr>
          <w:rStyle w:val="FootnoteReference"/>
        </w:rPr>
        <w:footnoteRef/>
      </w:r>
      <w:r w:rsidRPr="00032C73">
        <w:rPr>
          <w:lang w:val="es-ES"/>
        </w:rPr>
        <w:t xml:space="preserve"> Párr. 154. </w:t>
      </w:r>
    </w:p>
    <w:p w14:paraId="0D74BB15" w14:textId="77777777" w:rsidR="00D86616" w:rsidRPr="00032C73" w:rsidRDefault="00D86616" w:rsidP="003C2143">
      <w:pPr>
        <w:pStyle w:val="FootnoteText"/>
        <w:rPr>
          <w:lang w:val="es-ES"/>
        </w:rPr>
      </w:pPr>
    </w:p>
  </w:footnote>
  <w:footnote w:id="441">
    <w:p w14:paraId="5239CE2D" w14:textId="77777777" w:rsidR="00D86616" w:rsidRPr="00032C73" w:rsidRDefault="00D86616" w:rsidP="003C2143">
      <w:pPr>
        <w:pStyle w:val="FootnoteText"/>
        <w:rPr>
          <w:lang w:val="es-ES"/>
        </w:rPr>
      </w:pPr>
      <w:r w:rsidRPr="00032C73">
        <w:rPr>
          <w:rStyle w:val="FootnoteReference"/>
        </w:rPr>
        <w:footnoteRef/>
      </w:r>
      <w:r w:rsidRPr="00032C73">
        <w:rPr>
          <w:lang w:val="es-ES"/>
        </w:rPr>
        <w:t>“</w:t>
      </w:r>
      <w:r w:rsidRPr="00032C73">
        <w:rPr>
          <w:i/>
          <w:lang w:val="es-ES"/>
        </w:rPr>
        <w:t>La cuestión de si un asunto determinado corresponde o no a la jurisdicción exclusiva del Estado, es una cuestión esencialmente relativa, la que depende del desarrollo de las relaciones internacionales. En el estado actual del desarrollo del derecho internacional, la Corte es de opinión que los asuntos relativos a la nacionalidad pertenecen, en principio, a ese dominio reservado</w:t>
      </w:r>
      <w:r w:rsidRPr="00032C73">
        <w:rPr>
          <w:lang w:val="es-ES"/>
        </w:rPr>
        <w:t>”. Corte Permanente de Justicia Internacional, Opinión Consultiva sobre ciertos decretos de nacionalidad dictados en la zona francesa de Túnez y Marruecos, Serie B Nº 4 Pág. 24.</w:t>
      </w:r>
    </w:p>
    <w:p w14:paraId="0EA76683" w14:textId="77777777" w:rsidR="00D86616" w:rsidRPr="00032C73" w:rsidRDefault="00D86616" w:rsidP="003C2143">
      <w:pPr>
        <w:pStyle w:val="FootnoteText"/>
        <w:rPr>
          <w:lang w:val="es-ES"/>
        </w:rPr>
      </w:pPr>
    </w:p>
  </w:footnote>
  <w:footnote w:id="442">
    <w:p w14:paraId="47145667" w14:textId="77777777" w:rsidR="00D86616" w:rsidRPr="00032C73" w:rsidRDefault="00D86616" w:rsidP="003C2143">
      <w:pPr>
        <w:pStyle w:val="FootnoteText"/>
        <w:rPr>
          <w:lang w:val="es-ES"/>
        </w:rPr>
      </w:pPr>
      <w:r w:rsidRPr="00032C73">
        <w:rPr>
          <w:rStyle w:val="FootnoteReference"/>
        </w:rPr>
        <w:footnoteRef/>
      </w:r>
      <w:r w:rsidRPr="00032C73">
        <w:rPr>
          <w:lang w:val="es-ES"/>
        </w:rPr>
        <w:t xml:space="preserve"> Protocole n° 15 </w:t>
      </w:r>
      <w:proofErr w:type="spellStart"/>
      <w:r w:rsidRPr="00032C73">
        <w:rPr>
          <w:lang w:val="es-ES"/>
        </w:rPr>
        <w:t>portant</w:t>
      </w:r>
      <w:proofErr w:type="spellEnd"/>
      <w:r w:rsidRPr="00032C73">
        <w:rPr>
          <w:lang w:val="es-ES"/>
        </w:rPr>
        <w:t xml:space="preserve"> </w:t>
      </w:r>
      <w:proofErr w:type="spellStart"/>
      <w:r w:rsidRPr="00032C73">
        <w:rPr>
          <w:lang w:val="es-ES"/>
        </w:rPr>
        <w:t>amendement</w:t>
      </w:r>
      <w:proofErr w:type="spellEnd"/>
      <w:r w:rsidRPr="00032C73">
        <w:rPr>
          <w:lang w:val="es-ES"/>
        </w:rPr>
        <w:t xml:space="preserve"> à la </w:t>
      </w:r>
      <w:proofErr w:type="spellStart"/>
      <w:r w:rsidRPr="00032C73">
        <w:rPr>
          <w:lang w:val="es-ES"/>
        </w:rPr>
        <w:t>Convention</w:t>
      </w:r>
      <w:proofErr w:type="spellEnd"/>
      <w:r w:rsidRPr="00032C73">
        <w:rPr>
          <w:lang w:val="es-ES"/>
        </w:rPr>
        <w:t xml:space="preserve"> de </w:t>
      </w:r>
      <w:proofErr w:type="spellStart"/>
      <w:r w:rsidRPr="00032C73">
        <w:rPr>
          <w:lang w:val="es-ES"/>
        </w:rPr>
        <w:t>sauvegarde</w:t>
      </w:r>
      <w:proofErr w:type="spellEnd"/>
      <w:r w:rsidRPr="00032C73">
        <w:rPr>
          <w:lang w:val="es-ES"/>
        </w:rPr>
        <w:t xml:space="preserve"> des </w:t>
      </w:r>
      <w:proofErr w:type="spellStart"/>
      <w:r w:rsidRPr="00032C73">
        <w:rPr>
          <w:lang w:val="es-ES"/>
        </w:rPr>
        <w:t>Droits</w:t>
      </w:r>
      <w:proofErr w:type="spellEnd"/>
      <w:r w:rsidRPr="00032C73">
        <w:rPr>
          <w:lang w:val="es-ES"/>
        </w:rPr>
        <w:t xml:space="preserve"> de </w:t>
      </w:r>
      <w:proofErr w:type="spellStart"/>
      <w:r w:rsidRPr="00032C73">
        <w:rPr>
          <w:lang w:val="es-ES"/>
        </w:rPr>
        <w:t>l’Homme</w:t>
      </w:r>
      <w:proofErr w:type="spellEnd"/>
      <w:r w:rsidRPr="00032C73">
        <w:rPr>
          <w:lang w:val="es-ES"/>
        </w:rPr>
        <w:t xml:space="preserve"> et des </w:t>
      </w:r>
      <w:proofErr w:type="spellStart"/>
      <w:r w:rsidRPr="00032C73">
        <w:rPr>
          <w:lang w:val="es-ES"/>
        </w:rPr>
        <w:t>Libertés</w:t>
      </w:r>
      <w:proofErr w:type="spellEnd"/>
      <w:r w:rsidRPr="00032C73">
        <w:rPr>
          <w:lang w:val="es-ES"/>
        </w:rPr>
        <w:t xml:space="preserve"> </w:t>
      </w:r>
      <w:proofErr w:type="spellStart"/>
      <w:r w:rsidRPr="00032C73">
        <w:rPr>
          <w:lang w:val="es-ES"/>
        </w:rPr>
        <w:t>fondamentales</w:t>
      </w:r>
      <w:proofErr w:type="spellEnd"/>
      <w:r w:rsidRPr="00032C73">
        <w:rPr>
          <w:lang w:val="es-ES"/>
        </w:rPr>
        <w:t>, art.1: “</w:t>
      </w:r>
      <w:r w:rsidRPr="00032C73">
        <w:rPr>
          <w:i/>
          <w:lang w:val="es-ES"/>
        </w:rPr>
        <w:t xml:space="preserve">A la fin du </w:t>
      </w:r>
      <w:proofErr w:type="spellStart"/>
      <w:r w:rsidRPr="00032C73">
        <w:rPr>
          <w:i/>
          <w:lang w:val="es-ES"/>
        </w:rPr>
        <w:t>préambule</w:t>
      </w:r>
      <w:proofErr w:type="spellEnd"/>
      <w:r w:rsidRPr="00032C73">
        <w:rPr>
          <w:i/>
          <w:lang w:val="es-ES"/>
        </w:rPr>
        <w:t xml:space="preserve"> de la </w:t>
      </w:r>
      <w:proofErr w:type="spellStart"/>
      <w:r w:rsidRPr="00032C73">
        <w:rPr>
          <w:i/>
          <w:lang w:val="es-ES"/>
        </w:rPr>
        <w:t>Convention</w:t>
      </w:r>
      <w:proofErr w:type="spellEnd"/>
      <w:r w:rsidRPr="00032C73">
        <w:rPr>
          <w:i/>
          <w:lang w:val="es-ES"/>
        </w:rPr>
        <w:t xml:space="preserve">, un </w:t>
      </w:r>
      <w:proofErr w:type="spellStart"/>
      <w:r w:rsidRPr="00032C73">
        <w:rPr>
          <w:i/>
          <w:lang w:val="es-ES"/>
        </w:rPr>
        <w:t>nouveau</w:t>
      </w:r>
      <w:proofErr w:type="spellEnd"/>
      <w:r w:rsidRPr="00032C73">
        <w:rPr>
          <w:i/>
          <w:lang w:val="es-ES"/>
        </w:rPr>
        <w:t xml:space="preserve"> </w:t>
      </w:r>
      <w:proofErr w:type="spellStart"/>
      <w:r w:rsidRPr="00032C73">
        <w:rPr>
          <w:i/>
          <w:lang w:val="es-ES"/>
        </w:rPr>
        <w:t>considérant</w:t>
      </w:r>
      <w:proofErr w:type="spellEnd"/>
      <w:r w:rsidRPr="00032C73">
        <w:rPr>
          <w:i/>
          <w:lang w:val="es-ES"/>
        </w:rPr>
        <w:t xml:space="preserve"> </w:t>
      </w:r>
      <w:proofErr w:type="spellStart"/>
      <w:r w:rsidRPr="00032C73">
        <w:rPr>
          <w:i/>
          <w:lang w:val="es-ES"/>
        </w:rPr>
        <w:t>est</w:t>
      </w:r>
      <w:proofErr w:type="spellEnd"/>
      <w:r w:rsidRPr="00032C73">
        <w:rPr>
          <w:i/>
          <w:lang w:val="es-ES"/>
        </w:rPr>
        <w:t xml:space="preserve"> </w:t>
      </w:r>
      <w:proofErr w:type="spellStart"/>
      <w:r w:rsidRPr="00032C73">
        <w:rPr>
          <w:i/>
          <w:lang w:val="es-ES"/>
        </w:rPr>
        <w:t>ajouté</w:t>
      </w:r>
      <w:proofErr w:type="spellEnd"/>
      <w:r w:rsidRPr="00032C73">
        <w:rPr>
          <w:i/>
          <w:lang w:val="es-ES"/>
        </w:rPr>
        <w:t xml:space="preserve"> et se </w:t>
      </w:r>
      <w:proofErr w:type="spellStart"/>
      <w:r w:rsidRPr="00032C73">
        <w:rPr>
          <w:i/>
          <w:lang w:val="es-ES"/>
        </w:rPr>
        <w:t>lit</w:t>
      </w:r>
      <w:proofErr w:type="spellEnd"/>
      <w:r w:rsidRPr="00032C73">
        <w:rPr>
          <w:i/>
          <w:lang w:val="es-ES"/>
        </w:rPr>
        <w:t xml:space="preserve"> </w:t>
      </w:r>
      <w:proofErr w:type="spellStart"/>
      <w:r w:rsidRPr="00032C73">
        <w:rPr>
          <w:i/>
          <w:lang w:val="es-ES"/>
        </w:rPr>
        <w:t>comme</w:t>
      </w:r>
      <w:proofErr w:type="spellEnd"/>
      <w:r w:rsidRPr="00032C73">
        <w:rPr>
          <w:i/>
          <w:lang w:val="es-ES"/>
        </w:rPr>
        <w:t xml:space="preserve"> </w:t>
      </w:r>
      <w:proofErr w:type="spellStart"/>
      <w:r w:rsidRPr="00032C73">
        <w:rPr>
          <w:i/>
          <w:lang w:val="es-ES"/>
        </w:rPr>
        <w:t>suit</w:t>
      </w:r>
      <w:proofErr w:type="spellEnd"/>
      <w:r w:rsidRPr="00032C73">
        <w:rPr>
          <w:lang w:val="es-ES"/>
        </w:rPr>
        <w:t>:</w:t>
      </w:r>
      <w:r>
        <w:rPr>
          <w:lang w:val="es-ES"/>
        </w:rPr>
        <w:t xml:space="preserve"> </w:t>
      </w:r>
      <w:proofErr w:type="spellStart"/>
      <w:r w:rsidRPr="00032C73">
        <w:rPr>
          <w:i/>
          <w:lang w:val="es-ES"/>
        </w:rPr>
        <w:t>Affirmant</w:t>
      </w:r>
      <w:proofErr w:type="spellEnd"/>
      <w:r w:rsidRPr="00032C73">
        <w:rPr>
          <w:i/>
          <w:lang w:val="es-ES"/>
        </w:rPr>
        <w:t xml:space="preserve"> </w:t>
      </w:r>
      <w:proofErr w:type="spellStart"/>
      <w:r w:rsidRPr="00032C73">
        <w:rPr>
          <w:i/>
          <w:lang w:val="es-ES"/>
        </w:rPr>
        <w:t>qu’il</w:t>
      </w:r>
      <w:proofErr w:type="spellEnd"/>
      <w:r w:rsidRPr="00032C73">
        <w:rPr>
          <w:i/>
          <w:lang w:val="es-ES"/>
        </w:rPr>
        <w:t xml:space="preserve"> </w:t>
      </w:r>
      <w:proofErr w:type="spellStart"/>
      <w:r w:rsidRPr="00032C73">
        <w:rPr>
          <w:i/>
          <w:lang w:val="es-ES"/>
        </w:rPr>
        <w:t>incombe</w:t>
      </w:r>
      <w:proofErr w:type="spellEnd"/>
      <w:r w:rsidRPr="00032C73">
        <w:rPr>
          <w:i/>
          <w:lang w:val="es-ES"/>
        </w:rPr>
        <w:t xml:space="preserve"> </w:t>
      </w:r>
      <w:proofErr w:type="spellStart"/>
      <w:r w:rsidRPr="00032C73">
        <w:rPr>
          <w:i/>
          <w:lang w:val="es-ES"/>
        </w:rPr>
        <w:t>au</w:t>
      </w:r>
      <w:proofErr w:type="spellEnd"/>
      <w:r w:rsidRPr="00032C73">
        <w:rPr>
          <w:i/>
          <w:lang w:val="es-ES"/>
        </w:rPr>
        <w:t xml:space="preserve"> premier chef </w:t>
      </w:r>
      <w:proofErr w:type="spellStart"/>
      <w:r w:rsidRPr="00032C73">
        <w:rPr>
          <w:i/>
          <w:lang w:val="es-ES"/>
        </w:rPr>
        <w:t>aux</w:t>
      </w:r>
      <w:proofErr w:type="spellEnd"/>
      <w:r w:rsidRPr="00032C73">
        <w:rPr>
          <w:i/>
          <w:lang w:val="es-ES"/>
        </w:rPr>
        <w:t xml:space="preserve"> Hautes </w:t>
      </w:r>
      <w:proofErr w:type="spellStart"/>
      <w:r w:rsidRPr="00032C73">
        <w:rPr>
          <w:i/>
          <w:lang w:val="es-ES"/>
        </w:rPr>
        <w:t>Parties</w:t>
      </w:r>
      <w:proofErr w:type="spellEnd"/>
      <w:r w:rsidRPr="00032C73">
        <w:rPr>
          <w:i/>
          <w:lang w:val="es-ES"/>
        </w:rPr>
        <w:t xml:space="preserve"> </w:t>
      </w:r>
      <w:proofErr w:type="spellStart"/>
      <w:r w:rsidRPr="00032C73">
        <w:rPr>
          <w:i/>
          <w:lang w:val="es-ES"/>
        </w:rPr>
        <w:t>contractantes</w:t>
      </w:r>
      <w:proofErr w:type="spellEnd"/>
      <w:r w:rsidRPr="00032C73">
        <w:rPr>
          <w:i/>
          <w:lang w:val="es-ES"/>
        </w:rPr>
        <w:t xml:space="preserve">, </w:t>
      </w:r>
      <w:proofErr w:type="spellStart"/>
      <w:r w:rsidRPr="00032C73">
        <w:rPr>
          <w:i/>
          <w:lang w:val="es-ES"/>
        </w:rPr>
        <w:t>conformément</w:t>
      </w:r>
      <w:proofErr w:type="spellEnd"/>
      <w:r w:rsidRPr="00032C73">
        <w:rPr>
          <w:i/>
          <w:lang w:val="es-ES"/>
        </w:rPr>
        <w:t xml:space="preserve"> </w:t>
      </w:r>
      <w:proofErr w:type="spellStart"/>
      <w:r w:rsidRPr="00032C73">
        <w:rPr>
          <w:i/>
          <w:lang w:val="es-ES"/>
        </w:rPr>
        <w:t>au</w:t>
      </w:r>
      <w:proofErr w:type="spellEnd"/>
      <w:r w:rsidRPr="00032C73">
        <w:rPr>
          <w:i/>
          <w:lang w:val="es-ES"/>
        </w:rPr>
        <w:t xml:space="preserve"> </w:t>
      </w:r>
      <w:proofErr w:type="spellStart"/>
      <w:r w:rsidRPr="00032C73">
        <w:rPr>
          <w:i/>
          <w:lang w:val="es-ES"/>
        </w:rPr>
        <w:t>principe</w:t>
      </w:r>
      <w:proofErr w:type="spellEnd"/>
      <w:r w:rsidRPr="00032C73">
        <w:rPr>
          <w:i/>
          <w:lang w:val="es-ES"/>
        </w:rPr>
        <w:t xml:space="preserve"> de </w:t>
      </w:r>
      <w:proofErr w:type="spellStart"/>
      <w:r w:rsidRPr="00032C73">
        <w:rPr>
          <w:i/>
          <w:lang w:val="es-ES"/>
        </w:rPr>
        <w:t>subsidiarité</w:t>
      </w:r>
      <w:proofErr w:type="spellEnd"/>
      <w:r w:rsidRPr="00032C73">
        <w:rPr>
          <w:i/>
          <w:lang w:val="es-ES"/>
        </w:rPr>
        <w:t xml:space="preserve">, de garantir le </w:t>
      </w:r>
      <w:proofErr w:type="spellStart"/>
      <w:r w:rsidRPr="00032C73">
        <w:rPr>
          <w:i/>
          <w:lang w:val="es-ES"/>
        </w:rPr>
        <w:t>respect</w:t>
      </w:r>
      <w:proofErr w:type="spellEnd"/>
      <w:r w:rsidRPr="00032C73">
        <w:rPr>
          <w:i/>
          <w:lang w:val="es-ES"/>
        </w:rPr>
        <w:t xml:space="preserve"> des </w:t>
      </w:r>
      <w:proofErr w:type="spellStart"/>
      <w:r w:rsidRPr="00032C73">
        <w:rPr>
          <w:i/>
          <w:lang w:val="es-ES"/>
        </w:rPr>
        <w:t>droits</w:t>
      </w:r>
      <w:proofErr w:type="spellEnd"/>
      <w:r w:rsidRPr="00032C73">
        <w:rPr>
          <w:i/>
          <w:lang w:val="es-ES"/>
        </w:rPr>
        <w:t xml:space="preserve"> et </w:t>
      </w:r>
      <w:proofErr w:type="spellStart"/>
      <w:r w:rsidRPr="00032C73">
        <w:rPr>
          <w:i/>
          <w:lang w:val="es-ES"/>
        </w:rPr>
        <w:t>libertés</w:t>
      </w:r>
      <w:proofErr w:type="spellEnd"/>
      <w:r w:rsidRPr="00032C73">
        <w:rPr>
          <w:i/>
          <w:lang w:val="es-ES"/>
        </w:rPr>
        <w:t xml:space="preserve"> </w:t>
      </w:r>
      <w:proofErr w:type="spellStart"/>
      <w:r w:rsidRPr="00032C73">
        <w:rPr>
          <w:i/>
          <w:lang w:val="es-ES"/>
        </w:rPr>
        <w:t>définis</w:t>
      </w:r>
      <w:proofErr w:type="spellEnd"/>
      <w:r w:rsidRPr="00032C73">
        <w:rPr>
          <w:i/>
          <w:lang w:val="es-ES"/>
        </w:rPr>
        <w:t xml:space="preserve"> </w:t>
      </w:r>
      <w:proofErr w:type="spellStart"/>
      <w:r w:rsidRPr="00032C73">
        <w:rPr>
          <w:i/>
          <w:lang w:val="es-ES"/>
        </w:rPr>
        <w:t>dans</w:t>
      </w:r>
      <w:proofErr w:type="spellEnd"/>
      <w:r w:rsidRPr="00032C73">
        <w:rPr>
          <w:i/>
          <w:lang w:val="es-ES"/>
        </w:rPr>
        <w:t xml:space="preserve"> la </w:t>
      </w:r>
      <w:proofErr w:type="spellStart"/>
      <w:r w:rsidRPr="00032C73">
        <w:rPr>
          <w:i/>
          <w:lang w:val="es-ES"/>
        </w:rPr>
        <w:t>présente</w:t>
      </w:r>
      <w:proofErr w:type="spellEnd"/>
      <w:r w:rsidRPr="00032C73">
        <w:rPr>
          <w:i/>
          <w:lang w:val="es-ES"/>
        </w:rPr>
        <w:t xml:space="preserve"> </w:t>
      </w:r>
      <w:proofErr w:type="spellStart"/>
      <w:r w:rsidRPr="00032C73">
        <w:rPr>
          <w:i/>
          <w:lang w:val="es-ES"/>
        </w:rPr>
        <w:t>Convention</w:t>
      </w:r>
      <w:proofErr w:type="spellEnd"/>
      <w:r w:rsidRPr="00032C73">
        <w:rPr>
          <w:i/>
          <w:lang w:val="es-ES"/>
        </w:rPr>
        <w:t xml:space="preserve"> et </w:t>
      </w:r>
      <w:proofErr w:type="spellStart"/>
      <w:r w:rsidRPr="00032C73">
        <w:rPr>
          <w:i/>
          <w:lang w:val="es-ES"/>
        </w:rPr>
        <w:t>ses</w:t>
      </w:r>
      <w:proofErr w:type="spellEnd"/>
      <w:r w:rsidRPr="00032C73">
        <w:rPr>
          <w:i/>
          <w:lang w:val="es-ES"/>
        </w:rPr>
        <w:t xml:space="preserve"> protocoles, et que, ce </w:t>
      </w:r>
      <w:proofErr w:type="spellStart"/>
      <w:r w:rsidRPr="00032C73">
        <w:rPr>
          <w:i/>
          <w:lang w:val="es-ES"/>
        </w:rPr>
        <w:t>faisant</w:t>
      </w:r>
      <w:proofErr w:type="spellEnd"/>
      <w:r w:rsidRPr="00032C73">
        <w:rPr>
          <w:i/>
          <w:lang w:val="es-ES"/>
        </w:rPr>
        <w:t xml:space="preserve">, elles </w:t>
      </w:r>
      <w:proofErr w:type="spellStart"/>
      <w:r w:rsidRPr="00032C73">
        <w:rPr>
          <w:i/>
          <w:lang w:val="es-ES"/>
        </w:rPr>
        <w:t>jouissent</w:t>
      </w:r>
      <w:proofErr w:type="spellEnd"/>
      <w:r w:rsidRPr="00032C73">
        <w:rPr>
          <w:i/>
          <w:lang w:val="es-ES"/>
        </w:rPr>
        <w:t xml:space="preserve"> </w:t>
      </w:r>
      <w:proofErr w:type="spellStart"/>
      <w:r w:rsidRPr="00032C73">
        <w:rPr>
          <w:i/>
          <w:lang w:val="es-ES"/>
        </w:rPr>
        <w:t>d’une</w:t>
      </w:r>
      <w:proofErr w:type="spellEnd"/>
      <w:r w:rsidRPr="00032C73">
        <w:rPr>
          <w:i/>
          <w:lang w:val="es-ES"/>
        </w:rPr>
        <w:t xml:space="preserve"> </w:t>
      </w:r>
      <w:proofErr w:type="spellStart"/>
      <w:r w:rsidRPr="00032C73">
        <w:rPr>
          <w:i/>
          <w:lang w:val="es-ES"/>
        </w:rPr>
        <w:t>marge</w:t>
      </w:r>
      <w:proofErr w:type="spellEnd"/>
      <w:r w:rsidRPr="00032C73">
        <w:rPr>
          <w:i/>
          <w:lang w:val="es-ES"/>
        </w:rPr>
        <w:t xml:space="preserve"> </w:t>
      </w:r>
      <w:proofErr w:type="spellStart"/>
      <w:r w:rsidRPr="00032C73">
        <w:rPr>
          <w:i/>
          <w:lang w:val="es-ES"/>
        </w:rPr>
        <w:t>d’appréciation</w:t>
      </w:r>
      <w:proofErr w:type="spellEnd"/>
      <w:r w:rsidRPr="00032C73">
        <w:rPr>
          <w:i/>
          <w:lang w:val="es-ES"/>
        </w:rPr>
        <w:t xml:space="preserve">, </w:t>
      </w:r>
      <w:proofErr w:type="spellStart"/>
      <w:r w:rsidRPr="00032C73">
        <w:rPr>
          <w:i/>
          <w:lang w:val="es-ES"/>
        </w:rPr>
        <w:t>sous</w:t>
      </w:r>
      <w:proofErr w:type="spellEnd"/>
      <w:r w:rsidRPr="00032C73">
        <w:rPr>
          <w:i/>
          <w:lang w:val="es-ES"/>
        </w:rPr>
        <w:t xml:space="preserve"> le </w:t>
      </w:r>
      <w:proofErr w:type="spellStart"/>
      <w:r w:rsidRPr="00032C73">
        <w:rPr>
          <w:i/>
          <w:lang w:val="es-ES"/>
        </w:rPr>
        <w:t>contrôle</w:t>
      </w:r>
      <w:proofErr w:type="spellEnd"/>
      <w:r w:rsidRPr="00032C73">
        <w:rPr>
          <w:i/>
          <w:lang w:val="es-ES"/>
        </w:rPr>
        <w:t xml:space="preserve"> de la </w:t>
      </w:r>
      <w:proofErr w:type="spellStart"/>
      <w:r w:rsidRPr="00032C73">
        <w:rPr>
          <w:i/>
          <w:lang w:val="es-ES"/>
        </w:rPr>
        <w:t>Cour</w:t>
      </w:r>
      <w:proofErr w:type="spellEnd"/>
      <w:r w:rsidRPr="00032C73">
        <w:rPr>
          <w:i/>
          <w:lang w:val="es-ES"/>
        </w:rPr>
        <w:t xml:space="preserve"> </w:t>
      </w:r>
      <w:proofErr w:type="spellStart"/>
      <w:r w:rsidRPr="00032C73">
        <w:rPr>
          <w:i/>
          <w:lang w:val="es-ES"/>
        </w:rPr>
        <w:t>européenne</w:t>
      </w:r>
      <w:proofErr w:type="spellEnd"/>
      <w:r w:rsidRPr="00032C73">
        <w:rPr>
          <w:i/>
          <w:lang w:val="es-ES"/>
        </w:rPr>
        <w:t xml:space="preserve"> des </w:t>
      </w:r>
      <w:proofErr w:type="spellStart"/>
      <w:r w:rsidRPr="00032C73">
        <w:rPr>
          <w:i/>
          <w:lang w:val="es-ES"/>
        </w:rPr>
        <w:t>Droits</w:t>
      </w:r>
      <w:proofErr w:type="spellEnd"/>
      <w:r w:rsidRPr="00032C73">
        <w:rPr>
          <w:i/>
          <w:lang w:val="es-ES"/>
        </w:rPr>
        <w:t xml:space="preserve"> de </w:t>
      </w:r>
      <w:proofErr w:type="spellStart"/>
      <w:r w:rsidRPr="00032C73">
        <w:rPr>
          <w:i/>
          <w:lang w:val="es-ES"/>
        </w:rPr>
        <w:t>l’Homme</w:t>
      </w:r>
      <w:proofErr w:type="spellEnd"/>
      <w:r w:rsidRPr="00032C73">
        <w:rPr>
          <w:i/>
          <w:lang w:val="es-ES"/>
        </w:rPr>
        <w:t xml:space="preserve"> </w:t>
      </w:r>
      <w:proofErr w:type="spellStart"/>
      <w:r w:rsidRPr="00032C73">
        <w:rPr>
          <w:i/>
          <w:lang w:val="es-ES"/>
        </w:rPr>
        <w:t>instituée</w:t>
      </w:r>
      <w:proofErr w:type="spellEnd"/>
      <w:r w:rsidRPr="00032C73">
        <w:rPr>
          <w:i/>
          <w:lang w:val="es-ES"/>
        </w:rPr>
        <w:t xml:space="preserve"> </w:t>
      </w:r>
      <w:proofErr w:type="spellStart"/>
      <w:r w:rsidRPr="00032C73">
        <w:rPr>
          <w:i/>
          <w:lang w:val="es-ES"/>
        </w:rPr>
        <w:t>par</w:t>
      </w:r>
      <w:proofErr w:type="spellEnd"/>
      <w:r w:rsidRPr="00032C73">
        <w:rPr>
          <w:i/>
          <w:lang w:val="es-ES"/>
        </w:rPr>
        <w:t xml:space="preserve"> la </w:t>
      </w:r>
      <w:proofErr w:type="spellStart"/>
      <w:r w:rsidRPr="00032C73">
        <w:rPr>
          <w:i/>
          <w:lang w:val="es-ES"/>
        </w:rPr>
        <w:t>présente</w:t>
      </w:r>
      <w:proofErr w:type="spellEnd"/>
      <w:r w:rsidRPr="00032C73">
        <w:rPr>
          <w:i/>
          <w:lang w:val="es-ES"/>
        </w:rPr>
        <w:t xml:space="preserve"> </w:t>
      </w:r>
      <w:proofErr w:type="spellStart"/>
      <w:r w:rsidRPr="00032C73">
        <w:rPr>
          <w:i/>
          <w:lang w:val="es-ES"/>
        </w:rPr>
        <w:t>Convention</w:t>
      </w:r>
      <w:proofErr w:type="spellEnd"/>
      <w:r w:rsidRPr="00032C73">
        <w:rPr>
          <w:i/>
          <w:lang w:val="es-ES"/>
        </w:rPr>
        <w:t>.”</w:t>
      </w:r>
    </w:p>
    <w:p w14:paraId="72438AB3" w14:textId="77777777" w:rsidR="00D86616" w:rsidRPr="00032C73" w:rsidRDefault="00D86616" w:rsidP="003C2143">
      <w:pPr>
        <w:pStyle w:val="FootnoteText"/>
        <w:rPr>
          <w:lang w:val="es-ES"/>
        </w:rPr>
      </w:pPr>
    </w:p>
  </w:footnote>
  <w:footnote w:id="443">
    <w:p w14:paraId="242CFAB4" w14:textId="77777777" w:rsidR="00D86616" w:rsidRPr="00032C73" w:rsidRDefault="00D86616" w:rsidP="003C2143">
      <w:pPr>
        <w:pStyle w:val="FootnoteText"/>
        <w:rPr>
          <w:i/>
          <w:lang w:val="es-ES"/>
        </w:rPr>
      </w:pPr>
      <w:r w:rsidRPr="00032C73">
        <w:rPr>
          <w:rStyle w:val="FootnoteReference"/>
        </w:rPr>
        <w:footnoteRef/>
      </w:r>
      <w:r w:rsidRPr="00032C73">
        <w:rPr>
          <w:lang w:val="es-ES"/>
        </w:rPr>
        <w:t xml:space="preserve"> Art. 68:”</w:t>
      </w:r>
      <w:r w:rsidRPr="00032C73">
        <w:rPr>
          <w:i/>
          <w:lang w:val="es-ES"/>
        </w:rPr>
        <w:t>1. Los Estados Partes en la Convención se comprometen a cumplir la decisión de la Corte en todo caso en que sean partes.</w:t>
      </w:r>
    </w:p>
    <w:p w14:paraId="6C9A80AA" w14:textId="77777777" w:rsidR="00D86616" w:rsidRPr="00032C73" w:rsidRDefault="00D86616" w:rsidP="003C2143">
      <w:pPr>
        <w:pStyle w:val="FootnoteText"/>
        <w:rPr>
          <w:lang w:val="es-ES"/>
        </w:rPr>
      </w:pPr>
      <w:r w:rsidRPr="00032C73">
        <w:rPr>
          <w:i/>
          <w:lang w:val="es-ES"/>
        </w:rPr>
        <w:t xml:space="preserve"> 2. La parte del fallo que disponga indemnización compensatoria se podrá ejecutar en el respectivo país por el procedimiento interno vigente para la ejecución de sentencias contra el Estado.”</w:t>
      </w:r>
    </w:p>
  </w:footnote>
  <w:footnote w:id="444">
    <w:p w14:paraId="1FD8DEBD" w14:textId="77777777" w:rsidR="00D86616" w:rsidRPr="000D35BC" w:rsidRDefault="00D86616" w:rsidP="00C44F79">
      <w:pPr>
        <w:pStyle w:val="FootnoteText"/>
        <w:rPr>
          <w:lang w:val="es-CR"/>
        </w:rPr>
      </w:pPr>
      <w:r w:rsidRPr="00817659">
        <w:rPr>
          <w:rStyle w:val="FootnoteReference"/>
          <w:sz w:val="16"/>
        </w:rPr>
        <w:footnoteRef/>
      </w:r>
      <w:r w:rsidRPr="00E70701">
        <w:rPr>
          <w:lang w:val="es-CR"/>
        </w:rPr>
        <w:t xml:space="preserve"> Al respecto, ver línea jurisprudencial de la Corte Constitucional de Colombia sobre transmutación de los DESC. </w:t>
      </w:r>
      <w:r w:rsidRPr="000D35BC">
        <w:rPr>
          <w:lang w:val="es-CR"/>
        </w:rPr>
        <w:t>Por ejemplo, T- 1079 de 2007. Disponible en: http://www.corteconstitucional.gov.co/relatoria/2007/T-1079-07.htm</w:t>
      </w:r>
    </w:p>
  </w:footnote>
  <w:footnote w:id="445">
    <w:p w14:paraId="5DE5ABE9" w14:textId="77777777" w:rsidR="00D86616" w:rsidRPr="00817659" w:rsidRDefault="00D86616" w:rsidP="00C44F79">
      <w:pPr>
        <w:pStyle w:val="FootnoteText"/>
        <w:rPr>
          <w:lang w:val="es-ES"/>
        </w:rPr>
      </w:pPr>
      <w:r w:rsidRPr="00817659">
        <w:rPr>
          <w:rStyle w:val="FootnoteReference"/>
          <w:sz w:val="16"/>
        </w:rPr>
        <w:footnoteRef/>
      </w:r>
      <w:r w:rsidRPr="000D35BC">
        <w:rPr>
          <w:lang w:val="es-CR"/>
        </w:rPr>
        <w:t xml:space="preserve"> </w:t>
      </w:r>
      <w:r w:rsidRPr="00817659">
        <w:rPr>
          <w:lang w:val="es-ES"/>
        </w:rPr>
        <w:t xml:space="preserve">En este sentido, ver por ejemplo: </w:t>
      </w:r>
      <w:r w:rsidRPr="00312AAF">
        <w:rPr>
          <w:lang w:val="es-ES"/>
        </w:rPr>
        <w:t xml:space="preserve">Oswaldo Ruiz Chiriboga, </w:t>
      </w:r>
      <w:proofErr w:type="spellStart"/>
      <w:r w:rsidRPr="00C24C47">
        <w:rPr>
          <w:rFonts w:cs="MinionPro-Semibold"/>
          <w:i/>
          <w:lang w:val="es-ES"/>
        </w:rPr>
        <w:t>The</w:t>
      </w:r>
      <w:proofErr w:type="spellEnd"/>
      <w:r w:rsidRPr="00C24C47">
        <w:rPr>
          <w:rFonts w:cs="MinionPro-Semibold"/>
          <w:i/>
          <w:lang w:val="es-ES"/>
        </w:rPr>
        <w:t xml:space="preserve"> American </w:t>
      </w:r>
      <w:proofErr w:type="spellStart"/>
      <w:r w:rsidRPr="00C24C47">
        <w:rPr>
          <w:rFonts w:cs="MinionPro-Semibold"/>
          <w:i/>
          <w:lang w:val="es-ES"/>
        </w:rPr>
        <w:t>Convention</w:t>
      </w:r>
      <w:proofErr w:type="spellEnd"/>
      <w:r w:rsidRPr="00C24C47">
        <w:rPr>
          <w:rFonts w:cs="MinionPro-Semibold"/>
          <w:i/>
          <w:lang w:val="es-ES"/>
        </w:rPr>
        <w:t xml:space="preserve"> and </w:t>
      </w:r>
      <w:proofErr w:type="spellStart"/>
      <w:r w:rsidRPr="00C24C47">
        <w:rPr>
          <w:rFonts w:cs="MinionPro-Semibold"/>
          <w:i/>
          <w:lang w:val="es-ES"/>
        </w:rPr>
        <w:t>The</w:t>
      </w:r>
      <w:proofErr w:type="spellEnd"/>
      <w:r w:rsidRPr="00C24C47">
        <w:rPr>
          <w:rFonts w:cs="MinionPro-Semibold"/>
          <w:i/>
          <w:lang w:val="es-ES"/>
        </w:rPr>
        <w:t xml:space="preserve"> </w:t>
      </w:r>
      <w:proofErr w:type="spellStart"/>
      <w:r w:rsidRPr="00C24C47">
        <w:rPr>
          <w:rFonts w:cs="MinionPro-Semibold"/>
          <w:i/>
          <w:lang w:val="es-ES"/>
        </w:rPr>
        <w:t>Protocol</w:t>
      </w:r>
      <w:proofErr w:type="spellEnd"/>
      <w:r w:rsidRPr="00C24C47">
        <w:rPr>
          <w:rFonts w:cs="MinionPro-Semibold"/>
          <w:i/>
          <w:lang w:val="es-ES"/>
        </w:rPr>
        <w:t xml:space="preserve"> Of San Salvador: </w:t>
      </w:r>
      <w:proofErr w:type="spellStart"/>
      <w:r w:rsidRPr="00C24C47">
        <w:rPr>
          <w:rFonts w:cs="MinionPro-Semibold"/>
          <w:i/>
          <w:lang w:val="es-ES"/>
        </w:rPr>
        <w:t>Two</w:t>
      </w:r>
      <w:proofErr w:type="spellEnd"/>
      <w:r w:rsidRPr="00C24C47">
        <w:rPr>
          <w:rFonts w:cs="MinionPro-Semibold"/>
          <w:i/>
          <w:lang w:val="es-ES"/>
        </w:rPr>
        <w:t xml:space="preserve"> </w:t>
      </w:r>
      <w:proofErr w:type="spellStart"/>
      <w:r w:rsidRPr="00C24C47">
        <w:rPr>
          <w:rFonts w:cs="MinionPro-Semibold"/>
          <w:i/>
          <w:lang w:val="es-ES"/>
        </w:rPr>
        <w:t>Intertwined</w:t>
      </w:r>
      <w:proofErr w:type="spellEnd"/>
      <w:r w:rsidRPr="00C24C47">
        <w:rPr>
          <w:rFonts w:cs="MinionPro-Semibold"/>
          <w:i/>
          <w:lang w:val="es-ES"/>
        </w:rPr>
        <w:t xml:space="preserve"> </w:t>
      </w:r>
      <w:proofErr w:type="spellStart"/>
      <w:r w:rsidRPr="00C24C47">
        <w:rPr>
          <w:rFonts w:cs="MinionPro-Semibold"/>
          <w:i/>
          <w:lang w:val="es-ES"/>
        </w:rPr>
        <w:t>Treaties</w:t>
      </w:r>
      <w:proofErr w:type="spellEnd"/>
      <w:r w:rsidRPr="00C24C47">
        <w:rPr>
          <w:rFonts w:cs="MinionPro-Semibold"/>
          <w:i/>
          <w:lang w:val="es-ES"/>
        </w:rPr>
        <w:t xml:space="preserve"> </w:t>
      </w:r>
      <w:r w:rsidRPr="00C24C47">
        <w:rPr>
          <w:rFonts w:cs="MinionPro-Regular"/>
          <w:i/>
          <w:lang w:val="es-ES"/>
        </w:rPr>
        <w:t>Non-</w:t>
      </w:r>
      <w:proofErr w:type="spellStart"/>
      <w:r w:rsidRPr="00C24C47">
        <w:rPr>
          <w:rFonts w:cs="MinionPro-Regular"/>
          <w:i/>
          <w:lang w:val="es-ES"/>
        </w:rPr>
        <w:t>Enforceability</w:t>
      </w:r>
      <w:proofErr w:type="spellEnd"/>
      <w:r w:rsidRPr="00C24C47">
        <w:rPr>
          <w:rFonts w:cs="MinionPro-Regular"/>
          <w:i/>
          <w:lang w:val="es-ES"/>
        </w:rPr>
        <w:t xml:space="preserve"> Of </w:t>
      </w:r>
      <w:proofErr w:type="spellStart"/>
      <w:r w:rsidRPr="00C24C47">
        <w:rPr>
          <w:rFonts w:cs="MinionPro-Regular"/>
          <w:i/>
          <w:lang w:val="es-ES"/>
        </w:rPr>
        <w:t>Economic</w:t>
      </w:r>
      <w:proofErr w:type="spellEnd"/>
      <w:r w:rsidRPr="00C24C47">
        <w:rPr>
          <w:rFonts w:cs="MinionPro-Regular"/>
          <w:i/>
          <w:lang w:val="es-ES"/>
        </w:rPr>
        <w:t xml:space="preserve">, Social And Cultural </w:t>
      </w:r>
      <w:proofErr w:type="spellStart"/>
      <w:r w:rsidRPr="00C24C47">
        <w:rPr>
          <w:rFonts w:cs="MinionPro-Regular"/>
          <w:i/>
          <w:lang w:val="es-ES"/>
        </w:rPr>
        <w:t>Rights</w:t>
      </w:r>
      <w:proofErr w:type="spellEnd"/>
      <w:r w:rsidRPr="00C24C47">
        <w:rPr>
          <w:rFonts w:cs="MinionPro-Regular"/>
          <w:i/>
          <w:lang w:val="es-ES"/>
        </w:rPr>
        <w:t xml:space="preserve"> In </w:t>
      </w:r>
      <w:proofErr w:type="spellStart"/>
      <w:r w:rsidRPr="00C24C47">
        <w:rPr>
          <w:rFonts w:cs="MinionPro-Regular"/>
          <w:i/>
          <w:lang w:val="es-ES"/>
        </w:rPr>
        <w:t>The</w:t>
      </w:r>
      <w:proofErr w:type="spellEnd"/>
      <w:r w:rsidRPr="00C24C47">
        <w:rPr>
          <w:rFonts w:cs="MinionPro-Regular"/>
          <w:i/>
          <w:lang w:val="es-ES"/>
        </w:rPr>
        <w:t xml:space="preserve"> Inter-American </w:t>
      </w:r>
      <w:proofErr w:type="spellStart"/>
      <w:r w:rsidRPr="00C24C47">
        <w:rPr>
          <w:rFonts w:cs="MinionPro-Regular"/>
          <w:i/>
          <w:lang w:val="es-ES"/>
        </w:rPr>
        <w:t>System</w:t>
      </w:r>
      <w:proofErr w:type="spellEnd"/>
      <w:r w:rsidRPr="00312AAF">
        <w:rPr>
          <w:rFonts w:cs="MinionPro-Regular"/>
          <w:lang w:val="es-ES"/>
        </w:rPr>
        <w:t xml:space="preserve">, </w:t>
      </w:r>
      <w:proofErr w:type="spellStart"/>
      <w:r w:rsidRPr="00312AAF">
        <w:rPr>
          <w:rFonts w:cs="MinionPro-Regular"/>
          <w:lang w:val="es-ES"/>
        </w:rPr>
        <w:t>Netherlands</w:t>
      </w:r>
      <w:proofErr w:type="spellEnd"/>
      <w:r w:rsidRPr="00312AAF">
        <w:rPr>
          <w:rFonts w:cs="MinionPro-Regular"/>
          <w:lang w:val="es-ES"/>
        </w:rPr>
        <w:t xml:space="preserve"> </w:t>
      </w:r>
      <w:proofErr w:type="spellStart"/>
      <w:r w:rsidRPr="00312AAF">
        <w:rPr>
          <w:rFonts w:cs="MinionPro-Regular"/>
          <w:lang w:val="es-ES"/>
        </w:rPr>
        <w:t>Quarterly</w:t>
      </w:r>
      <w:proofErr w:type="spellEnd"/>
      <w:r w:rsidRPr="00312AAF">
        <w:rPr>
          <w:rFonts w:cs="MinionPro-Regular"/>
          <w:lang w:val="es-ES"/>
        </w:rPr>
        <w:t xml:space="preserve"> of Human </w:t>
      </w:r>
      <w:proofErr w:type="spellStart"/>
      <w:r w:rsidRPr="00312AAF">
        <w:rPr>
          <w:rFonts w:cs="MinionPro-Regular"/>
          <w:lang w:val="es-ES"/>
        </w:rPr>
        <w:t>Rights</w:t>
      </w:r>
      <w:proofErr w:type="spellEnd"/>
      <w:r w:rsidRPr="00312AAF">
        <w:rPr>
          <w:rFonts w:cs="MinionPro-Regular"/>
          <w:lang w:val="es-ES"/>
        </w:rPr>
        <w:t xml:space="preserve">, Vol. 31/2 (2013); </w:t>
      </w:r>
      <w:proofErr w:type="spellStart"/>
      <w:r w:rsidRPr="00817659">
        <w:rPr>
          <w:lang w:val="es-CO"/>
        </w:rPr>
        <w:t>Abramovich</w:t>
      </w:r>
      <w:proofErr w:type="spellEnd"/>
      <w:r w:rsidRPr="00817659">
        <w:rPr>
          <w:lang w:val="es-CO"/>
        </w:rPr>
        <w:t xml:space="preserve">, V. and </w:t>
      </w:r>
      <w:proofErr w:type="spellStart"/>
      <w:r w:rsidRPr="00817659">
        <w:rPr>
          <w:lang w:val="es-CO"/>
        </w:rPr>
        <w:t>Rossi</w:t>
      </w:r>
      <w:proofErr w:type="spellEnd"/>
      <w:r w:rsidRPr="00817659">
        <w:rPr>
          <w:lang w:val="es-CO"/>
        </w:rPr>
        <w:t>, J., ‘</w:t>
      </w:r>
      <w:r w:rsidRPr="00C24C47">
        <w:rPr>
          <w:i/>
          <w:lang w:val="es-CO"/>
        </w:rPr>
        <w:t>La Tutela de los Derechos Económicos, Sociales y Culturales en el Artículo 26 de la Convención Americana sobre Derechos Humanos’</w:t>
      </w:r>
      <w:r w:rsidRPr="00817659">
        <w:rPr>
          <w:lang w:val="es-CO"/>
        </w:rPr>
        <w:t xml:space="preserve">, Estudios Socio-Jurídicos, Vol. 9, 2007; Oscar Parra Vera, </w:t>
      </w:r>
      <w:proofErr w:type="spellStart"/>
      <w:r w:rsidRPr="00C24C47">
        <w:rPr>
          <w:i/>
          <w:lang w:val="es-CO"/>
        </w:rPr>
        <w:t>Justiciabilidad</w:t>
      </w:r>
      <w:proofErr w:type="spellEnd"/>
      <w:r w:rsidRPr="00C24C47">
        <w:rPr>
          <w:i/>
          <w:lang w:val="es-CO"/>
        </w:rPr>
        <w:t xml:space="preserve"> de los derechos económicos, sociales y culturales ante el sistema interamericano</w:t>
      </w:r>
      <w:r w:rsidRPr="00817659">
        <w:rPr>
          <w:lang w:val="es-CO"/>
        </w:rPr>
        <w:t xml:space="preserve">, Comisión Nacional de los Derechos Humanos México, 2011. </w:t>
      </w:r>
    </w:p>
  </w:footnote>
  <w:footnote w:id="446">
    <w:p w14:paraId="4F00ECC6" w14:textId="77777777" w:rsidR="00D86616" w:rsidRPr="00817659" w:rsidRDefault="00D86616" w:rsidP="00C44F79">
      <w:pPr>
        <w:pStyle w:val="FootnoteText"/>
        <w:rPr>
          <w:lang w:val="es-ES"/>
        </w:rPr>
      </w:pPr>
      <w:r w:rsidRPr="00817659">
        <w:rPr>
          <w:rStyle w:val="FootnoteReference"/>
          <w:sz w:val="16"/>
        </w:rPr>
        <w:footnoteRef/>
      </w:r>
      <w:r w:rsidRPr="000D35BC">
        <w:rPr>
          <w:lang w:val="es-CR"/>
        </w:rPr>
        <w:t xml:space="preserve"> </w:t>
      </w:r>
      <w:r w:rsidRPr="00817659">
        <w:rPr>
          <w:lang w:val="es-ES"/>
        </w:rPr>
        <w:t xml:space="preserve">Ver voto disidente del Juez Ferrar </w:t>
      </w:r>
      <w:proofErr w:type="spellStart"/>
      <w:r w:rsidRPr="00817659">
        <w:rPr>
          <w:lang w:val="es-ES"/>
        </w:rPr>
        <w:t>McGregor</w:t>
      </w:r>
      <w:proofErr w:type="spellEnd"/>
      <w:r w:rsidRPr="00817659">
        <w:rPr>
          <w:lang w:val="es-ES"/>
        </w:rPr>
        <w:t xml:space="preserve"> en el </w:t>
      </w:r>
      <w:r>
        <w:rPr>
          <w:i/>
          <w:lang w:val="es-ES"/>
        </w:rPr>
        <w:t>C</w:t>
      </w:r>
      <w:r w:rsidRPr="00C24C47">
        <w:rPr>
          <w:i/>
          <w:lang w:val="es-ES"/>
        </w:rPr>
        <w:t xml:space="preserve">aso González </w:t>
      </w:r>
      <w:proofErr w:type="spellStart"/>
      <w:r w:rsidRPr="00C24C47">
        <w:rPr>
          <w:i/>
          <w:lang w:val="es-ES"/>
        </w:rPr>
        <w:t>Lluy</w:t>
      </w:r>
      <w:proofErr w:type="spellEnd"/>
      <w:r w:rsidRPr="00C24C47">
        <w:rPr>
          <w:i/>
          <w:lang w:val="es-ES"/>
        </w:rPr>
        <w:t xml:space="preserve"> y otros Vs. Ecuador</w:t>
      </w:r>
      <w:r w:rsidRPr="00817659">
        <w:rPr>
          <w:lang w:val="es-ES"/>
        </w:rPr>
        <w:t xml:space="preserve"> o voto de los jueces Caldas y Ferrer </w:t>
      </w:r>
      <w:proofErr w:type="spellStart"/>
      <w:r w:rsidRPr="00817659">
        <w:rPr>
          <w:lang w:val="es-ES"/>
        </w:rPr>
        <w:t>McGregor</w:t>
      </w:r>
      <w:proofErr w:type="spellEnd"/>
      <w:r w:rsidRPr="00817659">
        <w:rPr>
          <w:lang w:val="es-ES"/>
        </w:rPr>
        <w:t xml:space="preserve"> en el </w:t>
      </w:r>
      <w:r>
        <w:rPr>
          <w:i/>
          <w:lang w:val="es-ES"/>
        </w:rPr>
        <w:t>C</w:t>
      </w:r>
      <w:r w:rsidRPr="00C24C47">
        <w:rPr>
          <w:i/>
          <w:lang w:val="es-ES"/>
        </w:rPr>
        <w:t>aso Canales Huapaya y otros Vs. Perú.</w:t>
      </w:r>
      <w:r w:rsidRPr="00817659">
        <w:rPr>
          <w:lang w:val="es-ES"/>
        </w:rPr>
        <w:t xml:space="preserve"> </w:t>
      </w:r>
    </w:p>
  </w:footnote>
  <w:footnote w:id="447">
    <w:p w14:paraId="71884DAE" w14:textId="77777777" w:rsidR="00D86616" w:rsidRPr="00817659" w:rsidRDefault="00D86616" w:rsidP="00C44F79">
      <w:pPr>
        <w:pStyle w:val="FootnoteText"/>
        <w:rPr>
          <w:lang w:val="es-ES"/>
        </w:rPr>
      </w:pPr>
      <w:r w:rsidRPr="00817659">
        <w:rPr>
          <w:rStyle w:val="FootnoteReference"/>
          <w:sz w:val="16"/>
        </w:rPr>
        <w:footnoteRef/>
      </w:r>
      <w:r w:rsidRPr="000D35BC">
        <w:rPr>
          <w:lang w:val="es-CR"/>
        </w:rPr>
        <w:t xml:space="preserve"> </w:t>
      </w:r>
      <w:r w:rsidRPr="00817659">
        <w:rPr>
          <w:lang w:val="es-ES"/>
        </w:rPr>
        <w:t xml:space="preserve">Al respecto, voto concurrente </w:t>
      </w:r>
      <w:r>
        <w:rPr>
          <w:i/>
          <w:lang w:val="es-ES"/>
        </w:rPr>
        <w:t>C</w:t>
      </w:r>
      <w:r w:rsidRPr="00C24C47">
        <w:rPr>
          <w:i/>
          <w:lang w:val="es-ES"/>
        </w:rPr>
        <w:t xml:space="preserve">aso González </w:t>
      </w:r>
      <w:proofErr w:type="spellStart"/>
      <w:r w:rsidRPr="00C24C47">
        <w:rPr>
          <w:i/>
          <w:lang w:val="es-ES"/>
        </w:rPr>
        <w:t>Lluy</w:t>
      </w:r>
      <w:proofErr w:type="spellEnd"/>
      <w:r w:rsidRPr="00C24C47">
        <w:rPr>
          <w:i/>
          <w:lang w:val="es-ES"/>
        </w:rPr>
        <w:t xml:space="preserve"> y otros Vs. Ecuador</w:t>
      </w:r>
      <w:r w:rsidRPr="00817659">
        <w:rPr>
          <w:lang w:val="es-ES"/>
        </w:rPr>
        <w:t xml:space="preserve">, </w:t>
      </w:r>
      <w:proofErr w:type="spellStart"/>
      <w:r w:rsidRPr="00817659">
        <w:rPr>
          <w:lang w:val="es-ES"/>
        </w:rPr>
        <w:t>párrs</w:t>
      </w:r>
      <w:proofErr w:type="spellEnd"/>
      <w:r w:rsidRPr="00817659">
        <w:rPr>
          <w:lang w:val="es-ES"/>
        </w:rPr>
        <w:t xml:space="preserve">. 7 a 11. </w:t>
      </w:r>
    </w:p>
  </w:footnote>
  <w:footnote w:id="448">
    <w:p w14:paraId="1518FFAE" w14:textId="77777777" w:rsidR="00D86616" w:rsidRPr="00817659" w:rsidRDefault="00D86616" w:rsidP="00C44F79">
      <w:pPr>
        <w:pStyle w:val="NormalWeb"/>
        <w:tabs>
          <w:tab w:val="left" w:pos="709"/>
        </w:tabs>
        <w:spacing w:before="0" w:beforeAutospacing="0" w:after="0" w:afterAutospacing="0"/>
        <w:ind w:right="333"/>
        <w:jc w:val="both"/>
        <w:rPr>
          <w:rFonts w:ascii="Verdana" w:hAnsi="Verdana" w:cs="Tahoma"/>
          <w:color w:val="000000"/>
          <w:sz w:val="16"/>
          <w:szCs w:val="16"/>
        </w:rPr>
      </w:pPr>
      <w:r w:rsidRPr="00817659">
        <w:rPr>
          <w:rStyle w:val="FootnoteReference"/>
          <w:rFonts w:eastAsiaTheme="majorEastAsia"/>
          <w:sz w:val="16"/>
          <w:szCs w:val="16"/>
        </w:rPr>
        <w:footnoteRef/>
      </w:r>
      <w:r w:rsidRPr="00817659">
        <w:rPr>
          <w:rFonts w:ascii="Verdana" w:hAnsi="Verdana"/>
          <w:sz w:val="16"/>
          <w:szCs w:val="16"/>
        </w:rPr>
        <w:t xml:space="preserve"> </w:t>
      </w:r>
      <w:r w:rsidRPr="00817659">
        <w:rPr>
          <w:rFonts w:ascii="Verdana" w:hAnsi="Verdana" w:cs="Tahoma"/>
          <w:bCs/>
          <w:color w:val="000000"/>
          <w:sz w:val="16"/>
          <w:szCs w:val="16"/>
        </w:rPr>
        <w:t>CAPITULO III</w:t>
      </w:r>
      <w:r>
        <w:rPr>
          <w:rFonts w:ascii="Verdana" w:hAnsi="Verdana" w:cs="Tahoma"/>
          <w:bCs/>
          <w:color w:val="000000"/>
          <w:sz w:val="16"/>
          <w:szCs w:val="16"/>
        </w:rPr>
        <w:t xml:space="preserve">. </w:t>
      </w:r>
      <w:r w:rsidRPr="00817659">
        <w:rPr>
          <w:rFonts w:ascii="Verdana" w:hAnsi="Verdana" w:cs="Tahoma"/>
          <w:bCs/>
          <w:color w:val="000000"/>
          <w:sz w:val="16"/>
          <w:szCs w:val="16"/>
        </w:rPr>
        <w:t>DERECHOS ECONOMICOS, SOCIALES Y CULTURALES</w:t>
      </w:r>
      <w:r>
        <w:rPr>
          <w:rFonts w:ascii="Verdana" w:hAnsi="Verdana" w:cs="Tahoma"/>
          <w:bCs/>
          <w:color w:val="000000"/>
          <w:sz w:val="16"/>
          <w:szCs w:val="16"/>
        </w:rPr>
        <w:t xml:space="preserve">. </w:t>
      </w:r>
      <w:r w:rsidRPr="00817659">
        <w:rPr>
          <w:rFonts w:ascii="Verdana" w:hAnsi="Verdana" w:cs="Tahoma"/>
          <w:bCs/>
          <w:color w:val="000000"/>
          <w:sz w:val="16"/>
          <w:szCs w:val="16"/>
        </w:rPr>
        <w:t>Artículo 26.  Desarrollo Progresivo</w:t>
      </w:r>
    </w:p>
    <w:p w14:paraId="7B15663D" w14:textId="77777777" w:rsidR="00D86616" w:rsidRPr="00817659" w:rsidRDefault="00D86616" w:rsidP="00C44F79">
      <w:pPr>
        <w:pStyle w:val="NormalWeb"/>
        <w:tabs>
          <w:tab w:val="left" w:pos="709"/>
        </w:tabs>
        <w:spacing w:before="0" w:beforeAutospacing="0" w:after="0" w:afterAutospacing="0"/>
        <w:ind w:right="49"/>
        <w:jc w:val="both"/>
        <w:rPr>
          <w:rFonts w:ascii="Verdana" w:hAnsi="Verdana" w:cs="Tahoma"/>
          <w:color w:val="000000"/>
          <w:sz w:val="16"/>
          <w:szCs w:val="16"/>
        </w:rPr>
      </w:pPr>
      <w:r w:rsidRPr="00817659">
        <w:rPr>
          <w:rFonts w:ascii="Verdana" w:hAnsi="Verdana" w:cs="Tahoma"/>
          <w:color w:val="000000"/>
          <w:sz w:val="16"/>
          <w:szCs w:val="16"/>
        </w:rPr>
        <w:t xml:space="preserve">Los Estados Partes se comprometen a adoptar providencias, tanto a nivel interno como mediante la cooperación internacional, especialmente económica y técnica, para lograr </w:t>
      </w:r>
      <w:r w:rsidRPr="00817659">
        <w:rPr>
          <w:rFonts w:ascii="Verdana" w:hAnsi="Verdana" w:cs="Tahoma"/>
          <w:color w:val="000000"/>
          <w:sz w:val="16"/>
          <w:szCs w:val="16"/>
          <w:u w:val="single"/>
        </w:rPr>
        <w:t>progresivamente la plena efectividad de los derechos que se derivan de las normas económicas, sociales y sobre educación, ciencia y cultura, contenidas en la Carta de la Organización de los Estados Americanos</w:t>
      </w:r>
      <w:r w:rsidRPr="00817659">
        <w:rPr>
          <w:rFonts w:ascii="Verdana" w:hAnsi="Verdana" w:cs="Tahoma"/>
          <w:color w:val="000000"/>
          <w:sz w:val="16"/>
          <w:szCs w:val="16"/>
        </w:rPr>
        <w:t>, reformada por el Protocolo de Buenos Aires, en la medida de los recursos disponibles, por vía legislativa u otros medios apropiados. (Subrayado fuera del texto)</w:t>
      </w:r>
      <w:r>
        <w:rPr>
          <w:rFonts w:ascii="Verdana" w:hAnsi="Verdana" w:cs="Tahoma"/>
          <w:color w:val="000000"/>
          <w:sz w:val="16"/>
          <w:szCs w:val="16"/>
        </w:rPr>
        <w:t>.</w:t>
      </w:r>
    </w:p>
  </w:footnote>
  <w:footnote w:id="449">
    <w:p w14:paraId="7F001C8E" w14:textId="77777777" w:rsidR="00D86616" w:rsidRPr="00817659" w:rsidRDefault="00D86616" w:rsidP="00C44F79">
      <w:pPr>
        <w:pStyle w:val="FootnoteText"/>
        <w:rPr>
          <w:lang w:val="es-CR"/>
        </w:rPr>
      </w:pPr>
      <w:r w:rsidRPr="00817659">
        <w:rPr>
          <w:rStyle w:val="FootnoteReference"/>
          <w:sz w:val="16"/>
        </w:rPr>
        <w:footnoteRef/>
      </w:r>
      <w:r w:rsidRPr="000D35BC">
        <w:rPr>
          <w:lang w:val="es-CR"/>
        </w:rPr>
        <w:t xml:space="preserve"> </w:t>
      </w:r>
      <w:r w:rsidRPr="00817659">
        <w:rPr>
          <w:lang w:val="es-CR"/>
        </w:rPr>
        <w:t xml:space="preserve">A manera de ejemplo, el artículo XI establece que: </w:t>
      </w:r>
      <w:r w:rsidRPr="000D35BC">
        <w:rPr>
          <w:lang w:val="es-CR"/>
        </w:rPr>
        <w:t>Toda persona tiene derecho a que su salud sea preservada por medidas sanitarias y sociales, relativas a la alimentación, el vestido, la vivienda y la asistencia médica, correspondientes al nivel que permitan los recursos públicos y los de la comunidad.</w:t>
      </w:r>
    </w:p>
  </w:footnote>
  <w:footnote w:id="450">
    <w:p w14:paraId="42547117" w14:textId="77777777" w:rsidR="00D86616" w:rsidRPr="000D35BC" w:rsidRDefault="00D86616" w:rsidP="00C44F79">
      <w:pPr>
        <w:pStyle w:val="FootnoteText"/>
        <w:rPr>
          <w:lang w:val="es-CR"/>
        </w:rPr>
      </w:pPr>
      <w:r w:rsidRPr="00817659">
        <w:rPr>
          <w:rStyle w:val="FootnoteReference"/>
          <w:sz w:val="16"/>
        </w:rPr>
        <w:footnoteRef/>
      </w:r>
      <w:r w:rsidRPr="000D35BC">
        <w:rPr>
          <w:lang w:val="es-CR"/>
        </w:rPr>
        <w:t xml:space="preserve"> Al respecto, </w:t>
      </w:r>
      <w:r w:rsidRPr="00817659">
        <w:rPr>
          <w:caps/>
          <w:lang w:val="es-CO"/>
        </w:rPr>
        <w:t>“</w:t>
      </w:r>
      <w:r w:rsidRPr="00817659">
        <w:rPr>
          <w:lang w:val="es-CO"/>
        </w:rPr>
        <w:t>en el camino que debe seguirse para determinar si un derecho se encuentra implícito en la Carta es necesario, a nuestro entender, evitar el atajo de apelar directamente a la Declaración Americana como instrumento que informa el contenido de los derechos humanos consagrados en la Carta. [Esto teniendo en cuenta que] el artículo 26 habla de los derechos que se derivan de las normas económicas, sociales, y sobre educación, ciencia y cultura de la Carta y no remite a la Declaración</w:t>
      </w:r>
      <w:r w:rsidRPr="00817659">
        <w:rPr>
          <w:caps/>
          <w:lang w:val="es-CO"/>
        </w:rPr>
        <w:t xml:space="preserve">”. </w:t>
      </w:r>
      <w:proofErr w:type="spellStart"/>
      <w:r w:rsidRPr="00817659">
        <w:rPr>
          <w:lang w:val="es-CO"/>
        </w:rPr>
        <w:t>Abramovich</w:t>
      </w:r>
      <w:proofErr w:type="spellEnd"/>
      <w:r w:rsidRPr="00817659">
        <w:rPr>
          <w:lang w:val="es-CO"/>
        </w:rPr>
        <w:t xml:space="preserve">, V. and </w:t>
      </w:r>
      <w:proofErr w:type="spellStart"/>
      <w:r w:rsidRPr="00817659">
        <w:rPr>
          <w:lang w:val="es-CO"/>
        </w:rPr>
        <w:t>Rossi</w:t>
      </w:r>
      <w:proofErr w:type="spellEnd"/>
      <w:r w:rsidRPr="00817659">
        <w:rPr>
          <w:lang w:val="es-CO"/>
        </w:rPr>
        <w:t>, J., ‘</w:t>
      </w:r>
      <w:r w:rsidRPr="00C24C47">
        <w:rPr>
          <w:i/>
          <w:lang w:val="es-CO"/>
        </w:rPr>
        <w:t>La Tutela de los Derechos Económicos, Sociales y Culturales en el Artículo 26 de la Convención Americana sobre Derechos Humanos’</w:t>
      </w:r>
      <w:r w:rsidRPr="00817659">
        <w:rPr>
          <w:lang w:val="es-CO"/>
        </w:rPr>
        <w:t>, Estudios Socio-Jurídicos, Vol. 9, 2007, pp. 47.</w:t>
      </w:r>
    </w:p>
  </w:footnote>
  <w:footnote w:id="451">
    <w:p w14:paraId="3C8362C9" w14:textId="77777777" w:rsidR="00D86616" w:rsidRPr="00817659" w:rsidRDefault="00D86616" w:rsidP="00C44F79">
      <w:pPr>
        <w:pStyle w:val="FootnoteText"/>
        <w:rPr>
          <w:lang w:val="es-CR"/>
        </w:rPr>
      </w:pPr>
      <w:r w:rsidRPr="00817659">
        <w:rPr>
          <w:rStyle w:val="FootnoteReference"/>
          <w:sz w:val="16"/>
        </w:rPr>
        <w:footnoteRef/>
      </w:r>
      <w:r w:rsidRPr="000D35BC">
        <w:rPr>
          <w:lang w:val="es-CR"/>
        </w:rPr>
        <w:t xml:space="preserve"> Por ejemplo, el </w:t>
      </w:r>
      <w:r w:rsidRPr="00817659">
        <w:rPr>
          <w:lang w:val="es-CR"/>
        </w:rPr>
        <w:t>artículo 45.b de la Carta establece que: “</w:t>
      </w:r>
      <w:r w:rsidRPr="000D35BC">
        <w:rPr>
          <w:rFonts w:cs="Tahoma"/>
          <w:color w:val="000000"/>
          <w:lang w:val="es-CR"/>
        </w:rPr>
        <w:t>El trabajo es un derecho y un deber social, otorga dignidad a quien lo realiza y debe prestarse en condiciones que, incluyendo un régimen de salarios justos, aseguren la vida, la salud y un nivel económico decoroso para el trabajador y su familia, tanto en sus años de trabajo como en su vejez, o cuando cualquier circunstancia lo prive de la posibilidad de trabajar</w:t>
      </w:r>
      <w:r w:rsidRPr="00817659">
        <w:rPr>
          <w:lang w:val="es-CR"/>
        </w:rPr>
        <w:t>”.</w:t>
      </w:r>
    </w:p>
  </w:footnote>
  <w:footnote w:id="452">
    <w:p w14:paraId="17719449" w14:textId="77777777" w:rsidR="00D86616" w:rsidRPr="00817659" w:rsidRDefault="00D86616" w:rsidP="00C44F79">
      <w:pPr>
        <w:pStyle w:val="FootnoteText"/>
        <w:rPr>
          <w:lang w:val="es-ES"/>
        </w:rPr>
      </w:pPr>
      <w:r w:rsidRPr="00817659">
        <w:rPr>
          <w:rStyle w:val="FootnoteReference"/>
          <w:sz w:val="16"/>
        </w:rPr>
        <w:footnoteRef/>
      </w:r>
      <w:r w:rsidRPr="000D35BC">
        <w:rPr>
          <w:lang w:val="es-CR"/>
        </w:rPr>
        <w:t xml:space="preserve"> La discusión sobre cuáles son las fuentes de derecho internacional que pueden ser utilizadas por la Corte IDH para establecer los alcances de obligaciones y derechos exigibles a los Estados no es la materia principal del presente voto, pero deseo manifestar mi preocupación por la utilización de documentos tales como la Agenda de 2030 de la Asamblea de Naciones Unidas (metas del milenio) como fuente vinculante para el sistema interamericano. </w:t>
      </w:r>
    </w:p>
  </w:footnote>
  <w:footnote w:id="453">
    <w:p w14:paraId="7B527122" w14:textId="77777777" w:rsidR="00D86616" w:rsidRPr="00817659" w:rsidRDefault="00D86616" w:rsidP="00C44F79">
      <w:pPr>
        <w:pStyle w:val="FootnoteText"/>
        <w:rPr>
          <w:lang w:val="es-ES"/>
        </w:rPr>
      </w:pPr>
      <w:r w:rsidRPr="00817659">
        <w:rPr>
          <w:rStyle w:val="FootnoteReference"/>
          <w:sz w:val="16"/>
        </w:rPr>
        <w:footnoteRef/>
      </w:r>
      <w:r w:rsidRPr="000D35BC">
        <w:rPr>
          <w:lang w:val="es-CR"/>
        </w:rPr>
        <w:t xml:space="preserve"> </w:t>
      </w:r>
      <w:r w:rsidRPr="00817659">
        <w:rPr>
          <w:lang w:val="es-ES"/>
        </w:rPr>
        <w:t xml:space="preserve">Sentencia </w:t>
      </w:r>
      <w:r w:rsidRPr="00C24C47">
        <w:rPr>
          <w:i/>
          <w:lang w:val="es-ES"/>
        </w:rPr>
        <w:t>Lagos del Campo Vs. Perú</w:t>
      </w:r>
      <w:r w:rsidRPr="00817659">
        <w:rPr>
          <w:lang w:val="es-ES"/>
        </w:rPr>
        <w:t>, párr. 145</w:t>
      </w:r>
      <w:r>
        <w:rPr>
          <w:lang w:val="es-ES"/>
        </w:rPr>
        <w:t>.</w:t>
      </w:r>
    </w:p>
  </w:footnote>
  <w:footnote w:id="454">
    <w:p w14:paraId="24CB2388" w14:textId="77777777" w:rsidR="00D86616" w:rsidRPr="00817659" w:rsidRDefault="00D86616" w:rsidP="00C44F79">
      <w:pPr>
        <w:pStyle w:val="FootnoteText"/>
        <w:rPr>
          <w:lang w:val="es-ES"/>
        </w:rPr>
      </w:pPr>
      <w:r w:rsidRPr="00817659">
        <w:rPr>
          <w:rStyle w:val="FootnoteReference"/>
          <w:sz w:val="16"/>
        </w:rPr>
        <w:footnoteRef/>
      </w:r>
      <w:r w:rsidRPr="000D35BC">
        <w:rPr>
          <w:lang w:val="es-CR"/>
        </w:rPr>
        <w:t xml:space="preserve"> </w:t>
      </w:r>
      <w:r w:rsidRPr="00817659">
        <w:rPr>
          <w:lang w:val="es-ES"/>
        </w:rPr>
        <w:t xml:space="preserve">Al respecto, voto concurrente </w:t>
      </w:r>
      <w:r>
        <w:rPr>
          <w:i/>
          <w:lang w:val="es-ES"/>
        </w:rPr>
        <w:t>C</w:t>
      </w:r>
      <w:r w:rsidRPr="00C24C47">
        <w:rPr>
          <w:i/>
          <w:lang w:val="es-ES"/>
        </w:rPr>
        <w:t xml:space="preserve">aso González </w:t>
      </w:r>
      <w:proofErr w:type="spellStart"/>
      <w:r w:rsidRPr="00C24C47">
        <w:rPr>
          <w:i/>
          <w:lang w:val="es-ES"/>
        </w:rPr>
        <w:t>Lluy</w:t>
      </w:r>
      <w:proofErr w:type="spellEnd"/>
      <w:r w:rsidRPr="00C24C47">
        <w:rPr>
          <w:i/>
          <w:lang w:val="es-ES"/>
        </w:rPr>
        <w:t xml:space="preserve"> y otros Vs. Ecuador</w:t>
      </w:r>
      <w:r w:rsidRPr="00817659">
        <w:rPr>
          <w:lang w:val="es-ES"/>
        </w:rPr>
        <w:t xml:space="preserve">, </w:t>
      </w:r>
      <w:proofErr w:type="spellStart"/>
      <w:r w:rsidRPr="00817659">
        <w:rPr>
          <w:lang w:val="es-ES"/>
        </w:rPr>
        <w:t>párrs</w:t>
      </w:r>
      <w:proofErr w:type="spellEnd"/>
      <w:r w:rsidRPr="00817659">
        <w:rPr>
          <w:lang w:val="es-ES"/>
        </w:rPr>
        <w:t>. 12 a 19.</w:t>
      </w:r>
    </w:p>
  </w:footnote>
  <w:footnote w:id="455">
    <w:p w14:paraId="201EEDC0" w14:textId="77777777" w:rsidR="00D86616" w:rsidRPr="00817659" w:rsidRDefault="00D86616" w:rsidP="00C44F79">
      <w:pPr>
        <w:jc w:val="both"/>
        <w:rPr>
          <w:rFonts w:ascii="Verdana" w:eastAsia="Times New Roman" w:hAnsi="Verdana"/>
          <w:sz w:val="16"/>
          <w:szCs w:val="16"/>
          <w:lang w:eastAsia="es-ES_tradnl"/>
        </w:rPr>
      </w:pPr>
      <w:r w:rsidRPr="00817659">
        <w:rPr>
          <w:rStyle w:val="FootnoteReference"/>
          <w:sz w:val="16"/>
          <w:szCs w:val="16"/>
        </w:rPr>
        <w:footnoteRef/>
      </w:r>
      <w:r w:rsidRPr="00817659">
        <w:rPr>
          <w:rFonts w:ascii="Verdana" w:hAnsi="Verdana"/>
          <w:sz w:val="16"/>
          <w:szCs w:val="16"/>
        </w:rPr>
        <w:t xml:space="preserve"> </w:t>
      </w:r>
      <w:r w:rsidRPr="00817659">
        <w:rPr>
          <w:rFonts w:ascii="Verdana" w:hAnsi="Verdana"/>
          <w:sz w:val="16"/>
          <w:szCs w:val="16"/>
          <w:lang w:val="es-ES"/>
        </w:rPr>
        <w:t xml:space="preserve">Un buen ejemplo de la correcta utilización de los métodos de interpretación de los tratados se puede encontrar en la Opinión Consultiva No. 21 respecto a la </w:t>
      </w:r>
      <w:r w:rsidRPr="00817659">
        <w:rPr>
          <w:rFonts w:ascii="Verdana" w:eastAsia="Times New Roman" w:hAnsi="Verdana"/>
          <w:bCs/>
          <w:color w:val="000000"/>
          <w:sz w:val="16"/>
          <w:szCs w:val="16"/>
          <w:shd w:val="clear" w:color="auto" w:fill="FFFFFF"/>
          <w:lang w:eastAsia="es-ES_tradnl"/>
        </w:rPr>
        <w:t>Titularidad de derechos de las personas jurídicas en el sistema interamericano de derechos humanos.</w:t>
      </w:r>
    </w:p>
  </w:footnote>
  <w:footnote w:id="456">
    <w:p w14:paraId="5D93B451" w14:textId="77777777" w:rsidR="00D86616" w:rsidRPr="00817659" w:rsidRDefault="00D86616" w:rsidP="00C44F79">
      <w:pPr>
        <w:pStyle w:val="FootnoteText"/>
        <w:rPr>
          <w:lang w:val="es-ES"/>
        </w:rPr>
      </w:pPr>
      <w:r w:rsidRPr="00817659">
        <w:rPr>
          <w:rStyle w:val="FootnoteReference"/>
          <w:sz w:val="16"/>
        </w:rPr>
        <w:footnoteRef/>
      </w:r>
      <w:r w:rsidRPr="000D35BC">
        <w:rPr>
          <w:lang w:val="es-CR"/>
        </w:rPr>
        <w:t xml:space="preserve"> Al respecto,</w:t>
      </w:r>
      <w:r w:rsidRPr="00817659">
        <w:rPr>
          <w:lang w:val="es-ES"/>
        </w:rPr>
        <w:t xml:space="preserve"> voto concurrente </w:t>
      </w:r>
      <w:r w:rsidRPr="00C24C47">
        <w:rPr>
          <w:i/>
          <w:lang w:val="es-ES"/>
        </w:rPr>
        <w:t xml:space="preserve">Caso González </w:t>
      </w:r>
      <w:proofErr w:type="spellStart"/>
      <w:r w:rsidRPr="00C24C47">
        <w:rPr>
          <w:i/>
          <w:lang w:val="es-ES"/>
        </w:rPr>
        <w:t>Lluy</w:t>
      </w:r>
      <w:proofErr w:type="spellEnd"/>
      <w:r w:rsidRPr="00C24C47">
        <w:rPr>
          <w:i/>
          <w:lang w:val="es-ES"/>
        </w:rPr>
        <w:t xml:space="preserve"> y otros Vs. Ecuador</w:t>
      </w:r>
      <w:r w:rsidRPr="00817659">
        <w:rPr>
          <w:lang w:val="es-ES"/>
        </w:rPr>
        <w:t xml:space="preserve">, </w:t>
      </w:r>
      <w:proofErr w:type="spellStart"/>
      <w:r w:rsidRPr="00817659">
        <w:rPr>
          <w:lang w:val="es-ES"/>
        </w:rPr>
        <w:t>párrs</w:t>
      </w:r>
      <w:proofErr w:type="spellEnd"/>
      <w:r w:rsidRPr="00817659">
        <w:rPr>
          <w:lang w:val="es-ES"/>
        </w:rPr>
        <w:t>. 23 a 28.</w:t>
      </w:r>
    </w:p>
  </w:footnote>
  <w:footnote w:id="457">
    <w:p w14:paraId="067971E7" w14:textId="77777777" w:rsidR="00D86616" w:rsidRPr="00817659" w:rsidRDefault="00D86616" w:rsidP="00C44F79">
      <w:pPr>
        <w:pStyle w:val="FootnoteText"/>
        <w:rPr>
          <w:lang w:val="es-CR"/>
        </w:rPr>
      </w:pPr>
      <w:r w:rsidRPr="00817659">
        <w:rPr>
          <w:rStyle w:val="FootnoteReference"/>
          <w:sz w:val="16"/>
        </w:rPr>
        <w:footnoteRef/>
      </w:r>
      <w:r w:rsidRPr="000D35BC">
        <w:rPr>
          <w:lang w:val="es-CR"/>
        </w:rPr>
        <w:t xml:space="preserve"> </w:t>
      </w:r>
      <w:r w:rsidRPr="00817659">
        <w:rPr>
          <w:lang w:val="es-CR"/>
        </w:rPr>
        <w:t xml:space="preserve">En el mismo sentido, ver: </w:t>
      </w:r>
      <w:r w:rsidRPr="00C24C47">
        <w:rPr>
          <w:bCs/>
          <w:i/>
          <w:lang w:val="es-CR"/>
        </w:rPr>
        <w:t xml:space="preserve">Caso González y otras (“Campo Algodonero”) Vs. México. </w:t>
      </w:r>
      <w:r w:rsidRPr="00C24C47">
        <w:rPr>
          <w:i/>
          <w:lang w:val="es-CR"/>
        </w:rPr>
        <w:t>Excepción Preliminar, Fondo, Reparaciones y Costas</w:t>
      </w:r>
      <w:r w:rsidRPr="00817659">
        <w:rPr>
          <w:lang w:val="es-CR"/>
        </w:rPr>
        <w:t>. Sentencia de 16 de noviembre de 2009. Serie C No. 205, párr. 78.</w:t>
      </w:r>
    </w:p>
  </w:footnote>
  <w:footnote w:id="458">
    <w:p w14:paraId="7C1362A9" w14:textId="77777777" w:rsidR="00D86616" w:rsidRPr="00817659" w:rsidRDefault="00D86616" w:rsidP="00C44F79">
      <w:pPr>
        <w:jc w:val="both"/>
        <w:rPr>
          <w:rFonts w:ascii="Verdana" w:eastAsia="Times New Roman" w:hAnsi="Verdana"/>
          <w:sz w:val="16"/>
          <w:szCs w:val="16"/>
          <w:lang w:eastAsia="es-ES_tradnl"/>
        </w:rPr>
      </w:pPr>
      <w:r w:rsidRPr="00817659">
        <w:rPr>
          <w:rStyle w:val="FootnoteReference"/>
          <w:sz w:val="16"/>
          <w:szCs w:val="16"/>
        </w:rPr>
        <w:footnoteRef/>
      </w:r>
      <w:r w:rsidRPr="00817659">
        <w:rPr>
          <w:rFonts w:ascii="Verdana" w:hAnsi="Verdana"/>
          <w:sz w:val="16"/>
          <w:szCs w:val="16"/>
        </w:rPr>
        <w:t xml:space="preserve"> </w:t>
      </w:r>
      <w:r w:rsidRPr="00C24C47">
        <w:rPr>
          <w:rFonts w:ascii="Verdana" w:eastAsia="Times New Roman" w:hAnsi="Verdana"/>
          <w:i/>
          <w:sz w:val="16"/>
          <w:szCs w:val="16"/>
          <w:lang w:eastAsia="es-ES_tradnl"/>
        </w:rPr>
        <w:t>Caso Velásquez Rodríguez vs. Honduras</w:t>
      </w:r>
      <w:r w:rsidRPr="00817659">
        <w:rPr>
          <w:rFonts w:ascii="Verdana" w:eastAsia="Times New Roman" w:hAnsi="Verdana"/>
          <w:sz w:val="16"/>
          <w:szCs w:val="16"/>
          <w:lang w:eastAsia="es-ES_tradnl"/>
        </w:rPr>
        <w:t xml:space="preserve">, Sentencia de 29 de julio de 1988 (Fondo), Serie C No. 4, </w:t>
      </w:r>
      <w:proofErr w:type="spellStart"/>
      <w:r w:rsidRPr="00817659">
        <w:rPr>
          <w:rFonts w:ascii="Verdana" w:eastAsia="Times New Roman" w:hAnsi="Verdana"/>
          <w:sz w:val="16"/>
          <w:szCs w:val="16"/>
          <w:lang w:eastAsia="es-ES_tradnl"/>
        </w:rPr>
        <w:t>párrs</w:t>
      </w:r>
      <w:proofErr w:type="spellEnd"/>
      <w:r w:rsidRPr="00817659">
        <w:rPr>
          <w:rFonts w:ascii="Verdana" w:eastAsia="Times New Roman" w:hAnsi="Verdana"/>
          <w:sz w:val="16"/>
          <w:szCs w:val="16"/>
          <w:lang w:eastAsia="es-ES_tradnl"/>
        </w:rPr>
        <w:t>. 163 a 166.</w:t>
      </w:r>
    </w:p>
  </w:footnote>
  <w:footnote w:id="459">
    <w:p w14:paraId="0EBCF2FF" w14:textId="77777777" w:rsidR="00D86616" w:rsidRPr="00817659" w:rsidRDefault="00D86616" w:rsidP="00C44F79">
      <w:pPr>
        <w:jc w:val="both"/>
        <w:rPr>
          <w:rFonts w:ascii="Verdana" w:eastAsia="Times New Roman" w:hAnsi="Verdana"/>
          <w:sz w:val="16"/>
          <w:szCs w:val="16"/>
          <w:lang w:eastAsia="es-ES_tradnl"/>
        </w:rPr>
      </w:pPr>
      <w:r w:rsidRPr="00817659">
        <w:rPr>
          <w:rStyle w:val="FootnoteReference"/>
          <w:sz w:val="16"/>
          <w:szCs w:val="16"/>
        </w:rPr>
        <w:footnoteRef/>
      </w:r>
      <w:r w:rsidRPr="00817659">
        <w:rPr>
          <w:rFonts w:ascii="Verdana" w:hAnsi="Verdana"/>
          <w:sz w:val="16"/>
          <w:szCs w:val="16"/>
        </w:rPr>
        <w:t xml:space="preserve"> </w:t>
      </w:r>
      <w:r w:rsidRPr="00C24C47">
        <w:rPr>
          <w:rFonts w:ascii="Verdana" w:eastAsia="Times New Roman" w:hAnsi="Verdana"/>
          <w:i/>
          <w:sz w:val="16"/>
          <w:szCs w:val="16"/>
          <w:lang w:eastAsia="es-ES_tradnl"/>
        </w:rPr>
        <w:t xml:space="preserve">Caso </w:t>
      </w:r>
      <w:proofErr w:type="spellStart"/>
      <w:r w:rsidRPr="00C24C47">
        <w:rPr>
          <w:rFonts w:ascii="Verdana" w:eastAsia="Times New Roman" w:hAnsi="Verdana"/>
          <w:i/>
          <w:sz w:val="16"/>
          <w:szCs w:val="16"/>
          <w:lang w:eastAsia="es-ES_tradnl"/>
        </w:rPr>
        <w:t>Hilaire</w:t>
      </w:r>
      <w:proofErr w:type="spellEnd"/>
      <w:r w:rsidRPr="00C24C47">
        <w:rPr>
          <w:rFonts w:ascii="Verdana" w:eastAsia="Times New Roman" w:hAnsi="Verdana"/>
          <w:i/>
          <w:sz w:val="16"/>
          <w:szCs w:val="16"/>
          <w:lang w:eastAsia="es-ES_tradnl"/>
        </w:rPr>
        <w:t xml:space="preserve">, </w:t>
      </w:r>
      <w:proofErr w:type="spellStart"/>
      <w:r w:rsidRPr="00C24C47">
        <w:rPr>
          <w:rFonts w:ascii="Verdana" w:eastAsia="Times New Roman" w:hAnsi="Verdana"/>
          <w:i/>
          <w:sz w:val="16"/>
          <w:szCs w:val="16"/>
          <w:lang w:eastAsia="es-ES_tradnl"/>
        </w:rPr>
        <w:t>Constantine</w:t>
      </w:r>
      <w:proofErr w:type="spellEnd"/>
      <w:r w:rsidRPr="00C24C47">
        <w:rPr>
          <w:rFonts w:ascii="Verdana" w:eastAsia="Times New Roman" w:hAnsi="Verdana"/>
          <w:i/>
          <w:sz w:val="16"/>
          <w:szCs w:val="16"/>
          <w:lang w:eastAsia="es-ES_tradnl"/>
        </w:rPr>
        <w:t xml:space="preserve"> y </w:t>
      </w:r>
      <w:proofErr w:type="spellStart"/>
      <w:r w:rsidRPr="00C24C47">
        <w:rPr>
          <w:rFonts w:ascii="Verdana" w:eastAsia="Times New Roman" w:hAnsi="Verdana"/>
          <w:i/>
          <w:sz w:val="16"/>
          <w:szCs w:val="16"/>
          <w:lang w:eastAsia="es-ES_tradnl"/>
        </w:rPr>
        <w:t>Benjamin</w:t>
      </w:r>
      <w:proofErr w:type="spellEnd"/>
      <w:r w:rsidRPr="00C24C47">
        <w:rPr>
          <w:rFonts w:ascii="Verdana" w:eastAsia="Times New Roman" w:hAnsi="Verdana"/>
          <w:i/>
          <w:sz w:val="16"/>
          <w:szCs w:val="16"/>
          <w:lang w:eastAsia="es-ES_tradnl"/>
        </w:rPr>
        <w:t xml:space="preserve"> y otros Vs. Trinidad y Tobago</w:t>
      </w:r>
      <w:r w:rsidRPr="00817659">
        <w:rPr>
          <w:rFonts w:ascii="Verdana" w:eastAsia="Times New Roman" w:hAnsi="Verdana"/>
          <w:sz w:val="16"/>
          <w:szCs w:val="16"/>
          <w:lang w:eastAsia="es-ES_tradnl"/>
        </w:rPr>
        <w:t xml:space="preserve">, Sentencia de 21 de junio de 2002, (Fondo, Reparaciones y Costas), pár. 107. </w:t>
      </w:r>
    </w:p>
  </w:footnote>
  <w:footnote w:id="460">
    <w:p w14:paraId="01C2CF05" w14:textId="77777777" w:rsidR="00D86616" w:rsidRPr="00817659" w:rsidRDefault="00D86616" w:rsidP="00C44F79">
      <w:pPr>
        <w:pStyle w:val="FootnoteText"/>
        <w:rPr>
          <w:lang w:val="es-ES"/>
        </w:rPr>
      </w:pPr>
      <w:r w:rsidRPr="00817659">
        <w:rPr>
          <w:rStyle w:val="FootnoteReference"/>
          <w:sz w:val="16"/>
        </w:rPr>
        <w:footnoteRef/>
      </w:r>
      <w:r w:rsidRPr="000D35BC">
        <w:rPr>
          <w:lang w:val="es-CR"/>
        </w:rPr>
        <w:t xml:space="preserve"> </w:t>
      </w:r>
      <w:r w:rsidRPr="00817659">
        <w:rPr>
          <w:lang w:val="es-ES"/>
        </w:rPr>
        <w:t xml:space="preserve">Sentencia </w:t>
      </w:r>
      <w:r w:rsidRPr="00C24C47">
        <w:rPr>
          <w:i/>
          <w:lang w:val="es-ES"/>
        </w:rPr>
        <w:t>Lagos del Campo Vs. Perú</w:t>
      </w:r>
      <w:r w:rsidRPr="00817659">
        <w:rPr>
          <w:lang w:val="es-ES"/>
        </w:rPr>
        <w:t xml:space="preserve">, </w:t>
      </w:r>
      <w:proofErr w:type="spellStart"/>
      <w:r w:rsidRPr="00817659">
        <w:rPr>
          <w:lang w:val="es-ES"/>
        </w:rPr>
        <w:t>párrs</w:t>
      </w:r>
      <w:proofErr w:type="spellEnd"/>
      <w:r w:rsidRPr="00817659">
        <w:rPr>
          <w:lang w:val="es-ES"/>
        </w:rPr>
        <w:t>. 133 a 139.</w:t>
      </w:r>
    </w:p>
  </w:footnote>
  <w:footnote w:id="461">
    <w:p w14:paraId="298CB701" w14:textId="77777777" w:rsidR="00D86616" w:rsidRPr="00817659" w:rsidRDefault="00D86616" w:rsidP="00C44F79">
      <w:pPr>
        <w:pStyle w:val="FootnoteText"/>
        <w:rPr>
          <w:lang w:val="es-ES"/>
        </w:rPr>
      </w:pPr>
      <w:r w:rsidRPr="00064313">
        <w:rPr>
          <w:rStyle w:val="FootnoteReference"/>
          <w:sz w:val="16"/>
        </w:rPr>
        <w:footnoteRef/>
      </w:r>
      <w:r w:rsidRPr="000D35BC">
        <w:rPr>
          <w:lang w:val="es-CR"/>
        </w:rPr>
        <w:t xml:space="preserve"> </w:t>
      </w:r>
      <w:r w:rsidRPr="00064313">
        <w:rPr>
          <w:lang w:val="es-ES"/>
        </w:rPr>
        <w:t>Cabe recalcar que se dice que el Estado peruano conocía los hechos, pero al leer la nota al pie No. 1</w:t>
      </w:r>
      <w:r w:rsidRPr="00C24C47">
        <w:rPr>
          <w:lang w:val="es-ES"/>
        </w:rPr>
        <w:t>83</w:t>
      </w:r>
      <w:r w:rsidRPr="00064313">
        <w:rPr>
          <w:lang w:val="es-ES"/>
        </w:rPr>
        <w:t xml:space="preserve"> que remite a esa afirmación, se lee una cita que hace referencia a un alegato a un derecho al trabajo, no a un hecho en concreto.</w:t>
      </w:r>
    </w:p>
  </w:footnote>
  <w:footnote w:id="462">
    <w:p w14:paraId="16556015" w14:textId="77777777" w:rsidR="00D86616" w:rsidRPr="00817659" w:rsidRDefault="00D86616" w:rsidP="00C44F79">
      <w:pPr>
        <w:pStyle w:val="FootnoteText"/>
        <w:rPr>
          <w:lang w:val="es-ES"/>
        </w:rPr>
      </w:pPr>
      <w:r w:rsidRPr="00817659">
        <w:rPr>
          <w:rStyle w:val="FootnoteReference"/>
          <w:sz w:val="16"/>
        </w:rPr>
        <w:footnoteRef/>
      </w:r>
      <w:r w:rsidRPr="000D35BC">
        <w:rPr>
          <w:lang w:val="es-CR"/>
        </w:rPr>
        <w:t xml:space="preserve"> </w:t>
      </w:r>
      <w:r w:rsidRPr="00817659">
        <w:rPr>
          <w:lang w:val="es-ES"/>
        </w:rPr>
        <w:t xml:space="preserve">Sentencia </w:t>
      </w:r>
      <w:r w:rsidRPr="00C24C47">
        <w:rPr>
          <w:i/>
          <w:lang w:val="es-ES"/>
        </w:rPr>
        <w:t>Lagos del Campo Vs. Perú</w:t>
      </w:r>
      <w:r w:rsidRPr="00817659">
        <w:rPr>
          <w:lang w:val="es-ES"/>
        </w:rPr>
        <w:t>, párr. 137.</w:t>
      </w:r>
    </w:p>
  </w:footnote>
  <w:footnote w:id="463">
    <w:p w14:paraId="6453D161" w14:textId="77777777" w:rsidR="00D86616" w:rsidRPr="00061E9C" w:rsidRDefault="00D86616" w:rsidP="00C44F79">
      <w:pPr>
        <w:jc w:val="both"/>
        <w:rPr>
          <w:rFonts w:ascii="Verdana" w:hAnsi="Verdana"/>
          <w:b/>
          <w:sz w:val="16"/>
          <w:szCs w:val="16"/>
        </w:rPr>
      </w:pPr>
      <w:r w:rsidRPr="00817659">
        <w:rPr>
          <w:rStyle w:val="FootnoteReference"/>
          <w:sz w:val="16"/>
          <w:szCs w:val="16"/>
        </w:rPr>
        <w:footnoteRef/>
      </w:r>
      <w:r w:rsidRPr="00817659">
        <w:rPr>
          <w:rFonts w:ascii="Verdana" w:hAnsi="Verdana"/>
          <w:sz w:val="16"/>
          <w:szCs w:val="16"/>
        </w:rPr>
        <w:t xml:space="preserve"> En efecto, la razón por la cual la Sentencia decide que no hay violación es que “teniendo en cuenta que lo que está bajo análisis no es alguna providencia adoptada por el Estado que haya impedido el desarrollo progresivo del derecho a una pensión, sino más bien el incumplimiento estatal del pago ordenado por sus órganos judiciales, el Tribunal </w:t>
      </w:r>
      <w:r w:rsidRPr="00061E9C">
        <w:rPr>
          <w:rFonts w:ascii="Verdana" w:hAnsi="Verdana"/>
          <w:sz w:val="16"/>
          <w:szCs w:val="16"/>
        </w:rPr>
        <w:t xml:space="preserve">considera que los derechos afectados son aquellos protegidos en los artículos 25 y 21 de la Convención y no encuentra motivo para declarar adicionalmente el incumplimiento del artículo 26 de dicho instrumento”. </w:t>
      </w:r>
      <w:r w:rsidRPr="00061E9C">
        <w:rPr>
          <w:rStyle w:val="Strong"/>
          <w:rFonts w:ascii="Verdana" w:hAnsi="Verdana"/>
          <w:b w:val="0"/>
          <w:i/>
          <w:sz w:val="16"/>
          <w:szCs w:val="16"/>
          <w:shd w:val="clear" w:color="auto" w:fill="FFFFFF"/>
        </w:rPr>
        <w:t>Caso Acevedo Buendía y otros (“Cesantes y Jubilados de la Contraloría”) Vs. Perú</w:t>
      </w:r>
      <w:r w:rsidRPr="00061E9C">
        <w:rPr>
          <w:rStyle w:val="Strong"/>
          <w:rFonts w:ascii="Verdana" w:hAnsi="Verdana"/>
          <w:b w:val="0"/>
          <w:sz w:val="16"/>
          <w:szCs w:val="16"/>
          <w:shd w:val="clear" w:color="auto" w:fill="FFFFFF"/>
        </w:rPr>
        <w:t>, párr. 106.</w:t>
      </w:r>
    </w:p>
  </w:footnote>
  <w:footnote w:id="464">
    <w:p w14:paraId="7E946893" w14:textId="77777777" w:rsidR="00D86616" w:rsidRPr="00061E9C" w:rsidRDefault="00D86616" w:rsidP="00C44F79">
      <w:pPr>
        <w:pStyle w:val="NormalWeb"/>
        <w:shd w:val="clear" w:color="auto" w:fill="FFFFFF"/>
        <w:tabs>
          <w:tab w:val="left" w:pos="567"/>
        </w:tabs>
        <w:spacing w:before="0" w:beforeAutospacing="0" w:after="0" w:afterAutospacing="0"/>
        <w:jc w:val="both"/>
        <w:rPr>
          <w:rFonts w:ascii="Verdana" w:hAnsi="Verdana" w:cs="Tahoma"/>
          <w:sz w:val="16"/>
          <w:szCs w:val="16"/>
        </w:rPr>
      </w:pPr>
      <w:r w:rsidRPr="00061E9C">
        <w:rPr>
          <w:rStyle w:val="FootnoteReference"/>
          <w:rFonts w:eastAsiaTheme="majorEastAsia"/>
          <w:sz w:val="16"/>
          <w:szCs w:val="16"/>
        </w:rPr>
        <w:footnoteRef/>
      </w:r>
      <w:r w:rsidRPr="00061E9C">
        <w:rPr>
          <w:rFonts w:ascii="Verdana" w:hAnsi="Verdana"/>
          <w:sz w:val="16"/>
          <w:szCs w:val="16"/>
        </w:rPr>
        <w:t xml:space="preserve"> </w:t>
      </w:r>
      <w:r w:rsidRPr="00061E9C">
        <w:rPr>
          <w:rFonts w:ascii="Verdana" w:eastAsia="Calibri" w:hAnsi="Verdana"/>
          <w:i/>
          <w:sz w:val="16"/>
          <w:szCs w:val="16"/>
        </w:rPr>
        <w:t xml:space="preserve">Cfr. </w:t>
      </w:r>
      <w:r w:rsidRPr="00061E9C">
        <w:rPr>
          <w:rFonts w:ascii="Verdana" w:hAnsi="Verdana"/>
          <w:sz w:val="16"/>
          <w:szCs w:val="16"/>
        </w:rPr>
        <w:t xml:space="preserve">Opinión Consultiva OC-16/99, párr. 114; </w:t>
      </w:r>
      <w:r w:rsidRPr="00061E9C">
        <w:rPr>
          <w:rStyle w:val="Strong"/>
          <w:rFonts w:ascii="Verdana" w:eastAsiaTheme="majorEastAsia" w:hAnsi="Verdana"/>
          <w:b w:val="0"/>
          <w:i/>
          <w:sz w:val="16"/>
          <w:szCs w:val="16"/>
          <w:shd w:val="clear" w:color="auto" w:fill="FFFFFF"/>
        </w:rPr>
        <w:t xml:space="preserve">Caso </w:t>
      </w:r>
      <w:proofErr w:type="spellStart"/>
      <w:r w:rsidRPr="00061E9C">
        <w:rPr>
          <w:rStyle w:val="Strong"/>
          <w:rFonts w:ascii="Verdana" w:eastAsiaTheme="majorEastAsia" w:hAnsi="Verdana"/>
          <w:b w:val="0"/>
          <w:i/>
          <w:sz w:val="16"/>
          <w:szCs w:val="16"/>
          <w:shd w:val="clear" w:color="auto" w:fill="FFFFFF"/>
        </w:rPr>
        <w:t>Atala</w:t>
      </w:r>
      <w:proofErr w:type="spellEnd"/>
      <w:r w:rsidRPr="00061E9C">
        <w:rPr>
          <w:rStyle w:val="Strong"/>
          <w:rFonts w:ascii="Verdana" w:eastAsiaTheme="majorEastAsia" w:hAnsi="Verdana"/>
          <w:b w:val="0"/>
          <w:i/>
          <w:sz w:val="16"/>
          <w:szCs w:val="16"/>
          <w:shd w:val="clear" w:color="auto" w:fill="FFFFFF"/>
        </w:rPr>
        <w:t xml:space="preserve"> </w:t>
      </w:r>
      <w:proofErr w:type="spellStart"/>
      <w:r w:rsidRPr="00061E9C">
        <w:rPr>
          <w:rStyle w:val="Strong"/>
          <w:rFonts w:ascii="Verdana" w:eastAsiaTheme="majorEastAsia" w:hAnsi="Verdana"/>
          <w:b w:val="0"/>
          <w:i/>
          <w:sz w:val="16"/>
          <w:szCs w:val="16"/>
          <w:shd w:val="clear" w:color="auto" w:fill="FFFFFF"/>
        </w:rPr>
        <w:t>Riffo</w:t>
      </w:r>
      <w:proofErr w:type="spellEnd"/>
      <w:r w:rsidRPr="00061E9C">
        <w:rPr>
          <w:rStyle w:val="Strong"/>
          <w:rFonts w:ascii="Verdana" w:eastAsiaTheme="majorEastAsia" w:hAnsi="Verdana"/>
          <w:b w:val="0"/>
          <w:i/>
          <w:sz w:val="16"/>
          <w:szCs w:val="16"/>
          <w:shd w:val="clear" w:color="auto" w:fill="FFFFFF"/>
        </w:rPr>
        <w:t xml:space="preserve"> y Niñas Vs. Chile. Fondo, Reparaciones y Costas</w:t>
      </w:r>
      <w:r w:rsidRPr="00061E9C">
        <w:rPr>
          <w:rStyle w:val="Strong"/>
          <w:rFonts w:ascii="Verdana" w:eastAsiaTheme="majorEastAsia" w:hAnsi="Verdana"/>
          <w:b w:val="0"/>
          <w:sz w:val="16"/>
          <w:szCs w:val="16"/>
          <w:shd w:val="clear" w:color="auto" w:fill="FFFFFF"/>
        </w:rPr>
        <w:t xml:space="preserve">. Sentencia del 24 de febrero de 2012. Serie C No. 239, párr. 83; </w:t>
      </w:r>
      <w:r w:rsidRPr="00061E9C">
        <w:rPr>
          <w:rStyle w:val="Strong"/>
          <w:rFonts w:ascii="Verdana" w:eastAsiaTheme="majorEastAsia" w:hAnsi="Verdana"/>
          <w:b w:val="0"/>
          <w:i/>
          <w:sz w:val="16"/>
          <w:szCs w:val="16"/>
          <w:shd w:val="clear" w:color="auto" w:fill="FFFFFF"/>
        </w:rPr>
        <w:t xml:space="preserve">Caso </w:t>
      </w:r>
      <w:proofErr w:type="spellStart"/>
      <w:r w:rsidRPr="00061E9C">
        <w:rPr>
          <w:rStyle w:val="Strong"/>
          <w:rFonts w:ascii="Verdana" w:eastAsiaTheme="majorEastAsia" w:hAnsi="Verdana"/>
          <w:b w:val="0"/>
          <w:i/>
          <w:sz w:val="16"/>
          <w:szCs w:val="16"/>
          <w:shd w:val="clear" w:color="auto" w:fill="FFFFFF"/>
        </w:rPr>
        <w:t>Artavia</w:t>
      </w:r>
      <w:proofErr w:type="spellEnd"/>
      <w:r w:rsidRPr="00061E9C">
        <w:rPr>
          <w:rStyle w:val="Strong"/>
          <w:rFonts w:ascii="Verdana" w:eastAsiaTheme="majorEastAsia" w:hAnsi="Verdana"/>
          <w:b w:val="0"/>
          <w:i/>
          <w:sz w:val="16"/>
          <w:szCs w:val="16"/>
          <w:shd w:val="clear" w:color="auto" w:fill="FFFFFF"/>
        </w:rPr>
        <w:t xml:space="preserve"> Murillo y otros (Fecundación in vitro) Vs. Costa Rica</w:t>
      </w:r>
      <w:r w:rsidRPr="00061E9C">
        <w:rPr>
          <w:rStyle w:val="Strong"/>
          <w:rFonts w:ascii="Verdana" w:eastAsiaTheme="majorEastAsia" w:hAnsi="Verdana"/>
          <w:b w:val="0"/>
          <w:sz w:val="16"/>
          <w:szCs w:val="16"/>
          <w:shd w:val="clear" w:color="auto" w:fill="FFFFFF"/>
        </w:rPr>
        <w:t>, párr. 245,</w:t>
      </w:r>
      <w:r w:rsidRPr="00061E9C">
        <w:rPr>
          <w:rFonts w:ascii="Verdana" w:hAnsi="Verdana"/>
          <w:b/>
          <w:sz w:val="16"/>
          <w:szCs w:val="16"/>
        </w:rPr>
        <w:t xml:space="preserve"> </w:t>
      </w:r>
      <w:r w:rsidRPr="00061E9C">
        <w:rPr>
          <w:rFonts w:ascii="Verdana" w:hAnsi="Verdana"/>
          <w:sz w:val="16"/>
          <w:szCs w:val="16"/>
        </w:rPr>
        <w:t>y</w:t>
      </w:r>
      <w:r w:rsidRPr="00061E9C">
        <w:rPr>
          <w:rFonts w:ascii="Verdana" w:hAnsi="Verdana"/>
          <w:b/>
          <w:sz w:val="16"/>
          <w:szCs w:val="16"/>
        </w:rPr>
        <w:t xml:space="preserve"> </w:t>
      </w:r>
      <w:r w:rsidRPr="00061E9C">
        <w:rPr>
          <w:rStyle w:val="Strong"/>
          <w:rFonts w:ascii="Verdana" w:eastAsiaTheme="majorEastAsia" w:hAnsi="Verdana"/>
          <w:b w:val="0"/>
          <w:sz w:val="16"/>
          <w:szCs w:val="16"/>
          <w:shd w:val="clear" w:color="auto" w:fill="FFFFFF"/>
        </w:rPr>
        <w:t>Opinión Consultiva OC-21/14, párr. 55</w:t>
      </w:r>
      <w:r w:rsidRPr="00061E9C">
        <w:rPr>
          <w:rFonts w:ascii="Verdana" w:hAnsi="Verdana"/>
          <w:b/>
          <w:sz w:val="16"/>
          <w:szCs w:val="16"/>
        </w:rPr>
        <w:t>.</w:t>
      </w:r>
      <w:r w:rsidRPr="00061E9C">
        <w:rPr>
          <w:rFonts w:ascii="Verdana" w:hAnsi="Verdana"/>
          <w:sz w:val="16"/>
          <w:szCs w:val="16"/>
        </w:rPr>
        <w:t xml:space="preserve"> En similar sentido, el Preámbulo de la Declaración Americana de los Derechos y Deberes del Hombre indica: “</w:t>
      </w:r>
      <w:r w:rsidRPr="00061E9C">
        <w:rPr>
          <w:rFonts w:ascii="Verdana" w:hAnsi="Verdana" w:cs="Tahoma"/>
          <w:sz w:val="16"/>
          <w:szCs w:val="16"/>
        </w:rPr>
        <w:t>[q]</w:t>
      </w:r>
      <w:proofErr w:type="spellStart"/>
      <w:r w:rsidRPr="00061E9C">
        <w:rPr>
          <w:rFonts w:ascii="Verdana" w:hAnsi="Verdana" w:cs="Tahoma"/>
          <w:sz w:val="16"/>
          <w:szCs w:val="16"/>
        </w:rPr>
        <w:t>ue</w:t>
      </w:r>
      <w:proofErr w:type="spellEnd"/>
      <w:r w:rsidRPr="00061E9C">
        <w:rPr>
          <w:rFonts w:ascii="Verdana" w:hAnsi="Verdana" w:cs="Tahoma"/>
          <w:sz w:val="16"/>
          <w:szCs w:val="16"/>
        </w:rPr>
        <w:t xml:space="preserve"> la protección internacional de los derechos del hombre debe ser guía principalísima del derecho americano en evolución</w:t>
      </w:r>
      <w:r w:rsidRPr="00061E9C">
        <w:rPr>
          <w:rFonts w:ascii="Verdana" w:hAnsi="Verdana"/>
          <w:sz w:val="16"/>
          <w:szCs w:val="16"/>
        </w:rPr>
        <w:t>”.</w:t>
      </w:r>
    </w:p>
  </w:footnote>
  <w:footnote w:id="465">
    <w:p w14:paraId="1E7CD6A6" w14:textId="77777777" w:rsidR="00D86616" w:rsidRPr="00061E9C" w:rsidRDefault="00D86616" w:rsidP="00C44F79">
      <w:pPr>
        <w:tabs>
          <w:tab w:val="left" w:pos="567"/>
        </w:tabs>
        <w:jc w:val="both"/>
        <w:rPr>
          <w:rFonts w:ascii="Verdana" w:hAnsi="Verdana"/>
          <w:sz w:val="16"/>
          <w:szCs w:val="16"/>
          <w:lang w:val="es-CR"/>
        </w:rPr>
      </w:pPr>
      <w:r w:rsidRPr="00061E9C">
        <w:rPr>
          <w:rStyle w:val="FootnoteReference"/>
          <w:sz w:val="16"/>
          <w:szCs w:val="16"/>
          <w:lang w:val="es-CR"/>
        </w:rPr>
        <w:footnoteRef/>
      </w:r>
      <w:r w:rsidRPr="00061E9C">
        <w:rPr>
          <w:rFonts w:ascii="Verdana" w:hAnsi="Verdana"/>
          <w:sz w:val="16"/>
          <w:szCs w:val="16"/>
          <w:lang w:val="es-CR"/>
        </w:rPr>
        <w:t xml:space="preserve"> </w:t>
      </w:r>
      <w:r w:rsidRPr="00061E9C">
        <w:rPr>
          <w:rFonts w:ascii="Verdana" w:hAnsi="Verdana"/>
          <w:i/>
          <w:sz w:val="16"/>
          <w:szCs w:val="16"/>
          <w:lang w:val="es-CR"/>
        </w:rPr>
        <w:t xml:space="preserve">Cfr. </w:t>
      </w:r>
      <w:r w:rsidRPr="00061E9C">
        <w:rPr>
          <w:rFonts w:ascii="Verdana" w:hAnsi="Verdana"/>
          <w:sz w:val="16"/>
          <w:szCs w:val="16"/>
          <w:lang w:val="es-CR"/>
        </w:rPr>
        <w:t xml:space="preserve">Opinión Consultiva OC-16/99, párr. 114, y </w:t>
      </w:r>
      <w:r w:rsidRPr="00061E9C">
        <w:rPr>
          <w:rStyle w:val="Strong"/>
          <w:rFonts w:ascii="Verdana" w:hAnsi="Verdana"/>
          <w:b w:val="0"/>
          <w:sz w:val="16"/>
          <w:szCs w:val="16"/>
          <w:shd w:val="clear" w:color="auto" w:fill="FFFFFF"/>
          <w:lang w:val="es-CR"/>
        </w:rPr>
        <w:t>Opinión Consultiva OC-21/14, párr. 55</w:t>
      </w:r>
      <w:r w:rsidRPr="00061E9C">
        <w:rPr>
          <w:rFonts w:ascii="Verdana" w:hAnsi="Verdana"/>
          <w:sz w:val="16"/>
          <w:szCs w:val="16"/>
          <w:lang w:val="es-CR"/>
        </w:rPr>
        <w:t>.</w:t>
      </w:r>
    </w:p>
  </w:footnote>
  <w:footnote w:id="466">
    <w:p w14:paraId="364372E6" w14:textId="77777777" w:rsidR="00D86616" w:rsidRPr="00817659" w:rsidRDefault="00D86616" w:rsidP="00C44F79">
      <w:pPr>
        <w:pStyle w:val="FootnoteText"/>
        <w:rPr>
          <w:lang w:val="es-ES"/>
        </w:rPr>
      </w:pPr>
      <w:r w:rsidRPr="00061E9C">
        <w:rPr>
          <w:rStyle w:val="FootnoteReference"/>
          <w:sz w:val="16"/>
        </w:rPr>
        <w:footnoteRef/>
      </w:r>
      <w:r w:rsidRPr="00061E9C">
        <w:rPr>
          <w:lang w:val="es-CR"/>
        </w:rPr>
        <w:t xml:space="preserve"> </w:t>
      </w:r>
      <w:r w:rsidRPr="00061E9C">
        <w:rPr>
          <w:lang w:val="es-ES"/>
        </w:rPr>
        <w:t xml:space="preserve">Al respecto, la mutación constitucional hace referencia a “la transformación o modificación de un principio o precepto constitucional”. Humberto Sierra Porto, </w:t>
      </w:r>
      <w:r w:rsidRPr="00061E9C">
        <w:rPr>
          <w:i/>
          <w:lang w:val="es-ES"/>
        </w:rPr>
        <w:t>La reforma de la Constitución</w:t>
      </w:r>
      <w:r w:rsidRPr="00061E9C">
        <w:rPr>
          <w:lang w:val="es-ES"/>
        </w:rPr>
        <w:t>, Bogotá, Instituto de Estudios Constitucionales Carlos Restrepo Piedrahita, 1998, p. 33.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960576" w14:textId="5DA095AC" w:rsidR="00D86616" w:rsidRPr="00333304" w:rsidRDefault="00D86616" w:rsidP="00E00EA8">
    <w:pPr>
      <w:pStyle w:val="Header"/>
      <w:tabs>
        <w:tab w:val="clear" w:pos="8838"/>
        <w:tab w:val="right" w:pos="9639"/>
      </w:tabs>
      <w:jc w:val="center"/>
      <w:rPr>
        <w:rFonts w:ascii="Verdana" w:hAnsi="Verdana"/>
        <w:sz w:val="20"/>
        <w:szCs w:val="20"/>
      </w:rPr>
    </w:pPr>
    <w:sdt>
      <w:sdtPr>
        <w:id w:val="1234125594"/>
        <w:docPartObj>
          <w:docPartGallery w:val="Page Numbers (Top of Page)"/>
          <w:docPartUnique/>
        </w:docPartObj>
      </w:sdtPr>
      <w:sdtEndPr>
        <w:rPr>
          <w:noProof/>
          <w:sz w:val="20"/>
          <w:szCs w:val="20"/>
        </w:rPr>
      </w:sdtEndPr>
      <w:sdtContent>
        <w:r w:rsidRPr="00E00EA8">
          <w:rPr>
            <w:rFonts w:ascii="Verdana" w:hAnsi="Verdana"/>
            <w:sz w:val="20"/>
            <w:szCs w:val="20"/>
          </w:rPr>
          <w:fldChar w:fldCharType="begin"/>
        </w:r>
        <w:r w:rsidRPr="00E00EA8">
          <w:rPr>
            <w:rFonts w:ascii="Verdana" w:hAnsi="Verdana"/>
            <w:sz w:val="20"/>
            <w:szCs w:val="20"/>
          </w:rPr>
          <w:instrText xml:space="preserve"> PAGE   \* MERGEFORMAT </w:instrText>
        </w:r>
        <w:r w:rsidRPr="00E00EA8">
          <w:rPr>
            <w:rFonts w:ascii="Verdana" w:hAnsi="Verdana"/>
            <w:sz w:val="20"/>
            <w:szCs w:val="20"/>
          </w:rPr>
          <w:fldChar w:fldCharType="separate"/>
        </w:r>
        <w:r w:rsidR="009378BF">
          <w:rPr>
            <w:rFonts w:ascii="Verdana" w:hAnsi="Verdana"/>
            <w:noProof/>
            <w:sz w:val="20"/>
            <w:szCs w:val="20"/>
          </w:rPr>
          <w:t>18</w:t>
        </w:r>
        <w:r w:rsidRPr="00E00EA8">
          <w:rPr>
            <w:rFonts w:ascii="Verdana" w:hAnsi="Verdana"/>
            <w:noProof/>
            <w:sz w:val="20"/>
            <w:szCs w:val="20"/>
          </w:rPr>
          <w:fldChar w:fldCharType="end"/>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multilevel"/>
    <w:tmpl w:val="00000008"/>
    <w:name w:val="WW8Num20"/>
    <w:lvl w:ilvl="0">
      <w:start w:val="1"/>
      <w:numFmt w:val="decimal"/>
      <w:pStyle w:val="Estilo4"/>
      <w:lvlText w:val="%1."/>
      <w:lvlJc w:val="left"/>
      <w:pPr>
        <w:tabs>
          <w:tab w:val="num" w:pos="0"/>
        </w:tabs>
        <w:ind w:left="720" w:hanging="360"/>
      </w:pPr>
      <w:rPr>
        <w:rFonts w:ascii="Verdana" w:eastAsia="Calibri" w:hAnsi="Verdana" w:cs="Times New Roman"/>
        <w:b w:val="0"/>
        <w:i w:val="0"/>
        <w:strike w:val="0"/>
        <w:dstrike w:val="0"/>
        <w:color w:val="auto"/>
        <w:sz w:val="20"/>
        <w:szCs w:val="20"/>
      </w:rPr>
    </w:lvl>
    <w:lvl w:ilvl="1">
      <w:start w:val="1"/>
      <w:numFmt w:val="lowerLetter"/>
      <w:lvlText w:val="%2)"/>
      <w:lvlJc w:val="left"/>
      <w:pPr>
        <w:tabs>
          <w:tab w:val="num" w:pos="0"/>
        </w:tabs>
        <w:ind w:left="1440" w:hanging="360"/>
      </w:pPr>
      <w:rPr>
        <w:rFonts w:ascii="Verdana" w:hAnsi="Verdana" w:cs="Times New Roman"/>
        <w:b w:val="0"/>
        <w:i/>
        <w:caps w:val="0"/>
        <w:smallCaps w:val="0"/>
        <w:strike w:val="0"/>
        <w:dstrike w:val="0"/>
        <w:vanish w:val="0"/>
        <w:color w:val="auto"/>
        <w:position w:val="0"/>
        <w:sz w:val="20"/>
        <w:vertAlign w:val="baseline"/>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nsid w:val="013171C0"/>
    <w:multiLevelType w:val="hybridMultilevel"/>
    <w:tmpl w:val="F84E5BE0"/>
    <w:lvl w:ilvl="0" w:tplc="2B82670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DE40BC"/>
    <w:multiLevelType w:val="hybridMultilevel"/>
    <w:tmpl w:val="0366D748"/>
    <w:lvl w:ilvl="0" w:tplc="B906C71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0E68B8"/>
    <w:multiLevelType w:val="hybridMultilevel"/>
    <w:tmpl w:val="7544287C"/>
    <w:lvl w:ilvl="0" w:tplc="43EAE734">
      <w:start w:val="1"/>
      <w:numFmt w:val="lowerRoman"/>
      <w:lvlText w:val="%1)"/>
      <w:lvlJc w:val="left"/>
      <w:pPr>
        <w:ind w:left="1776" w:hanging="360"/>
      </w:pPr>
      <w:rPr>
        <w:rFonts w:hint="default"/>
      </w:rPr>
    </w:lvl>
    <w:lvl w:ilvl="1" w:tplc="140A0019" w:tentative="1">
      <w:start w:val="1"/>
      <w:numFmt w:val="lowerLetter"/>
      <w:lvlText w:val="%2."/>
      <w:lvlJc w:val="left"/>
      <w:pPr>
        <w:ind w:left="2496" w:hanging="360"/>
      </w:pPr>
    </w:lvl>
    <w:lvl w:ilvl="2" w:tplc="140A001B" w:tentative="1">
      <w:start w:val="1"/>
      <w:numFmt w:val="lowerRoman"/>
      <w:lvlText w:val="%3."/>
      <w:lvlJc w:val="right"/>
      <w:pPr>
        <w:ind w:left="3216" w:hanging="180"/>
      </w:pPr>
    </w:lvl>
    <w:lvl w:ilvl="3" w:tplc="140A000F" w:tentative="1">
      <w:start w:val="1"/>
      <w:numFmt w:val="decimal"/>
      <w:lvlText w:val="%4."/>
      <w:lvlJc w:val="left"/>
      <w:pPr>
        <w:ind w:left="3936" w:hanging="360"/>
      </w:pPr>
    </w:lvl>
    <w:lvl w:ilvl="4" w:tplc="140A0019" w:tentative="1">
      <w:start w:val="1"/>
      <w:numFmt w:val="lowerLetter"/>
      <w:lvlText w:val="%5."/>
      <w:lvlJc w:val="left"/>
      <w:pPr>
        <w:ind w:left="4656" w:hanging="360"/>
      </w:pPr>
    </w:lvl>
    <w:lvl w:ilvl="5" w:tplc="140A001B" w:tentative="1">
      <w:start w:val="1"/>
      <w:numFmt w:val="lowerRoman"/>
      <w:lvlText w:val="%6."/>
      <w:lvlJc w:val="right"/>
      <w:pPr>
        <w:ind w:left="5376" w:hanging="180"/>
      </w:pPr>
    </w:lvl>
    <w:lvl w:ilvl="6" w:tplc="140A000F" w:tentative="1">
      <w:start w:val="1"/>
      <w:numFmt w:val="decimal"/>
      <w:lvlText w:val="%7."/>
      <w:lvlJc w:val="left"/>
      <w:pPr>
        <w:ind w:left="6096" w:hanging="360"/>
      </w:pPr>
    </w:lvl>
    <w:lvl w:ilvl="7" w:tplc="140A0019" w:tentative="1">
      <w:start w:val="1"/>
      <w:numFmt w:val="lowerLetter"/>
      <w:lvlText w:val="%8."/>
      <w:lvlJc w:val="left"/>
      <w:pPr>
        <w:ind w:left="6816" w:hanging="360"/>
      </w:pPr>
    </w:lvl>
    <w:lvl w:ilvl="8" w:tplc="140A001B" w:tentative="1">
      <w:start w:val="1"/>
      <w:numFmt w:val="lowerRoman"/>
      <w:lvlText w:val="%9."/>
      <w:lvlJc w:val="right"/>
      <w:pPr>
        <w:ind w:left="7536" w:hanging="180"/>
      </w:pPr>
    </w:lvl>
  </w:abstractNum>
  <w:abstractNum w:abstractNumId="4">
    <w:nsid w:val="074E7427"/>
    <w:multiLevelType w:val="hybridMultilevel"/>
    <w:tmpl w:val="6A4C77B4"/>
    <w:lvl w:ilvl="0" w:tplc="B4E8DDE4">
      <w:start w:val="1"/>
      <w:numFmt w:val="upperRoman"/>
      <w:pStyle w:val="Style1"/>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
    <w:nsid w:val="079F1E49"/>
    <w:multiLevelType w:val="hybridMultilevel"/>
    <w:tmpl w:val="D62255A8"/>
    <w:lvl w:ilvl="0" w:tplc="790E85C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91B7E24"/>
    <w:multiLevelType w:val="hybridMultilevel"/>
    <w:tmpl w:val="81AE56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93F788A"/>
    <w:multiLevelType w:val="hybridMultilevel"/>
    <w:tmpl w:val="553C3BD6"/>
    <w:lvl w:ilvl="0" w:tplc="D204976E">
      <w:start w:val="1"/>
      <w:numFmt w:val="decimal"/>
      <w:lvlText w:val="%1."/>
      <w:lvlJc w:val="left"/>
      <w:pPr>
        <w:ind w:left="720" w:hanging="360"/>
      </w:pPr>
      <w:rPr>
        <w:rFonts w:hint="default"/>
        <w:b/>
        <w:strike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nsid w:val="1061086E"/>
    <w:multiLevelType w:val="hybridMultilevel"/>
    <w:tmpl w:val="3704E16C"/>
    <w:lvl w:ilvl="0" w:tplc="F0A69672">
      <w:start w:val="1"/>
      <w:numFmt w:val="decimal"/>
      <w:pStyle w:val="Estilo1"/>
      <w:lvlText w:val="%1."/>
      <w:lvlJc w:val="left"/>
      <w:pPr>
        <w:ind w:left="720" w:hanging="360"/>
      </w:pPr>
      <w:rPr>
        <w:rFonts w:hint="default"/>
      </w:rPr>
    </w:lvl>
    <w:lvl w:ilvl="1" w:tplc="870EC26C">
      <w:start w:val="1"/>
      <w:numFmt w:val="lowerLetter"/>
      <w:lvlText w:val="%2)"/>
      <w:lvlJc w:val="left"/>
      <w:pPr>
        <w:ind w:left="1440" w:hanging="360"/>
      </w:pPr>
      <w:rPr>
        <w:rFonts w:ascii="Times New Roman" w:hAnsi="Times New Roman" w:cs="Times New Roman" w:hint="default"/>
        <w:b w:val="0"/>
        <w:i/>
        <w:sz w:val="24"/>
        <w:szCs w:val="24"/>
      </w:r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9">
    <w:nsid w:val="10B117D1"/>
    <w:multiLevelType w:val="hybridMultilevel"/>
    <w:tmpl w:val="72B2A2B0"/>
    <w:lvl w:ilvl="0" w:tplc="CDACFC98">
      <w:start w:val="1"/>
      <w:numFmt w:val="decimal"/>
      <w:lvlText w:val="%1."/>
      <w:lvlJc w:val="left"/>
      <w:pPr>
        <w:ind w:left="360" w:hanging="360"/>
      </w:pPr>
      <w:rPr>
        <w:rFonts w:ascii="Verdana" w:hAnsi="Verdana" w:hint="default"/>
        <w:b w:val="0"/>
        <w:i w:val="0"/>
        <w:sz w:val="20"/>
        <w:szCs w:val="20"/>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136F3EA2"/>
    <w:multiLevelType w:val="hybridMultilevel"/>
    <w:tmpl w:val="D00E4DA4"/>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
    <w:nsid w:val="1A736248"/>
    <w:multiLevelType w:val="hybridMultilevel"/>
    <w:tmpl w:val="2132D212"/>
    <w:lvl w:ilvl="0" w:tplc="919A28B4">
      <w:start w:val="1"/>
      <w:numFmt w:val="upperLetter"/>
      <w:lvlText w:val="%1."/>
      <w:lvlJc w:val="left"/>
      <w:pPr>
        <w:ind w:left="360" w:hanging="360"/>
      </w:pPr>
      <w:rPr>
        <w:rFonts w:hint="default"/>
        <w:b/>
        <w:color w:val="auto"/>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2">
    <w:nsid w:val="29BD6209"/>
    <w:multiLevelType w:val="hybridMultilevel"/>
    <w:tmpl w:val="E6B2DE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B8A0FDE"/>
    <w:multiLevelType w:val="multilevel"/>
    <w:tmpl w:val="AB28B5F6"/>
    <w:lvl w:ilvl="0">
      <w:start w:val="1"/>
      <w:numFmt w:val="decimal"/>
      <w:lvlText w:val="%1."/>
      <w:lvlJc w:val="left"/>
      <w:pPr>
        <w:ind w:left="720" w:hanging="360"/>
      </w:pPr>
      <w:rPr>
        <w:b/>
        <w:i/>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4">
    <w:nsid w:val="2ECF7D97"/>
    <w:multiLevelType w:val="hybridMultilevel"/>
    <w:tmpl w:val="553C3BD6"/>
    <w:lvl w:ilvl="0" w:tplc="D204976E">
      <w:start w:val="1"/>
      <w:numFmt w:val="decimal"/>
      <w:lvlText w:val="%1."/>
      <w:lvlJc w:val="left"/>
      <w:pPr>
        <w:ind w:left="720" w:hanging="360"/>
      </w:pPr>
      <w:rPr>
        <w:rFonts w:hint="default"/>
        <w:b/>
        <w:strike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nsid w:val="32650A12"/>
    <w:multiLevelType w:val="hybridMultilevel"/>
    <w:tmpl w:val="C6DA4C48"/>
    <w:lvl w:ilvl="0" w:tplc="E45E64BA">
      <w:start w:val="1"/>
      <w:numFmt w:val="upperLetter"/>
      <w:lvlText w:val="%1."/>
      <w:lvlJc w:val="left"/>
      <w:pPr>
        <w:ind w:left="360" w:hanging="360"/>
      </w:pPr>
      <w:rPr>
        <w:rFonts w:hint="default"/>
        <w:b/>
        <w:color w:val="auto"/>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6">
    <w:nsid w:val="34067608"/>
    <w:multiLevelType w:val="hybridMultilevel"/>
    <w:tmpl w:val="C02AA7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54D0245"/>
    <w:multiLevelType w:val="hybridMultilevel"/>
    <w:tmpl w:val="28FE0B5E"/>
    <w:lvl w:ilvl="0" w:tplc="140A0015">
      <w:start w:val="1"/>
      <w:numFmt w:val="upperLetter"/>
      <w:lvlText w:val="%1."/>
      <w:lvlJc w:val="left"/>
      <w:pPr>
        <w:ind w:left="360" w:hanging="360"/>
      </w:pPr>
      <w:rPr>
        <w:rFonts w:hint="default"/>
        <w:color w:val="auto"/>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8">
    <w:nsid w:val="35F10BB0"/>
    <w:multiLevelType w:val="hybridMultilevel"/>
    <w:tmpl w:val="7C148050"/>
    <w:lvl w:ilvl="0" w:tplc="2564CF76">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nsid w:val="371026D6"/>
    <w:multiLevelType w:val="hybridMultilevel"/>
    <w:tmpl w:val="B8E8458E"/>
    <w:lvl w:ilvl="0" w:tplc="361AE51A">
      <w:start w:val="1"/>
      <w:numFmt w:val="decimal"/>
      <w:lvlText w:val="%1."/>
      <w:lvlJc w:val="left"/>
      <w:pPr>
        <w:ind w:left="927" w:hanging="360"/>
      </w:pPr>
      <w:rPr>
        <w:rFonts w:hint="default"/>
      </w:rPr>
    </w:lvl>
    <w:lvl w:ilvl="1" w:tplc="140A0019" w:tentative="1">
      <w:start w:val="1"/>
      <w:numFmt w:val="lowerLetter"/>
      <w:lvlText w:val="%2."/>
      <w:lvlJc w:val="left"/>
      <w:pPr>
        <w:ind w:left="1647" w:hanging="360"/>
      </w:pPr>
    </w:lvl>
    <w:lvl w:ilvl="2" w:tplc="140A001B" w:tentative="1">
      <w:start w:val="1"/>
      <w:numFmt w:val="lowerRoman"/>
      <w:lvlText w:val="%3."/>
      <w:lvlJc w:val="right"/>
      <w:pPr>
        <w:ind w:left="2367" w:hanging="180"/>
      </w:pPr>
    </w:lvl>
    <w:lvl w:ilvl="3" w:tplc="140A000F" w:tentative="1">
      <w:start w:val="1"/>
      <w:numFmt w:val="decimal"/>
      <w:lvlText w:val="%4."/>
      <w:lvlJc w:val="left"/>
      <w:pPr>
        <w:ind w:left="3087" w:hanging="360"/>
      </w:pPr>
    </w:lvl>
    <w:lvl w:ilvl="4" w:tplc="140A0019" w:tentative="1">
      <w:start w:val="1"/>
      <w:numFmt w:val="lowerLetter"/>
      <w:lvlText w:val="%5."/>
      <w:lvlJc w:val="left"/>
      <w:pPr>
        <w:ind w:left="3807" w:hanging="360"/>
      </w:pPr>
    </w:lvl>
    <w:lvl w:ilvl="5" w:tplc="140A001B" w:tentative="1">
      <w:start w:val="1"/>
      <w:numFmt w:val="lowerRoman"/>
      <w:lvlText w:val="%6."/>
      <w:lvlJc w:val="right"/>
      <w:pPr>
        <w:ind w:left="4527" w:hanging="180"/>
      </w:pPr>
    </w:lvl>
    <w:lvl w:ilvl="6" w:tplc="140A000F" w:tentative="1">
      <w:start w:val="1"/>
      <w:numFmt w:val="decimal"/>
      <w:lvlText w:val="%7."/>
      <w:lvlJc w:val="left"/>
      <w:pPr>
        <w:ind w:left="5247" w:hanging="360"/>
      </w:pPr>
    </w:lvl>
    <w:lvl w:ilvl="7" w:tplc="140A0019" w:tentative="1">
      <w:start w:val="1"/>
      <w:numFmt w:val="lowerLetter"/>
      <w:lvlText w:val="%8."/>
      <w:lvlJc w:val="left"/>
      <w:pPr>
        <w:ind w:left="5967" w:hanging="360"/>
      </w:pPr>
    </w:lvl>
    <w:lvl w:ilvl="8" w:tplc="140A001B" w:tentative="1">
      <w:start w:val="1"/>
      <w:numFmt w:val="lowerRoman"/>
      <w:lvlText w:val="%9."/>
      <w:lvlJc w:val="right"/>
      <w:pPr>
        <w:ind w:left="6687" w:hanging="180"/>
      </w:pPr>
    </w:lvl>
  </w:abstractNum>
  <w:abstractNum w:abstractNumId="20">
    <w:nsid w:val="37C00C97"/>
    <w:multiLevelType w:val="hybridMultilevel"/>
    <w:tmpl w:val="BF5A83F6"/>
    <w:lvl w:ilvl="0" w:tplc="7FECE2E4">
      <w:start w:val="1"/>
      <w:numFmt w:val="lowerLetter"/>
      <w:lvlText w:val="%1)"/>
      <w:lvlJc w:val="left"/>
      <w:pPr>
        <w:ind w:left="720" w:hanging="360"/>
      </w:pPr>
      <w:rPr>
        <w:rFonts w:cs="Arial"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1">
    <w:nsid w:val="39AB1DDC"/>
    <w:multiLevelType w:val="hybridMultilevel"/>
    <w:tmpl w:val="7544287C"/>
    <w:lvl w:ilvl="0" w:tplc="43EAE734">
      <w:start w:val="1"/>
      <w:numFmt w:val="lowerRoman"/>
      <w:lvlText w:val="%1)"/>
      <w:lvlJc w:val="left"/>
      <w:pPr>
        <w:ind w:left="1776" w:hanging="360"/>
      </w:pPr>
      <w:rPr>
        <w:rFonts w:hint="default"/>
      </w:rPr>
    </w:lvl>
    <w:lvl w:ilvl="1" w:tplc="140A0019" w:tentative="1">
      <w:start w:val="1"/>
      <w:numFmt w:val="lowerLetter"/>
      <w:lvlText w:val="%2."/>
      <w:lvlJc w:val="left"/>
      <w:pPr>
        <w:ind w:left="2496" w:hanging="360"/>
      </w:pPr>
    </w:lvl>
    <w:lvl w:ilvl="2" w:tplc="140A001B" w:tentative="1">
      <w:start w:val="1"/>
      <w:numFmt w:val="lowerRoman"/>
      <w:lvlText w:val="%3."/>
      <w:lvlJc w:val="right"/>
      <w:pPr>
        <w:ind w:left="3216" w:hanging="180"/>
      </w:pPr>
    </w:lvl>
    <w:lvl w:ilvl="3" w:tplc="140A000F" w:tentative="1">
      <w:start w:val="1"/>
      <w:numFmt w:val="decimal"/>
      <w:lvlText w:val="%4."/>
      <w:lvlJc w:val="left"/>
      <w:pPr>
        <w:ind w:left="3936" w:hanging="360"/>
      </w:pPr>
    </w:lvl>
    <w:lvl w:ilvl="4" w:tplc="140A0019" w:tentative="1">
      <w:start w:val="1"/>
      <w:numFmt w:val="lowerLetter"/>
      <w:lvlText w:val="%5."/>
      <w:lvlJc w:val="left"/>
      <w:pPr>
        <w:ind w:left="4656" w:hanging="360"/>
      </w:pPr>
    </w:lvl>
    <w:lvl w:ilvl="5" w:tplc="140A001B" w:tentative="1">
      <w:start w:val="1"/>
      <w:numFmt w:val="lowerRoman"/>
      <w:lvlText w:val="%6."/>
      <w:lvlJc w:val="right"/>
      <w:pPr>
        <w:ind w:left="5376" w:hanging="180"/>
      </w:pPr>
    </w:lvl>
    <w:lvl w:ilvl="6" w:tplc="140A000F" w:tentative="1">
      <w:start w:val="1"/>
      <w:numFmt w:val="decimal"/>
      <w:lvlText w:val="%7."/>
      <w:lvlJc w:val="left"/>
      <w:pPr>
        <w:ind w:left="6096" w:hanging="360"/>
      </w:pPr>
    </w:lvl>
    <w:lvl w:ilvl="7" w:tplc="140A0019" w:tentative="1">
      <w:start w:val="1"/>
      <w:numFmt w:val="lowerLetter"/>
      <w:lvlText w:val="%8."/>
      <w:lvlJc w:val="left"/>
      <w:pPr>
        <w:ind w:left="6816" w:hanging="360"/>
      </w:pPr>
    </w:lvl>
    <w:lvl w:ilvl="8" w:tplc="140A001B" w:tentative="1">
      <w:start w:val="1"/>
      <w:numFmt w:val="lowerRoman"/>
      <w:lvlText w:val="%9."/>
      <w:lvlJc w:val="right"/>
      <w:pPr>
        <w:ind w:left="7536" w:hanging="180"/>
      </w:pPr>
    </w:lvl>
  </w:abstractNum>
  <w:abstractNum w:abstractNumId="22">
    <w:nsid w:val="39B34B33"/>
    <w:multiLevelType w:val="hybridMultilevel"/>
    <w:tmpl w:val="12F8F2AA"/>
    <w:lvl w:ilvl="0" w:tplc="2C5ADC88">
      <w:start w:val="1"/>
      <w:numFmt w:val="decimal"/>
      <w:lvlText w:val="%1."/>
      <w:lvlJc w:val="left"/>
      <w:pPr>
        <w:ind w:left="540" w:hanging="360"/>
      </w:pPr>
      <w:rPr>
        <w:rFonts w:ascii="Verdana" w:hAnsi="Verdana" w:hint="default"/>
        <w:b w:val="0"/>
        <w:i w:val="0"/>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BA16168"/>
    <w:multiLevelType w:val="hybridMultilevel"/>
    <w:tmpl w:val="EE4EE62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18FCCB44">
      <w:start w:val="1"/>
      <w:numFmt w:val="lowerLetter"/>
      <w:lvlText w:val="%3."/>
      <w:lvlJc w:val="left"/>
      <w:pPr>
        <w:ind w:left="2160" w:hanging="180"/>
      </w:pPr>
      <w:rPr>
        <w:b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DFE78CE"/>
    <w:multiLevelType w:val="hybridMultilevel"/>
    <w:tmpl w:val="3BBAB5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F9B713D"/>
    <w:multiLevelType w:val="hybridMultilevel"/>
    <w:tmpl w:val="9704209E"/>
    <w:lvl w:ilvl="0" w:tplc="7E8E8A74">
      <w:start w:val="1"/>
      <w:numFmt w:val="decimal"/>
      <w:pStyle w:val="NormalNumbered"/>
      <w:lvlText w:val="%1."/>
      <w:lvlJc w:val="left"/>
      <w:pPr>
        <w:ind w:left="720" w:hanging="720"/>
      </w:pPr>
      <w:rPr>
        <w:rFonts w:ascii="Verdana" w:hAnsi="Verdana" w:hint="default"/>
        <w:b w:val="0"/>
        <w:i w:val="0"/>
        <w:strike w:val="0"/>
        <w:color w:val="auto"/>
        <w:sz w:val="20"/>
        <w:szCs w:val="20"/>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CFAC7540">
      <w:start w:val="1"/>
      <w:numFmt w:val="decimal"/>
      <w:lvlText w:val="%4."/>
      <w:lvlJc w:val="left"/>
      <w:pPr>
        <w:ind w:left="2520" w:hanging="360"/>
      </w:pPr>
      <w:rPr>
        <w:b/>
        <w:i/>
      </w:r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6">
    <w:nsid w:val="401B1B35"/>
    <w:multiLevelType w:val="hybridMultilevel"/>
    <w:tmpl w:val="2132D212"/>
    <w:lvl w:ilvl="0" w:tplc="919A28B4">
      <w:start w:val="1"/>
      <w:numFmt w:val="upperLetter"/>
      <w:lvlText w:val="%1."/>
      <w:lvlJc w:val="left"/>
      <w:pPr>
        <w:ind w:left="360" w:hanging="360"/>
      </w:pPr>
      <w:rPr>
        <w:rFonts w:hint="default"/>
        <w:b/>
        <w:color w:val="auto"/>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27">
    <w:nsid w:val="41C2035A"/>
    <w:multiLevelType w:val="hybridMultilevel"/>
    <w:tmpl w:val="A554FE56"/>
    <w:lvl w:ilvl="0" w:tplc="040A0015">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8">
    <w:nsid w:val="43490A00"/>
    <w:multiLevelType w:val="hybridMultilevel"/>
    <w:tmpl w:val="7C148050"/>
    <w:lvl w:ilvl="0" w:tplc="2564CF76">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9">
    <w:nsid w:val="442B6979"/>
    <w:multiLevelType w:val="multilevel"/>
    <w:tmpl w:val="AB28B5F6"/>
    <w:lvl w:ilvl="0">
      <w:start w:val="1"/>
      <w:numFmt w:val="decimal"/>
      <w:lvlText w:val="%1."/>
      <w:lvlJc w:val="left"/>
      <w:pPr>
        <w:ind w:left="720" w:hanging="360"/>
      </w:pPr>
      <w:rPr>
        <w:b/>
        <w:i/>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0">
    <w:nsid w:val="44A81186"/>
    <w:multiLevelType w:val="hybridMultilevel"/>
    <w:tmpl w:val="0B32DF1C"/>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1">
    <w:nsid w:val="4A027F31"/>
    <w:multiLevelType w:val="hybridMultilevel"/>
    <w:tmpl w:val="D64CAC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C7B52B7"/>
    <w:multiLevelType w:val="hybridMultilevel"/>
    <w:tmpl w:val="2A3ED960"/>
    <w:lvl w:ilvl="0" w:tplc="98AA2D10">
      <w:start w:val="151"/>
      <w:numFmt w:val="decimal"/>
      <w:lvlText w:val="%1."/>
      <w:lvlJc w:val="left"/>
      <w:pPr>
        <w:ind w:left="820" w:hanging="460"/>
      </w:pPr>
      <w:rPr>
        <w:rFonts w:hint="default"/>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nsid w:val="4EB8347C"/>
    <w:multiLevelType w:val="hybridMultilevel"/>
    <w:tmpl w:val="B092464A"/>
    <w:lvl w:ilvl="0" w:tplc="1CB6CE88">
      <w:start w:val="1"/>
      <w:numFmt w:val="lowerLetter"/>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2473D46"/>
    <w:multiLevelType w:val="hybridMultilevel"/>
    <w:tmpl w:val="28FE0B5E"/>
    <w:lvl w:ilvl="0" w:tplc="140A0015">
      <w:start w:val="1"/>
      <w:numFmt w:val="upperLetter"/>
      <w:lvlText w:val="%1."/>
      <w:lvlJc w:val="left"/>
      <w:pPr>
        <w:ind w:left="360" w:hanging="360"/>
      </w:pPr>
      <w:rPr>
        <w:rFonts w:hint="default"/>
        <w:color w:val="auto"/>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35">
    <w:nsid w:val="53552C4B"/>
    <w:multiLevelType w:val="hybridMultilevel"/>
    <w:tmpl w:val="7EAE6BCA"/>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6">
    <w:nsid w:val="5D5835FB"/>
    <w:multiLevelType w:val="hybridMultilevel"/>
    <w:tmpl w:val="1496466C"/>
    <w:lvl w:ilvl="0" w:tplc="43F8F95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450298B"/>
    <w:multiLevelType w:val="hybridMultilevel"/>
    <w:tmpl w:val="9A926182"/>
    <w:lvl w:ilvl="0" w:tplc="2C5ADC88">
      <w:start w:val="1"/>
      <w:numFmt w:val="decimal"/>
      <w:lvlText w:val="%1."/>
      <w:lvlJc w:val="left"/>
      <w:pPr>
        <w:ind w:left="2340" w:hanging="360"/>
      </w:pPr>
      <w:rPr>
        <w:rFonts w:ascii="Verdana" w:hAnsi="Verdana" w:hint="default"/>
        <w:b w:val="0"/>
        <w:i w:val="0"/>
        <w:strike w:val="0"/>
        <w:color w:val="auto"/>
        <w:sz w:val="20"/>
        <w:szCs w:val="20"/>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8">
    <w:nsid w:val="64EB5A5A"/>
    <w:multiLevelType w:val="hybridMultilevel"/>
    <w:tmpl w:val="151071F4"/>
    <w:lvl w:ilvl="0" w:tplc="E5103F26">
      <w:start w:val="1"/>
      <w:numFmt w:val="lowerLetter"/>
      <w:lvlText w:val="%1)"/>
      <w:lvlJc w:val="left"/>
      <w:pPr>
        <w:ind w:left="1068" w:hanging="360"/>
      </w:pPr>
      <w:rPr>
        <w:rFonts w:hint="default"/>
        <w:i/>
      </w:rPr>
    </w:lvl>
    <w:lvl w:ilvl="1" w:tplc="140A0019" w:tentative="1">
      <w:start w:val="1"/>
      <w:numFmt w:val="lowerLetter"/>
      <w:lvlText w:val="%2."/>
      <w:lvlJc w:val="left"/>
      <w:pPr>
        <w:ind w:left="1788" w:hanging="360"/>
      </w:pPr>
    </w:lvl>
    <w:lvl w:ilvl="2" w:tplc="140A001B" w:tentative="1">
      <w:start w:val="1"/>
      <w:numFmt w:val="lowerRoman"/>
      <w:lvlText w:val="%3."/>
      <w:lvlJc w:val="right"/>
      <w:pPr>
        <w:ind w:left="2508" w:hanging="180"/>
      </w:pPr>
    </w:lvl>
    <w:lvl w:ilvl="3" w:tplc="140A000F" w:tentative="1">
      <w:start w:val="1"/>
      <w:numFmt w:val="decimal"/>
      <w:lvlText w:val="%4."/>
      <w:lvlJc w:val="left"/>
      <w:pPr>
        <w:ind w:left="3228" w:hanging="360"/>
      </w:pPr>
    </w:lvl>
    <w:lvl w:ilvl="4" w:tplc="140A0019" w:tentative="1">
      <w:start w:val="1"/>
      <w:numFmt w:val="lowerLetter"/>
      <w:lvlText w:val="%5."/>
      <w:lvlJc w:val="left"/>
      <w:pPr>
        <w:ind w:left="3948" w:hanging="360"/>
      </w:pPr>
    </w:lvl>
    <w:lvl w:ilvl="5" w:tplc="140A001B" w:tentative="1">
      <w:start w:val="1"/>
      <w:numFmt w:val="lowerRoman"/>
      <w:lvlText w:val="%6."/>
      <w:lvlJc w:val="right"/>
      <w:pPr>
        <w:ind w:left="4668" w:hanging="180"/>
      </w:pPr>
    </w:lvl>
    <w:lvl w:ilvl="6" w:tplc="140A000F" w:tentative="1">
      <w:start w:val="1"/>
      <w:numFmt w:val="decimal"/>
      <w:lvlText w:val="%7."/>
      <w:lvlJc w:val="left"/>
      <w:pPr>
        <w:ind w:left="5388" w:hanging="360"/>
      </w:pPr>
    </w:lvl>
    <w:lvl w:ilvl="7" w:tplc="140A0019" w:tentative="1">
      <w:start w:val="1"/>
      <w:numFmt w:val="lowerLetter"/>
      <w:lvlText w:val="%8."/>
      <w:lvlJc w:val="left"/>
      <w:pPr>
        <w:ind w:left="6108" w:hanging="360"/>
      </w:pPr>
    </w:lvl>
    <w:lvl w:ilvl="8" w:tplc="140A001B" w:tentative="1">
      <w:start w:val="1"/>
      <w:numFmt w:val="lowerRoman"/>
      <w:lvlText w:val="%9."/>
      <w:lvlJc w:val="right"/>
      <w:pPr>
        <w:ind w:left="6828" w:hanging="180"/>
      </w:pPr>
    </w:lvl>
  </w:abstractNum>
  <w:abstractNum w:abstractNumId="39">
    <w:nsid w:val="680C6FF4"/>
    <w:multiLevelType w:val="hybridMultilevel"/>
    <w:tmpl w:val="0B32DF1C"/>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0">
    <w:nsid w:val="685C4C48"/>
    <w:multiLevelType w:val="hybridMultilevel"/>
    <w:tmpl w:val="28FE0B5E"/>
    <w:lvl w:ilvl="0" w:tplc="140A0015">
      <w:start w:val="1"/>
      <w:numFmt w:val="upperLetter"/>
      <w:lvlText w:val="%1."/>
      <w:lvlJc w:val="left"/>
      <w:pPr>
        <w:ind w:left="360" w:hanging="360"/>
      </w:pPr>
      <w:rPr>
        <w:rFonts w:hint="default"/>
        <w:color w:val="auto"/>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41">
    <w:nsid w:val="6A0342D4"/>
    <w:multiLevelType w:val="hybridMultilevel"/>
    <w:tmpl w:val="4E023912"/>
    <w:lvl w:ilvl="0" w:tplc="C6928D1E">
      <w:start w:val="12"/>
      <w:numFmt w:val="decimal"/>
      <w:lvlText w:val="%1."/>
      <w:lvlJc w:val="left"/>
      <w:pPr>
        <w:ind w:left="540" w:hanging="360"/>
      </w:pPr>
      <w:rPr>
        <w:rFonts w:hint="default"/>
        <w:b w:val="0"/>
        <w:u w:val="none"/>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2">
    <w:nsid w:val="74E66EF9"/>
    <w:multiLevelType w:val="hybridMultilevel"/>
    <w:tmpl w:val="0B60C32C"/>
    <w:lvl w:ilvl="0" w:tplc="101E986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8DF4FB2"/>
    <w:multiLevelType w:val="hybridMultilevel"/>
    <w:tmpl w:val="C324B6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A1E2E5A"/>
    <w:multiLevelType w:val="hybridMultilevel"/>
    <w:tmpl w:val="735C140C"/>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5">
    <w:nsid w:val="7B9A2054"/>
    <w:multiLevelType w:val="hybridMultilevel"/>
    <w:tmpl w:val="C96CC97E"/>
    <w:lvl w:ilvl="0" w:tplc="5C8A9954">
      <w:start w:val="1"/>
      <w:numFmt w:val="lowerLetter"/>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46">
    <w:nsid w:val="7C2D1FE5"/>
    <w:multiLevelType w:val="hybridMultilevel"/>
    <w:tmpl w:val="8EF6EB3C"/>
    <w:lvl w:ilvl="0" w:tplc="399A4540">
      <w:start w:val="1"/>
      <w:numFmt w:val="decimal"/>
      <w:lvlText w:val="%1."/>
      <w:lvlJc w:val="left"/>
      <w:pPr>
        <w:ind w:left="360" w:hanging="360"/>
      </w:pPr>
      <w:rPr>
        <w:rFonts w:ascii="Verdana" w:hAnsi="Verdana" w:hint="default"/>
        <w:b w:val="0"/>
        <w:i w:val="0"/>
        <w:strike w:val="0"/>
        <w:color w:val="auto"/>
        <w:sz w:val="20"/>
        <w:szCs w:val="20"/>
        <w:lang w:val="es-CR"/>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37"/>
  </w:num>
  <w:num w:numId="2">
    <w:abstractNumId w:val="3"/>
  </w:num>
  <w:num w:numId="3">
    <w:abstractNumId w:val="8"/>
  </w:num>
  <w:num w:numId="4">
    <w:abstractNumId w:val="38"/>
  </w:num>
  <w:num w:numId="5">
    <w:abstractNumId w:val="21"/>
  </w:num>
  <w:num w:numId="6">
    <w:abstractNumId w:val="25"/>
  </w:num>
  <w:num w:numId="7">
    <w:abstractNumId w:val="14"/>
  </w:num>
  <w:num w:numId="8">
    <w:abstractNumId w:val="11"/>
  </w:num>
  <w:num w:numId="9">
    <w:abstractNumId w:val="18"/>
  </w:num>
  <w:num w:numId="10">
    <w:abstractNumId w:val="34"/>
  </w:num>
  <w:num w:numId="11">
    <w:abstractNumId w:val="29"/>
  </w:num>
  <w:num w:numId="12">
    <w:abstractNumId w:val="17"/>
  </w:num>
  <w:num w:numId="13">
    <w:abstractNumId w:val="15"/>
  </w:num>
  <w:num w:numId="14">
    <w:abstractNumId w:val="30"/>
  </w:num>
  <w:num w:numId="15">
    <w:abstractNumId w:val="39"/>
  </w:num>
  <w:num w:numId="16">
    <w:abstractNumId w:val="46"/>
  </w:num>
  <w:num w:numId="17">
    <w:abstractNumId w:val="44"/>
  </w:num>
  <w:num w:numId="18">
    <w:abstractNumId w:val="28"/>
  </w:num>
  <w:num w:numId="19">
    <w:abstractNumId w:val="26"/>
  </w:num>
  <w:num w:numId="20">
    <w:abstractNumId w:val="7"/>
  </w:num>
  <w:num w:numId="21">
    <w:abstractNumId w:val="23"/>
  </w:num>
  <w:num w:numId="22">
    <w:abstractNumId w:val="19"/>
  </w:num>
  <w:num w:numId="23">
    <w:abstractNumId w:val="40"/>
  </w:num>
  <w:num w:numId="24">
    <w:abstractNumId w:val="13"/>
  </w:num>
  <w:num w:numId="25">
    <w:abstractNumId w:val="4"/>
  </w:num>
  <w:num w:numId="26">
    <w:abstractNumId w:val="22"/>
  </w:num>
  <w:num w:numId="27">
    <w:abstractNumId w:val="41"/>
  </w:num>
  <w:num w:numId="28">
    <w:abstractNumId w:val="9"/>
  </w:num>
  <w:num w:numId="29">
    <w:abstractNumId w:val="0"/>
  </w:num>
  <w:num w:numId="30">
    <w:abstractNumId w:val="32"/>
  </w:num>
  <w:num w:numId="31">
    <w:abstractNumId w:val="36"/>
  </w:num>
  <w:num w:numId="32">
    <w:abstractNumId w:val="1"/>
  </w:num>
  <w:num w:numId="33">
    <w:abstractNumId w:val="31"/>
  </w:num>
  <w:num w:numId="34">
    <w:abstractNumId w:val="42"/>
  </w:num>
  <w:num w:numId="35">
    <w:abstractNumId w:val="5"/>
  </w:num>
  <w:num w:numId="36">
    <w:abstractNumId w:val="27"/>
  </w:num>
  <w:num w:numId="37">
    <w:abstractNumId w:val="10"/>
  </w:num>
  <w:num w:numId="38">
    <w:abstractNumId w:val="20"/>
  </w:num>
  <w:num w:numId="39">
    <w:abstractNumId w:val="35"/>
  </w:num>
  <w:num w:numId="40">
    <w:abstractNumId w:val="2"/>
  </w:num>
  <w:num w:numId="41">
    <w:abstractNumId w:val="12"/>
  </w:num>
  <w:num w:numId="42">
    <w:abstractNumId w:val="16"/>
  </w:num>
  <w:num w:numId="43">
    <w:abstractNumId w:val="43"/>
  </w:num>
  <w:num w:numId="44">
    <w:abstractNumId w:val="6"/>
  </w:num>
  <w:num w:numId="45">
    <w:abstractNumId w:val="24"/>
  </w:num>
  <w:num w:numId="46">
    <w:abstractNumId w:val="33"/>
  </w:num>
  <w:num w:numId="47">
    <w:abstractNumId w:val="45"/>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hyphenationZone w:val="425"/>
  <w:characterSpacingControl w:val="doNotCompress"/>
  <w:hdrShapeDefaults>
    <o:shapedefaults v:ext="edit" spidmax="14336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8AE"/>
    <w:rsid w:val="000002AB"/>
    <w:rsid w:val="000019B8"/>
    <w:rsid w:val="00002299"/>
    <w:rsid w:val="000023EA"/>
    <w:rsid w:val="00003A50"/>
    <w:rsid w:val="00004054"/>
    <w:rsid w:val="00004729"/>
    <w:rsid w:val="000105DA"/>
    <w:rsid w:val="0001219F"/>
    <w:rsid w:val="00012864"/>
    <w:rsid w:val="00014D33"/>
    <w:rsid w:val="0001522B"/>
    <w:rsid w:val="00015422"/>
    <w:rsid w:val="00022E85"/>
    <w:rsid w:val="000236F0"/>
    <w:rsid w:val="00024BA4"/>
    <w:rsid w:val="00024BCE"/>
    <w:rsid w:val="00024D13"/>
    <w:rsid w:val="000259C0"/>
    <w:rsid w:val="00032301"/>
    <w:rsid w:val="00032FC5"/>
    <w:rsid w:val="00033029"/>
    <w:rsid w:val="00035F05"/>
    <w:rsid w:val="00037BE7"/>
    <w:rsid w:val="00040861"/>
    <w:rsid w:val="00046517"/>
    <w:rsid w:val="0004677C"/>
    <w:rsid w:val="0004796D"/>
    <w:rsid w:val="00050930"/>
    <w:rsid w:val="00050C63"/>
    <w:rsid w:val="00052B35"/>
    <w:rsid w:val="00052EDE"/>
    <w:rsid w:val="00052F47"/>
    <w:rsid w:val="00053B34"/>
    <w:rsid w:val="00053F73"/>
    <w:rsid w:val="00054656"/>
    <w:rsid w:val="00060845"/>
    <w:rsid w:val="00060E86"/>
    <w:rsid w:val="00061C0D"/>
    <w:rsid w:val="00061E9C"/>
    <w:rsid w:val="0006276C"/>
    <w:rsid w:val="00062C2B"/>
    <w:rsid w:val="000761D8"/>
    <w:rsid w:val="00076B91"/>
    <w:rsid w:val="000779FE"/>
    <w:rsid w:val="00077AE4"/>
    <w:rsid w:val="0008093F"/>
    <w:rsid w:val="0008108C"/>
    <w:rsid w:val="000828BB"/>
    <w:rsid w:val="0008781B"/>
    <w:rsid w:val="00087FDE"/>
    <w:rsid w:val="000909C0"/>
    <w:rsid w:val="00094281"/>
    <w:rsid w:val="00097496"/>
    <w:rsid w:val="0009769F"/>
    <w:rsid w:val="000A037E"/>
    <w:rsid w:val="000A0627"/>
    <w:rsid w:val="000A121A"/>
    <w:rsid w:val="000A123A"/>
    <w:rsid w:val="000A1CFF"/>
    <w:rsid w:val="000A4ED7"/>
    <w:rsid w:val="000A5561"/>
    <w:rsid w:val="000A6399"/>
    <w:rsid w:val="000A6A6B"/>
    <w:rsid w:val="000B0045"/>
    <w:rsid w:val="000B0E4B"/>
    <w:rsid w:val="000B2D2B"/>
    <w:rsid w:val="000B6950"/>
    <w:rsid w:val="000B6E5E"/>
    <w:rsid w:val="000B7886"/>
    <w:rsid w:val="000B79C0"/>
    <w:rsid w:val="000B7D3A"/>
    <w:rsid w:val="000C066A"/>
    <w:rsid w:val="000C1712"/>
    <w:rsid w:val="000C2193"/>
    <w:rsid w:val="000C25CD"/>
    <w:rsid w:val="000C37A8"/>
    <w:rsid w:val="000C39FB"/>
    <w:rsid w:val="000C4960"/>
    <w:rsid w:val="000C5B9B"/>
    <w:rsid w:val="000C6082"/>
    <w:rsid w:val="000D0470"/>
    <w:rsid w:val="000D2883"/>
    <w:rsid w:val="000D35BC"/>
    <w:rsid w:val="000D5308"/>
    <w:rsid w:val="000D589F"/>
    <w:rsid w:val="000D6295"/>
    <w:rsid w:val="000D64E2"/>
    <w:rsid w:val="000D66BE"/>
    <w:rsid w:val="000D6F59"/>
    <w:rsid w:val="000E07C3"/>
    <w:rsid w:val="000E13A2"/>
    <w:rsid w:val="000E3E5B"/>
    <w:rsid w:val="000E40FD"/>
    <w:rsid w:val="000E46C0"/>
    <w:rsid w:val="000E4E66"/>
    <w:rsid w:val="000E65AB"/>
    <w:rsid w:val="000E7144"/>
    <w:rsid w:val="000F07FC"/>
    <w:rsid w:val="000F0E92"/>
    <w:rsid w:val="000F1536"/>
    <w:rsid w:val="000F1CD7"/>
    <w:rsid w:val="000F2FEA"/>
    <w:rsid w:val="000F37B6"/>
    <w:rsid w:val="000F3BC0"/>
    <w:rsid w:val="000F6BE2"/>
    <w:rsid w:val="0010266E"/>
    <w:rsid w:val="00103419"/>
    <w:rsid w:val="00104B54"/>
    <w:rsid w:val="0010653B"/>
    <w:rsid w:val="00107236"/>
    <w:rsid w:val="00115071"/>
    <w:rsid w:val="001160AC"/>
    <w:rsid w:val="00116500"/>
    <w:rsid w:val="0011787C"/>
    <w:rsid w:val="00123204"/>
    <w:rsid w:val="0012321C"/>
    <w:rsid w:val="00127E65"/>
    <w:rsid w:val="00131ED1"/>
    <w:rsid w:val="001323FA"/>
    <w:rsid w:val="0013567C"/>
    <w:rsid w:val="00135F73"/>
    <w:rsid w:val="001404D3"/>
    <w:rsid w:val="00140FAD"/>
    <w:rsid w:val="001423EE"/>
    <w:rsid w:val="001433B9"/>
    <w:rsid w:val="001452AD"/>
    <w:rsid w:val="00146708"/>
    <w:rsid w:val="00146D98"/>
    <w:rsid w:val="00150F4F"/>
    <w:rsid w:val="00154B4B"/>
    <w:rsid w:val="0015750D"/>
    <w:rsid w:val="00157FEA"/>
    <w:rsid w:val="00161225"/>
    <w:rsid w:val="00164726"/>
    <w:rsid w:val="00164911"/>
    <w:rsid w:val="00166BC5"/>
    <w:rsid w:val="00167383"/>
    <w:rsid w:val="00170630"/>
    <w:rsid w:val="001712B9"/>
    <w:rsid w:val="00171480"/>
    <w:rsid w:val="00172797"/>
    <w:rsid w:val="001736DB"/>
    <w:rsid w:val="00175E75"/>
    <w:rsid w:val="0017650D"/>
    <w:rsid w:val="00180F30"/>
    <w:rsid w:val="001819F5"/>
    <w:rsid w:val="00182CDB"/>
    <w:rsid w:val="0018405A"/>
    <w:rsid w:val="00184C1D"/>
    <w:rsid w:val="00190426"/>
    <w:rsid w:val="0019166C"/>
    <w:rsid w:val="00196FD8"/>
    <w:rsid w:val="001976D7"/>
    <w:rsid w:val="00197772"/>
    <w:rsid w:val="001A071E"/>
    <w:rsid w:val="001A0F14"/>
    <w:rsid w:val="001A4CEE"/>
    <w:rsid w:val="001A63C6"/>
    <w:rsid w:val="001A7BD5"/>
    <w:rsid w:val="001B0C1A"/>
    <w:rsid w:val="001B2ECD"/>
    <w:rsid w:val="001B4407"/>
    <w:rsid w:val="001B45F8"/>
    <w:rsid w:val="001B481A"/>
    <w:rsid w:val="001B4F85"/>
    <w:rsid w:val="001B66ED"/>
    <w:rsid w:val="001C0F23"/>
    <w:rsid w:val="001C2604"/>
    <w:rsid w:val="001C2C32"/>
    <w:rsid w:val="001C4F51"/>
    <w:rsid w:val="001C532B"/>
    <w:rsid w:val="001C6F7E"/>
    <w:rsid w:val="001C75E4"/>
    <w:rsid w:val="001D4D46"/>
    <w:rsid w:val="001D51F0"/>
    <w:rsid w:val="001D7929"/>
    <w:rsid w:val="001E0683"/>
    <w:rsid w:val="001E446C"/>
    <w:rsid w:val="001E7758"/>
    <w:rsid w:val="001F25C7"/>
    <w:rsid w:val="001F3785"/>
    <w:rsid w:val="00201E36"/>
    <w:rsid w:val="00205207"/>
    <w:rsid w:val="00206FA9"/>
    <w:rsid w:val="00211B0D"/>
    <w:rsid w:val="002131CC"/>
    <w:rsid w:val="00215464"/>
    <w:rsid w:val="002177F1"/>
    <w:rsid w:val="002178D0"/>
    <w:rsid w:val="0022183E"/>
    <w:rsid w:val="00223110"/>
    <w:rsid w:val="0022356C"/>
    <w:rsid w:val="00224537"/>
    <w:rsid w:val="002275FD"/>
    <w:rsid w:val="00227C33"/>
    <w:rsid w:val="00231B6A"/>
    <w:rsid w:val="00231BC6"/>
    <w:rsid w:val="00232AA2"/>
    <w:rsid w:val="002333FA"/>
    <w:rsid w:val="00233E17"/>
    <w:rsid w:val="00234C85"/>
    <w:rsid w:val="00235744"/>
    <w:rsid w:val="0023583A"/>
    <w:rsid w:val="00237D6A"/>
    <w:rsid w:val="00240326"/>
    <w:rsid w:val="0024080C"/>
    <w:rsid w:val="00242D23"/>
    <w:rsid w:val="002462AE"/>
    <w:rsid w:val="00247DF4"/>
    <w:rsid w:val="002500C7"/>
    <w:rsid w:val="00253AC7"/>
    <w:rsid w:val="00254723"/>
    <w:rsid w:val="00260920"/>
    <w:rsid w:val="00261A99"/>
    <w:rsid w:val="002621F7"/>
    <w:rsid w:val="002628BE"/>
    <w:rsid w:val="00262F28"/>
    <w:rsid w:val="00266456"/>
    <w:rsid w:val="00266BAF"/>
    <w:rsid w:val="00274864"/>
    <w:rsid w:val="00274C5F"/>
    <w:rsid w:val="00275EDE"/>
    <w:rsid w:val="00276E3E"/>
    <w:rsid w:val="002800C9"/>
    <w:rsid w:val="00280ACD"/>
    <w:rsid w:val="00285CB6"/>
    <w:rsid w:val="00290945"/>
    <w:rsid w:val="00291A57"/>
    <w:rsid w:val="002939FC"/>
    <w:rsid w:val="002947A2"/>
    <w:rsid w:val="002960FD"/>
    <w:rsid w:val="00297DC1"/>
    <w:rsid w:val="002A08A9"/>
    <w:rsid w:val="002A3B2C"/>
    <w:rsid w:val="002A5C41"/>
    <w:rsid w:val="002A7B50"/>
    <w:rsid w:val="002A7E63"/>
    <w:rsid w:val="002B0476"/>
    <w:rsid w:val="002B373E"/>
    <w:rsid w:val="002B3A4D"/>
    <w:rsid w:val="002B70F4"/>
    <w:rsid w:val="002C05F1"/>
    <w:rsid w:val="002C1087"/>
    <w:rsid w:val="002C1303"/>
    <w:rsid w:val="002C1BB3"/>
    <w:rsid w:val="002C289A"/>
    <w:rsid w:val="002C2D83"/>
    <w:rsid w:val="002C4F7B"/>
    <w:rsid w:val="002C7E4F"/>
    <w:rsid w:val="002D0D83"/>
    <w:rsid w:val="002D5935"/>
    <w:rsid w:val="002D74B2"/>
    <w:rsid w:val="002E04A3"/>
    <w:rsid w:val="002E0C6A"/>
    <w:rsid w:val="002E20CE"/>
    <w:rsid w:val="002E2250"/>
    <w:rsid w:val="002E7463"/>
    <w:rsid w:val="002F09B4"/>
    <w:rsid w:val="002F1386"/>
    <w:rsid w:val="002F2FA5"/>
    <w:rsid w:val="002F31BD"/>
    <w:rsid w:val="002F34A4"/>
    <w:rsid w:val="002F3D8B"/>
    <w:rsid w:val="002F59B2"/>
    <w:rsid w:val="002F5C4C"/>
    <w:rsid w:val="002F6EA6"/>
    <w:rsid w:val="00300C98"/>
    <w:rsid w:val="00307039"/>
    <w:rsid w:val="0030747A"/>
    <w:rsid w:val="00310297"/>
    <w:rsid w:val="00310519"/>
    <w:rsid w:val="003118DC"/>
    <w:rsid w:val="00314E87"/>
    <w:rsid w:val="00315AC2"/>
    <w:rsid w:val="00315E10"/>
    <w:rsid w:val="003178A5"/>
    <w:rsid w:val="00324758"/>
    <w:rsid w:val="00324C88"/>
    <w:rsid w:val="003260EB"/>
    <w:rsid w:val="00326D8F"/>
    <w:rsid w:val="003303DB"/>
    <w:rsid w:val="00330467"/>
    <w:rsid w:val="003304E1"/>
    <w:rsid w:val="00330CDA"/>
    <w:rsid w:val="003313D0"/>
    <w:rsid w:val="003315AC"/>
    <w:rsid w:val="00331DEE"/>
    <w:rsid w:val="00332CCF"/>
    <w:rsid w:val="00332EE5"/>
    <w:rsid w:val="00333304"/>
    <w:rsid w:val="0033330B"/>
    <w:rsid w:val="00334B6C"/>
    <w:rsid w:val="003404FE"/>
    <w:rsid w:val="00341FCF"/>
    <w:rsid w:val="00342464"/>
    <w:rsid w:val="00343744"/>
    <w:rsid w:val="0034509C"/>
    <w:rsid w:val="0034646D"/>
    <w:rsid w:val="00347E6E"/>
    <w:rsid w:val="003545D5"/>
    <w:rsid w:val="003556A9"/>
    <w:rsid w:val="00356269"/>
    <w:rsid w:val="003566D4"/>
    <w:rsid w:val="0035747E"/>
    <w:rsid w:val="003610EB"/>
    <w:rsid w:val="00362670"/>
    <w:rsid w:val="003626D7"/>
    <w:rsid w:val="00362CB4"/>
    <w:rsid w:val="00363DED"/>
    <w:rsid w:val="00364E76"/>
    <w:rsid w:val="00365853"/>
    <w:rsid w:val="0037238D"/>
    <w:rsid w:val="00374FC9"/>
    <w:rsid w:val="00383A35"/>
    <w:rsid w:val="00386930"/>
    <w:rsid w:val="003904DE"/>
    <w:rsid w:val="003906A1"/>
    <w:rsid w:val="00390A82"/>
    <w:rsid w:val="00390C38"/>
    <w:rsid w:val="00392009"/>
    <w:rsid w:val="00392AAF"/>
    <w:rsid w:val="00392C24"/>
    <w:rsid w:val="00392E5B"/>
    <w:rsid w:val="00394DA9"/>
    <w:rsid w:val="0039549C"/>
    <w:rsid w:val="003971D5"/>
    <w:rsid w:val="003A0C49"/>
    <w:rsid w:val="003A77AB"/>
    <w:rsid w:val="003B0A07"/>
    <w:rsid w:val="003B0D08"/>
    <w:rsid w:val="003B3688"/>
    <w:rsid w:val="003B4734"/>
    <w:rsid w:val="003B4978"/>
    <w:rsid w:val="003B4A52"/>
    <w:rsid w:val="003B4ECF"/>
    <w:rsid w:val="003B63A1"/>
    <w:rsid w:val="003B71A3"/>
    <w:rsid w:val="003B7A85"/>
    <w:rsid w:val="003C196D"/>
    <w:rsid w:val="003C2143"/>
    <w:rsid w:val="003C2CE9"/>
    <w:rsid w:val="003C2EF7"/>
    <w:rsid w:val="003C5FD8"/>
    <w:rsid w:val="003C6062"/>
    <w:rsid w:val="003C73E4"/>
    <w:rsid w:val="003D0BD5"/>
    <w:rsid w:val="003D1B6E"/>
    <w:rsid w:val="003D3E71"/>
    <w:rsid w:val="003D5B17"/>
    <w:rsid w:val="003D72A5"/>
    <w:rsid w:val="003E3243"/>
    <w:rsid w:val="003E51D3"/>
    <w:rsid w:val="003E6855"/>
    <w:rsid w:val="003E79D2"/>
    <w:rsid w:val="003F07AD"/>
    <w:rsid w:val="003F0DD6"/>
    <w:rsid w:val="003F1212"/>
    <w:rsid w:val="003F1454"/>
    <w:rsid w:val="003F44BE"/>
    <w:rsid w:val="003F5593"/>
    <w:rsid w:val="003F7407"/>
    <w:rsid w:val="003F7ADB"/>
    <w:rsid w:val="00401656"/>
    <w:rsid w:val="00405B4C"/>
    <w:rsid w:val="004120AB"/>
    <w:rsid w:val="00413274"/>
    <w:rsid w:val="00414D52"/>
    <w:rsid w:val="004150B7"/>
    <w:rsid w:val="004169EF"/>
    <w:rsid w:val="00416CFF"/>
    <w:rsid w:val="004177E3"/>
    <w:rsid w:val="004205B3"/>
    <w:rsid w:val="00423D89"/>
    <w:rsid w:val="00430DEE"/>
    <w:rsid w:val="00430EA0"/>
    <w:rsid w:val="00431AE6"/>
    <w:rsid w:val="0043307C"/>
    <w:rsid w:val="00433131"/>
    <w:rsid w:val="00433FD8"/>
    <w:rsid w:val="004341CA"/>
    <w:rsid w:val="004354AD"/>
    <w:rsid w:val="00435644"/>
    <w:rsid w:val="00440E54"/>
    <w:rsid w:val="00441744"/>
    <w:rsid w:val="00442264"/>
    <w:rsid w:val="00443AF9"/>
    <w:rsid w:val="00443E75"/>
    <w:rsid w:val="00444309"/>
    <w:rsid w:val="004446F4"/>
    <w:rsid w:val="00444E07"/>
    <w:rsid w:val="0044642C"/>
    <w:rsid w:val="0044649E"/>
    <w:rsid w:val="00446B52"/>
    <w:rsid w:val="00446E9C"/>
    <w:rsid w:val="004471D4"/>
    <w:rsid w:val="0044733E"/>
    <w:rsid w:val="00450C8D"/>
    <w:rsid w:val="00452C95"/>
    <w:rsid w:val="00456D38"/>
    <w:rsid w:val="00461469"/>
    <w:rsid w:val="00462432"/>
    <w:rsid w:val="0046282D"/>
    <w:rsid w:val="00466606"/>
    <w:rsid w:val="00466F26"/>
    <w:rsid w:val="0046780A"/>
    <w:rsid w:val="00470F22"/>
    <w:rsid w:val="00471E40"/>
    <w:rsid w:val="00472DD3"/>
    <w:rsid w:val="00473B78"/>
    <w:rsid w:val="00473D38"/>
    <w:rsid w:val="004747DD"/>
    <w:rsid w:val="00474F8F"/>
    <w:rsid w:val="004775E5"/>
    <w:rsid w:val="00477775"/>
    <w:rsid w:val="00485545"/>
    <w:rsid w:val="004868B2"/>
    <w:rsid w:val="00487AE7"/>
    <w:rsid w:val="00490432"/>
    <w:rsid w:val="00491D41"/>
    <w:rsid w:val="00497BE5"/>
    <w:rsid w:val="004A065B"/>
    <w:rsid w:val="004A0AE4"/>
    <w:rsid w:val="004A5823"/>
    <w:rsid w:val="004B000A"/>
    <w:rsid w:val="004B01AC"/>
    <w:rsid w:val="004B406E"/>
    <w:rsid w:val="004B5238"/>
    <w:rsid w:val="004B7F3B"/>
    <w:rsid w:val="004C2A78"/>
    <w:rsid w:val="004C3F47"/>
    <w:rsid w:val="004C4F1C"/>
    <w:rsid w:val="004C544A"/>
    <w:rsid w:val="004C58EF"/>
    <w:rsid w:val="004C5CF1"/>
    <w:rsid w:val="004D173C"/>
    <w:rsid w:val="004D3179"/>
    <w:rsid w:val="004D4497"/>
    <w:rsid w:val="004D6B60"/>
    <w:rsid w:val="004E0FC9"/>
    <w:rsid w:val="004E1E6A"/>
    <w:rsid w:val="004E1FFE"/>
    <w:rsid w:val="004E2087"/>
    <w:rsid w:val="004E3685"/>
    <w:rsid w:val="004E38FB"/>
    <w:rsid w:val="004E3D28"/>
    <w:rsid w:val="004E4E2E"/>
    <w:rsid w:val="004E6587"/>
    <w:rsid w:val="004E7321"/>
    <w:rsid w:val="004F060B"/>
    <w:rsid w:val="004F26DD"/>
    <w:rsid w:val="004F270D"/>
    <w:rsid w:val="004F2839"/>
    <w:rsid w:val="004F2E09"/>
    <w:rsid w:val="004F3EAC"/>
    <w:rsid w:val="0050137A"/>
    <w:rsid w:val="0050194F"/>
    <w:rsid w:val="00501AB0"/>
    <w:rsid w:val="005021ED"/>
    <w:rsid w:val="0050364F"/>
    <w:rsid w:val="00505D3F"/>
    <w:rsid w:val="00506907"/>
    <w:rsid w:val="00507831"/>
    <w:rsid w:val="0051047A"/>
    <w:rsid w:val="00510F96"/>
    <w:rsid w:val="00510F9C"/>
    <w:rsid w:val="00511A2A"/>
    <w:rsid w:val="00517048"/>
    <w:rsid w:val="00517952"/>
    <w:rsid w:val="00520024"/>
    <w:rsid w:val="00520841"/>
    <w:rsid w:val="00522399"/>
    <w:rsid w:val="00523E85"/>
    <w:rsid w:val="00523F19"/>
    <w:rsid w:val="00524EDB"/>
    <w:rsid w:val="0052581B"/>
    <w:rsid w:val="00526EFB"/>
    <w:rsid w:val="00527C33"/>
    <w:rsid w:val="00535854"/>
    <w:rsid w:val="00541658"/>
    <w:rsid w:val="00542996"/>
    <w:rsid w:val="005453DF"/>
    <w:rsid w:val="0054602A"/>
    <w:rsid w:val="00546247"/>
    <w:rsid w:val="005463D0"/>
    <w:rsid w:val="0054644B"/>
    <w:rsid w:val="005467CF"/>
    <w:rsid w:val="005469D2"/>
    <w:rsid w:val="00547C2C"/>
    <w:rsid w:val="0055376B"/>
    <w:rsid w:val="005571BA"/>
    <w:rsid w:val="00557859"/>
    <w:rsid w:val="005604AA"/>
    <w:rsid w:val="0056094E"/>
    <w:rsid w:val="00562583"/>
    <w:rsid w:val="00564330"/>
    <w:rsid w:val="00564925"/>
    <w:rsid w:val="00566247"/>
    <w:rsid w:val="00567794"/>
    <w:rsid w:val="00573306"/>
    <w:rsid w:val="00573EC4"/>
    <w:rsid w:val="00577DD8"/>
    <w:rsid w:val="00580DA5"/>
    <w:rsid w:val="005810EE"/>
    <w:rsid w:val="0058370E"/>
    <w:rsid w:val="00584602"/>
    <w:rsid w:val="00584B8B"/>
    <w:rsid w:val="00585E16"/>
    <w:rsid w:val="00586A6D"/>
    <w:rsid w:val="00587B73"/>
    <w:rsid w:val="00587F59"/>
    <w:rsid w:val="0059018A"/>
    <w:rsid w:val="00590489"/>
    <w:rsid w:val="00590D60"/>
    <w:rsid w:val="0059220E"/>
    <w:rsid w:val="00593C00"/>
    <w:rsid w:val="00594FD5"/>
    <w:rsid w:val="00595FF3"/>
    <w:rsid w:val="005967AA"/>
    <w:rsid w:val="0059763E"/>
    <w:rsid w:val="005B0EF8"/>
    <w:rsid w:val="005B36AE"/>
    <w:rsid w:val="005B3D37"/>
    <w:rsid w:val="005B3F73"/>
    <w:rsid w:val="005B7F73"/>
    <w:rsid w:val="005C4615"/>
    <w:rsid w:val="005C48F9"/>
    <w:rsid w:val="005C5923"/>
    <w:rsid w:val="005D0332"/>
    <w:rsid w:val="005D0ACD"/>
    <w:rsid w:val="005D0F69"/>
    <w:rsid w:val="005D1E63"/>
    <w:rsid w:val="005D2ACE"/>
    <w:rsid w:val="005D409E"/>
    <w:rsid w:val="005D45A8"/>
    <w:rsid w:val="005D5543"/>
    <w:rsid w:val="005D67B6"/>
    <w:rsid w:val="005D72FB"/>
    <w:rsid w:val="005F0356"/>
    <w:rsid w:val="005F0BEE"/>
    <w:rsid w:val="005F3BC6"/>
    <w:rsid w:val="005F40B2"/>
    <w:rsid w:val="005F52EC"/>
    <w:rsid w:val="00602389"/>
    <w:rsid w:val="0060277E"/>
    <w:rsid w:val="00604459"/>
    <w:rsid w:val="006047B3"/>
    <w:rsid w:val="006047B7"/>
    <w:rsid w:val="00604FFA"/>
    <w:rsid w:val="00605218"/>
    <w:rsid w:val="00605981"/>
    <w:rsid w:val="00606920"/>
    <w:rsid w:val="00606E2F"/>
    <w:rsid w:val="00607A55"/>
    <w:rsid w:val="00610895"/>
    <w:rsid w:val="006110B2"/>
    <w:rsid w:val="00612244"/>
    <w:rsid w:val="0062065E"/>
    <w:rsid w:val="006218C8"/>
    <w:rsid w:val="00622A50"/>
    <w:rsid w:val="00624163"/>
    <w:rsid w:val="00625FAD"/>
    <w:rsid w:val="00627E5D"/>
    <w:rsid w:val="00630957"/>
    <w:rsid w:val="00633DC9"/>
    <w:rsid w:val="006358F8"/>
    <w:rsid w:val="0063732D"/>
    <w:rsid w:val="00637639"/>
    <w:rsid w:val="00637B35"/>
    <w:rsid w:val="006415B4"/>
    <w:rsid w:val="006416BA"/>
    <w:rsid w:val="006427A3"/>
    <w:rsid w:val="006448F1"/>
    <w:rsid w:val="00646454"/>
    <w:rsid w:val="006465EF"/>
    <w:rsid w:val="00653B63"/>
    <w:rsid w:val="006543C8"/>
    <w:rsid w:val="00654A2E"/>
    <w:rsid w:val="006554B8"/>
    <w:rsid w:val="00655F82"/>
    <w:rsid w:val="00657172"/>
    <w:rsid w:val="0065727E"/>
    <w:rsid w:val="00660483"/>
    <w:rsid w:val="00661092"/>
    <w:rsid w:val="00663984"/>
    <w:rsid w:val="00663F1E"/>
    <w:rsid w:val="00664C48"/>
    <w:rsid w:val="00674E77"/>
    <w:rsid w:val="0067646F"/>
    <w:rsid w:val="006804CE"/>
    <w:rsid w:val="006823BC"/>
    <w:rsid w:val="0068572C"/>
    <w:rsid w:val="00685C1B"/>
    <w:rsid w:val="00685D4D"/>
    <w:rsid w:val="006862BC"/>
    <w:rsid w:val="00691B72"/>
    <w:rsid w:val="0069374A"/>
    <w:rsid w:val="00693A30"/>
    <w:rsid w:val="00693FC6"/>
    <w:rsid w:val="006948D3"/>
    <w:rsid w:val="00695EFB"/>
    <w:rsid w:val="00696BC7"/>
    <w:rsid w:val="006A2D03"/>
    <w:rsid w:val="006A43F5"/>
    <w:rsid w:val="006A6FC7"/>
    <w:rsid w:val="006A7D7E"/>
    <w:rsid w:val="006B10D1"/>
    <w:rsid w:val="006B14A1"/>
    <w:rsid w:val="006B1DAB"/>
    <w:rsid w:val="006B4D8C"/>
    <w:rsid w:val="006B5AB5"/>
    <w:rsid w:val="006B6319"/>
    <w:rsid w:val="006B755F"/>
    <w:rsid w:val="006C25F6"/>
    <w:rsid w:val="006C2680"/>
    <w:rsid w:val="006C2E34"/>
    <w:rsid w:val="006C6825"/>
    <w:rsid w:val="006C7E59"/>
    <w:rsid w:val="006D0010"/>
    <w:rsid w:val="006D08CA"/>
    <w:rsid w:val="006D12B9"/>
    <w:rsid w:val="006D2CF3"/>
    <w:rsid w:val="006D5615"/>
    <w:rsid w:val="006D61BA"/>
    <w:rsid w:val="006D6498"/>
    <w:rsid w:val="006E13AD"/>
    <w:rsid w:val="006E194D"/>
    <w:rsid w:val="006E4687"/>
    <w:rsid w:val="006E5ECF"/>
    <w:rsid w:val="006F2773"/>
    <w:rsid w:val="006F2EA3"/>
    <w:rsid w:val="006F3D39"/>
    <w:rsid w:val="006F45A7"/>
    <w:rsid w:val="006F4F1B"/>
    <w:rsid w:val="006F503A"/>
    <w:rsid w:val="006F79F4"/>
    <w:rsid w:val="006F7BE4"/>
    <w:rsid w:val="00700175"/>
    <w:rsid w:val="00703C2A"/>
    <w:rsid w:val="00705592"/>
    <w:rsid w:val="00706ED3"/>
    <w:rsid w:val="0071446B"/>
    <w:rsid w:val="0071598A"/>
    <w:rsid w:val="00717715"/>
    <w:rsid w:val="00722A4A"/>
    <w:rsid w:val="00725FB9"/>
    <w:rsid w:val="00726A7B"/>
    <w:rsid w:val="007277E3"/>
    <w:rsid w:val="00730CA2"/>
    <w:rsid w:val="00730D77"/>
    <w:rsid w:val="0073168F"/>
    <w:rsid w:val="00731D4E"/>
    <w:rsid w:val="0073406A"/>
    <w:rsid w:val="00734FDA"/>
    <w:rsid w:val="00735A70"/>
    <w:rsid w:val="00740C5A"/>
    <w:rsid w:val="00741787"/>
    <w:rsid w:val="007418CB"/>
    <w:rsid w:val="007422B9"/>
    <w:rsid w:val="00742E20"/>
    <w:rsid w:val="00747383"/>
    <w:rsid w:val="00751089"/>
    <w:rsid w:val="00751D6D"/>
    <w:rsid w:val="00752D43"/>
    <w:rsid w:val="00752DD2"/>
    <w:rsid w:val="007535FA"/>
    <w:rsid w:val="00753933"/>
    <w:rsid w:val="00755C5A"/>
    <w:rsid w:val="0075627E"/>
    <w:rsid w:val="00756404"/>
    <w:rsid w:val="0075730C"/>
    <w:rsid w:val="00762DE9"/>
    <w:rsid w:val="00763019"/>
    <w:rsid w:val="00765331"/>
    <w:rsid w:val="00766372"/>
    <w:rsid w:val="0076651B"/>
    <w:rsid w:val="00772258"/>
    <w:rsid w:val="00775643"/>
    <w:rsid w:val="00776055"/>
    <w:rsid w:val="0077645C"/>
    <w:rsid w:val="0077648D"/>
    <w:rsid w:val="00776947"/>
    <w:rsid w:val="00776E17"/>
    <w:rsid w:val="007777F8"/>
    <w:rsid w:val="00780C61"/>
    <w:rsid w:val="00787FF6"/>
    <w:rsid w:val="007912F7"/>
    <w:rsid w:val="007922F4"/>
    <w:rsid w:val="00793256"/>
    <w:rsid w:val="0079458D"/>
    <w:rsid w:val="00795658"/>
    <w:rsid w:val="00795E3D"/>
    <w:rsid w:val="0079676D"/>
    <w:rsid w:val="0079757D"/>
    <w:rsid w:val="007A21DE"/>
    <w:rsid w:val="007A25C3"/>
    <w:rsid w:val="007A2909"/>
    <w:rsid w:val="007A2AEE"/>
    <w:rsid w:val="007A2B35"/>
    <w:rsid w:val="007A36B4"/>
    <w:rsid w:val="007A568E"/>
    <w:rsid w:val="007A6FDA"/>
    <w:rsid w:val="007A74D0"/>
    <w:rsid w:val="007B33B5"/>
    <w:rsid w:val="007B458A"/>
    <w:rsid w:val="007C0391"/>
    <w:rsid w:val="007C0A26"/>
    <w:rsid w:val="007C10CE"/>
    <w:rsid w:val="007C1297"/>
    <w:rsid w:val="007C3FF2"/>
    <w:rsid w:val="007C5857"/>
    <w:rsid w:val="007C6623"/>
    <w:rsid w:val="007C68E6"/>
    <w:rsid w:val="007C7027"/>
    <w:rsid w:val="007C7916"/>
    <w:rsid w:val="007D0E72"/>
    <w:rsid w:val="007D51F9"/>
    <w:rsid w:val="007D5791"/>
    <w:rsid w:val="007D6ABA"/>
    <w:rsid w:val="007D7DA8"/>
    <w:rsid w:val="007D7DF2"/>
    <w:rsid w:val="007E0655"/>
    <w:rsid w:val="007E0ADF"/>
    <w:rsid w:val="007E0EA8"/>
    <w:rsid w:val="007E39F5"/>
    <w:rsid w:val="007E39FD"/>
    <w:rsid w:val="007E4DD3"/>
    <w:rsid w:val="007E6DFD"/>
    <w:rsid w:val="007F027B"/>
    <w:rsid w:val="007F067F"/>
    <w:rsid w:val="007F2826"/>
    <w:rsid w:val="007F3588"/>
    <w:rsid w:val="007F5D36"/>
    <w:rsid w:val="007F7307"/>
    <w:rsid w:val="00800076"/>
    <w:rsid w:val="00801513"/>
    <w:rsid w:val="008018A8"/>
    <w:rsid w:val="00801C46"/>
    <w:rsid w:val="00803FF0"/>
    <w:rsid w:val="00805907"/>
    <w:rsid w:val="008076EF"/>
    <w:rsid w:val="00807B52"/>
    <w:rsid w:val="00812E27"/>
    <w:rsid w:val="008131D0"/>
    <w:rsid w:val="008147AE"/>
    <w:rsid w:val="00815B20"/>
    <w:rsid w:val="008168A7"/>
    <w:rsid w:val="008203C6"/>
    <w:rsid w:val="00825A0F"/>
    <w:rsid w:val="00826DCD"/>
    <w:rsid w:val="00830CF2"/>
    <w:rsid w:val="00833F28"/>
    <w:rsid w:val="008345B6"/>
    <w:rsid w:val="008352D0"/>
    <w:rsid w:val="008352F8"/>
    <w:rsid w:val="00836233"/>
    <w:rsid w:val="00837E87"/>
    <w:rsid w:val="00840749"/>
    <w:rsid w:val="0084406D"/>
    <w:rsid w:val="00844874"/>
    <w:rsid w:val="0084584E"/>
    <w:rsid w:val="008476EE"/>
    <w:rsid w:val="00847AEA"/>
    <w:rsid w:val="00852E42"/>
    <w:rsid w:val="00853A1C"/>
    <w:rsid w:val="008551F7"/>
    <w:rsid w:val="008560FF"/>
    <w:rsid w:val="00856546"/>
    <w:rsid w:val="0085656E"/>
    <w:rsid w:val="00857530"/>
    <w:rsid w:val="008579A2"/>
    <w:rsid w:val="00857C27"/>
    <w:rsid w:val="0086299F"/>
    <w:rsid w:val="00862C9E"/>
    <w:rsid w:val="008638D8"/>
    <w:rsid w:val="0086411F"/>
    <w:rsid w:val="008644E8"/>
    <w:rsid w:val="0086485F"/>
    <w:rsid w:val="008656C4"/>
    <w:rsid w:val="0086743E"/>
    <w:rsid w:val="00870AF1"/>
    <w:rsid w:val="00871B35"/>
    <w:rsid w:val="00871CFD"/>
    <w:rsid w:val="00871F9C"/>
    <w:rsid w:val="00873AAD"/>
    <w:rsid w:val="00875782"/>
    <w:rsid w:val="0087666E"/>
    <w:rsid w:val="00880163"/>
    <w:rsid w:val="00880261"/>
    <w:rsid w:val="0088184E"/>
    <w:rsid w:val="00882F3B"/>
    <w:rsid w:val="00882FB7"/>
    <w:rsid w:val="00883C20"/>
    <w:rsid w:val="008846D2"/>
    <w:rsid w:val="0088470C"/>
    <w:rsid w:val="0088700B"/>
    <w:rsid w:val="0089179B"/>
    <w:rsid w:val="0089338A"/>
    <w:rsid w:val="0089444E"/>
    <w:rsid w:val="00894D26"/>
    <w:rsid w:val="00895F4C"/>
    <w:rsid w:val="00897912"/>
    <w:rsid w:val="00897EE7"/>
    <w:rsid w:val="008A1C18"/>
    <w:rsid w:val="008A661B"/>
    <w:rsid w:val="008A7A4B"/>
    <w:rsid w:val="008A7A52"/>
    <w:rsid w:val="008B4058"/>
    <w:rsid w:val="008B7337"/>
    <w:rsid w:val="008C2527"/>
    <w:rsid w:val="008C32E3"/>
    <w:rsid w:val="008C33CE"/>
    <w:rsid w:val="008C4F66"/>
    <w:rsid w:val="008C770D"/>
    <w:rsid w:val="008D084E"/>
    <w:rsid w:val="008D1FB1"/>
    <w:rsid w:val="008D2D6F"/>
    <w:rsid w:val="008D2F2C"/>
    <w:rsid w:val="008D4A99"/>
    <w:rsid w:val="008D4FD7"/>
    <w:rsid w:val="008D6117"/>
    <w:rsid w:val="008D705A"/>
    <w:rsid w:val="008D7ED4"/>
    <w:rsid w:val="008E143F"/>
    <w:rsid w:val="008E18C3"/>
    <w:rsid w:val="008E7DF8"/>
    <w:rsid w:val="008F1812"/>
    <w:rsid w:val="008F4B6C"/>
    <w:rsid w:val="008F53F4"/>
    <w:rsid w:val="00900CB9"/>
    <w:rsid w:val="00900E26"/>
    <w:rsid w:val="009037F8"/>
    <w:rsid w:val="009053E1"/>
    <w:rsid w:val="00906C0E"/>
    <w:rsid w:val="0090770F"/>
    <w:rsid w:val="00907A20"/>
    <w:rsid w:val="00910EE0"/>
    <w:rsid w:val="00912A92"/>
    <w:rsid w:val="00912BD1"/>
    <w:rsid w:val="00915ACA"/>
    <w:rsid w:val="00923890"/>
    <w:rsid w:val="00924980"/>
    <w:rsid w:val="00925329"/>
    <w:rsid w:val="00925AA3"/>
    <w:rsid w:val="00925FE5"/>
    <w:rsid w:val="009272B4"/>
    <w:rsid w:val="0093006D"/>
    <w:rsid w:val="009310E1"/>
    <w:rsid w:val="00931418"/>
    <w:rsid w:val="009378BF"/>
    <w:rsid w:val="0094080A"/>
    <w:rsid w:val="009409BF"/>
    <w:rsid w:val="00945F19"/>
    <w:rsid w:val="00950CFF"/>
    <w:rsid w:val="00951062"/>
    <w:rsid w:val="00954C4C"/>
    <w:rsid w:val="00956AF0"/>
    <w:rsid w:val="00957B44"/>
    <w:rsid w:val="00960236"/>
    <w:rsid w:val="00961814"/>
    <w:rsid w:val="00962B64"/>
    <w:rsid w:val="00964B20"/>
    <w:rsid w:val="0096766A"/>
    <w:rsid w:val="00971D70"/>
    <w:rsid w:val="00973202"/>
    <w:rsid w:val="009734F2"/>
    <w:rsid w:val="00973902"/>
    <w:rsid w:val="0098788B"/>
    <w:rsid w:val="00990959"/>
    <w:rsid w:val="00990E44"/>
    <w:rsid w:val="009958A8"/>
    <w:rsid w:val="00995EA7"/>
    <w:rsid w:val="0099759B"/>
    <w:rsid w:val="00997A37"/>
    <w:rsid w:val="00997FE6"/>
    <w:rsid w:val="009A3098"/>
    <w:rsid w:val="009B0AB9"/>
    <w:rsid w:val="009B36EC"/>
    <w:rsid w:val="009B44DD"/>
    <w:rsid w:val="009B640F"/>
    <w:rsid w:val="009B66E3"/>
    <w:rsid w:val="009B6CB7"/>
    <w:rsid w:val="009C1190"/>
    <w:rsid w:val="009C5D55"/>
    <w:rsid w:val="009C6F8E"/>
    <w:rsid w:val="009D0441"/>
    <w:rsid w:val="009D2224"/>
    <w:rsid w:val="009D44FB"/>
    <w:rsid w:val="009D4F2D"/>
    <w:rsid w:val="009D5837"/>
    <w:rsid w:val="009D6D75"/>
    <w:rsid w:val="009D78D0"/>
    <w:rsid w:val="009D7C1A"/>
    <w:rsid w:val="009E2389"/>
    <w:rsid w:val="009E2488"/>
    <w:rsid w:val="009E43A2"/>
    <w:rsid w:val="009E43D3"/>
    <w:rsid w:val="009E49BF"/>
    <w:rsid w:val="009E58AE"/>
    <w:rsid w:val="009E5B55"/>
    <w:rsid w:val="009E6ED2"/>
    <w:rsid w:val="009E6FF9"/>
    <w:rsid w:val="009E7A76"/>
    <w:rsid w:val="009F0DF9"/>
    <w:rsid w:val="009F2AB5"/>
    <w:rsid w:val="009F31A8"/>
    <w:rsid w:val="009F4C88"/>
    <w:rsid w:val="00A00B41"/>
    <w:rsid w:val="00A032B8"/>
    <w:rsid w:val="00A04166"/>
    <w:rsid w:val="00A05C6B"/>
    <w:rsid w:val="00A07137"/>
    <w:rsid w:val="00A07203"/>
    <w:rsid w:val="00A07557"/>
    <w:rsid w:val="00A13770"/>
    <w:rsid w:val="00A164F0"/>
    <w:rsid w:val="00A2159F"/>
    <w:rsid w:val="00A21E28"/>
    <w:rsid w:val="00A2372F"/>
    <w:rsid w:val="00A23A37"/>
    <w:rsid w:val="00A257A1"/>
    <w:rsid w:val="00A31238"/>
    <w:rsid w:val="00A31444"/>
    <w:rsid w:val="00A316D7"/>
    <w:rsid w:val="00A31F26"/>
    <w:rsid w:val="00A337F2"/>
    <w:rsid w:val="00A346D0"/>
    <w:rsid w:val="00A35817"/>
    <w:rsid w:val="00A41FED"/>
    <w:rsid w:val="00A451D6"/>
    <w:rsid w:val="00A4549D"/>
    <w:rsid w:val="00A45F7E"/>
    <w:rsid w:val="00A4743A"/>
    <w:rsid w:val="00A50F88"/>
    <w:rsid w:val="00A52131"/>
    <w:rsid w:val="00A528A6"/>
    <w:rsid w:val="00A532BE"/>
    <w:rsid w:val="00A54494"/>
    <w:rsid w:val="00A546AD"/>
    <w:rsid w:val="00A5637E"/>
    <w:rsid w:val="00A56678"/>
    <w:rsid w:val="00A5709B"/>
    <w:rsid w:val="00A57AE0"/>
    <w:rsid w:val="00A61899"/>
    <w:rsid w:val="00A63061"/>
    <w:rsid w:val="00A63638"/>
    <w:rsid w:val="00A65BC8"/>
    <w:rsid w:val="00A67318"/>
    <w:rsid w:val="00A7161A"/>
    <w:rsid w:val="00A74CF7"/>
    <w:rsid w:val="00A75D24"/>
    <w:rsid w:val="00A76F9A"/>
    <w:rsid w:val="00A92499"/>
    <w:rsid w:val="00A96A35"/>
    <w:rsid w:val="00AA03ED"/>
    <w:rsid w:val="00AA1F88"/>
    <w:rsid w:val="00AA38E9"/>
    <w:rsid w:val="00AA39BC"/>
    <w:rsid w:val="00AA54B8"/>
    <w:rsid w:val="00AA5FCF"/>
    <w:rsid w:val="00AB3313"/>
    <w:rsid w:val="00AB361C"/>
    <w:rsid w:val="00AB4A39"/>
    <w:rsid w:val="00AB5ECF"/>
    <w:rsid w:val="00AC0532"/>
    <w:rsid w:val="00AC2966"/>
    <w:rsid w:val="00AC5A07"/>
    <w:rsid w:val="00AD0A6C"/>
    <w:rsid w:val="00AD271C"/>
    <w:rsid w:val="00AD4F20"/>
    <w:rsid w:val="00AD5EEE"/>
    <w:rsid w:val="00AD7CB4"/>
    <w:rsid w:val="00AE0F4B"/>
    <w:rsid w:val="00AE1C79"/>
    <w:rsid w:val="00AE3EAF"/>
    <w:rsid w:val="00AE4AB9"/>
    <w:rsid w:val="00AE5990"/>
    <w:rsid w:val="00AE647D"/>
    <w:rsid w:val="00AE6C98"/>
    <w:rsid w:val="00AE7725"/>
    <w:rsid w:val="00AE7770"/>
    <w:rsid w:val="00AF0B80"/>
    <w:rsid w:val="00AF223F"/>
    <w:rsid w:val="00AF22E7"/>
    <w:rsid w:val="00AF62E2"/>
    <w:rsid w:val="00AF6642"/>
    <w:rsid w:val="00AF7637"/>
    <w:rsid w:val="00B0111A"/>
    <w:rsid w:val="00B01DA8"/>
    <w:rsid w:val="00B03FB2"/>
    <w:rsid w:val="00B05904"/>
    <w:rsid w:val="00B06027"/>
    <w:rsid w:val="00B11716"/>
    <w:rsid w:val="00B13D53"/>
    <w:rsid w:val="00B14AA6"/>
    <w:rsid w:val="00B15A07"/>
    <w:rsid w:val="00B20E34"/>
    <w:rsid w:val="00B22068"/>
    <w:rsid w:val="00B22E29"/>
    <w:rsid w:val="00B24F29"/>
    <w:rsid w:val="00B27B16"/>
    <w:rsid w:val="00B31162"/>
    <w:rsid w:val="00B31467"/>
    <w:rsid w:val="00B32662"/>
    <w:rsid w:val="00B32EB0"/>
    <w:rsid w:val="00B34FD4"/>
    <w:rsid w:val="00B36365"/>
    <w:rsid w:val="00B374B9"/>
    <w:rsid w:val="00B37B22"/>
    <w:rsid w:val="00B40571"/>
    <w:rsid w:val="00B40E35"/>
    <w:rsid w:val="00B425B0"/>
    <w:rsid w:val="00B5029D"/>
    <w:rsid w:val="00B513B5"/>
    <w:rsid w:val="00B51843"/>
    <w:rsid w:val="00B51C42"/>
    <w:rsid w:val="00B53BD8"/>
    <w:rsid w:val="00B56102"/>
    <w:rsid w:val="00B575AF"/>
    <w:rsid w:val="00B60AC9"/>
    <w:rsid w:val="00B61FEF"/>
    <w:rsid w:val="00B65C51"/>
    <w:rsid w:val="00B66023"/>
    <w:rsid w:val="00B7230F"/>
    <w:rsid w:val="00B72782"/>
    <w:rsid w:val="00B74567"/>
    <w:rsid w:val="00B765D2"/>
    <w:rsid w:val="00B76653"/>
    <w:rsid w:val="00B76915"/>
    <w:rsid w:val="00B84386"/>
    <w:rsid w:val="00B84DB1"/>
    <w:rsid w:val="00B86291"/>
    <w:rsid w:val="00B87206"/>
    <w:rsid w:val="00B91A4D"/>
    <w:rsid w:val="00B94580"/>
    <w:rsid w:val="00B956CB"/>
    <w:rsid w:val="00B95916"/>
    <w:rsid w:val="00BA0989"/>
    <w:rsid w:val="00BA1230"/>
    <w:rsid w:val="00BA29F8"/>
    <w:rsid w:val="00BA6EF4"/>
    <w:rsid w:val="00BA7AE2"/>
    <w:rsid w:val="00BB0C93"/>
    <w:rsid w:val="00BB1A4A"/>
    <w:rsid w:val="00BB26D9"/>
    <w:rsid w:val="00BB6919"/>
    <w:rsid w:val="00BB752A"/>
    <w:rsid w:val="00BC1791"/>
    <w:rsid w:val="00BC30B8"/>
    <w:rsid w:val="00BC4F49"/>
    <w:rsid w:val="00BC59F1"/>
    <w:rsid w:val="00BD0D35"/>
    <w:rsid w:val="00BD532E"/>
    <w:rsid w:val="00BD68E8"/>
    <w:rsid w:val="00BD701A"/>
    <w:rsid w:val="00BE068B"/>
    <w:rsid w:val="00BE23F2"/>
    <w:rsid w:val="00BE46E1"/>
    <w:rsid w:val="00BE5724"/>
    <w:rsid w:val="00BE5737"/>
    <w:rsid w:val="00BF0FD7"/>
    <w:rsid w:val="00BF15E1"/>
    <w:rsid w:val="00BF183B"/>
    <w:rsid w:val="00BF206B"/>
    <w:rsid w:val="00BF3D81"/>
    <w:rsid w:val="00BF5E6E"/>
    <w:rsid w:val="00BF6B02"/>
    <w:rsid w:val="00BF7209"/>
    <w:rsid w:val="00BF737C"/>
    <w:rsid w:val="00C01305"/>
    <w:rsid w:val="00C0187C"/>
    <w:rsid w:val="00C0392A"/>
    <w:rsid w:val="00C047AE"/>
    <w:rsid w:val="00C05656"/>
    <w:rsid w:val="00C07C30"/>
    <w:rsid w:val="00C13384"/>
    <w:rsid w:val="00C13469"/>
    <w:rsid w:val="00C14520"/>
    <w:rsid w:val="00C150BF"/>
    <w:rsid w:val="00C15C8A"/>
    <w:rsid w:val="00C15F8C"/>
    <w:rsid w:val="00C16A26"/>
    <w:rsid w:val="00C202A0"/>
    <w:rsid w:val="00C22CCF"/>
    <w:rsid w:val="00C2483D"/>
    <w:rsid w:val="00C25F98"/>
    <w:rsid w:val="00C265AA"/>
    <w:rsid w:val="00C33E9C"/>
    <w:rsid w:val="00C364F7"/>
    <w:rsid w:val="00C373F4"/>
    <w:rsid w:val="00C40AA6"/>
    <w:rsid w:val="00C41937"/>
    <w:rsid w:val="00C44D49"/>
    <w:rsid w:val="00C44F79"/>
    <w:rsid w:val="00C464D5"/>
    <w:rsid w:val="00C47391"/>
    <w:rsid w:val="00C475AC"/>
    <w:rsid w:val="00C52AF8"/>
    <w:rsid w:val="00C53581"/>
    <w:rsid w:val="00C546D5"/>
    <w:rsid w:val="00C546EC"/>
    <w:rsid w:val="00C566D6"/>
    <w:rsid w:val="00C568E2"/>
    <w:rsid w:val="00C601C3"/>
    <w:rsid w:val="00C61F40"/>
    <w:rsid w:val="00C640C0"/>
    <w:rsid w:val="00C6704C"/>
    <w:rsid w:val="00C7088E"/>
    <w:rsid w:val="00C70D0F"/>
    <w:rsid w:val="00C7140C"/>
    <w:rsid w:val="00C71C24"/>
    <w:rsid w:val="00C72F54"/>
    <w:rsid w:val="00C73350"/>
    <w:rsid w:val="00C74AF1"/>
    <w:rsid w:val="00C81E7D"/>
    <w:rsid w:val="00C82752"/>
    <w:rsid w:val="00C82CC4"/>
    <w:rsid w:val="00C83461"/>
    <w:rsid w:val="00C846A2"/>
    <w:rsid w:val="00C84F3E"/>
    <w:rsid w:val="00C86725"/>
    <w:rsid w:val="00C87BE2"/>
    <w:rsid w:val="00C9204E"/>
    <w:rsid w:val="00C92868"/>
    <w:rsid w:val="00C94D8E"/>
    <w:rsid w:val="00C954CF"/>
    <w:rsid w:val="00C96AF0"/>
    <w:rsid w:val="00C9715A"/>
    <w:rsid w:val="00CA1298"/>
    <w:rsid w:val="00CA1624"/>
    <w:rsid w:val="00CA4365"/>
    <w:rsid w:val="00CA4720"/>
    <w:rsid w:val="00CA553C"/>
    <w:rsid w:val="00CA58EF"/>
    <w:rsid w:val="00CB2CF7"/>
    <w:rsid w:val="00CB30A5"/>
    <w:rsid w:val="00CB3D61"/>
    <w:rsid w:val="00CB46A0"/>
    <w:rsid w:val="00CB47F9"/>
    <w:rsid w:val="00CB57EF"/>
    <w:rsid w:val="00CB5A95"/>
    <w:rsid w:val="00CB6768"/>
    <w:rsid w:val="00CB760A"/>
    <w:rsid w:val="00CB7CCB"/>
    <w:rsid w:val="00CB7DCF"/>
    <w:rsid w:val="00CC31D1"/>
    <w:rsid w:val="00CC42C3"/>
    <w:rsid w:val="00CC6291"/>
    <w:rsid w:val="00CC7C1E"/>
    <w:rsid w:val="00CD0D18"/>
    <w:rsid w:val="00CD0F88"/>
    <w:rsid w:val="00CD27D3"/>
    <w:rsid w:val="00CD2A17"/>
    <w:rsid w:val="00CD3B31"/>
    <w:rsid w:val="00CD4939"/>
    <w:rsid w:val="00CD4A1F"/>
    <w:rsid w:val="00CE3ACC"/>
    <w:rsid w:val="00CE50B2"/>
    <w:rsid w:val="00CE7987"/>
    <w:rsid w:val="00CF08DF"/>
    <w:rsid w:val="00CF0B12"/>
    <w:rsid w:val="00CF1BC6"/>
    <w:rsid w:val="00CF35EF"/>
    <w:rsid w:val="00CF3824"/>
    <w:rsid w:val="00CF7C15"/>
    <w:rsid w:val="00D02C92"/>
    <w:rsid w:val="00D04032"/>
    <w:rsid w:val="00D07C6E"/>
    <w:rsid w:val="00D110D1"/>
    <w:rsid w:val="00D11C73"/>
    <w:rsid w:val="00D11E67"/>
    <w:rsid w:val="00D16F00"/>
    <w:rsid w:val="00D20A28"/>
    <w:rsid w:val="00D214EC"/>
    <w:rsid w:val="00D22D6D"/>
    <w:rsid w:val="00D24B13"/>
    <w:rsid w:val="00D258DC"/>
    <w:rsid w:val="00D265A8"/>
    <w:rsid w:val="00D319AD"/>
    <w:rsid w:val="00D3263C"/>
    <w:rsid w:val="00D32C73"/>
    <w:rsid w:val="00D33760"/>
    <w:rsid w:val="00D33C43"/>
    <w:rsid w:val="00D34C81"/>
    <w:rsid w:val="00D37304"/>
    <w:rsid w:val="00D37AAF"/>
    <w:rsid w:val="00D37E77"/>
    <w:rsid w:val="00D40753"/>
    <w:rsid w:val="00D40E01"/>
    <w:rsid w:val="00D53276"/>
    <w:rsid w:val="00D55A7E"/>
    <w:rsid w:val="00D633D8"/>
    <w:rsid w:val="00D66AF2"/>
    <w:rsid w:val="00D67D4A"/>
    <w:rsid w:val="00D70C58"/>
    <w:rsid w:val="00D71FEA"/>
    <w:rsid w:val="00D73A3B"/>
    <w:rsid w:val="00D7403A"/>
    <w:rsid w:val="00D74FDD"/>
    <w:rsid w:val="00D81F49"/>
    <w:rsid w:val="00D83171"/>
    <w:rsid w:val="00D8499C"/>
    <w:rsid w:val="00D86616"/>
    <w:rsid w:val="00D905FE"/>
    <w:rsid w:val="00D927CF"/>
    <w:rsid w:val="00D93E6C"/>
    <w:rsid w:val="00D9489E"/>
    <w:rsid w:val="00D9490E"/>
    <w:rsid w:val="00D95BCF"/>
    <w:rsid w:val="00D95EC2"/>
    <w:rsid w:val="00D9601C"/>
    <w:rsid w:val="00D97397"/>
    <w:rsid w:val="00DA078B"/>
    <w:rsid w:val="00DA13E0"/>
    <w:rsid w:val="00DA496C"/>
    <w:rsid w:val="00DA6194"/>
    <w:rsid w:val="00DB56D8"/>
    <w:rsid w:val="00DB59C8"/>
    <w:rsid w:val="00DC1C15"/>
    <w:rsid w:val="00DC2D17"/>
    <w:rsid w:val="00DC49A1"/>
    <w:rsid w:val="00DD091E"/>
    <w:rsid w:val="00DD1C76"/>
    <w:rsid w:val="00DD2481"/>
    <w:rsid w:val="00DD2F36"/>
    <w:rsid w:val="00DD5817"/>
    <w:rsid w:val="00DD7001"/>
    <w:rsid w:val="00DE3D07"/>
    <w:rsid w:val="00DE5D83"/>
    <w:rsid w:val="00DE6464"/>
    <w:rsid w:val="00DE6F3B"/>
    <w:rsid w:val="00DE6FFF"/>
    <w:rsid w:val="00DF09C1"/>
    <w:rsid w:val="00DF19CA"/>
    <w:rsid w:val="00DF4234"/>
    <w:rsid w:val="00DF7914"/>
    <w:rsid w:val="00E00EA8"/>
    <w:rsid w:val="00E02AC4"/>
    <w:rsid w:val="00E056CE"/>
    <w:rsid w:val="00E137A4"/>
    <w:rsid w:val="00E13D9C"/>
    <w:rsid w:val="00E2136A"/>
    <w:rsid w:val="00E2706A"/>
    <w:rsid w:val="00E27C47"/>
    <w:rsid w:val="00E304AF"/>
    <w:rsid w:val="00E32BD1"/>
    <w:rsid w:val="00E3327C"/>
    <w:rsid w:val="00E34E59"/>
    <w:rsid w:val="00E358F5"/>
    <w:rsid w:val="00E362E6"/>
    <w:rsid w:val="00E365AD"/>
    <w:rsid w:val="00E37CDC"/>
    <w:rsid w:val="00E40F70"/>
    <w:rsid w:val="00E41369"/>
    <w:rsid w:val="00E4215B"/>
    <w:rsid w:val="00E4380F"/>
    <w:rsid w:val="00E44B16"/>
    <w:rsid w:val="00E535D8"/>
    <w:rsid w:val="00E53E13"/>
    <w:rsid w:val="00E541BF"/>
    <w:rsid w:val="00E54DBC"/>
    <w:rsid w:val="00E553FE"/>
    <w:rsid w:val="00E5753D"/>
    <w:rsid w:val="00E57603"/>
    <w:rsid w:val="00E606B9"/>
    <w:rsid w:val="00E60BC2"/>
    <w:rsid w:val="00E62F6C"/>
    <w:rsid w:val="00E66DD7"/>
    <w:rsid w:val="00E6716F"/>
    <w:rsid w:val="00E677C5"/>
    <w:rsid w:val="00E67E7B"/>
    <w:rsid w:val="00E70701"/>
    <w:rsid w:val="00E71477"/>
    <w:rsid w:val="00E72D85"/>
    <w:rsid w:val="00E72E8E"/>
    <w:rsid w:val="00E74F1C"/>
    <w:rsid w:val="00E75160"/>
    <w:rsid w:val="00E76C44"/>
    <w:rsid w:val="00E77AF3"/>
    <w:rsid w:val="00E81D56"/>
    <w:rsid w:val="00E91326"/>
    <w:rsid w:val="00EA03AE"/>
    <w:rsid w:val="00EA09EF"/>
    <w:rsid w:val="00EA0CBD"/>
    <w:rsid w:val="00EA2071"/>
    <w:rsid w:val="00EA6979"/>
    <w:rsid w:val="00EA7178"/>
    <w:rsid w:val="00EA7583"/>
    <w:rsid w:val="00EB1B0B"/>
    <w:rsid w:val="00EB2749"/>
    <w:rsid w:val="00EB3278"/>
    <w:rsid w:val="00EB3765"/>
    <w:rsid w:val="00EB4B8F"/>
    <w:rsid w:val="00EB5530"/>
    <w:rsid w:val="00EB5F60"/>
    <w:rsid w:val="00EB66B1"/>
    <w:rsid w:val="00EB7A3B"/>
    <w:rsid w:val="00EC1095"/>
    <w:rsid w:val="00EC11D2"/>
    <w:rsid w:val="00EC3032"/>
    <w:rsid w:val="00EC6021"/>
    <w:rsid w:val="00EC670C"/>
    <w:rsid w:val="00EC6C24"/>
    <w:rsid w:val="00EC6CDD"/>
    <w:rsid w:val="00EC71A4"/>
    <w:rsid w:val="00ED2701"/>
    <w:rsid w:val="00ED3EBF"/>
    <w:rsid w:val="00ED5EDF"/>
    <w:rsid w:val="00EE08D5"/>
    <w:rsid w:val="00EE284E"/>
    <w:rsid w:val="00EE4286"/>
    <w:rsid w:val="00EE4766"/>
    <w:rsid w:val="00EE6DEA"/>
    <w:rsid w:val="00EE71F5"/>
    <w:rsid w:val="00EF1AD0"/>
    <w:rsid w:val="00EF53FA"/>
    <w:rsid w:val="00EF57BA"/>
    <w:rsid w:val="00EF5A2D"/>
    <w:rsid w:val="00F02C0D"/>
    <w:rsid w:val="00F02C75"/>
    <w:rsid w:val="00F071B0"/>
    <w:rsid w:val="00F126F6"/>
    <w:rsid w:val="00F134F6"/>
    <w:rsid w:val="00F1353C"/>
    <w:rsid w:val="00F14F57"/>
    <w:rsid w:val="00F20449"/>
    <w:rsid w:val="00F20967"/>
    <w:rsid w:val="00F213D8"/>
    <w:rsid w:val="00F22676"/>
    <w:rsid w:val="00F2363E"/>
    <w:rsid w:val="00F23D52"/>
    <w:rsid w:val="00F23E09"/>
    <w:rsid w:val="00F24736"/>
    <w:rsid w:val="00F24C42"/>
    <w:rsid w:val="00F26F0A"/>
    <w:rsid w:val="00F317FF"/>
    <w:rsid w:val="00F3215D"/>
    <w:rsid w:val="00F328B6"/>
    <w:rsid w:val="00F32C3D"/>
    <w:rsid w:val="00F409D7"/>
    <w:rsid w:val="00F41D30"/>
    <w:rsid w:val="00F42C9D"/>
    <w:rsid w:val="00F45E7E"/>
    <w:rsid w:val="00F477BC"/>
    <w:rsid w:val="00F51421"/>
    <w:rsid w:val="00F5146C"/>
    <w:rsid w:val="00F535E6"/>
    <w:rsid w:val="00F54FF1"/>
    <w:rsid w:val="00F55E95"/>
    <w:rsid w:val="00F616D5"/>
    <w:rsid w:val="00F631DC"/>
    <w:rsid w:val="00F6453B"/>
    <w:rsid w:val="00F656E0"/>
    <w:rsid w:val="00F66037"/>
    <w:rsid w:val="00F67DB2"/>
    <w:rsid w:val="00F67F8B"/>
    <w:rsid w:val="00F7031B"/>
    <w:rsid w:val="00F71FAF"/>
    <w:rsid w:val="00F77B70"/>
    <w:rsid w:val="00F80ADC"/>
    <w:rsid w:val="00F830E9"/>
    <w:rsid w:val="00F831F1"/>
    <w:rsid w:val="00F83A02"/>
    <w:rsid w:val="00F83E8F"/>
    <w:rsid w:val="00F864C3"/>
    <w:rsid w:val="00F8746C"/>
    <w:rsid w:val="00F953F9"/>
    <w:rsid w:val="00F95C69"/>
    <w:rsid w:val="00F9615B"/>
    <w:rsid w:val="00F969B2"/>
    <w:rsid w:val="00F97051"/>
    <w:rsid w:val="00F97509"/>
    <w:rsid w:val="00FA16AC"/>
    <w:rsid w:val="00FA2547"/>
    <w:rsid w:val="00FA445A"/>
    <w:rsid w:val="00FA58C4"/>
    <w:rsid w:val="00FA6B50"/>
    <w:rsid w:val="00FA6DAD"/>
    <w:rsid w:val="00FB5CAF"/>
    <w:rsid w:val="00FB5FB6"/>
    <w:rsid w:val="00FB6DEF"/>
    <w:rsid w:val="00FC196C"/>
    <w:rsid w:val="00FC3517"/>
    <w:rsid w:val="00FC3F8C"/>
    <w:rsid w:val="00FC6BA5"/>
    <w:rsid w:val="00FC7FE8"/>
    <w:rsid w:val="00FD2E29"/>
    <w:rsid w:val="00FD4ECC"/>
    <w:rsid w:val="00FE0963"/>
    <w:rsid w:val="00FE4450"/>
    <w:rsid w:val="00FE58FA"/>
    <w:rsid w:val="00FE6203"/>
    <w:rsid w:val="00FE6821"/>
    <w:rsid w:val="00FF0A4C"/>
    <w:rsid w:val="00FF0C2D"/>
    <w:rsid w:val="00FF1171"/>
    <w:rsid w:val="00FF17CC"/>
    <w:rsid w:val="00FF2083"/>
    <w:rsid w:val="00FF5791"/>
    <w:rsid w:val="00FF7414"/>
    <w:rsid w:val="00FF79FE"/>
    <w:rsid w:val="00FF7A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61"/>
    <o:shapelayout v:ext="edit">
      <o:idmap v:ext="edit" data="1"/>
    </o:shapelayout>
  </w:shapeDefaults>
  <w:decimalSymbol w:val=","/>
  <w:listSeparator w:val=","/>
  <w14:docId w14:val="67960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10CE"/>
    <w:pPr>
      <w:spacing w:after="0" w:line="240" w:lineRule="auto"/>
    </w:pPr>
    <w:rPr>
      <w:rFonts w:ascii="Times New Roman" w:eastAsia="Calibri" w:hAnsi="Times New Roman" w:cs="Times New Roman"/>
      <w:sz w:val="24"/>
      <w:szCs w:val="24"/>
      <w:lang w:val="es-ES_tradnl"/>
    </w:rPr>
  </w:style>
  <w:style w:type="paragraph" w:styleId="Heading1">
    <w:name w:val="heading 1"/>
    <w:aliases w:val="Título Verdana"/>
    <w:basedOn w:val="Normal"/>
    <w:next w:val="Normal"/>
    <w:link w:val="Heading1Char"/>
    <w:uiPriority w:val="9"/>
    <w:qFormat/>
    <w:rsid w:val="00D04032"/>
    <w:pPr>
      <w:keepNext/>
      <w:keepLines/>
      <w:spacing w:before="480"/>
      <w:outlineLvl w:val="0"/>
    </w:pPr>
    <w:rPr>
      <w:rFonts w:ascii="Verdana" w:eastAsia="Times New Roman" w:hAnsi="Verdana"/>
      <w:b/>
      <w:bCs/>
      <w:sz w:val="20"/>
      <w:szCs w:val="28"/>
    </w:rPr>
  </w:style>
  <w:style w:type="paragraph" w:styleId="Heading2">
    <w:name w:val="heading 2"/>
    <w:basedOn w:val="Normal"/>
    <w:next w:val="Normal"/>
    <w:link w:val="Heading2Char"/>
    <w:unhideWhenUsed/>
    <w:qFormat/>
    <w:rsid w:val="0076651B"/>
    <w:pPr>
      <w:keepNext/>
      <w:keepLines/>
      <w:outlineLvl w:val="1"/>
    </w:pPr>
    <w:rPr>
      <w:rFonts w:ascii="Verdana" w:eastAsia="Times New Roman" w:hAnsi="Verdana"/>
      <w:b/>
      <w:bCs/>
      <w:sz w:val="20"/>
      <w:szCs w:val="26"/>
    </w:rPr>
  </w:style>
  <w:style w:type="paragraph" w:styleId="Heading3">
    <w:name w:val="heading 3"/>
    <w:basedOn w:val="Normal"/>
    <w:next w:val="Normal"/>
    <w:link w:val="Heading3Char"/>
    <w:uiPriority w:val="9"/>
    <w:unhideWhenUsed/>
    <w:qFormat/>
    <w:rsid w:val="0076651B"/>
    <w:pPr>
      <w:keepNext/>
      <w:keepLines/>
      <w:outlineLvl w:val="2"/>
    </w:pPr>
    <w:rPr>
      <w:rFonts w:ascii="Verdana" w:eastAsiaTheme="majorEastAsia" w:hAnsi="Verdana" w:cstheme="majorBidi"/>
      <w:b/>
      <w:bCs/>
      <w:sz w:val="20"/>
    </w:rPr>
  </w:style>
  <w:style w:type="paragraph" w:styleId="Heading4">
    <w:name w:val="heading 4"/>
    <w:basedOn w:val="Normal"/>
    <w:next w:val="Normal"/>
    <w:link w:val="Heading4Char"/>
    <w:uiPriority w:val="9"/>
    <w:unhideWhenUsed/>
    <w:qFormat/>
    <w:rsid w:val="00262F28"/>
    <w:pPr>
      <w:keepNext/>
      <w:keepLines/>
      <w:outlineLvl w:val="3"/>
    </w:pPr>
    <w:rPr>
      <w:rFonts w:ascii="Verdana" w:eastAsiaTheme="majorEastAsia" w:hAnsi="Verdana" w:cstheme="majorBidi"/>
      <w:b/>
      <w:bCs/>
      <w:i/>
      <w:iCs/>
      <w:sz w:val="20"/>
    </w:rPr>
  </w:style>
  <w:style w:type="paragraph" w:styleId="Heading5">
    <w:name w:val="heading 5"/>
    <w:basedOn w:val="Normal"/>
    <w:next w:val="Normal"/>
    <w:link w:val="Heading5Char"/>
    <w:uiPriority w:val="9"/>
    <w:unhideWhenUsed/>
    <w:qFormat/>
    <w:rsid w:val="009E58AE"/>
    <w:pPr>
      <w:keepNext/>
      <w:keepLines/>
      <w:spacing w:before="200" w:line="276" w:lineRule="auto"/>
      <w:outlineLvl w:val="4"/>
    </w:pPr>
    <w:rPr>
      <w:rFonts w:asciiTheme="majorHAnsi" w:eastAsiaTheme="majorEastAsia" w:hAnsiTheme="majorHAnsi" w:cstheme="majorBidi"/>
      <w:color w:val="243F60" w:themeColor="accent1" w:themeShade="7F"/>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ítulo Verdana Char"/>
    <w:basedOn w:val="DefaultParagraphFont"/>
    <w:link w:val="Heading1"/>
    <w:uiPriority w:val="9"/>
    <w:rsid w:val="00D04032"/>
    <w:rPr>
      <w:rFonts w:ascii="Verdana" w:eastAsia="Times New Roman" w:hAnsi="Verdana" w:cs="Times New Roman"/>
      <w:b/>
      <w:bCs/>
      <w:sz w:val="20"/>
      <w:szCs w:val="28"/>
      <w:lang w:val="es-ES_tradnl"/>
    </w:rPr>
  </w:style>
  <w:style w:type="character" w:customStyle="1" w:styleId="Heading2Char">
    <w:name w:val="Heading 2 Char"/>
    <w:basedOn w:val="DefaultParagraphFont"/>
    <w:link w:val="Heading2"/>
    <w:uiPriority w:val="9"/>
    <w:rsid w:val="0076651B"/>
    <w:rPr>
      <w:rFonts w:ascii="Verdana" w:eastAsia="Times New Roman" w:hAnsi="Verdana" w:cs="Times New Roman"/>
      <w:b/>
      <w:bCs/>
      <w:sz w:val="20"/>
      <w:szCs w:val="26"/>
      <w:lang w:val="es-ES_tradnl"/>
    </w:rPr>
  </w:style>
  <w:style w:type="character" w:customStyle="1" w:styleId="Heading3Char">
    <w:name w:val="Heading 3 Char"/>
    <w:basedOn w:val="DefaultParagraphFont"/>
    <w:link w:val="Heading3"/>
    <w:uiPriority w:val="9"/>
    <w:rsid w:val="0076651B"/>
    <w:rPr>
      <w:rFonts w:ascii="Verdana" w:eastAsiaTheme="majorEastAsia" w:hAnsi="Verdana" w:cstheme="majorBidi"/>
      <w:b/>
      <w:bCs/>
      <w:sz w:val="20"/>
      <w:szCs w:val="24"/>
      <w:lang w:val="es-ES_tradnl"/>
    </w:rPr>
  </w:style>
  <w:style w:type="character" w:customStyle="1" w:styleId="Heading4Char">
    <w:name w:val="Heading 4 Char"/>
    <w:basedOn w:val="DefaultParagraphFont"/>
    <w:link w:val="Heading4"/>
    <w:uiPriority w:val="9"/>
    <w:rsid w:val="00262F28"/>
    <w:rPr>
      <w:rFonts w:ascii="Verdana" w:eastAsiaTheme="majorEastAsia" w:hAnsi="Verdana" w:cstheme="majorBidi"/>
      <w:b/>
      <w:bCs/>
      <w:i/>
      <w:iCs/>
      <w:sz w:val="20"/>
      <w:szCs w:val="24"/>
      <w:lang w:val="es-ES_tradnl"/>
    </w:rPr>
  </w:style>
  <w:style w:type="character" w:customStyle="1" w:styleId="Heading5Char">
    <w:name w:val="Heading 5 Char"/>
    <w:basedOn w:val="DefaultParagraphFont"/>
    <w:link w:val="Heading5"/>
    <w:uiPriority w:val="9"/>
    <w:rsid w:val="009E58AE"/>
    <w:rPr>
      <w:rFonts w:asciiTheme="majorHAnsi" w:eastAsiaTheme="majorEastAsia" w:hAnsiTheme="majorHAnsi" w:cstheme="majorBidi"/>
      <w:color w:val="243F60" w:themeColor="accent1" w:themeShade="7F"/>
    </w:rPr>
  </w:style>
  <w:style w:type="paragraph" w:styleId="FootnoteText">
    <w:name w:val="footnote text"/>
    <w:aliases w:val="2. Footnote Text,Footnote Tesina,Footnote Text Char Char Char Char Char,Footnote Text Char Char Char Char,Footnote reference,FA Fu,Footnote Text Char Char Char,Footnote Text Cha,FA Fußnotentext,FA Fuﬂnotentext,Footnote Text Char Char,Ca,C"/>
    <w:basedOn w:val="Normal"/>
    <w:link w:val="FootnoteTextChar"/>
    <w:autoRedefine/>
    <w:uiPriority w:val="99"/>
    <w:unhideWhenUsed/>
    <w:qFormat/>
    <w:rsid w:val="00334B6C"/>
    <w:pPr>
      <w:widowControl w:val="0"/>
      <w:tabs>
        <w:tab w:val="left" w:pos="567"/>
      </w:tabs>
      <w:spacing w:after="40"/>
      <w:jc w:val="both"/>
    </w:pPr>
    <w:rPr>
      <w:rFonts w:ascii="Verdana" w:eastAsia="Batang" w:hAnsi="Verdana"/>
      <w:sz w:val="16"/>
      <w:szCs w:val="16"/>
      <w:lang w:val="en-US" w:eastAsia="es-ES"/>
    </w:rPr>
  </w:style>
  <w:style w:type="character" w:customStyle="1" w:styleId="FootnoteTextChar">
    <w:name w:val="Footnote Text Char"/>
    <w:aliases w:val="2. Footnote Text Char,Footnote Tesina Char,Footnote Text Char Char Char Char Char Char,Footnote Text Char Char Char Char Char1,Footnote reference Char,FA Fu Char,Footnote Text Char Char Char Char1,Footnote Text Cha Char,Ca Char,C Char"/>
    <w:basedOn w:val="DefaultParagraphFont"/>
    <w:link w:val="FootnoteText"/>
    <w:uiPriority w:val="99"/>
    <w:qFormat/>
    <w:rsid w:val="00334B6C"/>
    <w:rPr>
      <w:rFonts w:ascii="Verdana" w:eastAsia="Batang" w:hAnsi="Verdana" w:cs="Times New Roman"/>
      <w:sz w:val="16"/>
      <w:szCs w:val="16"/>
      <w:lang w:eastAsia="es-ES"/>
    </w:rPr>
  </w:style>
  <w:style w:type="paragraph" w:styleId="ListParagraph">
    <w:name w:val="List Paragraph"/>
    <w:aliases w:val="Párrafo de lista1,Footnote,List Paragraph2,List Paragraph1,Colorful List - Accent 11,Lista vistosa - Énfasis 11"/>
    <w:basedOn w:val="Normal"/>
    <w:link w:val="ListParagraphChar"/>
    <w:uiPriority w:val="34"/>
    <w:qFormat/>
    <w:rsid w:val="009E58AE"/>
    <w:pPr>
      <w:ind w:left="720"/>
      <w:contextualSpacing/>
    </w:pPr>
  </w:style>
  <w:style w:type="character" w:customStyle="1" w:styleId="ListParagraphChar">
    <w:name w:val="List Paragraph Char"/>
    <w:aliases w:val="Párrafo de lista1 Char,Footnote Char,List Paragraph2 Char,List Paragraph1 Char,Colorful List - Accent 11 Char,Lista vistosa - Énfasis 11 Char"/>
    <w:basedOn w:val="DefaultParagraphFont"/>
    <w:link w:val="ListParagraph"/>
    <w:uiPriority w:val="34"/>
    <w:locked/>
    <w:rsid w:val="009E58AE"/>
    <w:rPr>
      <w:rFonts w:ascii="Times New Roman" w:eastAsia="Calibri" w:hAnsi="Times New Roman" w:cs="Times New Roman"/>
      <w:sz w:val="24"/>
      <w:szCs w:val="24"/>
      <w:lang w:val="es-ES_tradnl"/>
    </w:rPr>
  </w:style>
  <w:style w:type="character" w:styleId="FootnoteReference">
    <w:name w:val="footnote reference"/>
    <w:aliases w:val="Texto de nota al pie,Appel note de bas de page,Footnotes refss,Footnote number,referencia nota al pie,BVI fnr,f,4_G,16 Point,Superscript 6 Point,Texto nota al pie,Footnote Reference Char3,Footnote Reference Char1 Char,Ref. de nota al"/>
    <w:link w:val="4GChar"/>
    <w:uiPriority w:val="99"/>
    <w:qFormat/>
    <w:rsid w:val="009E58AE"/>
    <w:rPr>
      <w:rFonts w:ascii="Verdana" w:hAnsi="Verdana" w:cs="Times New Roman"/>
      <w:sz w:val="20"/>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uiPriority w:val="99"/>
    <w:rsid w:val="009E58AE"/>
    <w:pPr>
      <w:jc w:val="both"/>
    </w:pPr>
    <w:rPr>
      <w:rFonts w:ascii="Verdana" w:eastAsiaTheme="minorHAnsi" w:hAnsi="Verdana"/>
      <w:sz w:val="20"/>
      <w:szCs w:val="22"/>
      <w:vertAlign w:val="superscript"/>
      <w:lang w:val="en-US"/>
    </w:rPr>
  </w:style>
  <w:style w:type="character" w:styleId="Hyperlink">
    <w:name w:val="Hyperlink"/>
    <w:aliases w:val="Heading 3 caso"/>
    <w:uiPriority w:val="99"/>
    <w:rsid w:val="009E58AE"/>
    <w:rPr>
      <w:rFonts w:cs="Times New Roman"/>
      <w:color w:val="0000FF"/>
      <w:u w:val="single"/>
    </w:rPr>
  </w:style>
  <w:style w:type="paragraph" w:styleId="TOC1">
    <w:name w:val="toc 1"/>
    <w:basedOn w:val="Normal"/>
    <w:next w:val="Normal"/>
    <w:autoRedefine/>
    <w:uiPriority w:val="39"/>
    <w:unhideWhenUsed/>
    <w:rsid w:val="009D5837"/>
    <w:pPr>
      <w:tabs>
        <w:tab w:val="left" w:pos="0"/>
        <w:tab w:val="right" w:leader="dot" w:pos="8931"/>
      </w:tabs>
      <w:ind w:right="958"/>
      <w:jc w:val="both"/>
    </w:pPr>
    <w:rPr>
      <w:rFonts w:ascii="Verdana" w:hAnsi="Verdana" w:cs="Verdana"/>
      <w:b/>
      <w:caps/>
      <w:noProof/>
      <w:snapToGrid w:val="0"/>
      <w:sz w:val="20"/>
      <w:szCs w:val="20"/>
    </w:rPr>
  </w:style>
  <w:style w:type="paragraph" w:styleId="TOC2">
    <w:name w:val="toc 2"/>
    <w:basedOn w:val="Normal"/>
    <w:next w:val="Normal"/>
    <w:autoRedefine/>
    <w:uiPriority w:val="39"/>
    <w:unhideWhenUsed/>
    <w:rsid w:val="00167383"/>
    <w:pPr>
      <w:tabs>
        <w:tab w:val="left" w:pos="720"/>
        <w:tab w:val="right" w:leader="dot" w:pos="8931"/>
      </w:tabs>
      <w:ind w:left="238" w:right="815"/>
      <w:jc w:val="both"/>
    </w:pPr>
  </w:style>
  <w:style w:type="paragraph" w:styleId="TOC3">
    <w:name w:val="toc 3"/>
    <w:basedOn w:val="Normal"/>
    <w:next w:val="Normal"/>
    <w:autoRedefine/>
    <w:uiPriority w:val="39"/>
    <w:unhideWhenUsed/>
    <w:rsid w:val="009D5837"/>
    <w:pPr>
      <w:tabs>
        <w:tab w:val="left" w:pos="960"/>
        <w:tab w:val="right" w:leader="dot" w:pos="8828"/>
      </w:tabs>
      <w:ind w:left="482" w:right="815"/>
      <w:contextualSpacing/>
    </w:pPr>
  </w:style>
  <w:style w:type="paragraph" w:styleId="Footer">
    <w:name w:val="footer"/>
    <w:basedOn w:val="Normal"/>
    <w:link w:val="FooterChar"/>
    <w:uiPriority w:val="99"/>
    <w:unhideWhenUsed/>
    <w:rsid w:val="009E58AE"/>
    <w:pPr>
      <w:tabs>
        <w:tab w:val="center" w:pos="4419"/>
        <w:tab w:val="right" w:pos="8838"/>
      </w:tabs>
    </w:pPr>
  </w:style>
  <w:style w:type="character" w:customStyle="1" w:styleId="FooterChar">
    <w:name w:val="Footer Char"/>
    <w:basedOn w:val="DefaultParagraphFont"/>
    <w:link w:val="Footer"/>
    <w:uiPriority w:val="99"/>
    <w:rsid w:val="009E58AE"/>
    <w:rPr>
      <w:rFonts w:ascii="Times New Roman" w:eastAsia="Calibri" w:hAnsi="Times New Roman" w:cs="Times New Roman"/>
      <w:sz w:val="24"/>
      <w:szCs w:val="24"/>
      <w:lang w:val="es-ES_tradnl"/>
    </w:rPr>
  </w:style>
  <w:style w:type="character" w:styleId="CommentReference">
    <w:name w:val="annotation reference"/>
    <w:basedOn w:val="DefaultParagraphFont"/>
    <w:uiPriority w:val="99"/>
    <w:unhideWhenUsed/>
    <w:rsid w:val="009E58AE"/>
    <w:rPr>
      <w:sz w:val="16"/>
      <w:szCs w:val="16"/>
    </w:rPr>
  </w:style>
  <w:style w:type="character" w:customStyle="1" w:styleId="CommentTextChar">
    <w:name w:val="Comment Text Char"/>
    <w:basedOn w:val="DefaultParagraphFont"/>
    <w:link w:val="CommentText"/>
    <w:uiPriority w:val="99"/>
    <w:rsid w:val="009E58AE"/>
    <w:rPr>
      <w:rFonts w:ascii="Times New Roman" w:eastAsia="Calibri" w:hAnsi="Times New Roman" w:cs="Times New Roman"/>
      <w:sz w:val="20"/>
      <w:szCs w:val="20"/>
      <w:lang w:val="es-ES_tradnl"/>
    </w:rPr>
  </w:style>
  <w:style w:type="paragraph" w:styleId="CommentText">
    <w:name w:val="annotation text"/>
    <w:basedOn w:val="Normal"/>
    <w:link w:val="CommentTextChar"/>
    <w:uiPriority w:val="99"/>
    <w:unhideWhenUsed/>
    <w:rsid w:val="009E58AE"/>
    <w:rPr>
      <w:sz w:val="20"/>
      <w:szCs w:val="20"/>
    </w:rPr>
  </w:style>
  <w:style w:type="character" w:customStyle="1" w:styleId="CommentTextChar1">
    <w:name w:val="Comment Text Char1"/>
    <w:basedOn w:val="DefaultParagraphFont"/>
    <w:uiPriority w:val="99"/>
    <w:semiHidden/>
    <w:rsid w:val="009E58AE"/>
    <w:rPr>
      <w:rFonts w:ascii="Times New Roman" w:eastAsia="Calibri" w:hAnsi="Times New Roman" w:cs="Times New Roman"/>
      <w:sz w:val="20"/>
      <w:szCs w:val="20"/>
      <w:lang w:val="es-ES_tradnl"/>
    </w:rPr>
  </w:style>
  <w:style w:type="character" w:customStyle="1" w:styleId="apple-converted-space">
    <w:name w:val="apple-converted-space"/>
    <w:basedOn w:val="DefaultParagraphFont"/>
    <w:rsid w:val="009E58AE"/>
  </w:style>
  <w:style w:type="character" w:styleId="Strong">
    <w:name w:val="Strong"/>
    <w:basedOn w:val="DefaultParagraphFont"/>
    <w:uiPriority w:val="22"/>
    <w:qFormat/>
    <w:rsid w:val="009E58AE"/>
    <w:rPr>
      <w:b/>
      <w:bCs/>
    </w:rPr>
  </w:style>
  <w:style w:type="character" w:customStyle="1" w:styleId="BalloonTextChar">
    <w:name w:val="Balloon Text Char"/>
    <w:basedOn w:val="DefaultParagraphFont"/>
    <w:link w:val="BalloonText"/>
    <w:uiPriority w:val="99"/>
    <w:semiHidden/>
    <w:rsid w:val="009E58AE"/>
    <w:rPr>
      <w:rFonts w:ascii="Tahoma" w:eastAsia="Calibri" w:hAnsi="Tahoma" w:cs="Tahoma"/>
      <w:sz w:val="16"/>
      <w:szCs w:val="16"/>
      <w:lang w:val="es-ES_tradnl"/>
    </w:rPr>
  </w:style>
  <w:style w:type="paragraph" w:styleId="BalloonText">
    <w:name w:val="Balloon Text"/>
    <w:basedOn w:val="Normal"/>
    <w:link w:val="BalloonTextChar"/>
    <w:uiPriority w:val="99"/>
    <w:semiHidden/>
    <w:unhideWhenUsed/>
    <w:rsid w:val="009E58AE"/>
    <w:rPr>
      <w:rFonts w:ascii="Tahoma" w:hAnsi="Tahoma" w:cs="Tahoma"/>
      <w:sz w:val="16"/>
      <w:szCs w:val="16"/>
    </w:rPr>
  </w:style>
  <w:style w:type="character" w:customStyle="1" w:styleId="BalloonTextChar1">
    <w:name w:val="Balloon Text Char1"/>
    <w:basedOn w:val="DefaultParagraphFont"/>
    <w:uiPriority w:val="99"/>
    <w:semiHidden/>
    <w:rsid w:val="009E58AE"/>
    <w:rPr>
      <w:rFonts w:ascii="Tahoma" w:eastAsia="Calibri" w:hAnsi="Tahoma" w:cs="Tahoma"/>
      <w:sz w:val="16"/>
      <w:szCs w:val="16"/>
      <w:lang w:val="es-ES_tradnl"/>
    </w:rPr>
  </w:style>
  <w:style w:type="paragraph" w:styleId="Header">
    <w:name w:val="header"/>
    <w:basedOn w:val="Normal"/>
    <w:link w:val="HeaderChar"/>
    <w:uiPriority w:val="99"/>
    <w:unhideWhenUsed/>
    <w:rsid w:val="009E58AE"/>
    <w:pPr>
      <w:tabs>
        <w:tab w:val="center" w:pos="4419"/>
        <w:tab w:val="right" w:pos="8838"/>
      </w:tabs>
    </w:pPr>
    <w:rPr>
      <w:rFonts w:asciiTheme="minorHAnsi" w:eastAsiaTheme="minorHAnsi" w:hAnsiTheme="minorHAnsi" w:cstheme="minorBidi"/>
      <w:sz w:val="22"/>
      <w:szCs w:val="22"/>
      <w:lang w:val="es-CR"/>
    </w:rPr>
  </w:style>
  <w:style w:type="character" w:customStyle="1" w:styleId="HeaderChar">
    <w:name w:val="Header Char"/>
    <w:basedOn w:val="DefaultParagraphFont"/>
    <w:link w:val="Header"/>
    <w:uiPriority w:val="99"/>
    <w:rsid w:val="009E58AE"/>
    <w:rPr>
      <w:lang w:val="es-CR"/>
    </w:rPr>
  </w:style>
  <w:style w:type="paragraph" w:styleId="CommentSubject">
    <w:name w:val="annotation subject"/>
    <w:basedOn w:val="CommentText"/>
    <w:next w:val="CommentText"/>
    <w:link w:val="CommentSubjectChar"/>
    <w:uiPriority w:val="99"/>
    <w:semiHidden/>
    <w:unhideWhenUsed/>
    <w:rsid w:val="009E58AE"/>
    <w:pPr>
      <w:spacing w:after="200"/>
    </w:pPr>
    <w:rPr>
      <w:rFonts w:asciiTheme="minorHAnsi" w:eastAsiaTheme="minorHAnsi" w:hAnsiTheme="minorHAnsi" w:cstheme="minorBidi"/>
      <w:b/>
      <w:bCs/>
      <w:lang w:val="es-CR"/>
    </w:rPr>
  </w:style>
  <w:style w:type="character" w:customStyle="1" w:styleId="CommentSubjectChar">
    <w:name w:val="Comment Subject Char"/>
    <w:basedOn w:val="CommentTextChar1"/>
    <w:link w:val="CommentSubject"/>
    <w:uiPriority w:val="99"/>
    <w:semiHidden/>
    <w:rsid w:val="009E58AE"/>
    <w:rPr>
      <w:rFonts w:ascii="Times New Roman" w:eastAsia="Calibri" w:hAnsi="Times New Roman" w:cs="Times New Roman"/>
      <w:b/>
      <w:bCs/>
      <w:sz w:val="20"/>
      <w:szCs w:val="20"/>
      <w:lang w:val="es-CR"/>
    </w:rPr>
  </w:style>
  <w:style w:type="paragraph" w:customStyle="1" w:styleId="Footnotes">
    <w:name w:val="**. Footnotes"/>
    <w:basedOn w:val="FootnoteText"/>
    <w:link w:val="FootnotesChar"/>
    <w:autoRedefine/>
    <w:qFormat/>
    <w:rsid w:val="009E58AE"/>
    <w:pPr>
      <w:spacing w:before="120"/>
    </w:pPr>
    <w:rPr>
      <w:rFonts w:cs="Palatino-Italic"/>
      <w:iCs/>
      <w:lang w:eastAsia="en-US"/>
    </w:rPr>
  </w:style>
  <w:style w:type="character" w:customStyle="1" w:styleId="FootnotesChar">
    <w:name w:val="**. Footnotes Char"/>
    <w:basedOn w:val="DefaultParagraphFont"/>
    <w:link w:val="Footnotes"/>
    <w:rsid w:val="009E58AE"/>
    <w:rPr>
      <w:rFonts w:ascii="Verdana" w:eastAsia="Batang" w:hAnsi="Verdana" w:cs="Palatino-Italic"/>
      <w:iCs/>
      <w:sz w:val="16"/>
      <w:szCs w:val="16"/>
      <w:lang w:val="es-ES"/>
    </w:rPr>
  </w:style>
  <w:style w:type="character" w:customStyle="1" w:styleId="apple-style-span">
    <w:name w:val="apple-style-span"/>
    <w:basedOn w:val="DefaultParagraphFont"/>
    <w:rsid w:val="009E58AE"/>
    <w:rPr>
      <w:rFonts w:cs="Times New Roman"/>
    </w:rPr>
  </w:style>
  <w:style w:type="paragraph" w:customStyle="1" w:styleId="Default">
    <w:name w:val="Default"/>
    <w:rsid w:val="009E58A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tulo1">
    <w:name w:val="Título1"/>
    <w:basedOn w:val="DefaultParagraphFont"/>
    <w:rsid w:val="009E58AE"/>
  </w:style>
  <w:style w:type="paragraph" w:styleId="NoSpacing">
    <w:name w:val="No Spacing"/>
    <w:uiPriority w:val="1"/>
    <w:qFormat/>
    <w:rsid w:val="009E58AE"/>
    <w:pPr>
      <w:spacing w:after="0" w:line="240" w:lineRule="auto"/>
    </w:pPr>
    <w:rPr>
      <w:rFonts w:eastAsiaTheme="minorEastAsia"/>
    </w:rPr>
  </w:style>
  <w:style w:type="paragraph" w:styleId="TOC4">
    <w:name w:val="toc 4"/>
    <w:basedOn w:val="Normal"/>
    <w:next w:val="Normal"/>
    <w:autoRedefine/>
    <w:uiPriority w:val="39"/>
    <w:unhideWhenUsed/>
    <w:rsid w:val="009E58AE"/>
    <w:pPr>
      <w:spacing w:after="100"/>
      <w:ind w:left="720"/>
    </w:pPr>
  </w:style>
  <w:style w:type="paragraph" w:styleId="TOC5">
    <w:name w:val="toc 5"/>
    <w:basedOn w:val="Normal"/>
    <w:next w:val="Normal"/>
    <w:autoRedefine/>
    <w:uiPriority w:val="39"/>
    <w:unhideWhenUsed/>
    <w:rsid w:val="009E58AE"/>
    <w:pPr>
      <w:spacing w:after="100"/>
      <w:ind w:left="960"/>
    </w:pPr>
  </w:style>
  <w:style w:type="character" w:styleId="LineNumber">
    <w:name w:val="line number"/>
    <w:basedOn w:val="DefaultParagraphFont"/>
    <w:uiPriority w:val="99"/>
    <w:unhideWhenUsed/>
    <w:rsid w:val="009E58AE"/>
    <w:rPr>
      <w:rFonts w:ascii="Verdana" w:hAnsi="Verdana"/>
      <w:sz w:val="20"/>
    </w:rPr>
  </w:style>
  <w:style w:type="paragraph" w:customStyle="1" w:styleId="PrrafodeSentencia">
    <w:name w:val="*. Párrafo de Sentencia"/>
    <w:link w:val="PrrafodeSentenciaChar"/>
    <w:autoRedefine/>
    <w:qFormat/>
    <w:rsid w:val="009E58AE"/>
    <w:pPr>
      <w:tabs>
        <w:tab w:val="left" w:pos="0"/>
        <w:tab w:val="left" w:pos="567"/>
      </w:tabs>
      <w:spacing w:after="0" w:line="240" w:lineRule="auto"/>
      <w:jc w:val="both"/>
    </w:pPr>
    <w:rPr>
      <w:rFonts w:ascii="Verdana" w:eastAsia="Batang" w:hAnsi="Verdana" w:cs="Times New Roman"/>
      <w:sz w:val="16"/>
      <w:szCs w:val="16"/>
      <w:lang w:val="es-MX" w:eastAsia="es-MX"/>
    </w:rPr>
  </w:style>
  <w:style w:type="character" w:customStyle="1" w:styleId="PrrafodeSentenciaChar">
    <w:name w:val="*. Párrafo de Sentencia Char"/>
    <w:link w:val="PrrafodeSentencia"/>
    <w:rsid w:val="009E58AE"/>
    <w:rPr>
      <w:rFonts w:ascii="Verdana" w:eastAsia="Batang" w:hAnsi="Verdana" w:cs="Times New Roman"/>
      <w:sz w:val="16"/>
      <w:szCs w:val="16"/>
      <w:lang w:val="es-MX" w:eastAsia="es-MX"/>
    </w:rPr>
  </w:style>
  <w:style w:type="character" w:customStyle="1" w:styleId="hps">
    <w:name w:val="hps"/>
    <w:basedOn w:val="DefaultParagraphFont"/>
    <w:rsid w:val="009E58AE"/>
  </w:style>
  <w:style w:type="paragraph" w:styleId="HTMLPreformatted">
    <w:name w:val="HTML Preformatted"/>
    <w:basedOn w:val="Normal"/>
    <w:link w:val="HTMLPreformattedChar"/>
    <w:uiPriority w:val="99"/>
    <w:unhideWhenUsed/>
    <w:rsid w:val="009E58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PreformattedChar">
    <w:name w:val="HTML Preformatted Char"/>
    <w:basedOn w:val="DefaultParagraphFont"/>
    <w:link w:val="HTMLPreformatted"/>
    <w:uiPriority w:val="99"/>
    <w:rsid w:val="009E58AE"/>
    <w:rPr>
      <w:rFonts w:ascii="Courier New" w:eastAsia="Times New Roman" w:hAnsi="Courier New" w:cs="Times New Roman"/>
      <w:sz w:val="20"/>
      <w:szCs w:val="20"/>
      <w:lang w:val="es-ES_tradnl"/>
    </w:rPr>
  </w:style>
  <w:style w:type="paragraph" w:customStyle="1" w:styleId="2Footnotes">
    <w:name w:val="2. Footnotes"/>
    <w:basedOn w:val="FootnoteText"/>
    <w:link w:val="2FootnotesChar"/>
    <w:autoRedefine/>
    <w:qFormat/>
    <w:rsid w:val="009E58AE"/>
    <w:pPr>
      <w:tabs>
        <w:tab w:val="clear" w:pos="567"/>
      </w:tabs>
      <w:spacing w:before="120"/>
    </w:pPr>
    <w:rPr>
      <w:rFonts w:eastAsia="Times New Roman" w:cs="Palatino-Italic"/>
      <w:iCs/>
      <w:noProof/>
      <w:szCs w:val="18"/>
      <w:lang w:eastAsia="en-US"/>
    </w:rPr>
  </w:style>
  <w:style w:type="character" w:customStyle="1" w:styleId="2FootnotesChar">
    <w:name w:val="2. Footnotes Char"/>
    <w:link w:val="2Footnotes"/>
    <w:rsid w:val="009E58AE"/>
    <w:rPr>
      <w:rFonts w:ascii="Verdana" w:eastAsia="Times New Roman" w:hAnsi="Verdana" w:cs="Palatino-Italic"/>
      <w:iCs/>
      <w:noProof/>
      <w:sz w:val="16"/>
      <w:szCs w:val="18"/>
      <w:lang w:val="es-ES"/>
    </w:rPr>
  </w:style>
  <w:style w:type="paragraph" w:styleId="NormalWeb">
    <w:name w:val="Normal (Web)"/>
    <w:aliases w:val="Normal (Web) Char1,Normal (Web) Char Char,Normal (Web) Char1 Char,Normal (Web) Char Char Char"/>
    <w:basedOn w:val="Normal"/>
    <w:uiPriority w:val="99"/>
    <w:unhideWhenUsed/>
    <w:rsid w:val="009E58AE"/>
    <w:pPr>
      <w:spacing w:before="100" w:beforeAutospacing="1" w:after="100" w:afterAutospacing="1"/>
    </w:pPr>
    <w:rPr>
      <w:rFonts w:eastAsia="Times New Roman"/>
      <w:lang w:val="es-CR" w:eastAsia="es-CR"/>
    </w:rPr>
  </w:style>
  <w:style w:type="paragraph" w:customStyle="1" w:styleId="xmsonormal">
    <w:name w:val="x_msonormal"/>
    <w:basedOn w:val="Normal"/>
    <w:rsid w:val="009E58AE"/>
    <w:pPr>
      <w:spacing w:before="100" w:beforeAutospacing="1" w:after="100" w:afterAutospacing="1"/>
    </w:pPr>
    <w:rPr>
      <w:rFonts w:eastAsia="Times New Roman"/>
      <w:lang w:val="en-US"/>
    </w:rPr>
  </w:style>
  <w:style w:type="paragraph" w:customStyle="1" w:styleId="HChG">
    <w:name w:val="_ H _Ch_G"/>
    <w:basedOn w:val="Normal"/>
    <w:next w:val="Normal"/>
    <w:rsid w:val="009E58AE"/>
    <w:pPr>
      <w:keepNext/>
      <w:keepLines/>
      <w:tabs>
        <w:tab w:val="right" w:pos="851"/>
      </w:tabs>
      <w:suppressAutoHyphens/>
      <w:spacing w:before="360" w:after="240" w:line="300" w:lineRule="exact"/>
      <w:ind w:left="1134" w:right="1134" w:hanging="1134"/>
    </w:pPr>
    <w:rPr>
      <w:rFonts w:eastAsia="Times New Roman"/>
      <w:b/>
      <w:sz w:val="28"/>
      <w:szCs w:val="20"/>
      <w:lang w:val="es-ES" w:eastAsia="es-ES"/>
    </w:rPr>
  </w:style>
  <w:style w:type="paragraph" w:customStyle="1" w:styleId="H1G">
    <w:name w:val="_ H_1_G"/>
    <w:basedOn w:val="Normal"/>
    <w:next w:val="Normal"/>
    <w:rsid w:val="009E58AE"/>
    <w:pPr>
      <w:keepNext/>
      <w:keepLines/>
      <w:tabs>
        <w:tab w:val="right" w:pos="851"/>
      </w:tabs>
      <w:suppressAutoHyphens/>
      <w:spacing w:before="360" w:after="240" w:line="270" w:lineRule="exact"/>
      <w:ind w:left="1134" w:right="1134" w:hanging="1134"/>
    </w:pPr>
    <w:rPr>
      <w:rFonts w:eastAsia="Times New Roman"/>
      <w:b/>
      <w:szCs w:val="20"/>
      <w:lang w:val="es-ES" w:eastAsia="es-ES"/>
    </w:rPr>
  </w:style>
  <w:style w:type="paragraph" w:customStyle="1" w:styleId="Estilo1">
    <w:name w:val="Estilo1"/>
    <w:basedOn w:val="ListParagraph"/>
    <w:link w:val="Estilo1Car"/>
    <w:qFormat/>
    <w:rsid w:val="009E58AE"/>
    <w:pPr>
      <w:numPr>
        <w:numId w:val="3"/>
      </w:numPr>
      <w:spacing w:after="240"/>
      <w:contextualSpacing w:val="0"/>
      <w:jc w:val="both"/>
    </w:pPr>
    <w:rPr>
      <w:lang w:val="es-UY"/>
    </w:rPr>
  </w:style>
  <w:style w:type="character" w:customStyle="1" w:styleId="Estilo1Car">
    <w:name w:val="Estilo1 Car"/>
    <w:link w:val="Estilo1"/>
    <w:locked/>
    <w:rsid w:val="009E58AE"/>
    <w:rPr>
      <w:rFonts w:ascii="Times New Roman" w:eastAsia="Calibri" w:hAnsi="Times New Roman" w:cs="Times New Roman"/>
      <w:sz w:val="24"/>
      <w:szCs w:val="24"/>
      <w:lang w:val="es-UY"/>
    </w:rPr>
  </w:style>
  <w:style w:type="character" w:customStyle="1" w:styleId="TextonotapieCar1">
    <w:name w:val="Texto nota pie Car1"/>
    <w:aliases w:val="Footnote Text Char Char Char Char Char Car1,Footnote Text Char Char Char Char Car1,Footnote reference Car1,FA Fu Car1,Footnote Text Char Char Char Car1,Footnote Text Cha Car1,FA Fußnotentext Car1,FA Fuﬂnotentext Car1,Ca Car,C Car"/>
    <w:basedOn w:val="DefaultParagraphFont"/>
    <w:qFormat/>
    <w:locked/>
    <w:rsid w:val="009E58AE"/>
    <w:rPr>
      <w:rFonts w:ascii="Verdana" w:eastAsia="MS Mincho" w:hAnsi="Verdana" w:cs="Times"/>
      <w:sz w:val="16"/>
      <w:szCs w:val="24"/>
      <w:lang w:val="es-ES_tradnl"/>
    </w:rPr>
  </w:style>
  <w:style w:type="character" w:customStyle="1" w:styleId="Smbolodenotaalpie">
    <w:name w:val="Símbolo de nota al pie"/>
    <w:rsid w:val="009E58AE"/>
    <w:rPr>
      <w:vertAlign w:val="superscript"/>
    </w:rPr>
  </w:style>
  <w:style w:type="paragraph" w:styleId="BodyText">
    <w:name w:val="Body Text"/>
    <w:basedOn w:val="Normal"/>
    <w:link w:val="BodyTextChar"/>
    <w:uiPriority w:val="99"/>
    <w:semiHidden/>
    <w:unhideWhenUsed/>
    <w:rsid w:val="009E58AE"/>
    <w:pPr>
      <w:jc w:val="both"/>
    </w:pPr>
    <w:rPr>
      <w:rFonts w:ascii="Garamond" w:eastAsia="Times" w:hAnsi="Garamond"/>
      <w:noProof/>
      <w:sz w:val="22"/>
      <w:szCs w:val="20"/>
    </w:rPr>
  </w:style>
  <w:style w:type="character" w:customStyle="1" w:styleId="BodyTextChar">
    <w:name w:val="Body Text Char"/>
    <w:basedOn w:val="DefaultParagraphFont"/>
    <w:link w:val="BodyText"/>
    <w:uiPriority w:val="99"/>
    <w:semiHidden/>
    <w:rsid w:val="009E58AE"/>
    <w:rPr>
      <w:rFonts w:ascii="Garamond" w:eastAsia="Times" w:hAnsi="Garamond" w:cs="Times New Roman"/>
      <w:noProof/>
      <w:szCs w:val="20"/>
      <w:lang w:val="es-ES_tradnl"/>
    </w:rPr>
  </w:style>
  <w:style w:type="character" w:customStyle="1" w:styleId="BodyTextIndentChar">
    <w:name w:val="Body Text Indent Char"/>
    <w:basedOn w:val="DefaultParagraphFont"/>
    <w:link w:val="BodyTextIndent"/>
    <w:uiPriority w:val="99"/>
    <w:semiHidden/>
    <w:rsid w:val="009E58AE"/>
    <w:rPr>
      <w:rFonts w:ascii="Times New Roman" w:eastAsia="Calibri" w:hAnsi="Times New Roman" w:cs="Times New Roman"/>
      <w:sz w:val="24"/>
      <w:szCs w:val="24"/>
      <w:lang w:val="es-ES_tradnl"/>
    </w:rPr>
  </w:style>
  <w:style w:type="paragraph" w:styleId="BodyTextIndent">
    <w:name w:val="Body Text Indent"/>
    <w:basedOn w:val="Normal"/>
    <w:link w:val="BodyTextIndentChar"/>
    <w:uiPriority w:val="99"/>
    <w:semiHidden/>
    <w:unhideWhenUsed/>
    <w:rsid w:val="009E58AE"/>
    <w:pPr>
      <w:spacing w:after="120"/>
      <w:ind w:left="283"/>
    </w:pPr>
  </w:style>
  <w:style w:type="character" w:customStyle="1" w:styleId="BodyTextIndentChar1">
    <w:name w:val="Body Text Indent Char1"/>
    <w:basedOn w:val="DefaultParagraphFont"/>
    <w:uiPriority w:val="99"/>
    <w:semiHidden/>
    <w:rsid w:val="009E58AE"/>
    <w:rPr>
      <w:rFonts w:ascii="Times New Roman" w:eastAsia="Calibri" w:hAnsi="Times New Roman" w:cs="Times New Roman"/>
      <w:sz w:val="24"/>
      <w:szCs w:val="24"/>
      <w:lang w:val="es-ES_tradnl"/>
    </w:rPr>
  </w:style>
  <w:style w:type="character" w:customStyle="1" w:styleId="Estilo1Char">
    <w:name w:val="Estilo1 Char"/>
    <w:rsid w:val="009E58AE"/>
    <w:rPr>
      <w:rFonts w:ascii="Verdana" w:eastAsia="Calibri" w:hAnsi="Verdana" w:cs="Times New Roman"/>
      <w:sz w:val="20"/>
      <w:szCs w:val="20"/>
      <w:lang w:val="es-ES"/>
    </w:rPr>
  </w:style>
  <w:style w:type="paragraph" w:customStyle="1" w:styleId="Estilo2">
    <w:name w:val="Estilo2"/>
    <w:basedOn w:val="Normal"/>
    <w:qFormat/>
    <w:rsid w:val="009E58AE"/>
    <w:pPr>
      <w:tabs>
        <w:tab w:val="left" w:pos="567"/>
        <w:tab w:val="left" w:pos="1134"/>
        <w:tab w:val="num" w:pos="4767"/>
      </w:tabs>
      <w:spacing w:after="120"/>
      <w:ind w:left="4767" w:hanging="360"/>
      <w:jc w:val="both"/>
    </w:pPr>
    <w:rPr>
      <w:rFonts w:ascii="Verdana" w:hAnsi="Verdana"/>
      <w:sz w:val="20"/>
      <w:szCs w:val="20"/>
      <w:lang w:val="es-ES"/>
    </w:rPr>
  </w:style>
  <w:style w:type="paragraph" w:styleId="BodyTextIndent3">
    <w:name w:val="Body Text Indent 3"/>
    <w:basedOn w:val="Normal"/>
    <w:link w:val="BodyTextIndent3Char"/>
    <w:rsid w:val="009E58AE"/>
    <w:pPr>
      <w:ind w:left="720"/>
      <w:jc w:val="both"/>
    </w:pPr>
    <w:rPr>
      <w:rFonts w:ascii="Verdana" w:eastAsia="Times" w:hAnsi="Verdana"/>
      <w:b/>
      <w:sz w:val="22"/>
      <w:szCs w:val="20"/>
      <w:lang w:eastAsia="es-ES"/>
    </w:rPr>
  </w:style>
  <w:style w:type="character" w:customStyle="1" w:styleId="BodyTextIndent3Char">
    <w:name w:val="Body Text Indent 3 Char"/>
    <w:basedOn w:val="DefaultParagraphFont"/>
    <w:link w:val="BodyTextIndent3"/>
    <w:rsid w:val="009E58AE"/>
    <w:rPr>
      <w:rFonts w:ascii="Verdana" w:eastAsia="Times" w:hAnsi="Verdana" w:cs="Times New Roman"/>
      <w:b/>
      <w:szCs w:val="20"/>
      <w:lang w:val="es-ES_tradnl" w:eastAsia="es-ES"/>
    </w:rPr>
  </w:style>
  <w:style w:type="paragraph" w:customStyle="1" w:styleId="Estilo7">
    <w:name w:val="Estilo7"/>
    <w:basedOn w:val="Normal"/>
    <w:qFormat/>
    <w:rsid w:val="009E58AE"/>
    <w:pPr>
      <w:tabs>
        <w:tab w:val="left" w:pos="567"/>
        <w:tab w:val="left" w:pos="851"/>
        <w:tab w:val="num" w:pos="2160"/>
      </w:tabs>
      <w:spacing w:before="120" w:after="120"/>
      <w:ind w:left="2160" w:hanging="180"/>
      <w:jc w:val="both"/>
    </w:pPr>
    <w:rPr>
      <w:rFonts w:ascii="Verdana" w:eastAsia="Batang" w:hAnsi="Verdana"/>
      <w:b/>
      <w:i/>
      <w:sz w:val="20"/>
      <w:szCs w:val="20"/>
      <w:lang w:eastAsia="es-MX"/>
    </w:rPr>
  </w:style>
  <w:style w:type="paragraph" w:customStyle="1" w:styleId="Sangradetindependiente">
    <w:name w:val="Sangr’a de t. independiente"/>
    <w:basedOn w:val="Normal"/>
    <w:rsid w:val="009E58AE"/>
    <w:pPr>
      <w:overflowPunct w:val="0"/>
      <w:autoSpaceDE w:val="0"/>
      <w:autoSpaceDN w:val="0"/>
      <w:adjustRightInd w:val="0"/>
      <w:jc w:val="both"/>
      <w:textAlignment w:val="baseline"/>
    </w:pPr>
    <w:rPr>
      <w:rFonts w:eastAsia="Times New Roman"/>
      <w:szCs w:val="20"/>
      <w:lang w:eastAsia="es-ES"/>
    </w:rPr>
  </w:style>
  <w:style w:type="paragraph" w:styleId="EndnoteText">
    <w:name w:val="endnote text"/>
    <w:basedOn w:val="Normal"/>
    <w:link w:val="EndnoteTextChar"/>
    <w:rsid w:val="009E58AE"/>
    <w:rPr>
      <w:rFonts w:ascii="Verdana" w:eastAsia="Times" w:hAnsi="Verdana"/>
      <w:sz w:val="20"/>
      <w:szCs w:val="20"/>
      <w:lang w:val="es-CR"/>
    </w:rPr>
  </w:style>
  <w:style w:type="character" w:customStyle="1" w:styleId="EndnoteTextChar">
    <w:name w:val="Endnote Text Char"/>
    <w:basedOn w:val="DefaultParagraphFont"/>
    <w:link w:val="EndnoteText"/>
    <w:rsid w:val="009E58AE"/>
    <w:rPr>
      <w:rFonts w:ascii="Verdana" w:eastAsia="Times" w:hAnsi="Verdana" w:cs="Times New Roman"/>
      <w:sz w:val="20"/>
      <w:szCs w:val="20"/>
      <w:lang w:val="es-CR"/>
    </w:rPr>
  </w:style>
  <w:style w:type="character" w:customStyle="1" w:styleId="Caracteresdenotafinal">
    <w:name w:val="Caracteres de nota final"/>
    <w:basedOn w:val="DefaultParagraphFont"/>
    <w:rsid w:val="009E58AE"/>
    <w:rPr>
      <w:vertAlign w:val="superscript"/>
    </w:rPr>
  </w:style>
  <w:style w:type="character" w:customStyle="1" w:styleId="normalchar1">
    <w:name w:val="normal__char1"/>
    <w:basedOn w:val="DefaultParagraphFont"/>
    <w:rsid w:val="009E58AE"/>
    <w:rPr>
      <w:rFonts w:ascii="Verdana" w:hAnsi="Verdana" w:hint="default"/>
      <w:sz w:val="20"/>
      <w:szCs w:val="20"/>
    </w:rPr>
  </w:style>
  <w:style w:type="character" w:customStyle="1" w:styleId="FootnoteTextCharCar">
    <w:name w:val="Footnote Text Char Car"/>
    <w:aliases w:val="FA Car,Note de bas de page Car Car Car"/>
    <w:basedOn w:val="DefaultParagraphFont"/>
    <w:uiPriority w:val="99"/>
    <w:locked/>
    <w:rsid w:val="009E58AE"/>
  </w:style>
  <w:style w:type="character" w:customStyle="1" w:styleId="sb8d990e2">
    <w:name w:val="sb8d990e2"/>
    <w:uiPriority w:val="99"/>
    <w:rsid w:val="009E58AE"/>
  </w:style>
  <w:style w:type="paragraph" w:customStyle="1" w:styleId="Prrafodelista2">
    <w:name w:val="Párrafo de lista2"/>
    <w:basedOn w:val="Normal"/>
    <w:uiPriority w:val="99"/>
    <w:rsid w:val="009E58AE"/>
    <w:pPr>
      <w:ind w:left="720"/>
    </w:pPr>
    <w:rPr>
      <w:rFonts w:ascii="Verdana" w:eastAsia="MS Mincho" w:hAnsi="Verdana"/>
      <w:sz w:val="20"/>
      <w:szCs w:val="20"/>
      <w:lang w:bidi="en-US"/>
    </w:rPr>
  </w:style>
  <w:style w:type="character" w:customStyle="1" w:styleId="st1">
    <w:name w:val="st1"/>
    <w:basedOn w:val="DefaultParagraphFont"/>
    <w:rsid w:val="009E58AE"/>
  </w:style>
  <w:style w:type="paragraph" w:styleId="Revision">
    <w:name w:val="Revision"/>
    <w:hidden/>
    <w:uiPriority w:val="99"/>
    <w:semiHidden/>
    <w:rsid w:val="002C1303"/>
    <w:pPr>
      <w:spacing w:after="0" w:line="240" w:lineRule="auto"/>
    </w:pPr>
    <w:rPr>
      <w:rFonts w:ascii="Times New Roman" w:eastAsia="Calibri" w:hAnsi="Times New Roman" w:cs="Times New Roman"/>
      <w:sz w:val="24"/>
      <w:szCs w:val="24"/>
      <w:lang w:val="es-ES_tradnl"/>
    </w:rPr>
  </w:style>
  <w:style w:type="paragraph" w:customStyle="1" w:styleId="NormalNumbered">
    <w:name w:val="Normal Numbered"/>
    <w:basedOn w:val="Normal"/>
    <w:qFormat/>
    <w:rsid w:val="00F54FF1"/>
    <w:pPr>
      <w:numPr>
        <w:numId w:val="6"/>
      </w:numPr>
      <w:ind w:left="0" w:firstLine="0"/>
      <w:jc w:val="both"/>
    </w:pPr>
    <w:rPr>
      <w:rFonts w:ascii="Verdana" w:eastAsia="Times New Roman" w:hAnsi="Verdana"/>
      <w:sz w:val="20"/>
      <w:szCs w:val="20"/>
      <w:lang w:val="x-none" w:eastAsia="x-none"/>
    </w:rPr>
  </w:style>
  <w:style w:type="numbering" w:customStyle="1" w:styleId="NoList1">
    <w:name w:val="No List1"/>
    <w:next w:val="NoList"/>
    <w:uiPriority w:val="99"/>
    <w:semiHidden/>
    <w:unhideWhenUsed/>
    <w:rsid w:val="00C01305"/>
  </w:style>
  <w:style w:type="paragraph" w:customStyle="1" w:styleId="ju-005fpara-002cleft-002cfirst-0020line-003a-0020-00200-0020cm">
    <w:name w:val="ju-005fpara-002cleft-002cfirst-0020line-003a-0020-00200-0020cm"/>
    <w:basedOn w:val="Normal"/>
    <w:rsid w:val="00C01305"/>
    <w:pPr>
      <w:spacing w:after="135"/>
    </w:pPr>
    <w:rPr>
      <w:rFonts w:eastAsia="Times New Roman"/>
      <w:lang w:val="es-MX" w:eastAsia="es-MX"/>
    </w:rPr>
  </w:style>
  <w:style w:type="character" w:customStyle="1" w:styleId="ju-005fpara-002cleft-002cfirst-0020line-003a-0020-00200-0020cm--char">
    <w:name w:val="ju-005fpara-002cleft-002cfirst-0020line-003a-0020-00200-0020cm--char"/>
    <w:rsid w:val="00C01305"/>
  </w:style>
  <w:style w:type="character" w:customStyle="1" w:styleId="PrrafodelistaCar1">
    <w:name w:val="Párrafo de lista Car1"/>
    <w:basedOn w:val="DefaultParagraphFont"/>
    <w:uiPriority w:val="99"/>
    <w:locked/>
    <w:rsid w:val="00C01305"/>
    <w:rPr>
      <w:rFonts w:ascii="Verdana" w:hAnsi="Verdana" w:cs="Verdana"/>
      <w:lang w:eastAsia="en-US"/>
    </w:rPr>
  </w:style>
  <w:style w:type="character" w:customStyle="1" w:styleId="TextocomentarioCar1">
    <w:name w:val="Texto comentario Car1"/>
    <w:basedOn w:val="DefaultParagraphFont"/>
    <w:uiPriority w:val="99"/>
    <w:semiHidden/>
    <w:rsid w:val="00C01305"/>
    <w:rPr>
      <w:sz w:val="20"/>
      <w:szCs w:val="20"/>
    </w:rPr>
  </w:style>
  <w:style w:type="paragraph" w:customStyle="1" w:styleId="Body1">
    <w:name w:val="Body 1"/>
    <w:link w:val="Body1Char"/>
    <w:rsid w:val="00AF7637"/>
    <w:pPr>
      <w:outlineLvl w:val="0"/>
    </w:pPr>
    <w:rPr>
      <w:rFonts w:ascii="Helvetica" w:eastAsia="ヒラギノ角ゴ Pro W3" w:hAnsi="Helvetica" w:cs="Times New Roman"/>
      <w:color w:val="000000"/>
      <w:szCs w:val="20"/>
      <w:lang w:eastAsia="es-CR"/>
    </w:rPr>
  </w:style>
  <w:style w:type="character" w:customStyle="1" w:styleId="Body1Char">
    <w:name w:val="Body 1 Char"/>
    <w:link w:val="Body1"/>
    <w:rsid w:val="00AF7637"/>
    <w:rPr>
      <w:rFonts w:ascii="Helvetica" w:eastAsia="ヒラギノ角ゴ Pro W3" w:hAnsi="Helvetica" w:cs="Times New Roman"/>
      <w:color w:val="000000"/>
      <w:szCs w:val="20"/>
      <w:lang w:eastAsia="es-CR"/>
    </w:rPr>
  </w:style>
  <w:style w:type="paragraph" w:customStyle="1" w:styleId="style11">
    <w:name w:val="style11"/>
    <w:basedOn w:val="Normal"/>
    <w:rsid w:val="0088700B"/>
    <w:pPr>
      <w:spacing w:before="192" w:after="192"/>
      <w:ind w:left="120" w:right="144"/>
      <w:jc w:val="both"/>
    </w:pPr>
    <w:rPr>
      <w:rFonts w:eastAsia="Times New Roman"/>
      <w:lang w:val="es-MX" w:eastAsia="es-MX"/>
    </w:rPr>
  </w:style>
  <w:style w:type="paragraph" w:customStyle="1" w:styleId="Style1">
    <w:name w:val="Style1"/>
    <w:basedOn w:val="ListParagraph"/>
    <w:link w:val="Style1Char"/>
    <w:qFormat/>
    <w:rsid w:val="00F83E8F"/>
    <w:pPr>
      <w:numPr>
        <w:numId w:val="25"/>
      </w:numPr>
      <w:spacing w:after="160" w:line="256" w:lineRule="auto"/>
      <w:jc w:val="center"/>
    </w:pPr>
    <w:rPr>
      <w:rFonts w:ascii="Verdana" w:eastAsia="Times New Roman" w:hAnsi="Verdana"/>
      <w:b/>
      <w:sz w:val="20"/>
      <w:szCs w:val="20"/>
      <w:u w:val="single"/>
      <w:lang w:val="es-MX"/>
    </w:rPr>
  </w:style>
  <w:style w:type="character" w:customStyle="1" w:styleId="Style1Char">
    <w:name w:val="Style1 Char"/>
    <w:basedOn w:val="ListParagraphChar"/>
    <w:link w:val="Style1"/>
    <w:rsid w:val="00F83E8F"/>
    <w:rPr>
      <w:rFonts w:ascii="Verdana" w:eastAsia="Times New Roman" w:hAnsi="Verdana" w:cs="Times New Roman"/>
      <w:b/>
      <w:sz w:val="20"/>
      <w:szCs w:val="20"/>
      <w:u w:val="single"/>
      <w:lang w:val="es-MX"/>
    </w:rPr>
  </w:style>
  <w:style w:type="paragraph" w:styleId="Quote">
    <w:name w:val="Quote"/>
    <w:basedOn w:val="Normal"/>
    <w:next w:val="Normal"/>
    <w:link w:val="QuoteChar"/>
    <w:uiPriority w:val="29"/>
    <w:qFormat/>
    <w:rsid w:val="00F83E8F"/>
    <w:pPr>
      <w:spacing w:before="200" w:after="160"/>
      <w:ind w:left="864" w:right="864"/>
      <w:jc w:val="center"/>
    </w:pPr>
    <w:rPr>
      <w:rFonts w:ascii="Verdana" w:eastAsia="Times New Roman" w:hAnsi="Verdana"/>
      <w:i/>
      <w:iCs/>
      <w:color w:val="404040" w:themeColor="text1" w:themeTint="BF"/>
      <w:sz w:val="20"/>
      <w:lang w:val="en-US"/>
    </w:rPr>
  </w:style>
  <w:style w:type="character" w:customStyle="1" w:styleId="QuoteChar">
    <w:name w:val="Quote Char"/>
    <w:basedOn w:val="DefaultParagraphFont"/>
    <w:link w:val="Quote"/>
    <w:uiPriority w:val="29"/>
    <w:rsid w:val="00F83E8F"/>
    <w:rPr>
      <w:rFonts w:ascii="Verdana" w:eastAsia="Times New Roman" w:hAnsi="Verdana" w:cs="Times New Roman"/>
      <w:i/>
      <w:iCs/>
      <w:color w:val="404040" w:themeColor="text1" w:themeTint="BF"/>
      <w:sz w:val="20"/>
      <w:szCs w:val="24"/>
    </w:rPr>
  </w:style>
  <w:style w:type="paragraph" w:customStyle="1" w:styleId="s32b251d">
    <w:name w:val="s32b251d"/>
    <w:basedOn w:val="Normal"/>
    <w:rsid w:val="00F83E8F"/>
    <w:pPr>
      <w:spacing w:before="100" w:beforeAutospacing="1" w:after="100" w:afterAutospacing="1"/>
    </w:pPr>
    <w:rPr>
      <w:rFonts w:ascii="Times" w:eastAsiaTheme="minorHAnsi" w:hAnsi="Times" w:cstheme="minorBidi"/>
      <w:noProof/>
      <w:sz w:val="20"/>
      <w:szCs w:val="20"/>
      <w:lang w:eastAsia="es-ES"/>
    </w:rPr>
  </w:style>
  <w:style w:type="paragraph" w:customStyle="1" w:styleId="Estilo4">
    <w:name w:val="Estilo4"/>
    <w:basedOn w:val="ListParagraph"/>
    <w:link w:val="Estilo4Car"/>
    <w:qFormat/>
    <w:rsid w:val="00F83E8F"/>
    <w:pPr>
      <w:numPr>
        <w:numId w:val="29"/>
      </w:numPr>
      <w:spacing w:after="120"/>
      <w:ind w:left="0" w:firstLine="357"/>
      <w:contextualSpacing w:val="0"/>
      <w:jc w:val="both"/>
    </w:pPr>
    <w:rPr>
      <w:rFonts w:ascii="Verdana" w:eastAsia="Times New Roman" w:hAnsi="Verdana"/>
      <w:spacing w:val="-2"/>
      <w:sz w:val="20"/>
      <w:szCs w:val="20"/>
      <w:lang w:val="es-CR"/>
    </w:rPr>
  </w:style>
  <w:style w:type="character" w:customStyle="1" w:styleId="Estilo4Car">
    <w:name w:val="Estilo4 Car"/>
    <w:basedOn w:val="DefaultParagraphFont"/>
    <w:link w:val="Estilo4"/>
    <w:rsid w:val="00F83E8F"/>
    <w:rPr>
      <w:rFonts w:ascii="Verdana" w:eastAsia="Times New Roman" w:hAnsi="Verdana" w:cs="Times New Roman"/>
      <w:spacing w:val="-2"/>
      <w:sz w:val="20"/>
      <w:szCs w:val="20"/>
      <w:lang w:val="es-CR"/>
    </w:rPr>
  </w:style>
  <w:style w:type="character" w:styleId="PageNumber">
    <w:name w:val="page number"/>
    <w:basedOn w:val="DefaultParagraphFont"/>
    <w:uiPriority w:val="99"/>
    <w:semiHidden/>
    <w:unhideWhenUsed/>
    <w:rsid w:val="00F83E8F"/>
  </w:style>
  <w:style w:type="character" w:styleId="FollowedHyperlink">
    <w:name w:val="FollowedHyperlink"/>
    <w:basedOn w:val="DefaultParagraphFont"/>
    <w:uiPriority w:val="99"/>
    <w:semiHidden/>
    <w:unhideWhenUsed/>
    <w:rsid w:val="00F83E8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10CE"/>
    <w:pPr>
      <w:spacing w:after="0" w:line="240" w:lineRule="auto"/>
    </w:pPr>
    <w:rPr>
      <w:rFonts w:ascii="Times New Roman" w:eastAsia="Calibri" w:hAnsi="Times New Roman" w:cs="Times New Roman"/>
      <w:sz w:val="24"/>
      <w:szCs w:val="24"/>
      <w:lang w:val="es-ES_tradnl"/>
    </w:rPr>
  </w:style>
  <w:style w:type="paragraph" w:styleId="Heading1">
    <w:name w:val="heading 1"/>
    <w:aliases w:val="Título Verdana"/>
    <w:basedOn w:val="Normal"/>
    <w:next w:val="Normal"/>
    <w:link w:val="Heading1Char"/>
    <w:uiPriority w:val="9"/>
    <w:qFormat/>
    <w:rsid w:val="00D04032"/>
    <w:pPr>
      <w:keepNext/>
      <w:keepLines/>
      <w:spacing w:before="480"/>
      <w:outlineLvl w:val="0"/>
    </w:pPr>
    <w:rPr>
      <w:rFonts w:ascii="Verdana" w:eastAsia="Times New Roman" w:hAnsi="Verdana"/>
      <w:b/>
      <w:bCs/>
      <w:sz w:val="20"/>
      <w:szCs w:val="28"/>
    </w:rPr>
  </w:style>
  <w:style w:type="paragraph" w:styleId="Heading2">
    <w:name w:val="heading 2"/>
    <w:basedOn w:val="Normal"/>
    <w:next w:val="Normal"/>
    <w:link w:val="Heading2Char"/>
    <w:unhideWhenUsed/>
    <w:qFormat/>
    <w:rsid w:val="0076651B"/>
    <w:pPr>
      <w:keepNext/>
      <w:keepLines/>
      <w:outlineLvl w:val="1"/>
    </w:pPr>
    <w:rPr>
      <w:rFonts w:ascii="Verdana" w:eastAsia="Times New Roman" w:hAnsi="Verdana"/>
      <w:b/>
      <w:bCs/>
      <w:sz w:val="20"/>
      <w:szCs w:val="26"/>
    </w:rPr>
  </w:style>
  <w:style w:type="paragraph" w:styleId="Heading3">
    <w:name w:val="heading 3"/>
    <w:basedOn w:val="Normal"/>
    <w:next w:val="Normal"/>
    <w:link w:val="Heading3Char"/>
    <w:uiPriority w:val="9"/>
    <w:unhideWhenUsed/>
    <w:qFormat/>
    <w:rsid w:val="0076651B"/>
    <w:pPr>
      <w:keepNext/>
      <w:keepLines/>
      <w:outlineLvl w:val="2"/>
    </w:pPr>
    <w:rPr>
      <w:rFonts w:ascii="Verdana" w:eastAsiaTheme="majorEastAsia" w:hAnsi="Verdana" w:cstheme="majorBidi"/>
      <w:b/>
      <w:bCs/>
      <w:sz w:val="20"/>
    </w:rPr>
  </w:style>
  <w:style w:type="paragraph" w:styleId="Heading4">
    <w:name w:val="heading 4"/>
    <w:basedOn w:val="Normal"/>
    <w:next w:val="Normal"/>
    <w:link w:val="Heading4Char"/>
    <w:uiPriority w:val="9"/>
    <w:unhideWhenUsed/>
    <w:qFormat/>
    <w:rsid w:val="00262F28"/>
    <w:pPr>
      <w:keepNext/>
      <w:keepLines/>
      <w:outlineLvl w:val="3"/>
    </w:pPr>
    <w:rPr>
      <w:rFonts w:ascii="Verdana" w:eastAsiaTheme="majorEastAsia" w:hAnsi="Verdana" w:cstheme="majorBidi"/>
      <w:b/>
      <w:bCs/>
      <w:i/>
      <w:iCs/>
      <w:sz w:val="20"/>
    </w:rPr>
  </w:style>
  <w:style w:type="paragraph" w:styleId="Heading5">
    <w:name w:val="heading 5"/>
    <w:basedOn w:val="Normal"/>
    <w:next w:val="Normal"/>
    <w:link w:val="Heading5Char"/>
    <w:uiPriority w:val="9"/>
    <w:unhideWhenUsed/>
    <w:qFormat/>
    <w:rsid w:val="009E58AE"/>
    <w:pPr>
      <w:keepNext/>
      <w:keepLines/>
      <w:spacing w:before="200" w:line="276" w:lineRule="auto"/>
      <w:outlineLvl w:val="4"/>
    </w:pPr>
    <w:rPr>
      <w:rFonts w:asciiTheme="majorHAnsi" w:eastAsiaTheme="majorEastAsia" w:hAnsiTheme="majorHAnsi" w:cstheme="majorBidi"/>
      <w:color w:val="243F60" w:themeColor="accent1" w:themeShade="7F"/>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ítulo Verdana Char"/>
    <w:basedOn w:val="DefaultParagraphFont"/>
    <w:link w:val="Heading1"/>
    <w:uiPriority w:val="9"/>
    <w:rsid w:val="00D04032"/>
    <w:rPr>
      <w:rFonts w:ascii="Verdana" w:eastAsia="Times New Roman" w:hAnsi="Verdana" w:cs="Times New Roman"/>
      <w:b/>
      <w:bCs/>
      <w:sz w:val="20"/>
      <w:szCs w:val="28"/>
      <w:lang w:val="es-ES_tradnl"/>
    </w:rPr>
  </w:style>
  <w:style w:type="character" w:customStyle="1" w:styleId="Heading2Char">
    <w:name w:val="Heading 2 Char"/>
    <w:basedOn w:val="DefaultParagraphFont"/>
    <w:link w:val="Heading2"/>
    <w:uiPriority w:val="9"/>
    <w:rsid w:val="0076651B"/>
    <w:rPr>
      <w:rFonts w:ascii="Verdana" w:eastAsia="Times New Roman" w:hAnsi="Verdana" w:cs="Times New Roman"/>
      <w:b/>
      <w:bCs/>
      <w:sz w:val="20"/>
      <w:szCs w:val="26"/>
      <w:lang w:val="es-ES_tradnl"/>
    </w:rPr>
  </w:style>
  <w:style w:type="character" w:customStyle="1" w:styleId="Heading3Char">
    <w:name w:val="Heading 3 Char"/>
    <w:basedOn w:val="DefaultParagraphFont"/>
    <w:link w:val="Heading3"/>
    <w:uiPriority w:val="9"/>
    <w:rsid w:val="0076651B"/>
    <w:rPr>
      <w:rFonts w:ascii="Verdana" w:eastAsiaTheme="majorEastAsia" w:hAnsi="Verdana" w:cstheme="majorBidi"/>
      <w:b/>
      <w:bCs/>
      <w:sz w:val="20"/>
      <w:szCs w:val="24"/>
      <w:lang w:val="es-ES_tradnl"/>
    </w:rPr>
  </w:style>
  <w:style w:type="character" w:customStyle="1" w:styleId="Heading4Char">
    <w:name w:val="Heading 4 Char"/>
    <w:basedOn w:val="DefaultParagraphFont"/>
    <w:link w:val="Heading4"/>
    <w:uiPriority w:val="9"/>
    <w:rsid w:val="00262F28"/>
    <w:rPr>
      <w:rFonts w:ascii="Verdana" w:eastAsiaTheme="majorEastAsia" w:hAnsi="Verdana" w:cstheme="majorBidi"/>
      <w:b/>
      <w:bCs/>
      <w:i/>
      <w:iCs/>
      <w:sz w:val="20"/>
      <w:szCs w:val="24"/>
      <w:lang w:val="es-ES_tradnl"/>
    </w:rPr>
  </w:style>
  <w:style w:type="character" w:customStyle="1" w:styleId="Heading5Char">
    <w:name w:val="Heading 5 Char"/>
    <w:basedOn w:val="DefaultParagraphFont"/>
    <w:link w:val="Heading5"/>
    <w:uiPriority w:val="9"/>
    <w:rsid w:val="009E58AE"/>
    <w:rPr>
      <w:rFonts w:asciiTheme="majorHAnsi" w:eastAsiaTheme="majorEastAsia" w:hAnsiTheme="majorHAnsi" w:cstheme="majorBidi"/>
      <w:color w:val="243F60" w:themeColor="accent1" w:themeShade="7F"/>
    </w:rPr>
  </w:style>
  <w:style w:type="paragraph" w:styleId="FootnoteText">
    <w:name w:val="footnote text"/>
    <w:aliases w:val="2. Footnote Text,Footnote Tesina,Footnote Text Char Char Char Char Char,Footnote Text Char Char Char Char,Footnote reference,FA Fu,Footnote Text Char Char Char,Footnote Text Cha,FA Fußnotentext,FA Fuﬂnotentext,Footnote Text Char Char,Ca,C"/>
    <w:basedOn w:val="Normal"/>
    <w:link w:val="FootnoteTextChar"/>
    <w:autoRedefine/>
    <w:uiPriority w:val="99"/>
    <w:unhideWhenUsed/>
    <w:qFormat/>
    <w:rsid w:val="00334B6C"/>
    <w:pPr>
      <w:widowControl w:val="0"/>
      <w:tabs>
        <w:tab w:val="left" w:pos="567"/>
      </w:tabs>
      <w:spacing w:after="40"/>
      <w:jc w:val="both"/>
    </w:pPr>
    <w:rPr>
      <w:rFonts w:ascii="Verdana" w:eastAsia="Batang" w:hAnsi="Verdana"/>
      <w:sz w:val="16"/>
      <w:szCs w:val="16"/>
      <w:lang w:val="en-US" w:eastAsia="es-ES"/>
    </w:rPr>
  </w:style>
  <w:style w:type="character" w:customStyle="1" w:styleId="FootnoteTextChar">
    <w:name w:val="Footnote Text Char"/>
    <w:aliases w:val="2. Footnote Text Char,Footnote Tesina Char,Footnote Text Char Char Char Char Char Char,Footnote Text Char Char Char Char Char1,Footnote reference Char,FA Fu Char,Footnote Text Char Char Char Char1,Footnote Text Cha Char,Ca Char,C Char"/>
    <w:basedOn w:val="DefaultParagraphFont"/>
    <w:link w:val="FootnoteText"/>
    <w:uiPriority w:val="99"/>
    <w:qFormat/>
    <w:rsid w:val="00334B6C"/>
    <w:rPr>
      <w:rFonts w:ascii="Verdana" w:eastAsia="Batang" w:hAnsi="Verdana" w:cs="Times New Roman"/>
      <w:sz w:val="16"/>
      <w:szCs w:val="16"/>
      <w:lang w:eastAsia="es-ES"/>
    </w:rPr>
  </w:style>
  <w:style w:type="paragraph" w:styleId="ListParagraph">
    <w:name w:val="List Paragraph"/>
    <w:aliases w:val="Párrafo de lista1,Footnote,List Paragraph2,List Paragraph1,Colorful List - Accent 11,Lista vistosa - Énfasis 11"/>
    <w:basedOn w:val="Normal"/>
    <w:link w:val="ListParagraphChar"/>
    <w:uiPriority w:val="34"/>
    <w:qFormat/>
    <w:rsid w:val="009E58AE"/>
    <w:pPr>
      <w:ind w:left="720"/>
      <w:contextualSpacing/>
    </w:pPr>
  </w:style>
  <w:style w:type="character" w:customStyle="1" w:styleId="ListParagraphChar">
    <w:name w:val="List Paragraph Char"/>
    <w:aliases w:val="Párrafo de lista1 Char,Footnote Char,List Paragraph2 Char,List Paragraph1 Char,Colorful List - Accent 11 Char,Lista vistosa - Énfasis 11 Char"/>
    <w:basedOn w:val="DefaultParagraphFont"/>
    <w:link w:val="ListParagraph"/>
    <w:uiPriority w:val="34"/>
    <w:locked/>
    <w:rsid w:val="009E58AE"/>
    <w:rPr>
      <w:rFonts w:ascii="Times New Roman" w:eastAsia="Calibri" w:hAnsi="Times New Roman" w:cs="Times New Roman"/>
      <w:sz w:val="24"/>
      <w:szCs w:val="24"/>
      <w:lang w:val="es-ES_tradnl"/>
    </w:rPr>
  </w:style>
  <w:style w:type="character" w:styleId="FootnoteReference">
    <w:name w:val="footnote reference"/>
    <w:aliases w:val="Texto de nota al pie,Appel note de bas de page,Footnotes refss,Footnote number,referencia nota al pie,BVI fnr,f,4_G,16 Point,Superscript 6 Point,Texto nota al pie,Footnote Reference Char3,Footnote Reference Char1 Char,Ref. de nota al"/>
    <w:link w:val="4GChar"/>
    <w:uiPriority w:val="99"/>
    <w:qFormat/>
    <w:rsid w:val="009E58AE"/>
    <w:rPr>
      <w:rFonts w:ascii="Verdana" w:hAnsi="Verdana" w:cs="Times New Roman"/>
      <w:sz w:val="20"/>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uiPriority w:val="99"/>
    <w:rsid w:val="009E58AE"/>
    <w:pPr>
      <w:jc w:val="both"/>
    </w:pPr>
    <w:rPr>
      <w:rFonts w:ascii="Verdana" w:eastAsiaTheme="minorHAnsi" w:hAnsi="Verdana"/>
      <w:sz w:val="20"/>
      <w:szCs w:val="22"/>
      <w:vertAlign w:val="superscript"/>
      <w:lang w:val="en-US"/>
    </w:rPr>
  </w:style>
  <w:style w:type="character" w:styleId="Hyperlink">
    <w:name w:val="Hyperlink"/>
    <w:aliases w:val="Heading 3 caso"/>
    <w:uiPriority w:val="99"/>
    <w:rsid w:val="009E58AE"/>
    <w:rPr>
      <w:rFonts w:cs="Times New Roman"/>
      <w:color w:val="0000FF"/>
      <w:u w:val="single"/>
    </w:rPr>
  </w:style>
  <w:style w:type="paragraph" w:styleId="TOC1">
    <w:name w:val="toc 1"/>
    <w:basedOn w:val="Normal"/>
    <w:next w:val="Normal"/>
    <w:autoRedefine/>
    <w:uiPriority w:val="39"/>
    <w:unhideWhenUsed/>
    <w:rsid w:val="009D5837"/>
    <w:pPr>
      <w:tabs>
        <w:tab w:val="left" w:pos="0"/>
        <w:tab w:val="right" w:leader="dot" w:pos="8931"/>
      </w:tabs>
      <w:ind w:right="958"/>
      <w:jc w:val="both"/>
    </w:pPr>
    <w:rPr>
      <w:rFonts w:ascii="Verdana" w:hAnsi="Verdana" w:cs="Verdana"/>
      <w:b/>
      <w:caps/>
      <w:noProof/>
      <w:snapToGrid w:val="0"/>
      <w:sz w:val="20"/>
      <w:szCs w:val="20"/>
    </w:rPr>
  </w:style>
  <w:style w:type="paragraph" w:styleId="TOC2">
    <w:name w:val="toc 2"/>
    <w:basedOn w:val="Normal"/>
    <w:next w:val="Normal"/>
    <w:autoRedefine/>
    <w:uiPriority w:val="39"/>
    <w:unhideWhenUsed/>
    <w:rsid w:val="00167383"/>
    <w:pPr>
      <w:tabs>
        <w:tab w:val="left" w:pos="720"/>
        <w:tab w:val="right" w:leader="dot" w:pos="8931"/>
      </w:tabs>
      <w:ind w:left="238" w:right="815"/>
      <w:jc w:val="both"/>
    </w:pPr>
  </w:style>
  <w:style w:type="paragraph" w:styleId="TOC3">
    <w:name w:val="toc 3"/>
    <w:basedOn w:val="Normal"/>
    <w:next w:val="Normal"/>
    <w:autoRedefine/>
    <w:uiPriority w:val="39"/>
    <w:unhideWhenUsed/>
    <w:rsid w:val="009D5837"/>
    <w:pPr>
      <w:tabs>
        <w:tab w:val="left" w:pos="960"/>
        <w:tab w:val="right" w:leader="dot" w:pos="8828"/>
      </w:tabs>
      <w:ind w:left="482" w:right="815"/>
      <w:contextualSpacing/>
    </w:pPr>
  </w:style>
  <w:style w:type="paragraph" w:styleId="Footer">
    <w:name w:val="footer"/>
    <w:basedOn w:val="Normal"/>
    <w:link w:val="FooterChar"/>
    <w:uiPriority w:val="99"/>
    <w:unhideWhenUsed/>
    <w:rsid w:val="009E58AE"/>
    <w:pPr>
      <w:tabs>
        <w:tab w:val="center" w:pos="4419"/>
        <w:tab w:val="right" w:pos="8838"/>
      </w:tabs>
    </w:pPr>
  </w:style>
  <w:style w:type="character" w:customStyle="1" w:styleId="FooterChar">
    <w:name w:val="Footer Char"/>
    <w:basedOn w:val="DefaultParagraphFont"/>
    <w:link w:val="Footer"/>
    <w:uiPriority w:val="99"/>
    <w:rsid w:val="009E58AE"/>
    <w:rPr>
      <w:rFonts w:ascii="Times New Roman" w:eastAsia="Calibri" w:hAnsi="Times New Roman" w:cs="Times New Roman"/>
      <w:sz w:val="24"/>
      <w:szCs w:val="24"/>
      <w:lang w:val="es-ES_tradnl"/>
    </w:rPr>
  </w:style>
  <w:style w:type="character" w:styleId="CommentReference">
    <w:name w:val="annotation reference"/>
    <w:basedOn w:val="DefaultParagraphFont"/>
    <w:uiPriority w:val="99"/>
    <w:unhideWhenUsed/>
    <w:rsid w:val="009E58AE"/>
    <w:rPr>
      <w:sz w:val="16"/>
      <w:szCs w:val="16"/>
    </w:rPr>
  </w:style>
  <w:style w:type="character" w:customStyle="1" w:styleId="CommentTextChar">
    <w:name w:val="Comment Text Char"/>
    <w:basedOn w:val="DefaultParagraphFont"/>
    <w:link w:val="CommentText"/>
    <w:uiPriority w:val="99"/>
    <w:rsid w:val="009E58AE"/>
    <w:rPr>
      <w:rFonts w:ascii="Times New Roman" w:eastAsia="Calibri" w:hAnsi="Times New Roman" w:cs="Times New Roman"/>
      <w:sz w:val="20"/>
      <w:szCs w:val="20"/>
      <w:lang w:val="es-ES_tradnl"/>
    </w:rPr>
  </w:style>
  <w:style w:type="paragraph" w:styleId="CommentText">
    <w:name w:val="annotation text"/>
    <w:basedOn w:val="Normal"/>
    <w:link w:val="CommentTextChar"/>
    <w:uiPriority w:val="99"/>
    <w:unhideWhenUsed/>
    <w:rsid w:val="009E58AE"/>
    <w:rPr>
      <w:sz w:val="20"/>
      <w:szCs w:val="20"/>
    </w:rPr>
  </w:style>
  <w:style w:type="character" w:customStyle="1" w:styleId="CommentTextChar1">
    <w:name w:val="Comment Text Char1"/>
    <w:basedOn w:val="DefaultParagraphFont"/>
    <w:uiPriority w:val="99"/>
    <w:semiHidden/>
    <w:rsid w:val="009E58AE"/>
    <w:rPr>
      <w:rFonts w:ascii="Times New Roman" w:eastAsia="Calibri" w:hAnsi="Times New Roman" w:cs="Times New Roman"/>
      <w:sz w:val="20"/>
      <w:szCs w:val="20"/>
      <w:lang w:val="es-ES_tradnl"/>
    </w:rPr>
  </w:style>
  <w:style w:type="character" w:customStyle="1" w:styleId="apple-converted-space">
    <w:name w:val="apple-converted-space"/>
    <w:basedOn w:val="DefaultParagraphFont"/>
    <w:rsid w:val="009E58AE"/>
  </w:style>
  <w:style w:type="character" w:styleId="Strong">
    <w:name w:val="Strong"/>
    <w:basedOn w:val="DefaultParagraphFont"/>
    <w:uiPriority w:val="22"/>
    <w:qFormat/>
    <w:rsid w:val="009E58AE"/>
    <w:rPr>
      <w:b/>
      <w:bCs/>
    </w:rPr>
  </w:style>
  <w:style w:type="character" w:customStyle="1" w:styleId="BalloonTextChar">
    <w:name w:val="Balloon Text Char"/>
    <w:basedOn w:val="DefaultParagraphFont"/>
    <w:link w:val="BalloonText"/>
    <w:uiPriority w:val="99"/>
    <w:semiHidden/>
    <w:rsid w:val="009E58AE"/>
    <w:rPr>
      <w:rFonts w:ascii="Tahoma" w:eastAsia="Calibri" w:hAnsi="Tahoma" w:cs="Tahoma"/>
      <w:sz w:val="16"/>
      <w:szCs w:val="16"/>
      <w:lang w:val="es-ES_tradnl"/>
    </w:rPr>
  </w:style>
  <w:style w:type="paragraph" w:styleId="BalloonText">
    <w:name w:val="Balloon Text"/>
    <w:basedOn w:val="Normal"/>
    <w:link w:val="BalloonTextChar"/>
    <w:uiPriority w:val="99"/>
    <w:semiHidden/>
    <w:unhideWhenUsed/>
    <w:rsid w:val="009E58AE"/>
    <w:rPr>
      <w:rFonts w:ascii="Tahoma" w:hAnsi="Tahoma" w:cs="Tahoma"/>
      <w:sz w:val="16"/>
      <w:szCs w:val="16"/>
    </w:rPr>
  </w:style>
  <w:style w:type="character" w:customStyle="1" w:styleId="BalloonTextChar1">
    <w:name w:val="Balloon Text Char1"/>
    <w:basedOn w:val="DefaultParagraphFont"/>
    <w:uiPriority w:val="99"/>
    <w:semiHidden/>
    <w:rsid w:val="009E58AE"/>
    <w:rPr>
      <w:rFonts w:ascii="Tahoma" w:eastAsia="Calibri" w:hAnsi="Tahoma" w:cs="Tahoma"/>
      <w:sz w:val="16"/>
      <w:szCs w:val="16"/>
      <w:lang w:val="es-ES_tradnl"/>
    </w:rPr>
  </w:style>
  <w:style w:type="paragraph" w:styleId="Header">
    <w:name w:val="header"/>
    <w:basedOn w:val="Normal"/>
    <w:link w:val="HeaderChar"/>
    <w:uiPriority w:val="99"/>
    <w:unhideWhenUsed/>
    <w:rsid w:val="009E58AE"/>
    <w:pPr>
      <w:tabs>
        <w:tab w:val="center" w:pos="4419"/>
        <w:tab w:val="right" w:pos="8838"/>
      </w:tabs>
    </w:pPr>
    <w:rPr>
      <w:rFonts w:asciiTheme="minorHAnsi" w:eastAsiaTheme="minorHAnsi" w:hAnsiTheme="minorHAnsi" w:cstheme="minorBidi"/>
      <w:sz w:val="22"/>
      <w:szCs w:val="22"/>
      <w:lang w:val="es-CR"/>
    </w:rPr>
  </w:style>
  <w:style w:type="character" w:customStyle="1" w:styleId="HeaderChar">
    <w:name w:val="Header Char"/>
    <w:basedOn w:val="DefaultParagraphFont"/>
    <w:link w:val="Header"/>
    <w:uiPriority w:val="99"/>
    <w:rsid w:val="009E58AE"/>
    <w:rPr>
      <w:lang w:val="es-CR"/>
    </w:rPr>
  </w:style>
  <w:style w:type="paragraph" w:styleId="CommentSubject">
    <w:name w:val="annotation subject"/>
    <w:basedOn w:val="CommentText"/>
    <w:next w:val="CommentText"/>
    <w:link w:val="CommentSubjectChar"/>
    <w:uiPriority w:val="99"/>
    <w:semiHidden/>
    <w:unhideWhenUsed/>
    <w:rsid w:val="009E58AE"/>
    <w:pPr>
      <w:spacing w:after="200"/>
    </w:pPr>
    <w:rPr>
      <w:rFonts w:asciiTheme="minorHAnsi" w:eastAsiaTheme="minorHAnsi" w:hAnsiTheme="minorHAnsi" w:cstheme="minorBidi"/>
      <w:b/>
      <w:bCs/>
      <w:lang w:val="es-CR"/>
    </w:rPr>
  </w:style>
  <w:style w:type="character" w:customStyle="1" w:styleId="CommentSubjectChar">
    <w:name w:val="Comment Subject Char"/>
    <w:basedOn w:val="CommentTextChar1"/>
    <w:link w:val="CommentSubject"/>
    <w:uiPriority w:val="99"/>
    <w:semiHidden/>
    <w:rsid w:val="009E58AE"/>
    <w:rPr>
      <w:rFonts w:ascii="Times New Roman" w:eastAsia="Calibri" w:hAnsi="Times New Roman" w:cs="Times New Roman"/>
      <w:b/>
      <w:bCs/>
      <w:sz w:val="20"/>
      <w:szCs w:val="20"/>
      <w:lang w:val="es-CR"/>
    </w:rPr>
  </w:style>
  <w:style w:type="paragraph" w:customStyle="1" w:styleId="Footnotes">
    <w:name w:val="**. Footnotes"/>
    <w:basedOn w:val="FootnoteText"/>
    <w:link w:val="FootnotesChar"/>
    <w:autoRedefine/>
    <w:qFormat/>
    <w:rsid w:val="009E58AE"/>
    <w:pPr>
      <w:spacing w:before="120"/>
    </w:pPr>
    <w:rPr>
      <w:rFonts w:cs="Palatino-Italic"/>
      <w:iCs/>
      <w:lang w:eastAsia="en-US"/>
    </w:rPr>
  </w:style>
  <w:style w:type="character" w:customStyle="1" w:styleId="FootnotesChar">
    <w:name w:val="**. Footnotes Char"/>
    <w:basedOn w:val="DefaultParagraphFont"/>
    <w:link w:val="Footnotes"/>
    <w:rsid w:val="009E58AE"/>
    <w:rPr>
      <w:rFonts w:ascii="Verdana" w:eastAsia="Batang" w:hAnsi="Verdana" w:cs="Palatino-Italic"/>
      <w:iCs/>
      <w:sz w:val="16"/>
      <w:szCs w:val="16"/>
      <w:lang w:val="es-ES"/>
    </w:rPr>
  </w:style>
  <w:style w:type="character" w:customStyle="1" w:styleId="apple-style-span">
    <w:name w:val="apple-style-span"/>
    <w:basedOn w:val="DefaultParagraphFont"/>
    <w:rsid w:val="009E58AE"/>
    <w:rPr>
      <w:rFonts w:cs="Times New Roman"/>
    </w:rPr>
  </w:style>
  <w:style w:type="paragraph" w:customStyle="1" w:styleId="Default">
    <w:name w:val="Default"/>
    <w:rsid w:val="009E58A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tulo1">
    <w:name w:val="Título1"/>
    <w:basedOn w:val="DefaultParagraphFont"/>
    <w:rsid w:val="009E58AE"/>
  </w:style>
  <w:style w:type="paragraph" w:styleId="NoSpacing">
    <w:name w:val="No Spacing"/>
    <w:uiPriority w:val="1"/>
    <w:qFormat/>
    <w:rsid w:val="009E58AE"/>
    <w:pPr>
      <w:spacing w:after="0" w:line="240" w:lineRule="auto"/>
    </w:pPr>
    <w:rPr>
      <w:rFonts w:eastAsiaTheme="minorEastAsia"/>
    </w:rPr>
  </w:style>
  <w:style w:type="paragraph" w:styleId="TOC4">
    <w:name w:val="toc 4"/>
    <w:basedOn w:val="Normal"/>
    <w:next w:val="Normal"/>
    <w:autoRedefine/>
    <w:uiPriority w:val="39"/>
    <w:unhideWhenUsed/>
    <w:rsid w:val="009E58AE"/>
    <w:pPr>
      <w:spacing w:after="100"/>
      <w:ind w:left="720"/>
    </w:pPr>
  </w:style>
  <w:style w:type="paragraph" w:styleId="TOC5">
    <w:name w:val="toc 5"/>
    <w:basedOn w:val="Normal"/>
    <w:next w:val="Normal"/>
    <w:autoRedefine/>
    <w:uiPriority w:val="39"/>
    <w:unhideWhenUsed/>
    <w:rsid w:val="009E58AE"/>
    <w:pPr>
      <w:spacing w:after="100"/>
      <w:ind w:left="960"/>
    </w:pPr>
  </w:style>
  <w:style w:type="character" w:styleId="LineNumber">
    <w:name w:val="line number"/>
    <w:basedOn w:val="DefaultParagraphFont"/>
    <w:uiPriority w:val="99"/>
    <w:unhideWhenUsed/>
    <w:rsid w:val="009E58AE"/>
    <w:rPr>
      <w:rFonts w:ascii="Verdana" w:hAnsi="Verdana"/>
      <w:sz w:val="20"/>
    </w:rPr>
  </w:style>
  <w:style w:type="paragraph" w:customStyle="1" w:styleId="PrrafodeSentencia">
    <w:name w:val="*. Párrafo de Sentencia"/>
    <w:link w:val="PrrafodeSentenciaChar"/>
    <w:autoRedefine/>
    <w:qFormat/>
    <w:rsid w:val="009E58AE"/>
    <w:pPr>
      <w:tabs>
        <w:tab w:val="left" w:pos="0"/>
        <w:tab w:val="left" w:pos="567"/>
      </w:tabs>
      <w:spacing w:after="0" w:line="240" w:lineRule="auto"/>
      <w:jc w:val="both"/>
    </w:pPr>
    <w:rPr>
      <w:rFonts w:ascii="Verdana" w:eastAsia="Batang" w:hAnsi="Verdana" w:cs="Times New Roman"/>
      <w:sz w:val="16"/>
      <w:szCs w:val="16"/>
      <w:lang w:val="es-MX" w:eastAsia="es-MX"/>
    </w:rPr>
  </w:style>
  <w:style w:type="character" w:customStyle="1" w:styleId="PrrafodeSentenciaChar">
    <w:name w:val="*. Párrafo de Sentencia Char"/>
    <w:link w:val="PrrafodeSentencia"/>
    <w:rsid w:val="009E58AE"/>
    <w:rPr>
      <w:rFonts w:ascii="Verdana" w:eastAsia="Batang" w:hAnsi="Verdana" w:cs="Times New Roman"/>
      <w:sz w:val="16"/>
      <w:szCs w:val="16"/>
      <w:lang w:val="es-MX" w:eastAsia="es-MX"/>
    </w:rPr>
  </w:style>
  <w:style w:type="character" w:customStyle="1" w:styleId="hps">
    <w:name w:val="hps"/>
    <w:basedOn w:val="DefaultParagraphFont"/>
    <w:rsid w:val="009E58AE"/>
  </w:style>
  <w:style w:type="paragraph" w:styleId="HTMLPreformatted">
    <w:name w:val="HTML Preformatted"/>
    <w:basedOn w:val="Normal"/>
    <w:link w:val="HTMLPreformattedChar"/>
    <w:uiPriority w:val="99"/>
    <w:unhideWhenUsed/>
    <w:rsid w:val="009E58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PreformattedChar">
    <w:name w:val="HTML Preformatted Char"/>
    <w:basedOn w:val="DefaultParagraphFont"/>
    <w:link w:val="HTMLPreformatted"/>
    <w:uiPriority w:val="99"/>
    <w:rsid w:val="009E58AE"/>
    <w:rPr>
      <w:rFonts w:ascii="Courier New" w:eastAsia="Times New Roman" w:hAnsi="Courier New" w:cs="Times New Roman"/>
      <w:sz w:val="20"/>
      <w:szCs w:val="20"/>
      <w:lang w:val="es-ES_tradnl"/>
    </w:rPr>
  </w:style>
  <w:style w:type="paragraph" w:customStyle="1" w:styleId="2Footnotes">
    <w:name w:val="2. Footnotes"/>
    <w:basedOn w:val="FootnoteText"/>
    <w:link w:val="2FootnotesChar"/>
    <w:autoRedefine/>
    <w:qFormat/>
    <w:rsid w:val="009E58AE"/>
    <w:pPr>
      <w:tabs>
        <w:tab w:val="clear" w:pos="567"/>
      </w:tabs>
      <w:spacing w:before="120"/>
    </w:pPr>
    <w:rPr>
      <w:rFonts w:eastAsia="Times New Roman" w:cs="Palatino-Italic"/>
      <w:iCs/>
      <w:noProof/>
      <w:szCs w:val="18"/>
      <w:lang w:eastAsia="en-US"/>
    </w:rPr>
  </w:style>
  <w:style w:type="character" w:customStyle="1" w:styleId="2FootnotesChar">
    <w:name w:val="2. Footnotes Char"/>
    <w:link w:val="2Footnotes"/>
    <w:rsid w:val="009E58AE"/>
    <w:rPr>
      <w:rFonts w:ascii="Verdana" w:eastAsia="Times New Roman" w:hAnsi="Verdana" w:cs="Palatino-Italic"/>
      <w:iCs/>
      <w:noProof/>
      <w:sz w:val="16"/>
      <w:szCs w:val="18"/>
      <w:lang w:val="es-ES"/>
    </w:rPr>
  </w:style>
  <w:style w:type="paragraph" w:styleId="NormalWeb">
    <w:name w:val="Normal (Web)"/>
    <w:aliases w:val="Normal (Web) Char1,Normal (Web) Char Char,Normal (Web) Char1 Char,Normal (Web) Char Char Char"/>
    <w:basedOn w:val="Normal"/>
    <w:uiPriority w:val="99"/>
    <w:unhideWhenUsed/>
    <w:rsid w:val="009E58AE"/>
    <w:pPr>
      <w:spacing w:before="100" w:beforeAutospacing="1" w:after="100" w:afterAutospacing="1"/>
    </w:pPr>
    <w:rPr>
      <w:rFonts w:eastAsia="Times New Roman"/>
      <w:lang w:val="es-CR" w:eastAsia="es-CR"/>
    </w:rPr>
  </w:style>
  <w:style w:type="paragraph" w:customStyle="1" w:styleId="xmsonormal">
    <w:name w:val="x_msonormal"/>
    <w:basedOn w:val="Normal"/>
    <w:rsid w:val="009E58AE"/>
    <w:pPr>
      <w:spacing w:before="100" w:beforeAutospacing="1" w:after="100" w:afterAutospacing="1"/>
    </w:pPr>
    <w:rPr>
      <w:rFonts w:eastAsia="Times New Roman"/>
      <w:lang w:val="en-US"/>
    </w:rPr>
  </w:style>
  <w:style w:type="paragraph" w:customStyle="1" w:styleId="HChG">
    <w:name w:val="_ H _Ch_G"/>
    <w:basedOn w:val="Normal"/>
    <w:next w:val="Normal"/>
    <w:rsid w:val="009E58AE"/>
    <w:pPr>
      <w:keepNext/>
      <w:keepLines/>
      <w:tabs>
        <w:tab w:val="right" w:pos="851"/>
      </w:tabs>
      <w:suppressAutoHyphens/>
      <w:spacing w:before="360" w:after="240" w:line="300" w:lineRule="exact"/>
      <w:ind w:left="1134" w:right="1134" w:hanging="1134"/>
    </w:pPr>
    <w:rPr>
      <w:rFonts w:eastAsia="Times New Roman"/>
      <w:b/>
      <w:sz w:val="28"/>
      <w:szCs w:val="20"/>
      <w:lang w:val="es-ES" w:eastAsia="es-ES"/>
    </w:rPr>
  </w:style>
  <w:style w:type="paragraph" w:customStyle="1" w:styleId="H1G">
    <w:name w:val="_ H_1_G"/>
    <w:basedOn w:val="Normal"/>
    <w:next w:val="Normal"/>
    <w:rsid w:val="009E58AE"/>
    <w:pPr>
      <w:keepNext/>
      <w:keepLines/>
      <w:tabs>
        <w:tab w:val="right" w:pos="851"/>
      </w:tabs>
      <w:suppressAutoHyphens/>
      <w:spacing w:before="360" w:after="240" w:line="270" w:lineRule="exact"/>
      <w:ind w:left="1134" w:right="1134" w:hanging="1134"/>
    </w:pPr>
    <w:rPr>
      <w:rFonts w:eastAsia="Times New Roman"/>
      <w:b/>
      <w:szCs w:val="20"/>
      <w:lang w:val="es-ES" w:eastAsia="es-ES"/>
    </w:rPr>
  </w:style>
  <w:style w:type="paragraph" w:customStyle="1" w:styleId="Estilo1">
    <w:name w:val="Estilo1"/>
    <w:basedOn w:val="ListParagraph"/>
    <w:link w:val="Estilo1Car"/>
    <w:qFormat/>
    <w:rsid w:val="009E58AE"/>
    <w:pPr>
      <w:numPr>
        <w:numId w:val="3"/>
      </w:numPr>
      <w:spacing w:after="240"/>
      <w:contextualSpacing w:val="0"/>
      <w:jc w:val="both"/>
    </w:pPr>
    <w:rPr>
      <w:lang w:val="es-UY"/>
    </w:rPr>
  </w:style>
  <w:style w:type="character" w:customStyle="1" w:styleId="Estilo1Car">
    <w:name w:val="Estilo1 Car"/>
    <w:link w:val="Estilo1"/>
    <w:locked/>
    <w:rsid w:val="009E58AE"/>
    <w:rPr>
      <w:rFonts w:ascii="Times New Roman" w:eastAsia="Calibri" w:hAnsi="Times New Roman" w:cs="Times New Roman"/>
      <w:sz w:val="24"/>
      <w:szCs w:val="24"/>
      <w:lang w:val="es-UY"/>
    </w:rPr>
  </w:style>
  <w:style w:type="character" w:customStyle="1" w:styleId="TextonotapieCar1">
    <w:name w:val="Texto nota pie Car1"/>
    <w:aliases w:val="Footnote Text Char Char Char Char Char Car1,Footnote Text Char Char Char Char Car1,Footnote reference Car1,FA Fu Car1,Footnote Text Char Char Char Car1,Footnote Text Cha Car1,FA Fußnotentext Car1,FA Fuﬂnotentext Car1,Ca Car,C Car"/>
    <w:basedOn w:val="DefaultParagraphFont"/>
    <w:qFormat/>
    <w:locked/>
    <w:rsid w:val="009E58AE"/>
    <w:rPr>
      <w:rFonts w:ascii="Verdana" w:eastAsia="MS Mincho" w:hAnsi="Verdana" w:cs="Times"/>
      <w:sz w:val="16"/>
      <w:szCs w:val="24"/>
      <w:lang w:val="es-ES_tradnl"/>
    </w:rPr>
  </w:style>
  <w:style w:type="character" w:customStyle="1" w:styleId="Smbolodenotaalpie">
    <w:name w:val="Símbolo de nota al pie"/>
    <w:rsid w:val="009E58AE"/>
    <w:rPr>
      <w:vertAlign w:val="superscript"/>
    </w:rPr>
  </w:style>
  <w:style w:type="paragraph" w:styleId="BodyText">
    <w:name w:val="Body Text"/>
    <w:basedOn w:val="Normal"/>
    <w:link w:val="BodyTextChar"/>
    <w:uiPriority w:val="99"/>
    <w:semiHidden/>
    <w:unhideWhenUsed/>
    <w:rsid w:val="009E58AE"/>
    <w:pPr>
      <w:jc w:val="both"/>
    </w:pPr>
    <w:rPr>
      <w:rFonts w:ascii="Garamond" w:eastAsia="Times" w:hAnsi="Garamond"/>
      <w:noProof/>
      <w:sz w:val="22"/>
      <w:szCs w:val="20"/>
    </w:rPr>
  </w:style>
  <w:style w:type="character" w:customStyle="1" w:styleId="BodyTextChar">
    <w:name w:val="Body Text Char"/>
    <w:basedOn w:val="DefaultParagraphFont"/>
    <w:link w:val="BodyText"/>
    <w:uiPriority w:val="99"/>
    <w:semiHidden/>
    <w:rsid w:val="009E58AE"/>
    <w:rPr>
      <w:rFonts w:ascii="Garamond" w:eastAsia="Times" w:hAnsi="Garamond" w:cs="Times New Roman"/>
      <w:noProof/>
      <w:szCs w:val="20"/>
      <w:lang w:val="es-ES_tradnl"/>
    </w:rPr>
  </w:style>
  <w:style w:type="character" w:customStyle="1" w:styleId="BodyTextIndentChar">
    <w:name w:val="Body Text Indent Char"/>
    <w:basedOn w:val="DefaultParagraphFont"/>
    <w:link w:val="BodyTextIndent"/>
    <w:uiPriority w:val="99"/>
    <w:semiHidden/>
    <w:rsid w:val="009E58AE"/>
    <w:rPr>
      <w:rFonts w:ascii="Times New Roman" w:eastAsia="Calibri" w:hAnsi="Times New Roman" w:cs="Times New Roman"/>
      <w:sz w:val="24"/>
      <w:szCs w:val="24"/>
      <w:lang w:val="es-ES_tradnl"/>
    </w:rPr>
  </w:style>
  <w:style w:type="paragraph" w:styleId="BodyTextIndent">
    <w:name w:val="Body Text Indent"/>
    <w:basedOn w:val="Normal"/>
    <w:link w:val="BodyTextIndentChar"/>
    <w:uiPriority w:val="99"/>
    <w:semiHidden/>
    <w:unhideWhenUsed/>
    <w:rsid w:val="009E58AE"/>
    <w:pPr>
      <w:spacing w:after="120"/>
      <w:ind w:left="283"/>
    </w:pPr>
  </w:style>
  <w:style w:type="character" w:customStyle="1" w:styleId="BodyTextIndentChar1">
    <w:name w:val="Body Text Indent Char1"/>
    <w:basedOn w:val="DefaultParagraphFont"/>
    <w:uiPriority w:val="99"/>
    <w:semiHidden/>
    <w:rsid w:val="009E58AE"/>
    <w:rPr>
      <w:rFonts w:ascii="Times New Roman" w:eastAsia="Calibri" w:hAnsi="Times New Roman" w:cs="Times New Roman"/>
      <w:sz w:val="24"/>
      <w:szCs w:val="24"/>
      <w:lang w:val="es-ES_tradnl"/>
    </w:rPr>
  </w:style>
  <w:style w:type="character" w:customStyle="1" w:styleId="Estilo1Char">
    <w:name w:val="Estilo1 Char"/>
    <w:rsid w:val="009E58AE"/>
    <w:rPr>
      <w:rFonts w:ascii="Verdana" w:eastAsia="Calibri" w:hAnsi="Verdana" w:cs="Times New Roman"/>
      <w:sz w:val="20"/>
      <w:szCs w:val="20"/>
      <w:lang w:val="es-ES"/>
    </w:rPr>
  </w:style>
  <w:style w:type="paragraph" w:customStyle="1" w:styleId="Estilo2">
    <w:name w:val="Estilo2"/>
    <w:basedOn w:val="Normal"/>
    <w:qFormat/>
    <w:rsid w:val="009E58AE"/>
    <w:pPr>
      <w:tabs>
        <w:tab w:val="left" w:pos="567"/>
        <w:tab w:val="left" w:pos="1134"/>
        <w:tab w:val="num" w:pos="4767"/>
      </w:tabs>
      <w:spacing w:after="120"/>
      <w:ind w:left="4767" w:hanging="360"/>
      <w:jc w:val="both"/>
    </w:pPr>
    <w:rPr>
      <w:rFonts w:ascii="Verdana" w:hAnsi="Verdana"/>
      <w:sz w:val="20"/>
      <w:szCs w:val="20"/>
      <w:lang w:val="es-ES"/>
    </w:rPr>
  </w:style>
  <w:style w:type="paragraph" w:styleId="BodyTextIndent3">
    <w:name w:val="Body Text Indent 3"/>
    <w:basedOn w:val="Normal"/>
    <w:link w:val="BodyTextIndent3Char"/>
    <w:rsid w:val="009E58AE"/>
    <w:pPr>
      <w:ind w:left="720"/>
      <w:jc w:val="both"/>
    </w:pPr>
    <w:rPr>
      <w:rFonts w:ascii="Verdana" w:eastAsia="Times" w:hAnsi="Verdana"/>
      <w:b/>
      <w:sz w:val="22"/>
      <w:szCs w:val="20"/>
      <w:lang w:eastAsia="es-ES"/>
    </w:rPr>
  </w:style>
  <w:style w:type="character" w:customStyle="1" w:styleId="BodyTextIndent3Char">
    <w:name w:val="Body Text Indent 3 Char"/>
    <w:basedOn w:val="DefaultParagraphFont"/>
    <w:link w:val="BodyTextIndent3"/>
    <w:rsid w:val="009E58AE"/>
    <w:rPr>
      <w:rFonts w:ascii="Verdana" w:eastAsia="Times" w:hAnsi="Verdana" w:cs="Times New Roman"/>
      <w:b/>
      <w:szCs w:val="20"/>
      <w:lang w:val="es-ES_tradnl" w:eastAsia="es-ES"/>
    </w:rPr>
  </w:style>
  <w:style w:type="paragraph" w:customStyle="1" w:styleId="Estilo7">
    <w:name w:val="Estilo7"/>
    <w:basedOn w:val="Normal"/>
    <w:qFormat/>
    <w:rsid w:val="009E58AE"/>
    <w:pPr>
      <w:tabs>
        <w:tab w:val="left" w:pos="567"/>
        <w:tab w:val="left" w:pos="851"/>
        <w:tab w:val="num" w:pos="2160"/>
      </w:tabs>
      <w:spacing w:before="120" w:after="120"/>
      <w:ind w:left="2160" w:hanging="180"/>
      <w:jc w:val="both"/>
    </w:pPr>
    <w:rPr>
      <w:rFonts w:ascii="Verdana" w:eastAsia="Batang" w:hAnsi="Verdana"/>
      <w:b/>
      <w:i/>
      <w:sz w:val="20"/>
      <w:szCs w:val="20"/>
      <w:lang w:eastAsia="es-MX"/>
    </w:rPr>
  </w:style>
  <w:style w:type="paragraph" w:customStyle="1" w:styleId="Sangradetindependiente">
    <w:name w:val="Sangr’a de t. independiente"/>
    <w:basedOn w:val="Normal"/>
    <w:rsid w:val="009E58AE"/>
    <w:pPr>
      <w:overflowPunct w:val="0"/>
      <w:autoSpaceDE w:val="0"/>
      <w:autoSpaceDN w:val="0"/>
      <w:adjustRightInd w:val="0"/>
      <w:jc w:val="both"/>
      <w:textAlignment w:val="baseline"/>
    </w:pPr>
    <w:rPr>
      <w:rFonts w:eastAsia="Times New Roman"/>
      <w:szCs w:val="20"/>
      <w:lang w:eastAsia="es-ES"/>
    </w:rPr>
  </w:style>
  <w:style w:type="paragraph" w:styleId="EndnoteText">
    <w:name w:val="endnote text"/>
    <w:basedOn w:val="Normal"/>
    <w:link w:val="EndnoteTextChar"/>
    <w:rsid w:val="009E58AE"/>
    <w:rPr>
      <w:rFonts w:ascii="Verdana" w:eastAsia="Times" w:hAnsi="Verdana"/>
      <w:sz w:val="20"/>
      <w:szCs w:val="20"/>
      <w:lang w:val="es-CR"/>
    </w:rPr>
  </w:style>
  <w:style w:type="character" w:customStyle="1" w:styleId="EndnoteTextChar">
    <w:name w:val="Endnote Text Char"/>
    <w:basedOn w:val="DefaultParagraphFont"/>
    <w:link w:val="EndnoteText"/>
    <w:rsid w:val="009E58AE"/>
    <w:rPr>
      <w:rFonts w:ascii="Verdana" w:eastAsia="Times" w:hAnsi="Verdana" w:cs="Times New Roman"/>
      <w:sz w:val="20"/>
      <w:szCs w:val="20"/>
      <w:lang w:val="es-CR"/>
    </w:rPr>
  </w:style>
  <w:style w:type="character" w:customStyle="1" w:styleId="Caracteresdenotafinal">
    <w:name w:val="Caracteres de nota final"/>
    <w:basedOn w:val="DefaultParagraphFont"/>
    <w:rsid w:val="009E58AE"/>
    <w:rPr>
      <w:vertAlign w:val="superscript"/>
    </w:rPr>
  </w:style>
  <w:style w:type="character" w:customStyle="1" w:styleId="normalchar1">
    <w:name w:val="normal__char1"/>
    <w:basedOn w:val="DefaultParagraphFont"/>
    <w:rsid w:val="009E58AE"/>
    <w:rPr>
      <w:rFonts w:ascii="Verdana" w:hAnsi="Verdana" w:hint="default"/>
      <w:sz w:val="20"/>
      <w:szCs w:val="20"/>
    </w:rPr>
  </w:style>
  <w:style w:type="character" w:customStyle="1" w:styleId="FootnoteTextCharCar">
    <w:name w:val="Footnote Text Char Car"/>
    <w:aliases w:val="FA Car,Note de bas de page Car Car Car"/>
    <w:basedOn w:val="DefaultParagraphFont"/>
    <w:uiPriority w:val="99"/>
    <w:locked/>
    <w:rsid w:val="009E58AE"/>
  </w:style>
  <w:style w:type="character" w:customStyle="1" w:styleId="sb8d990e2">
    <w:name w:val="sb8d990e2"/>
    <w:uiPriority w:val="99"/>
    <w:rsid w:val="009E58AE"/>
  </w:style>
  <w:style w:type="paragraph" w:customStyle="1" w:styleId="Prrafodelista2">
    <w:name w:val="Párrafo de lista2"/>
    <w:basedOn w:val="Normal"/>
    <w:uiPriority w:val="99"/>
    <w:rsid w:val="009E58AE"/>
    <w:pPr>
      <w:ind w:left="720"/>
    </w:pPr>
    <w:rPr>
      <w:rFonts w:ascii="Verdana" w:eastAsia="MS Mincho" w:hAnsi="Verdana"/>
      <w:sz w:val="20"/>
      <w:szCs w:val="20"/>
      <w:lang w:bidi="en-US"/>
    </w:rPr>
  </w:style>
  <w:style w:type="character" w:customStyle="1" w:styleId="st1">
    <w:name w:val="st1"/>
    <w:basedOn w:val="DefaultParagraphFont"/>
    <w:rsid w:val="009E58AE"/>
  </w:style>
  <w:style w:type="paragraph" w:styleId="Revision">
    <w:name w:val="Revision"/>
    <w:hidden/>
    <w:uiPriority w:val="99"/>
    <w:semiHidden/>
    <w:rsid w:val="002C1303"/>
    <w:pPr>
      <w:spacing w:after="0" w:line="240" w:lineRule="auto"/>
    </w:pPr>
    <w:rPr>
      <w:rFonts w:ascii="Times New Roman" w:eastAsia="Calibri" w:hAnsi="Times New Roman" w:cs="Times New Roman"/>
      <w:sz w:val="24"/>
      <w:szCs w:val="24"/>
      <w:lang w:val="es-ES_tradnl"/>
    </w:rPr>
  </w:style>
  <w:style w:type="paragraph" w:customStyle="1" w:styleId="NormalNumbered">
    <w:name w:val="Normal Numbered"/>
    <w:basedOn w:val="Normal"/>
    <w:qFormat/>
    <w:rsid w:val="00F54FF1"/>
    <w:pPr>
      <w:numPr>
        <w:numId w:val="6"/>
      </w:numPr>
      <w:ind w:left="0" w:firstLine="0"/>
      <w:jc w:val="both"/>
    </w:pPr>
    <w:rPr>
      <w:rFonts w:ascii="Verdana" w:eastAsia="Times New Roman" w:hAnsi="Verdana"/>
      <w:sz w:val="20"/>
      <w:szCs w:val="20"/>
      <w:lang w:val="x-none" w:eastAsia="x-none"/>
    </w:rPr>
  </w:style>
  <w:style w:type="numbering" w:customStyle="1" w:styleId="NoList1">
    <w:name w:val="No List1"/>
    <w:next w:val="NoList"/>
    <w:uiPriority w:val="99"/>
    <w:semiHidden/>
    <w:unhideWhenUsed/>
    <w:rsid w:val="00C01305"/>
  </w:style>
  <w:style w:type="paragraph" w:customStyle="1" w:styleId="ju-005fpara-002cleft-002cfirst-0020line-003a-0020-00200-0020cm">
    <w:name w:val="ju-005fpara-002cleft-002cfirst-0020line-003a-0020-00200-0020cm"/>
    <w:basedOn w:val="Normal"/>
    <w:rsid w:val="00C01305"/>
    <w:pPr>
      <w:spacing w:after="135"/>
    </w:pPr>
    <w:rPr>
      <w:rFonts w:eastAsia="Times New Roman"/>
      <w:lang w:val="es-MX" w:eastAsia="es-MX"/>
    </w:rPr>
  </w:style>
  <w:style w:type="character" w:customStyle="1" w:styleId="ju-005fpara-002cleft-002cfirst-0020line-003a-0020-00200-0020cm--char">
    <w:name w:val="ju-005fpara-002cleft-002cfirst-0020line-003a-0020-00200-0020cm--char"/>
    <w:rsid w:val="00C01305"/>
  </w:style>
  <w:style w:type="character" w:customStyle="1" w:styleId="PrrafodelistaCar1">
    <w:name w:val="Párrafo de lista Car1"/>
    <w:basedOn w:val="DefaultParagraphFont"/>
    <w:uiPriority w:val="99"/>
    <w:locked/>
    <w:rsid w:val="00C01305"/>
    <w:rPr>
      <w:rFonts w:ascii="Verdana" w:hAnsi="Verdana" w:cs="Verdana"/>
      <w:lang w:eastAsia="en-US"/>
    </w:rPr>
  </w:style>
  <w:style w:type="character" w:customStyle="1" w:styleId="TextocomentarioCar1">
    <w:name w:val="Texto comentario Car1"/>
    <w:basedOn w:val="DefaultParagraphFont"/>
    <w:uiPriority w:val="99"/>
    <w:semiHidden/>
    <w:rsid w:val="00C01305"/>
    <w:rPr>
      <w:sz w:val="20"/>
      <w:szCs w:val="20"/>
    </w:rPr>
  </w:style>
  <w:style w:type="paragraph" w:customStyle="1" w:styleId="Body1">
    <w:name w:val="Body 1"/>
    <w:link w:val="Body1Char"/>
    <w:rsid w:val="00AF7637"/>
    <w:pPr>
      <w:outlineLvl w:val="0"/>
    </w:pPr>
    <w:rPr>
      <w:rFonts w:ascii="Helvetica" w:eastAsia="ヒラギノ角ゴ Pro W3" w:hAnsi="Helvetica" w:cs="Times New Roman"/>
      <w:color w:val="000000"/>
      <w:szCs w:val="20"/>
      <w:lang w:eastAsia="es-CR"/>
    </w:rPr>
  </w:style>
  <w:style w:type="character" w:customStyle="1" w:styleId="Body1Char">
    <w:name w:val="Body 1 Char"/>
    <w:link w:val="Body1"/>
    <w:rsid w:val="00AF7637"/>
    <w:rPr>
      <w:rFonts w:ascii="Helvetica" w:eastAsia="ヒラギノ角ゴ Pro W3" w:hAnsi="Helvetica" w:cs="Times New Roman"/>
      <w:color w:val="000000"/>
      <w:szCs w:val="20"/>
      <w:lang w:eastAsia="es-CR"/>
    </w:rPr>
  </w:style>
  <w:style w:type="paragraph" w:customStyle="1" w:styleId="style11">
    <w:name w:val="style11"/>
    <w:basedOn w:val="Normal"/>
    <w:rsid w:val="0088700B"/>
    <w:pPr>
      <w:spacing w:before="192" w:after="192"/>
      <w:ind w:left="120" w:right="144"/>
      <w:jc w:val="both"/>
    </w:pPr>
    <w:rPr>
      <w:rFonts w:eastAsia="Times New Roman"/>
      <w:lang w:val="es-MX" w:eastAsia="es-MX"/>
    </w:rPr>
  </w:style>
  <w:style w:type="paragraph" w:customStyle="1" w:styleId="Style1">
    <w:name w:val="Style1"/>
    <w:basedOn w:val="ListParagraph"/>
    <w:link w:val="Style1Char"/>
    <w:qFormat/>
    <w:rsid w:val="00F83E8F"/>
    <w:pPr>
      <w:numPr>
        <w:numId w:val="25"/>
      </w:numPr>
      <w:spacing w:after="160" w:line="256" w:lineRule="auto"/>
      <w:jc w:val="center"/>
    </w:pPr>
    <w:rPr>
      <w:rFonts w:ascii="Verdana" w:eastAsia="Times New Roman" w:hAnsi="Verdana"/>
      <w:b/>
      <w:sz w:val="20"/>
      <w:szCs w:val="20"/>
      <w:u w:val="single"/>
      <w:lang w:val="es-MX"/>
    </w:rPr>
  </w:style>
  <w:style w:type="character" w:customStyle="1" w:styleId="Style1Char">
    <w:name w:val="Style1 Char"/>
    <w:basedOn w:val="ListParagraphChar"/>
    <w:link w:val="Style1"/>
    <w:rsid w:val="00F83E8F"/>
    <w:rPr>
      <w:rFonts w:ascii="Verdana" w:eastAsia="Times New Roman" w:hAnsi="Verdana" w:cs="Times New Roman"/>
      <w:b/>
      <w:sz w:val="20"/>
      <w:szCs w:val="20"/>
      <w:u w:val="single"/>
      <w:lang w:val="es-MX"/>
    </w:rPr>
  </w:style>
  <w:style w:type="paragraph" w:styleId="Quote">
    <w:name w:val="Quote"/>
    <w:basedOn w:val="Normal"/>
    <w:next w:val="Normal"/>
    <w:link w:val="QuoteChar"/>
    <w:uiPriority w:val="29"/>
    <w:qFormat/>
    <w:rsid w:val="00F83E8F"/>
    <w:pPr>
      <w:spacing w:before="200" w:after="160"/>
      <w:ind w:left="864" w:right="864"/>
      <w:jc w:val="center"/>
    </w:pPr>
    <w:rPr>
      <w:rFonts w:ascii="Verdana" w:eastAsia="Times New Roman" w:hAnsi="Verdana"/>
      <w:i/>
      <w:iCs/>
      <w:color w:val="404040" w:themeColor="text1" w:themeTint="BF"/>
      <w:sz w:val="20"/>
      <w:lang w:val="en-US"/>
    </w:rPr>
  </w:style>
  <w:style w:type="character" w:customStyle="1" w:styleId="QuoteChar">
    <w:name w:val="Quote Char"/>
    <w:basedOn w:val="DefaultParagraphFont"/>
    <w:link w:val="Quote"/>
    <w:uiPriority w:val="29"/>
    <w:rsid w:val="00F83E8F"/>
    <w:rPr>
      <w:rFonts w:ascii="Verdana" w:eastAsia="Times New Roman" w:hAnsi="Verdana" w:cs="Times New Roman"/>
      <w:i/>
      <w:iCs/>
      <w:color w:val="404040" w:themeColor="text1" w:themeTint="BF"/>
      <w:sz w:val="20"/>
      <w:szCs w:val="24"/>
    </w:rPr>
  </w:style>
  <w:style w:type="paragraph" w:customStyle="1" w:styleId="s32b251d">
    <w:name w:val="s32b251d"/>
    <w:basedOn w:val="Normal"/>
    <w:rsid w:val="00F83E8F"/>
    <w:pPr>
      <w:spacing w:before="100" w:beforeAutospacing="1" w:after="100" w:afterAutospacing="1"/>
    </w:pPr>
    <w:rPr>
      <w:rFonts w:ascii="Times" w:eastAsiaTheme="minorHAnsi" w:hAnsi="Times" w:cstheme="minorBidi"/>
      <w:noProof/>
      <w:sz w:val="20"/>
      <w:szCs w:val="20"/>
      <w:lang w:eastAsia="es-ES"/>
    </w:rPr>
  </w:style>
  <w:style w:type="paragraph" w:customStyle="1" w:styleId="Estilo4">
    <w:name w:val="Estilo4"/>
    <w:basedOn w:val="ListParagraph"/>
    <w:link w:val="Estilo4Car"/>
    <w:qFormat/>
    <w:rsid w:val="00F83E8F"/>
    <w:pPr>
      <w:numPr>
        <w:numId w:val="29"/>
      </w:numPr>
      <w:spacing w:after="120"/>
      <w:ind w:left="0" w:firstLine="357"/>
      <w:contextualSpacing w:val="0"/>
      <w:jc w:val="both"/>
    </w:pPr>
    <w:rPr>
      <w:rFonts w:ascii="Verdana" w:eastAsia="Times New Roman" w:hAnsi="Verdana"/>
      <w:spacing w:val="-2"/>
      <w:sz w:val="20"/>
      <w:szCs w:val="20"/>
      <w:lang w:val="es-CR"/>
    </w:rPr>
  </w:style>
  <w:style w:type="character" w:customStyle="1" w:styleId="Estilo4Car">
    <w:name w:val="Estilo4 Car"/>
    <w:basedOn w:val="DefaultParagraphFont"/>
    <w:link w:val="Estilo4"/>
    <w:rsid w:val="00F83E8F"/>
    <w:rPr>
      <w:rFonts w:ascii="Verdana" w:eastAsia="Times New Roman" w:hAnsi="Verdana" w:cs="Times New Roman"/>
      <w:spacing w:val="-2"/>
      <w:sz w:val="20"/>
      <w:szCs w:val="20"/>
      <w:lang w:val="es-CR"/>
    </w:rPr>
  </w:style>
  <w:style w:type="character" w:styleId="PageNumber">
    <w:name w:val="page number"/>
    <w:basedOn w:val="DefaultParagraphFont"/>
    <w:uiPriority w:val="99"/>
    <w:semiHidden/>
    <w:unhideWhenUsed/>
    <w:rsid w:val="00F83E8F"/>
  </w:style>
  <w:style w:type="character" w:styleId="FollowedHyperlink">
    <w:name w:val="FollowedHyperlink"/>
    <w:basedOn w:val="DefaultParagraphFont"/>
    <w:uiPriority w:val="99"/>
    <w:semiHidden/>
    <w:unhideWhenUsed/>
    <w:rsid w:val="00F83E8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542324">
      <w:bodyDiv w:val="1"/>
      <w:marLeft w:val="0"/>
      <w:marRight w:val="0"/>
      <w:marTop w:val="0"/>
      <w:marBottom w:val="0"/>
      <w:divBdr>
        <w:top w:val="none" w:sz="0" w:space="0" w:color="auto"/>
        <w:left w:val="none" w:sz="0" w:space="0" w:color="auto"/>
        <w:bottom w:val="none" w:sz="0" w:space="0" w:color="auto"/>
        <w:right w:val="none" w:sz="0" w:space="0" w:color="auto"/>
      </w:divBdr>
    </w:div>
    <w:div w:id="181478829">
      <w:bodyDiv w:val="1"/>
      <w:marLeft w:val="0"/>
      <w:marRight w:val="0"/>
      <w:marTop w:val="0"/>
      <w:marBottom w:val="0"/>
      <w:divBdr>
        <w:top w:val="none" w:sz="0" w:space="0" w:color="auto"/>
        <w:left w:val="none" w:sz="0" w:space="0" w:color="auto"/>
        <w:bottom w:val="none" w:sz="0" w:space="0" w:color="auto"/>
        <w:right w:val="none" w:sz="0" w:space="0" w:color="auto"/>
      </w:divBdr>
    </w:div>
    <w:div w:id="360715920">
      <w:bodyDiv w:val="1"/>
      <w:marLeft w:val="0"/>
      <w:marRight w:val="0"/>
      <w:marTop w:val="0"/>
      <w:marBottom w:val="0"/>
      <w:divBdr>
        <w:top w:val="none" w:sz="0" w:space="0" w:color="auto"/>
        <w:left w:val="none" w:sz="0" w:space="0" w:color="auto"/>
        <w:bottom w:val="none" w:sz="0" w:space="0" w:color="auto"/>
        <w:right w:val="none" w:sz="0" w:space="0" w:color="auto"/>
      </w:divBdr>
    </w:div>
    <w:div w:id="639651739">
      <w:bodyDiv w:val="1"/>
      <w:marLeft w:val="0"/>
      <w:marRight w:val="0"/>
      <w:marTop w:val="0"/>
      <w:marBottom w:val="0"/>
      <w:divBdr>
        <w:top w:val="none" w:sz="0" w:space="0" w:color="auto"/>
        <w:left w:val="none" w:sz="0" w:space="0" w:color="auto"/>
        <w:bottom w:val="none" w:sz="0" w:space="0" w:color="auto"/>
        <w:right w:val="none" w:sz="0" w:space="0" w:color="auto"/>
      </w:divBdr>
    </w:div>
    <w:div w:id="675379822">
      <w:bodyDiv w:val="1"/>
      <w:marLeft w:val="0"/>
      <w:marRight w:val="0"/>
      <w:marTop w:val="0"/>
      <w:marBottom w:val="0"/>
      <w:divBdr>
        <w:top w:val="none" w:sz="0" w:space="0" w:color="auto"/>
        <w:left w:val="none" w:sz="0" w:space="0" w:color="auto"/>
        <w:bottom w:val="none" w:sz="0" w:space="0" w:color="auto"/>
        <w:right w:val="none" w:sz="0" w:space="0" w:color="auto"/>
      </w:divBdr>
    </w:div>
    <w:div w:id="950207721">
      <w:bodyDiv w:val="1"/>
      <w:marLeft w:val="0"/>
      <w:marRight w:val="0"/>
      <w:marTop w:val="0"/>
      <w:marBottom w:val="0"/>
      <w:divBdr>
        <w:top w:val="none" w:sz="0" w:space="0" w:color="auto"/>
        <w:left w:val="none" w:sz="0" w:space="0" w:color="auto"/>
        <w:bottom w:val="none" w:sz="0" w:space="0" w:color="auto"/>
        <w:right w:val="none" w:sz="0" w:space="0" w:color="auto"/>
      </w:divBdr>
    </w:div>
    <w:div w:id="989795448">
      <w:bodyDiv w:val="1"/>
      <w:marLeft w:val="0"/>
      <w:marRight w:val="0"/>
      <w:marTop w:val="0"/>
      <w:marBottom w:val="0"/>
      <w:divBdr>
        <w:top w:val="none" w:sz="0" w:space="0" w:color="auto"/>
        <w:left w:val="none" w:sz="0" w:space="0" w:color="auto"/>
        <w:bottom w:val="none" w:sz="0" w:space="0" w:color="auto"/>
        <w:right w:val="none" w:sz="0" w:space="0" w:color="auto"/>
      </w:divBdr>
    </w:div>
    <w:div w:id="1225989393">
      <w:bodyDiv w:val="1"/>
      <w:marLeft w:val="0"/>
      <w:marRight w:val="0"/>
      <w:marTop w:val="0"/>
      <w:marBottom w:val="0"/>
      <w:divBdr>
        <w:top w:val="none" w:sz="0" w:space="0" w:color="auto"/>
        <w:left w:val="none" w:sz="0" w:space="0" w:color="auto"/>
        <w:bottom w:val="none" w:sz="0" w:space="0" w:color="auto"/>
        <w:right w:val="none" w:sz="0" w:space="0" w:color="auto"/>
      </w:divBdr>
    </w:div>
    <w:div w:id="1357345799">
      <w:bodyDiv w:val="1"/>
      <w:marLeft w:val="0"/>
      <w:marRight w:val="0"/>
      <w:marTop w:val="0"/>
      <w:marBottom w:val="0"/>
      <w:divBdr>
        <w:top w:val="none" w:sz="0" w:space="0" w:color="auto"/>
        <w:left w:val="none" w:sz="0" w:space="0" w:color="auto"/>
        <w:bottom w:val="none" w:sz="0" w:space="0" w:color="auto"/>
        <w:right w:val="none" w:sz="0" w:space="0" w:color="auto"/>
      </w:divBdr>
    </w:div>
    <w:div w:id="1403139141">
      <w:bodyDiv w:val="1"/>
      <w:marLeft w:val="0"/>
      <w:marRight w:val="0"/>
      <w:marTop w:val="0"/>
      <w:marBottom w:val="0"/>
      <w:divBdr>
        <w:top w:val="none" w:sz="0" w:space="0" w:color="auto"/>
        <w:left w:val="none" w:sz="0" w:space="0" w:color="auto"/>
        <w:bottom w:val="none" w:sz="0" w:space="0" w:color="auto"/>
        <w:right w:val="none" w:sz="0" w:space="0" w:color="auto"/>
      </w:divBdr>
    </w:div>
    <w:div w:id="1450198720">
      <w:bodyDiv w:val="1"/>
      <w:marLeft w:val="0"/>
      <w:marRight w:val="0"/>
      <w:marTop w:val="0"/>
      <w:marBottom w:val="0"/>
      <w:divBdr>
        <w:top w:val="none" w:sz="0" w:space="0" w:color="auto"/>
        <w:left w:val="none" w:sz="0" w:space="0" w:color="auto"/>
        <w:bottom w:val="none" w:sz="0" w:space="0" w:color="auto"/>
        <w:right w:val="none" w:sz="0" w:space="0" w:color="auto"/>
      </w:divBdr>
    </w:div>
    <w:div w:id="1480687379">
      <w:bodyDiv w:val="1"/>
      <w:marLeft w:val="0"/>
      <w:marRight w:val="0"/>
      <w:marTop w:val="0"/>
      <w:marBottom w:val="0"/>
      <w:divBdr>
        <w:top w:val="none" w:sz="0" w:space="0" w:color="auto"/>
        <w:left w:val="none" w:sz="0" w:space="0" w:color="auto"/>
        <w:bottom w:val="none" w:sz="0" w:space="0" w:color="auto"/>
        <w:right w:val="none" w:sz="0" w:space="0" w:color="auto"/>
      </w:divBdr>
    </w:div>
    <w:div w:id="1533181791">
      <w:bodyDiv w:val="1"/>
      <w:marLeft w:val="0"/>
      <w:marRight w:val="0"/>
      <w:marTop w:val="0"/>
      <w:marBottom w:val="0"/>
      <w:divBdr>
        <w:top w:val="none" w:sz="0" w:space="0" w:color="auto"/>
        <w:left w:val="none" w:sz="0" w:space="0" w:color="auto"/>
        <w:bottom w:val="none" w:sz="0" w:space="0" w:color="auto"/>
        <w:right w:val="none" w:sz="0" w:space="0" w:color="auto"/>
      </w:divBdr>
      <w:divsChild>
        <w:div w:id="89591561">
          <w:marLeft w:val="0"/>
          <w:marRight w:val="0"/>
          <w:marTop w:val="0"/>
          <w:marBottom w:val="0"/>
          <w:divBdr>
            <w:top w:val="none" w:sz="0" w:space="0" w:color="auto"/>
            <w:left w:val="none" w:sz="0" w:space="0" w:color="auto"/>
            <w:bottom w:val="none" w:sz="0" w:space="0" w:color="auto"/>
            <w:right w:val="none" w:sz="0" w:space="0" w:color="auto"/>
          </w:divBdr>
          <w:divsChild>
            <w:div w:id="535898962">
              <w:marLeft w:val="0"/>
              <w:marRight w:val="0"/>
              <w:marTop w:val="0"/>
              <w:marBottom w:val="0"/>
              <w:divBdr>
                <w:top w:val="none" w:sz="0" w:space="0" w:color="auto"/>
                <w:left w:val="none" w:sz="0" w:space="0" w:color="auto"/>
                <w:bottom w:val="none" w:sz="0" w:space="0" w:color="auto"/>
                <w:right w:val="none" w:sz="0" w:space="0" w:color="auto"/>
              </w:divBdr>
              <w:divsChild>
                <w:div w:id="1582910984">
                  <w:marLeft w:val="0"/>
                  <w:marRight w:val="0"/>
                  <w:marTop w:val="0"/>
                  <w:marBottom w:val="0"/>
                  <w:divBdr>
                    <w:top w:val="none" w:sz="0" w:space="0" w:color="auto"/>
                    <w:left w:val="none" w:sz="0" w:space="0" w:color="auto"/>
                    <w:bottom w:val="none" w:sz="0" w:space="0" w:color="auto"/>
                    <w:right w:val="none" w:sz="0" w:space="0" w:color="auto"/>
                  </w:divBdr>
                  <w:divsChild>
                    <w:div w:id="1524321935">
                      <w:marLeft w:val="0"/>
                      <w:marRight w:val="0"/>
                      <w:marTop w:val="0"/>
                      <w:marBottom w:val="0"/>
                      <w:divBdr>
                        <w:top w:val="none" w:sz="0" w:space="0" w:color="auto"/>
                        <w:left w:val="none" w:sz="0" w:space="0" w:color="auto"/>
                        <w:bottom w:val="none" w:sz="0" w:space="0" w:color="auto"/>
                        <w:right w:val="none" w:sz="0" w:space="0" w:color="auto"/>
                      </w:divBdr>
                      <w:divsChild>
                        <w:div w:id="2049644518">
                          <w:marLeft w:val="0"/>
                          <w:marRight w:val="0"/>
                          <w:marTop w:val="0"/>
                          <w:marBottom w:val="0"/>
                          <w:divBdr>
                            <w:top w:val="none" w:sz="0" w:space="0" w:color="auto"/>
                            <w:left w:val="none" w:sz="0" w:space="0" w:color="auto"/>
                            <w:bottom w:val="none" w:sz="0" w:space="0" w:color="auto"/>
                            <w:right w:val="none" w:sz="0" w:space="0" w:color="auto"/>
                          </w:divBdr>
                          <w:divsChild>
                            <w:div w:id="209573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2911213">
      <w:bodyDiv w:val="1"/>
      <w:marLeft w:val="0"/>
      <w:marRight w:val="0"/>
      <w:marTop w:val="0"/>
      <w:marBottom w:val="0"/>
      <w:divBdr>
        <w:top w:val="none" w:sz="0" w:space="0" w:color="auto"/>
        <w:left w:val="none" w:sz="0" w:space="0" w:color="auto"/>
        <w:bottom w:val="none" w:sz="0" w:space="0" w:color="auto"/>
        <w:right w:val="none" w:sz="0" w:space="0" w:color="auto"/>
      </w:divBdr>
    </w:div>
    <w:div w:id="1780248634">
      <w:bodyDiv w:val="1"/>
      <w:marLeft w:val="0"/>
      <w:marRight w:val="0"/>
      <w:marTop w:val="0"/>
      <w:marBottom w:val="0"/>
      <w:divBdr>
        <w:top w:val="none" w:sz="0" w:space="0" w:color="auto"/>
        <w:left w:val="none" w:sz="0" w:space="0" w:color="auto"/>
        <w:bottom w:val="none" w:sz="0" w:space="0" w:color="auto"/>
        <w:right w:val="none" w:sz="0" w:space="0" w:color="auto"/>
      </w:divBdr>
    </w:div>
    <w:div w:id="1956859884">
      <w:bodyDiv w:val="1"/>
      <w:marLeft w:val="0"/>
      <w:marRight w:val="0"/>
      <w:marTop w:val="0"/>
      <w:marBottom w:val="0"/>
      <w:divBdr>
        <w:top w:val="none" w:sz="0" w:space="0" w:color="auto"/>
        <w:left w:val="none" w:sz="0" w:space="0" w:color="auto"/>
        <w:bottom w:val="none" w:sz="0" w:space="0" w:color="auto"/>
        <w:right w:val="none" w:sz="0" w:space="0" w:color="auto"/>
      </w:divBdr>
    </w:div>
    <w:div w:id="2002998010">
      <w:bodyDiv w:val="1"/>
      <w:marLeft w:val="0"/>
      <w:marRight w:val="0"/>
      <w:marTop w:val="0"/>
      <w:marBottom w:val="0"/>
      <w:divBdr>
        <w:top w:val="none" w:sz="0" w:space="0" w:color="auto"/>
        <w:left w:val="none" w:sz="0" w:space="0" w:color="auto"/>
        <w:bottom w:val="none" w:sz="0" w:space="0" w:color="auto"/>
        <w:right w:val="none" w:sz="0" w:space="0" w:color="auto"/>
      </w:divBdr>
    </w:div>
    <w:div w:id="2113158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peru.justia.com/federales/decretos-leyes/18350-jul-27-1970/gdoc/" TargetMode="External"/><Relationship Id="rId7" Type="http://schemas.openxmlformats.org/officeDocument/2006/relationships/hyperlink" Target="http://dle.rae.es" TargetMode="External"/><Relationship Id="rId2" Type="http://schemas.openxmlformats.org/officeDocument/2006/relationships/hyperlink" Target="http://www.corteidh.or.cr/docs/asuntos/lagos_21_11_16.pdf" TargetMode="External"/><Relationship Id="rId1" Type="http://schemas.openxmlformats.org/officeDocument/2006/relationships/hyperlink" Target="http://www.corteidh.or.cr/docs/asuntos/lagos_fv_16.pdf" TargetMode="External"/><Relationship Id="rId6" Type="http://schemas.openxmlformats.org/officeDocument/2006/relationships/hyperlink" Target="http://www.corteidh.or.cr/docs/asuntos/lagos_fv_16.pdf" TargetMode="External"/><Relationship Id="rId5" Type="http://schemas.openxmlformats.org/officeDocument/2006/relationships/hyperlink" Target="http://www.corteidh.or.cr/docs/casos/articulos/seriec_182_esp.pdf" TargetMode="External"/><Relationship Id="rId4" Type="http://schemas.openxmlformats.org/officeDocument/2006/relationships/hyperlink" Target="http://docs.peru.justia.com/federales/decretos-leyes/18384-sep-1-197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015BEBE2BF87F40A76A9C926EBECC0C" ma:contentTypeVersion="0" ma:contentTypeDescription="Create a new document." ma:contentTypeScope="" ma:versionID="ad8069bb81a7b5dc5c766ad6aa2648bb">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B0510B-2154-4936-B6C9-9102AA458871}">
  <ds:schemaRefs>
    <ds:schemaRef ds:uri="http://schemas.microsoft.com/sharepoint/v3/contenttype/forms"/>
  </ds:schemaRefs>
</ds:datastoreItem>
</file>

<file path=customXml/itemProps2.xml><?xml version="1.0" encoding="utf-8"?>
<ds:datastoreItem xmlns:ds="http://schemas.openxmlformats.org/officeDocument/2006/customXml" ds:itemID="{92E841CC-5D21-443A-BA07-FF53FFFCF4B1}">
  <ds:schemaRefs>
    <ds:schemaRef ds:uri="http://purl.org/dc/terms/"/>
    <ds:schemaRef ds:uri="http://purl.org/dc/dcmitype/"/>
    <ds:schemaRef ds:uri="http://schemas.openxmlformats.org/package/2006/metadata/core-properties"/>
    <ds:schemaRef ds:uri="http://www.w3.org/XML/1998/namespace"/>
    <ds:schemaRef ds:uri="http://schemas.microsoft.com/office/2006/documentManagement/types"/>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FA60D056-FB99-429F-864A-A8E4EABE78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C65E0244-E0D0-44FB-A56A-ACDD72840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127</Pages>
  <Words>51375</Words>
  <Characters>292840</Characters>
  <Application>Microsoft Office Word</Application>
  <DocSecurity>0</DocSecurity>
  <Lines>2440</Lines>
  <Paragraphs>687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343528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CorteIDH</dc:creator>
  <cp:lastModifiedBy>Patricia Calderon</cp:lastModifiedBy>
  <cp:revision>27</cp:revision>
  <cp:lastPrinted>2017-11-13T19:36:00Z</cp:lastPrinted>
  <dcterms:created xsi:type="dcterms:W3CDTF">2017-11-14T23:51:00Z</dcterms:created>
  <dcterms:modified xsi:type="dcterms:W3CDTF">2017-11-15T20:54:00Z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0x010100D015BEBE2BF87F40A76A9C926EBECC0C</vt:lpwstr>
  </property>
  <property fmtid="{D5CDD505-2E9C-101B-9397-08002B2CF9AE}" pid="3" name="_DocHome">
    <vt:i4>-320132752</vt:i4>
  </property>
</Properties>
</file>