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bookmarkStart w:id="0" w:name="_GoBack"/>
      <w:bookmarkEnd w:id="0"/>
    </w:p>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245984" w:rsidRDefault="00245984" w:rsidP="00A82FB4">
      <w:pPr>
        <w:spacing w:after="0" w:line="240" w:lineRule="auto"/>
        <w:jc w:val="center"/>
        <w:rPr>
          <w:rFonts w:ascii="Verdana" w:eastAsia="Times New Roman" w:hAnsi="Verdana" w:cs="Verdana"/>
          <w:b/>
          <w:bCs/>
          <w:caps/>
          <w:snapToGrid w:val="0"/>
          <w:sz w:val="20"/>
          <w:szCs w:val="20"/>
          <w:lang w:val="pt-BR" w:eastAsia="es-ES"/>
        </w:rPr>
      </w:pPr>
    </w:p>
    <w:p w:rsidR="0074017B" w:rsidRPr="003046E3" w:rsidRDefault="0074017B" w:rsidP="00A82FB4">
      <w:pPr>
        <w:spacing w:after="0" w:line="240" w:lineRule="auto"/>
        <w:jc w:val="center"/>
        <w:rPr>
          <w:rFonts w:ascii="Verdana" w:eastAsia="Times New Roman" w:hAnsi="Verdana" w:cs="Verdana"/>
          <w:b/>
          <w:bCs/>
          <w:caps/>
          <w:snapToGrid w:val="0"/>
          <w:sz w:val="20"/>
          <w:szCs w:val="20"/>
          <w:lang w:val="pt-BR" w:eastAsia="es-ES"/>
        </w:rPr>
      </w:pPr>
      <w:r w:rsidRPr="003046E3">
        <w:rPr>
          <w:rFonts w:ascii="Verdana" w:eastAsia="Times New Roman" w:hAnsi="Verdana" w:cs="Verdana"/>
          <w:b/>
          <w:bCs/>
          <w:caps/>
          <w:snapToGrid w:val="0"/>
          <w:sz w:val="20"/>
          <w:szCs w:val="20"/>
          <w:lang w:val="pt-BR" w:eastAsia="es-ES"/>
        </w:rPr>
        <w:t>Corte Interamericana de DERECHOS Humanos</w:t>
      </w:r>
    </w:p>
    <w:p w:rsidR="0074017B" w:rsidRPr="003046E3" w:rsidRDefault="0074017B" w:rsidP="00A82FB4">
      <w:pPr>
        <w:spacing w:after="0" w:line="240" w:lineRule="auto"/>
        <w:jc w:val="center"/>
        <w:rPr>
          <w:rFonts w:ascii="Verdana" w:eastAsia="Times New Roman" w:hAnsi="Verdana" w:cs="Verdana"/>
          <w:b/>
          <w:bCs/>
          <w:caps/>
          <w:snapToGrid w:val="0"/>
          <w:sz w:val="20"/>
          <w:szCs w:val="20"/>
          <w:lang w:val="pt-BR" w:eastAsia="es-ES"/>
        </w:rPr>
      </w:pPr>
    </w:p>
    <w:p w:rsidR="0074017B" w:rsidRPr="003046E3" w:rsidRDefault="0074017B" w:rsidP="00A82FB4">
      <w:pPr>
        <w:spacing w:after="0" w:line="240" w:lineRule="auto"/>
        <w:jc w:val="center"/>
        <w:rPr>
          <w:rFonts w:ascii="Verdana" w:eastAsia="Times New Roman" w:hAnsi="Verdana" w:cs="Verdana"/>
          <w:b/>
          <w:bCs/>
          <w:caps/>
          <w:snapToGrid w:val="0"/>
          <w:sz w:val="20"/>
          <w:szCs w:val="20"/>
          <w:lang w:val="es-AR" w:eastAsia="es-ES"/>
        </w:rPr>
      </w:pPr>
      <w:r w:rsidRPr="003046E3">
        <w:rPr>
          <w:rFonts w:ascii="Verdana" w:eastAsia="Times New Roman" w:hAnsi="Verdana" w:cs="Verdana"/>
          <w:b/>
          <w:bCs/>
          <w:caps/>
          <w:snapToGrid w:val="0"/>
          <w:sz w:val="20"/>
          <w:szCs w:val="20"/>
          <w:lang w:val="pt-BR" w:eastAsia="es-ES"/>
        </w:rPr>
        <w:t xml:space="preserve">CASO FAVELA NOVA BRASILIA </w:t>
      </w:r>
      <w:r w:rsidRPr="003046E3">
        <w:rPr>
          <w:rFonts w:ascii="Verdana" w:eastAsia="Times New Roman" w:hAnsi="Verdana" w:cs="Verdana"/>
          <w:b/>
          <w:bCs/>
          <w:i/>
          <w:caps/>
          <w:snapToGrid w:val="0"/>
          <w:sz w:val="20"/>
          <w:szCs w:val="20"/>
          <w:lang w:val="pt-BR" w:eastAsia="es-ES"/>
        </w:rPr>
        <w:t>VS.</w:t>
      </w:r>
      <w:r w:rsidRPr="003046E3">
        <w:rPr>
          <w:rFonts w:ascii="Verdana" w:eastAsia="Times New Roman" w:hAnsi="Verdana" w:cs="Verdana"/>
          <w:b/>
          <w:bCs/>
          <w:caps/>
          <w:snapToGrid w:val="0"/>
          <w:sz w:val="20"/>
          <w:szCs w:val="20"/>
          <w:lang w:val="pt-BR" w:eastAsia="es-ES"/>
        </w:rPr>
        <w:t xml:space="preserve"> </w:t>
      </w:r>
      <w:r w:rsidRPr="003046E3">
        <w:rPr>
          <w:rFonts w:ascii="Verdana" w:eastAsia="Times New Roman" w:hAnsi="Verdana" w:cs="Verdana"/>
          <w:b/>
          <w:bCs/>
          <w:caps/>
          <w:snapToGrid w:val="0"/>
          <w:sz w:val="20"/>
          <w:szCs w:val="20"/>
          <w:lang w:val="es-AR" w:eastAsia="es-ES"/>
        </w:rPr>
        <w:t>BRASIL</w:t>
      </w:r>
    </w:p>
    <w:p w:rsidR="0074017B" w:rsidRPr="003046E3" w:rsidRDefault="0074017B" w:rsidP="00A82FB4">
      <w:pPr>
        <w:spacing w:after="0" w:line="240" w:lineRule="auto"/>
        <w:jc w:val="center"/>
        <w:rPr>
          <w:rFonts w:ascii="Verdana" w:eastAsia="Times New Roman" w:hAnsi="Verdana" w:cs="Verdana"/>
          <w:b/>
          <w:bCs/>
          <w:snapToGrid w:val="0"/>
          <w:sz w:val="20"/>
          <w:szCs w:val="20"/>
          <w:lang w:val="es-AR" w:eastAsia="es-ES"/>
        </w:rPr>
      </w:pPr>
    </w:p>
    <w:p w:rsidR="0074017B" w:rsidRDefault="0074017B" w:rsidP="00A82FB4">
      <w:pPr>
        <w:spacing w:after="0" w:line="240" w:lineRule="auto"/>
        <w:jc w:val="center"/>
        <w:rPr>
          <w:rFonts w:ascii="Verdana" w:eastAsia="Times New Roman" w:hAnsi="Verdana" w:cs="Verdana"/>
          <w:b/>
          <w:bCs/>
          <w:snapToGrid w:val="0"/>
          <w:sz w:val="20"/>
          <w:szCs w:val="20"/>
          <w:lang w:val="es-AR" w:eastAsia="es-ES"/>
        </w:rPr>
      </w:pPr>
      <w:r w:rsidRPr="003046E3">
        <w:rPr>
          <w:rFonts w:ascii="Verdana" w:eastAsia="Times New Roman" w:hAnsi="Verdana" w:cs="Verdana"/>
          <w:b/>
          <w:bCs/>
          <w:snapToGrid w:val="0"/>
          <w:sz w:val="20"/>
          <w:szCs w:val="20"/>
          <w:lang w:val="es-AR" w:eastAsia="es-ES"/>
        </w:rPr>
        <w:t xml:space="preserve">SENTENCIA DE </w:t>
      </w:r>
      <w:r w:rsidR="00591F77">
        <w:rPr>
          <w:rFonts w:ascii="Verdana" w:eastAsia="Times New Roman" w:hAnsi="Verdana" w:cs="Verdana"/>
          <w:b/>
          <w:bCs/>
          <w:snapToGrid w:val="0"/>
          <w:sz w:val="20"/>
          <w:szCs w:val="20"/>
          <w:lang w:val="es-AR" w:eastAsia="es-ES"/>
        </w:rPr>
        <w:t xml:space="preserve">5 </w:t>
      </w:r>
      <w:r w:rsidR="006209CF">
        <w:rPr>
          <w:rFonts w:ascii="Verdana" w:eastAsia="Times New Roman" w:hAnsi="Verdana" w:cs="Verdana"/>
          <w:b/>
          <w:bCs/>
          <w:snapToGrid w:val="0"/>
          <w:sz w:val="20"/>
          <w:szCs w:val="20"/>
          <w:lang w:val="es-AR" w:eastAsia="es-ES"/>
        </w:rPr>
        <w:t xml:space="preserve">DE </w:t>
      </w:r>
      <w:r w:rsidR="00591F77">
        <w:rPr>
          <w:rFonts w:ascii="Verdana" w:eastAsia="Times New Roman" w:hAnsi="Verdana" w:cs="Verdana"/>
          <w:b/>
          <w:bCs/>
          <w:snapToGrid w:val="0"/>
          <w:sz w:val="20"/>
          <w:szCs w:val="20"/>
          <w:lang w:val="es-AR" w:eastAsia="es-ES"/>
        </w:rPr>
        <w:t xml:space="preserve">FEBRERO </w:t>
      </w:r>
      <w:r w:rsidR="006209CF">
        <w:rPr>
          <w:rFonts w:ascii="Verdana" w:eastAsia="Times New Roman" w:hAnsi="Verdana" w:cs="Verdana"/>
          <w:b/>
          <w:bCs/>
          <w:snapToGrid w:val="0"/>
          <w:sz w:val="20"/>
          <w:szCs w:val="20"/>
          <w:lang w:val="es-AR" w:eastAsia="es-ES"/>
        </w:rPr>
        <w:t>DE 2018</w:t>
      </w:r>
    </w:p>
    <w:p w:rsidR="003046E3" w:rsidRPr="003046E3" w:rsidRDefault="003046E3" w:rsidP="00A82FB4">
      <w:pPr>
        <w:spacing w:after="0" w:line="240" w:lineRule="auto"/>
        <w:jc w:val="center"/>
        <w:rPr>
          <w:rFonts w:ascii="Verdana" w:eastAsia="Times New Roman" w:hAnsi="Verdana"/>
          <w:b/>
          <w:bCs/>
          <w:caps/>
          <w:snapToGrid w:val="0"/>
          <w:sz w:val="20"/>
          <w:szCs w:val="20"/>
          <w:lang w:val="es-AR" w:eastAsia="es-ES"/>
        </w:rPr>
      </w:pPr>
    </w:p>
    <w:p w:rsidR="00753AB6" w:rsidRDefault="0074017B" w:rsidP="00A82FB4">
      <w:pPr>
        <w:spacing w:after="0" w:line="240" w:lineRule="auto"/>
        <w:jc w:val="center"/>
        <w:rPr>
          <w:rFonts w:ascii="Verdana" w:eastAsia="Times New Roman" w:hAnsi="Verdana" w:cs="Verdana"/>
          <w:b/>
          <w:bCs/>
          <w:i/>
          <w:iCs/>
          <w:snapToGrid w:val="0"/>
          <w:sz w:val="20"/>
          <w:szCs w:val="20"/>
          <w:lang w:val="es-PA" w:eastAsia="es-ES"/>
        </w:rPr>
      </w:pPr>
      <w:r w:rsidRPr="004F640F">
        <w:rPr>
          <w:rFonts w:ascii="Verdana" w:eastAsia="Times New Roman" w:hAnsi="Verdana" w:cs="Verdana"/>
          <w:b/>
          <w:bCs/>
          <w:i/>
          <w:iCs/>
          <w:snapToGrid w:val="0"/>
          <w:sz w:val="20"/>
          <w:szCs w:val="20"/>
          <w:lang w:val="es-PA" w:eastAsia="es-ES"/>
        </w:rPr>
        <w:t xml:space="preserve">(Interpretación de la Sentencia de Excepciones Preliminares, </w:t>
      </w:r>
    </w:p>
    <w:p w:rsidR="0074017B" w:rsidRPr="004F640F" w:rsidRDefault="0074017B" w:rsidP="00A82FB4">
      <w:pPr>
        <w:spacing w:after="0" w:line="240" w:lineRule="auto"/>
        <w:jc w:val="center"/>
        <w:rPr>
          <w:rFonts w:ascii="Verdana" w:hAnsi="Verdana"/>
          <w:b/>
          <w:i/>
          <w:caps/>
          <w:snapToGrid w:val="0"/>
          <w:sz w:val="20"/>
          <w:szCs w:val="20"/>
          <w:lang w:val="es-PA"/>
        </w:rPr>
      </w:pPr>
      <w:r w:rsidRPr="004F640F">
        <w:rPr>
          <w:rFonts w:ascii="Verdana" w:eastAsia="Times New Roman" w:hAnsi="Verdana" w:cs="Verdana"/>
          <w:b/>
          <w:bCs/>
          <w:i/>
          <w:iCs/>
          <w:snapToGrid w:val="0"/>
          <w:sz w:val="20"/>
          <w:szCs w:val="20"/>
          <w:lang w:val="es-PA" w:eastAsia="es-ES"/>
        </w:rPr>
        <w:t>Fondo, Reparaciones y Costas</w:t>
      </w:r>
      <w:r w:rsidRPr="004F640F">
        <w:rPr>
          <w:rFonts w:ascii="Verdana" w:hAnsi="Verdana"/>
          <w:b/>
          <w:i/>
          <w:caps/>
          <w:snapToGrid w:val="0"/>
          <w:sz w:val="20"/>
          <w:szCs w:val="20"/>
          <w:lang w:val="es-PA"/>
        </w:rPr>
        <w:t>)</w:t>
      </w:r>
    </w:p>
    <w:p w:rsidR="0074017B" w:rsidRPr="004F640F" w:rsidRDefault="0074017B" w:rsidP="00A82FB4">
      <w:pPr>
        <w:spacing w:after="0" w:line="240" w:lineRule="auto"/>
        <w:jc w:val="center"/>
        <w:rPr>
          <w:rFonts w:ascii="Verdana" w:hAnsi="Verdana"/>
          <w:b/>
          <w:i/>
          <w:caps/>
          <w:snapToGrid w:val="0"/>
          <w:sz w:val="20"/>
          <w:szCs w:val="20"/>
          <w:lang w:val="es-PA"/>
        </w:rPr>
      </w:pPr>
    </w:p>
    <w:p w:rsidR="0074017B" w:rsidRPr="004F640F" w:rsidRDefault="0074017B" w:rsidP="00A82FB4">
      <w:pPr>
        <w:spacing w:after="0" w:line="240" w:lineRule="auto"/>
        <w:jc w:val="center"/>
        <w:rPr>
          <w:rFonts w:ascii="Verdana" w:eastAsia="Times New Roman" w:hAnsi="Verdana"/>
          <w:sz w:val="20"/>
          <w:szCs w:val="20"/>
          <w:lang w:val="es-PA"/>
        </w:rPr>
      </w:pPr>
    </w:p>
    <w:p w:rsidR="0074017B" w:rsidRPr="004F640F" w:rsidRDefault="0074017B" w:rsidP="00A82FB4">
      <w:pPr>
        <w:spacing w:after="0" w:line="240" w:lineRule="auto"/>
        <w:jc w:val="both"/>
        <w:rPr>
          <w:rFonts w:ascii="Verdana" w:eastAsia="Times New Roman" w:hAnsi="Verdana"/>
          <w:sz w:val="20"/>
          <w:szCs w:val="20"/>
          <w:lang w:val="es-PA"/>
        </w:rPr>
      </w:pPr>
    </w:p>
    <w:p w:rsidR="0074017B" w:rsidRPr="004F640F" w:rsidRDefault="0074017B" w:rsidP="00A82FB4">
      <w:pPr>
        <w:spacing w:after="0" w:line="240" w:lineRule="auto"/>
        <w:jc w:val="both"/>
        <w:rPr>
          <w:rFonts w:ascii="Verdana" w:hAnsi="Verdana"/>
          <w:sz w:val="20"/>
          <w:szCs w:val="20"/>
          <w:lang w:val="es-PA"/>
        </w:rPr>
      </w:pPr>
      <w:r w:rsidRPr="004F640F">
        <w:rPr>
          <w:rFonts w:ascii="Verdana" w:hAnsi="Verdana"/>
          <w:sz w:val="20"/>
          <w:szCs w:val="20"/>
          <w:lang w:val="es-PA"/>
        </w:rPr>
        <w:t xml:space="preserve">En el caso </w:t>
      </w:r>
      <w:r>
        <w:rPr>
          <w:rFonts w:ascii="Verdana" w:hAnsi="Verdana"/>
          <w:i/>
          <w:sz w:val="20"/>
          <w:szCs w:val="20"/>
          <w:lang w:val="es-PA"/>
        </w:rPr>
        <w:t>Favela Nova Brasilia</w:t>
      </w:r>
      <w:r w:rsidRPr="004F640F">
        <w:rPr>
          <w:rFonts w:ascii="Verdana" w:hAnsi="Verdana"/>
          <w:sz w:val="20"/>
          <w:szCs w:val="20"/>
          <w:lang w:val="es-PA"/>
        </w:rPr>
        <w:t>,</w:t>
      </w:r>
    </w:p>
    <w:p w:rsidR="0074017B" w:rsidRPr="004F640F" w:rsidRDefault="0074017B" w:rsidP="00A82FB4">
      <w:pPr>
        <w:spacing w:after="0" w:line="240" w:lineRule="auto"/>
        <w:jc w:val="both"/>
        <w:rPr>
          <w:rFonts w:ascii="Verdana" w:hAnsi="Verdana"/>
          <w:sz w:val="20"/>
          <w:szCs w:val="20"/>
          <w:lang w:val="es-PA"/>
        </w:rPr>
      </w:pPr>
    </w:p>
    <w:p w:rsidR="0074017B" w:rsidRPr="004F640F" w:rsidRDefault="0074017B" w:rsidP="00A82FB4">
      <w:pPr>
        <w:spacing w:after="0" w:line="240" w:lineRule="auto"/>
        <w:jc w:val="both"/>
        <w:rPr>
          <w:rFonts w:ascii="Verdana" w:hAnsi="Verdana"/>
          <w:sz w:val="20"/>
          <w:szCs w:val="20"/>
          <w:lang w:val="es-PA"/>
        </w:rPr>
      </w:pPr>
      <w:r w:rsidRPr="004F640F">
        <w:rPr>
          <w:rFonts w:ascii="Verdana" w:hAnsi="Verdana"/>
          <w:sz w:val="20"/>
          <w:szCs w:val="20"/>
          <w:lang w:val="es-PA"/>
        </w:rPr>
        <w:t>la Corte Interamericana de Derechos Humanos (en adelante “la Corte Interamericana”, “la Corte” o “el Tribunal”), integrada por los siguientes jueces</w:t>
      </w:r>
      <w:r w:rsidRPr="004F640F">
        <w:rPr>
          <w:rStyle w:val="FootnoteReference"/>
          <w:lang w:val="es-PA"/>
        </w:rPr>
        <w:footnoteReference w:id="1"/>
      </w:r>
      <w:r w:rsidRPr="004F640F">
        <w:rPr>
          <w:rFonts w:ascii="Verdana" w:hAnsi="Verdana"/>
          <w:sz w:val="20"/>
          <w:szCs w:val="20"/>
          <w:lang w:val="es-PA"/>
        </w:rPr>
        <w:t>:</w:t>
      </w:r>
    </w:p>
    <w:p w:rsidR="0074017B" w:rsidRPr="003046E3" w:rsidRDefault="0074017B" w:rsidP="00A82FB4">
      <w:pPr>
        <w:spacing w:after="0" w:line="240" w:lineRule="auto"/>
        <w:jc w:val="both"/>
        <w:rPr>
          <w:rFonts w:ascii="Verdana" w:hAnsi="Verdana"/>
          <w:color w:val="00B0F0"/>
          <w:sz w:val="20"/>
          <w:szCs w:val="20"/>
          <w:lang w:val="es-PA"/>
        </w:rPr>
      </w:pPr>
    </w:p>
    <w:p w:rsidR="0074017B" w:rsidRPr="003046E3" w:rsidRDefault="0074017B" w:rsidP="00A82FB4">
      <w:pPr>
        <w:spacing w:after="0" w:line="240" w:lineRule="auto"/>
        <w:jc w:val="both"/>
        <w:rPr>
          <w:rFonts w:ascii="Verdana" w:hAnsi="Verdana"/>
          <w:sz w:val="20"/>
          <w:szCs w:val="20"/>
          <w:lang w:val="pt-BR"/>
        </w:rPr>
      </w:pPr>
      <w:r w:rsidRPr="003046E3">
        <w:rPr>
          <w:rFonts w:ascii="Verdana" w:hAnsi="Verdana"/>
          <w:sz w:val="20"/>
          <w:szCs w:val="20"/>
          <w:lang w:val="pt-BR"/>
        </w:rPr>
        <w:t>Eduardo Ferrer Mac-Gregor Poisot, Presidente;</w:t>
      </w:r>
    </w:p>
    <w:p w:rsidR="0074017B" w:rsidRPr="00A743B3" w:rsidRDefault="0074017B" w:rsidP="00A82FB4">
      <w:pPr>
        <w:spacing w:after="0" w:line="240" w:lineRule="auto"/>
        <w:jc w:val="both"/>
        <w:rPr>
          <w:rFonts w:ascii="Verdana" w:hAnsi="Verdana"/>
          <w:sz w:val="20"/>
          <w:szCs w:val="20"/>
          <w:lang w:val="es-PA"/>
        </w:rPr>
      </w:pPr>
      <w:r w:rsidRPr="0049492F">
        <w:rPr>
          <w:rFonts w:ascii="Verdana" w:hAnsi="Verdana"/>
          <w:sz w:val="20"/>
          <w:szCs w:val="20"/>
          <w:lang w:val="es-PA"/>
        </w:rPr>
        <w:t>Eduardo Vio Grossi, Vicepresidente</w:t>
      </w:r>
      <w:r w:rsidRPr="0085449E">
        <w:rPr>
          <w:rFonts w:ascii="Verdana" w:hAnsi="Verdana"/>
          <w:sz w:val="20"/>
          <w:szCs w:val="20"/>
          <w:lang w:val="es-PA"/>
        </w:rPr>
        <w:t>;</w:t>
      </w:r>
    </w:p>
    <w:p w:rsidR="0074017B" w:rsidRPr="00A743B3" w:rsidRDefault="0074017B" w:rsidP="00A82FB4">
      <w:pPr>
        <w:spacing w:after="0" w:line="240" w:lineRule="auto"/>
        <w:jc w:val="both"/>
        <w:rPr>
          <w:rFonts w:ascii="Verdana" w:hAnsi="Verdana"/>
          <w:sz w:val="20"/>
          <w:szCs w:val="20"/>
          <w:lang w:val="es-PA"/>
        </w:rPr>
      </w:pPr>
      <w:r w:rsidRPr="00A743B3">
        <w:rPr>
          <w:rFonts w:ascii="Verdana" w:hAnsi="Verdana"/>
          <w:sz w:val="20"/>
          <w:szCs w:val="20"/>
          <w:lang w:val="es-PA"/>
        </w:rPr>
        <w:t>Humberto Antonio Sierra Porto, Juez;</w:t>
      </w:r>
    </w:p>
    <w:p w:rsidR="0074017B" w:rsidRPr="00F80CA4" w:rsidRDefault="0074017B" w:rsidP="00A82FB4">
      <w:pPr>
        <w:spacing w:after="0" w:line="240" w:lineRule="auto"/>
        <w:jc w:val="both"/>
        <w:rPr>
          <w:rFonts w:ascii="Verdana" w:hAnsi="Verdana"/>
          <w:sz w:val="20"/>
          <w:szCs w:val="20"/>
          <w:lang w:val="es-PA"/>
        </w:rPr>
      </w:pPr>
      <w:r w:rsidRPr="00F80CA4">
        <w:rPr>
          <w:rFonts w:ascii="Verdana" w:hAnsi="Verdana"/>
          <w:sz w:val="20"/>
          <w:szCs w:val="20"/>
          <w:lang w:val="es-PA"/>
        </w:rPr>
        <w:t>Elizabeth Odio Benito, Jueza;</w:t>
      </w:r>
    </w:p>
    <w:p w:rsidR="0074017B" w:rsidRPr="003F1D25" w:rsidRDefault="0074017B" w:rsidP="00A82FB4">
      <w:pPr>
        <w:spacing w:after="0" w:line="240" w:lineRule="auto"/>
        <w:jc w:val="both"/>
        <w:rPr>
          <w:rFonts w:ascii="Verdana" w:hAnsi="Verdana"/>
          <w:sz w:val="20"/>
          <w:szCs w:val="20"/>
          <w:lang w:val="es-PA"/>
        </w:rPr>
      </w:pPr>
      <w:r w:rsidRPr="00F80CA4">
        <w:rPr>
          <w:rFonts w:ascii="Verdana" w:hAnsi="Verdana"/>
          <w:sz w:val="20"/>
          <w:szCs w:val="20"/>
          <w:lang w:val="es-PA"/>
        </w:rPr>
        <w:t>Eugenio Raúl Zaffaroni, Juez, y</w:t>
      </w:r>
    </w:p>
    <w:p w:rsidR="0074017B" w:rsidRPr="005808E2" w:rsidRDefault="0074017B" w:rsidP="00A82FB4">
      <w:pPr>
        <w:spacing w:after="0" w:line="240" w:lineRule="auto"/>
        <w:jc w:val="both"/>
        <w:rPr>
          <w:rFonts w:ascii="Verdana" w:hAnsi="Verdana"/>
          <w:sz w:val="20"/>
          <w:szCs w:val="20"/>
          <w:lang w:val="es-PA"/>
        </w:rPr>
      </w:pPr>
      <w:r w:rsidRPr="005808E2">
        <w:rPr>
          <w:rFonts w:ascii="Verdana" w:hAnsi="Verdana"/>
          <w:sz w:val="20"/>
          <w:szCs w:val="20"/>
          <w:lang w:val="es-PA"/>
        </w:rPr>
        <w:t xml:space="preserve">L. Patricio Pazmiño Freire, Juez; </w:t>
      </w:r>
    </w:p>
    <w:p w:rsidR="0074017B" w:rsidRPr="005808E2" w:rsidRDefault="0074017B" w:rsidP="00A82FB4">
      <w:pPr>
        <w:spacing w:after="0" w:line="240" w:lineRule="auto"/>
        <w:jc w:val="both"/>
        <w:rPr>
          <w:rFonts w:ascii="Verdana" w:hAnsi="Verdana"/>
          <w:sz w:val="20"/>
          <w:szCs w:val="20"/>
          <w:lang w:val="es-PA"/>
        </w:rPr>
      </w:pPr>
    </w:p>
    <w:p w:rsidR="0074017B" w:rsidRPr="005808E2" w:rsidRDefault="0074017B" w:rsidP="00A82FB4">
      <w:pPr>
        <w:spacing w:after="0" w:line="240" w:lineRule="auto"/>
        <w:jc w:val="both"/>
        <w:rPr>
          <w:rFonts w:ascii="Verdana" w:hAnsi="Verdana"/>
          <w:sz w:val="20"/>
          <w:szCs w:val="20"/>
          <w:lang w:val="es-PA"/>
        </w:rPr>
      </w:pPr>
      <w:r w:rsidRPr="005808E2">
        <w:rPr>
          <w:rFonts w:ascii="Verdana" w:hAnsi="Verdana"/>
          <w:sz w:val="20"/>
          <w:szCs w:val="20"/>
          <w:lang w:val="es-PA"/>
        </w:rPr>
        <w:t>presente</w:t>
      </w:r>
      <w:r w:rsidR="006E3A35">
        <w:rPr>
          <w:rFonts w:ascii="Verdana" w:hAnsi="Verdana"/>
          <w:sz w:val="20"/>
          <w:szCs w:val="20"/>
          <w:lang w:val="es-PA"/>
        </w:rPr>
        <w:t>s</w:t>
      </w:r>
      <w:r w:rsidRPr="005808E2">
        <w:rPr>
          <w:rFonts w:ascii="Verdana" w:hAnsi="Verdana"/>
          <w:sz w:val="20"/>
          <w:szCs w:val="20"/>
          <w:lang w:val="es-PA"/>
        </w:rPr>
        <w:t xml:space="preserve">, además, </w:t>
      </w:r>
    </w:p>
    <w:p w:rsidR="0074017B" w:rsidRPr="005808E2" w:rsidRDefault="0074017B" w:rsidP="00A82FB4">
      <w:pPr>
        <w:spacing w:after="0" w:line="240" w:lineRule="auto"/>
        <w:jc w:val="both"/>
        <w:rPr>
          <w:rFonts w:ascii="Verdana" w:hAnsi="Verdana"/>
          <w:sz w:val="20"/>
          <w:szCs w:val="20"/>
          <w:lang w:val="es-PA"/>
        </w:rPr>
      </w:pPr>
    </w:p>
    <w:p w:rsidR="003046E3" w:rsidRDefault="0074017B" w:rsidP="00A82FB4">
      <w:pPr>
        <w:spacing w:after="0" w:line="240" w:lineRule="auto"/>
        <w:jc w:val="both"/>
        <w:rPr>
          <w:rFonts w:ascii="Verdana" w:hAnsi="Verdana"/>
          <w:sz w:val="20"/>
          <w:szCs w:val="20"/>
          <w:lang w:val="es-PA"/>
        </w:rPr>
      </w:pPr>
      <w:r w:rsidRPr="005808E2">
        <w:rPr>
          <w:rFonts w:ascii="Verdana" w:hAnsi="Verdana"/>
          <w:sz w:val="20"/>
          <w:szCs w:val="20"/>
          <w:lang w:val="es-PA"/>
        </w:rPr>
        <w:t>Pablo Saavedra Alessandri, Secretario,</w:t>
      </w:r>
      <w:r w:rsidR="003046E3">
        <w:rPr>
          <w:rFonts w:ascii="Verdana" w:hAnsi="Verdana"/>
          <w:sz w:val="20"/>
          <w:szCs w:val="20"/>
          <w:lang w:val="es-PA"/>
        </w:rPr>
        <w:t xml:space="preserve"> y </w:t>
      </w:r>
    </w:p>
    <w:p w:rsidR="003046E3" w:rsidRPr="0049492F" w:rsidRDefault="003046E3" w:rsidP="00A82FB4">
      <w:pPr>
        <w:spacing w:after="0" w:line="240" w:lineRule="auto"/>
        <w:jc w:val="both"/>
        <w:rPr>
          <w:rFonts w:ascii="Verdana" w:hAnsi="Verdana"/>
          <w:sz w:val="20"/>
          <w:szCs w:val="20"/>
          <w:lang w:val="es-PA"/>
        </w:rPr>
      </w:pPr>
      <w:r>
        <w:rPr>
          <w:rFonts w:ascii="Verdana" w:hAnsi="Verdana"/>
          <w:sz w:val="20"/>
          <w:szCs w:val="20"/>
          <w:lang w:val="es-PA"/>
        </w:rPr>
        <w:t>Emilia Segares Rodríguez, Secretaria Adjunta,</w:t>
      </w:r>
    </w:p>
    <w:p w:rsidR="0074017B" w:rsidRPr="003046E3" w:rsidRDefault="0074017B" w:rsidP="00A82FB4">
      <w:pPr>
        <w:spacing w:after="0" w:line="240" w:lineRule="auto"/>
        <w:jc w:val="both"/>
        <w:rPr>
          <w:rFonts w:ascii="Verdana" w:hAnsi="Verdana"/>
          <w:color w:val="00B0F0"/>
          <w:sz w:val="20"/>
          <w:szCs w:val="20"/>
          <w:lang w:val="es-PA"/>
        </w:rPr>
      </w:pPr>
    </w:p>
    <w:p w:rsidR="0074017B" w:rsidRPr="004F640F" w:rsidRDefault="0074017B" w:rsidP="00A82FB4">
      <w:pPr>
        <w:spacing w:after="0" w:line="240" w:lineRule="auto"/>
        <w:jc w:val="both"/>
        <w:rPr>
          <w:rFonts w:ascii="Verdana" w:hAnsi="Verdana"/>
          <w:sz w:val="20"/>
          <w:szCs w:val="20"/>
          <w:lang w:val="es-PA"/>
        </w:rPr>
      </w:pPr>
      <w:r w:rsidRPr="004F640F">
        <w:rPr>
          <w:rFonts w:ascii="Verdana" w:hAnsi="Verdana"/>
          <w:sz w:val="20"/>
          <w:szCs w:val="20"/>
          <w:lang w:val="es-PA"/>
        </w:rPr>
        <w:t xml:space="preserve">de conformidad con el artículo 67 da Convención Americana sobre Derechos Humanos (en adelante “la Convención Americana” o “la Convención”) y el artículo </w:t>
      </w:r>
      <w:r>
        <w:rPr>
          <w:rFonts w:ascii="Verdana" w:hAnsi="Verdana"/>
          <w:sz w:val="20"/>
          <w:szCs w:val="20"/>
          <w:lang w:val="es-PA"/>
        </w:rPr>
        <w:t>68</w:t>
      </w:r>
      <w:r w:rsidRPr="004F640F">
        <w:rPr>
          <w:rFonts w:ascii="Verdana" w:hAnsi="Verdana"/>
          <w:sz w:val="20"/>
          <w:szCs w:val="20"/>
          <w:lang w:val="es-PA"/>
        </w:rPr>
        <w:t xml:space="preserve"> del Reglamento de la Corte (en adelante “el Reglamento”), resuelve la</w:t>
      </w:r>
      <w:r w:rsidR="003046E3">
        <w:rPr>
          <w:rFonts w:ascii="Verdana" w:hAnsi="Verdana"/>
          <w:sz w:val="20"/>
          <w:szCs w:val="20"/>
          <w:lang w:val="es-PA"/>
        </w:rPr>
        <w:t>s</w:t>
      </w:r>
      <w:r w:rsidRPr="004F640F">
        <w:rPr>
          <w:rFonts w:ascii="Verdana" w:hAnsi="Verdana"/>
          <w:sz w:val="20"/>
          <w:szCs w:val="20"/>
          <w:lang w:val="es-PA"/>
        </w:rPr>
        <w:t xml:space="preserve"> </w:t>
      </w:r>
      <w:r>
        <w:rPr>
          <w:rFonts w:ascii="Verdana" w:hAnsi="Verdana"/>
          <w:sz w:val="20"/>
          <w:szCs w:val="20"/>
          <w:lang w:val="es-PA"/>
        </w:rPr>
        <w:t>solicitud</w:t>
      </w:r>
      <w:r w:rsidR="003046E3">
        <w:rPr>
          <w:rFonts w:ascii="Verdana" w:hAnsi="Verdana"/>
          <w:sz w:val="20"/>
          <w:szCs w:val="20"/>
          <w:lang w:val="es-PA"/>
        </w:rPr>
        <w:t>es</w:t>
      </w:r>
      <w:r w:rsidRPr="004F640F">
        <w:rPr>
          <w:rFonts w:ascii="Verdana" w:hAnsi="Verdana"/>
          <w:sz w:val="20"/>
          <w:szCs w:val="20"/>
          <w:lang w:val="es-PA"/>
        </w:rPr>
        <w:t xml:space="preserve"> de interpretación de la Sentencia de excepciones preliminares, fondo, reparaciones y costas </w:t>
      </w:r>
      <w:r>
        <w:rPr>
          <w:rFonts w:ascii="Verdana" w:hAnsi="Verdana"/>
          <w:sz w:val="20"/>
          <w:szCs w:val="20"/>
          <w:lang w:val="es-PA"/>
        </w:rPr>
        <w:t>emitida</w:t>
      </w:r>
      <w:r w:rsidRPr="004F640F">
        <w:rPr>
          <w:rFonts w:ascii="Verdana" w:hAnsi="Verdana"/>
          <w:sz w:val="20"/>
          <w:szCs w:val="20"/>
          <w:lang w:val="es-PA"/>
        </w:rPr>
        <w:t xml:space="preserve"> por el Tribunal el </w:t>
      </w:r>
      <w:r w:rsidR="00591F77">
        <w:rPr>
          <w:rFonts w:ascii="Verdana" w:hAnsi="Verdana"/>
          <w:sz w:val="20"/>
          <w:szCs w:val="20"/>
          <w:lang w:val="es-PA"/>
        </w:rPr>
        <w:t xml:space="preserve">16 de febrero de 2017 </w:t>
      </w:r>
      <w:r w:rsidRPr="004F640F">
        <w:rPr>
          <w:rFonts w:ascii="Verdana" w:hAnsi="Verdana"/>
          <w:sz w:val="20"/>
          <w:szCs w:val="20"/>
          <w:lang w:val="es-PA"/>
        </w:rPr>
        <w:t xml:space="preserve"> en el presente caso (en adelante “la Sentencia”)</w:t>
      </w:r>
      <w:r>
        <w:rPr>
          <w:rFonts w:ascii="Verdana" w:hAnsi="Verdana"/>
          <w:sz w:val="20"/>
          <w:szCs w:val="20"/>
          <w:lang w:val="es-PA"/>
        </w:rPr>
        <w:t>,</w:t>
      </w:r>
      <w:r w:rsidRPr="004F640F">
        <w:rPr>
          <w:rFonts w:ascii="Verdana" w:hAnsi="Verdana"/>
          <w:sz w:val="20"/>
          <w:szCs w:val="20"/>
          <w:lang w:val="es-PA"/>
        </w:rPr>
        <w:t xml:space="preserve"> interpuesta</w:t>
      </w:r>
      <w:r w:rsidR="003046E3">
        <w:rPr>
          <w:rFonts w:ascii="Verdana" w:hAnsi="Verdana"/>
          <w:sz w:val="20"/>
          <w:szCs w:val="20"/>
          <w:lang w:val="es-PA"/>
        </w:rPr>
        <w:t>s</w:t>
      </w:r>
      <w:r w:rsidRPr="004F640F">
        <w:rPr>
          <w:rFonts w:ascii="Verdana" w:hAnsi="Verdana"/>
          <w:sz w:val="20"/>
          <w:szCs w:val="20"/>
          <w:lang w:val="es-PA"/>
        </w:rPr>
        <w:t xml:space="preserve"> el</w:t>
      </w:r>
      <w:r w:rsidR="003046E3">
        <w:rPr>
          <w:rFonts w:ascii="Verdana" w:hAnsi="Verdana"/>
          <w:sz w:val="20"/>
          <w:szCs w:val="20"/>
          <w:lang w:val="es-PA"/>
        </w:rPr>
        <w:t xml:space="preserve"> 9 de agosto y el 14 de agosto</w:t>
      </w:r>
      <w:r w:rsidRPr="004F640F">
        <w:rPr>
          <w:rFonts w:ascii="Verdana" w:hAnsi="Verdana"/>
          <w:sz w:val="20"/>
          <w:szCs w:val="20"/>
          <w:lang w:val="es-PA"/>
        </w:rPr>
        <w:t xml:space="preserve"> de 2017</w:t>
      </w:r>
      <w:r w:rsidR="003046E3">
        <w:rPr>
          <w:rFonts w:ascii="Verdana" w:hAnsi="Verdana"/>
          <w:sz w:val="20"/>
          <w:szCs w:val="20"/>
          <w:lang w:val="es-PA"/>
        </w:rPr>
        <w:t>, respectivamente,</w:t>
      </w:r>
      <w:r w:rsidRPr="004F640F">
        <w:rPr>
          <w:rFonts w:ascii="Verdana" w:hAnsi="Verdana"/>
          <w:sz w:val="20"/>
          <w:szCs w:val="20"/>
          <w:lang w:val="es-PA"/>
        </w:rPr>
        <w:t xml:space="preserve"> por </w:t>
      </w:r>
      <w:r w:rsidR="003046E3">
        <w:rPr>
          <w:rFonts w:ascii="Verdana" w:hAnsi="Verdana"/>
          <w:sz w:val="20"/>
          <w:szCs w:val="20"/>
          <w:lang w:val="es-PA"/>
        </w:rPr>
        <w:t xml:space="preserve">los representantes de las víctimas (en adelante “los representantes”) y </w:t>
      </w:r>
      <w:r w:rsidRPr="004F640F">
        <w:rPr>
          <w:rFonts w:ascii="Verdana" w:hAnsi="Verdana"/>
          <w:sz w:val="20"/>
          <w:szCs w:val="20"/>
          <w:lang w:val="es-PA"/>
        </w:rPr>
        <w:t>la República Federativa de Brasil (en adelante el “Estado” o “Brasil”).</w:t>
      </w:r>
    </w:p>
    <w:p w:rsidR="0074017B" w:rsidRPr="00F740CD" w:rsidRDefault="0074017B" w:rsidP="00A82FB4">
      <w:pPr>
        <w:autoSpaceDE w:val="0"/>
        <w:autoSpaceDN w:val="0"/>
        <w:adjustRightInd w:val="0"/>
        <w:jc w:val="both"/>
        <w:rPr>
          <w:rFonts w:cs="Verdana"/>
          <w:b/>
          <w:lang w:val="es-CR"/>
        </w:rPr>
      </w:pPr>
      <w:r w:rsidRPr="004F640F">
        <w:rPr>
          <w:rFonts w:ascii="Verdana" w:hAnsi="Verdana"/>
          <w:sz w:val="20"/>
          <w:szCs w:val="20"/>
          <w:lang w:val="es-PA"/>
        </w:rPr>
        <w:br w:type="page"/>
      </w:r>
    </w:p>
    <w:p w:rsidR="0074017B" w:rsidRPr="004F640F" w:rsidRDefault="0074017B" w:rsidP="00A82FB4">
      <w:pPr>
        <w:pStyle w:val="Heading1"/>
        <w:tabs>
          <w:tab w:val="clear" w:pos="567"/>
        </w:tabs>
        <w:rPr>
          <w:lang w:val="es-PA"/>
        </w:rPr>
      </w:pPr>
      <w:r w:rsidRPr="004F640F">
        <w:rPr>
          <w:lang w:val="es-PA"/>
        </w:rPr>
        <w:lastRenderedPageBreak/>
        <w:t>I</w:t>
      </w:r>
    </w:p>
    <w:p w:rsidR="0074017B" w:rsidRPr="004F640F" w:rsidRDefault="0074017B" w:rsidP="00A82FB4">
      <w:pPr>
        <w:autoSpaceDE w:val="0"/>
        <w:autoSpaceDN w:val="0"/>
        <w:adjustRightInd w:val="0"/>
        <w:spacing w:after="0" w:line="240" w:lineRule="auto"/>
        <w:jc w:val="center"/>
        <w:rPr>
          <w:rFonts w:ascii="Verdana" w:eastAsia="Times" w:hAnsi="Verdana"/>
          <w:sz w:val="20"/>
          <w:szCs w:val="20"/>
          <w:lang w:val="es-PA" w:eastAsia="es-ES"/>
        </w:rPr>
      </w:pPr>
      <w:r w:rsidRPr="004F640F">
        <w:rPr>
          <w:rFonts w:ascii="Verdana" w:hAnsi="Verdana" w:cs="Verdana"/>
          <w:b/>
          <w:bCs/>
          <w:sz w:val="20"/>
          <w:szCs w:val="20"/>
          <w:lang w:val="es-PA"/>
        </w:rPr>
        <w:t xml:space="preserve">PRESENTACIÓN </w:t>
      </w:r>
      <w:r>
        <w:rPr>
          <w:rFonts w:ascii="Verdana" w:hAnsi="Verdana" w:cs="Verdana"/>
          <w:b/>
          <w:bCs/>
          <w:sz w:val="20"/>
          <w:szCs w:val="20"/>
          <w:lang w:val="es-PA"/>
        </w:rPr>
        <w:t>DE LA SOLICITUD</w:t>
      </w:r>
      <w:r w:rsidRPr="004F640F">
        <w:rPr>
          <w:rFonts w:ascii="Verdana" w:hAnsi="Verdana" w:cs="Verdana"/>
          <w:b/>
          <w:bCs/>
          <w:sz w:val="20"/>
          <w:szCs w:val="20"/>
          <w:lang w:val="es-PA"/>
        </w:rPr>
        <w:t xml:space="preserve"> DE INTERPRETACIÓN Y PROCEDIMIENTO ANTE LA CORTE </w:t>
      </w:r>
    </w:p>
    <w:p w:rsidR="0074017B" w:rsidRPr="004F640F" w:rsidRDefault="0074017B" w:rsidP="00A82FB4">
      <w:pPr>
        <w:spacing w:after="0" w:line="240" w:lineRule="auto"/>
        <w:jc w:val="both"/>
        <w:rPr>
          <w:rFonts w:ascii="Verdana" w:eastAsia="Times" w:hAnsi="Verdana"/>
          <w:sz w:val="20"/>
          <w:szCs w:val="20"/>
          <w:lang w:val="es-PA"/>
        </w:rPr>
      </w:pPr>
    </w:p>
    <w:p w:rsidR="0074017B" w:rsidRPr="001D5CB5"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4F640F">
        <w:rPr>
          <w:rFonts w:ascii="Verdana" w:hAnsi="Verdana" w:cs="Verdana"/>
          <w:sz w:val="20"/>
          <w:szCs w:val="20"/>
          <w:lang w:val="es-PA"/>
        </w:rPr>
        <w:t>E</w:t>
      </w:r>
      <w:r>
        <w:rPr>
          <w:rFonts w:ascii="Verdana" w:hAnsi="Verdana" w:cs="Verdana"/>
          <w:sz w:val="20"/>
          <w:szCs w:val="20"/>
          <w:lang w:val="es-PA"/>
        </w:rPr>
        <w:t>l 16 de febrero de 2017</w:t>
      </w:r>
      <w:r w:rsidRPr="004F640F">
        <w:rPr>
          <w:rFonts w:ascii="Verdana" w:hAnsi="Verdana" w:cs="Verdana"/>
          <w:sz w:val="20"/>
          <w:szCs w:val="20"/>
          <w:lang w:val="es-PA"/>
        </w:rPr>
        <w:t xml:space="preserve"> la Corte </w:t>
      </w:r>
      <w:r>
        <w:rPr>
          <w:rFonts w:ascii="Verdana" w:hAnsi="Verdana" w:cs="Verdana"/>
          <w:sz w:val="20"/>
          <w:szCs w:val="20"/>
          <w:lang w:val="es-PA"/>
        </w:rPr>
        <w:t>emitió</w:t>
      </w:r>
      <w:r w:rsidRPr="004F640F">
        <w:rPr>
          <w:rFonts w:ascii="Verdana" w:hAnsi="Verdana" w:cs="Verdana"/>
          <w:sz w:val="20"/>
          <w:szCs w:val="20"/>
          <w:lang w:val="es-PA"/>
        </w:rPr>
        <w:t xml:space="preserve"> la Sentencia</w:t>
      </w:r>
      <w:r>
        <w:rPr>
          <w:rFonts w:ascii="Verdana" w:hAnsi="Verdana" w:cs="Verdana"/>
          <w:sz w:val="20"/>
          <w:szCs w:val="20"/>
          <w:lang w:val="es-PA"/>
        </w:rPr>
        <w:t xml:space="preserve"> </w:t>
      </w:r>
      <w:r w:rsidRPr="004F640F">
        <w:rPr>
          <w:rFonts w:ascii="Verdana" w:hAnsi="Verdana"/>
          <w:sz w:val="20"/>
          <w:szCs w:val="20"/>
          <w:lang w:val="es-PA"/>
        </w:rPr>
        <w:t xml:space="preserve">de excepciones </w:t>
      </w:r>
      <w:r w:rsidRPr="001D5CB5">
        <w:rPr>
          <w:rFonts w:ascii="Verdana" w:hAnsi="Verdana"/>
          <w:sz w:val="20"/>
          <w:szCs w:val="20"/>
          <w:lang w:val="es-PA"/>
        </w:rPr>
        <w:t>preliminares, fondo, reparaciones y costas</w:t>
      </w:r>
      <w:r w:rsidRPr="00094605">
        <w:rPr>
          <w:rFonts w:ascii="Verdana" w:hAnsi="Verdana" w:cs="Verdana"/>
          <w:sz w:val="20"/>
          <w:szCs w:val="20"/>
          <w:shd w:val="clear" w:color="auto" w:fill="FFFFFF" w:themeFill="background1"/>
          <w:lang w:val="es-PA"/>
        </w:rPr>
        <w:t xml:space="preserve">, de </w:t>
      </w:r>
      <w:r w:rsidRPr="001D5CB5">
        <w:rPr>
          <w:rFonts w:ascii="Verdana" w:hAnsi="Verdana" w:cs="Verdana"/>
          <w:sz w:val="20"/>
          <w:szCs w:val="20"/>
          <w:lang w:val="es-PA"/>
        </w:rPr>
        <w:t xml:space="preserve">la cual fueron notificadas las partes y la Comisión Interamericana de Derechos Humanos (en adelante “Comisión Interamericana” o “Comisión”) </w:t>
      </w:r>
      <w:r w:rsidRPr="00094605">
        <w:rPr>
          <w:rFonts w:ascii="Verdana" w:hAnsi="Verdana" w:cs="Verdana"/>
          <w:sz w:val="20"/>
          <w:szCs w:val="20"/>
          <w:lang w:val="es-PA"/>
        </w:rPr>
        <w:t xml:space="preserve">el </w:t>
      </w:r>
      <w:r w:rsidR="00E1366A" w:rsidRPr="00094605">
        <w:rPr>
          <w:rFonts w:ascii="Verdana" w:hAnsi="Verdana" w:cs="Verdana"/>
          <w:sz w:val="20"/>
          <w:szCs w:val="20"/>
          <w:lang w:val="es-PA"/>
        </w:rPr>
        <w:t xml:space="preserve">12 de mayo </w:t>
      </w:r>
      <w:r w:rsidR="00407CB3" w:rsidRPr="00094605">
        <w:rPr>
          <w:rFonts w:ascii="Verdana" w:hAnsi="Verdana" w:cs="Verdana"/>
          <w:sz w:val="20"/>
          <w:szCs w:val="20"/>
          <w:lang w:val="es-PA"/>
        </w:rPr>
        <w:t xml:space="preserve">de 2017. </w:t>
      </w:r>
    </w:p>
    <w:p w:rsidR="0074017B" w:rsidRDefault="0074017B" w:rsidP="00A82FB4">
      <w:pPr>
        <w:autoSpaceDE w:val="0"/>
        <w:autoSpaceDN w:val="0"/>
        <w:adjustRightInd w:val="0"/>
        <w:spacing w:after="0" w:line="240" w:lineRule="auto"/>
        <w:jc w:val="both"/>
        <w:rPr>
          <w:rFonts w:ascii="Verdana" w:hAnsi="Verdana" w:cs="Verdana"/>
          <w:sz w:val="20"/>
          <w:szCs w:val="20"/>
          <w:lang w:val="es-PA"/>
        </w:rPr>
      </w:pPr>
    </w:p>
    <w:p w:rsidR="0074017B" w:rsidRPr="004F640F"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Pr>
          <w:rFonts w:ascii="Verdana" w:hAnsi="Verdana" w:cs="Verdana"/>
          <w:sz w:val="20"/>
          <w:szCs w:val="20"/>
          <w:lang w:val="es-PA"/>
        </w:rPr>
        <w:t xml:space="preserve">El 9 de </w:t>
      </w:r>
      <w:r w:rsidR="008A2A90">
        <w:rPr>
          <w:rFonts w:ascii="Verdana" w:hAnsi="Verdana" w:cs="Verdana"/>
          <w:sz w:val="20"/>
          <w:szCs w:val="20"/>
          <w:lang w:val="es-PA"/>
        </w:rPr>
        <w:t>a</w:t>
      </w:r>
      <w:r>
        <w:rPr>
          <w:rFonts w:ascii="Verdana" w:hAnsi="Verdana" w:cs="Verdana"/>
          <w:sz w:val="20"/>
          <w:szCs w:val="20"/>
          <w:lang w:val="es-PA"/>
        </w:rPr>
        <w:t>gosto de 2017 los representantes presentaron una solicitud de interpretación de sentencia de conformidad con los artículos 67 de la Convención y 68 del Reglamento, sobre el alcance del párrafo 292.b</w:t>
      </w:r>
      <w:r w:rsidR="00E50131">
        <w:rPr>
          <w:rFonts w:ascii="Verdana" w:hAnsi="Verdana" w:cs="Verdana"/>
          <w:sz w:val="20"/>
          <w:szCs w:val="20"/>
          <w:lang w:val="es-PA"/>
        </w:rPr>
        <w:t xml:space="preserve"> de la </w:t>
      </w:r>
      <w:r w:rsidR="009419AC">
        <w:rPr>
          <w:rFonts w:ascii="Verdana" w:hAnsi="Verdana" w:cs="Verdana"/>
          <w:sz w:val="20"/>
          <w:szCs w:val="20"/>
          <w:lang w:val="es-PA"/>
        </w:rPr>
        <w:t>S</w:t>
      </w:r>
      <w:r w:rsidR="00E50131">
        <w:rPr>
          <w:rFonts w:ascii="Verdana" w:hAnsi="Verdana" w:cs="Verdana"/>
          <w:sz w:val="20"/>
          <w:szCs w:val="20"/>
          <w:lang w:val="es-PA"/>
        </w:rPr>
        <w:t>entencia</w:t>
      </w:r>
      <w:r w:rsidR="006D1CD4">
        <w:rPr>
          <w:rFonts w:ascii="Verdana" w:hAnsi="Verdana" w:cs="Verdana"/>
          <w:sz w:val="20"/>
          <w:szCs w:val="20"/>
          <w:lang w:val="es-PA"/>
        </w:rPr>
        <w:t xml:space="preserve">, para </w:t>
      </w:r>
      <w:r w:rsidR="00571782">
        <w:rPr>
          <w:rFonts w:ascii="Verdana" w:hAnsi="Verdana" w:cs="Verdana"/>
          <w:sz w:val="20"/>
          <w:szCs w:val="20"/>
          <w:lang w:val="es-PA"/>
        </w:rPr>
        <w:t>esclarecer</w:t>
      </w:r>
      <w:r w:rsidR="006D1CD4">
        <w:rPr>
          <w:rFonts w:ascii="Verdana" w:hAnsi="Verdana" w:cs="Verdana"/>
          <w:sz w:val="20"/>
          <w:szCs w:val="20"/>
          <w:lang w:val="es-PA"/>
        </w:rPr>
        <w:t xml:space="preserve"> si </w:t>
      </w:r>
      <w:r w:rsidR="00571782">
        <w:rPr>
          <w:rFonts w:ascii="Verdana" w:hAnsi="Verdana" w:cs="Verdana"/>
          <w:sz w:val="20"/>
          <w:szCs w:val="20"/>
          <w:lang w:val="es-PA"/>
        </w:rPr>
        <w:t>la excluyente de aplicación de los “obstáculos procesales”</w:t>
      </w:r>
      <w:r w:rsidR="008A2A90">
        <w:rPr>
          <w:rFonts w:ascii="Verdana" w:hAnsi="Verdana" w:cs="Verdana"/>
          <w:sz w:val="20"/>
          <w:szCs w:val="20"/>
          <w:lang w:val="es-PA"/>
        </w:rPr>
        <w:t>,</w:t>
      </w:r>
      <w:r w:rsidR="00571782">
        <w:rPr>
          <w:rFonts w:ascii="Verdana" w:hAnsi="Verdana" w:cs="Verdana"/>
          <w:sz w:val="20"/>
          <w:szCs w:val="20"/>
          <w:lang w:val="es-PA"/>
        </w:rPr>
        <w:t xml:space="preserve"> tales como prescripción</w:t>
      </w:r>
      <w:r w:rsidR="008A2A90">
        <w:rPr>
          <w:rFonts w:ascii="Verdana" w:hAnsi="Verdana" w:cs="Verdana"/>
          <w:sz w:val="20"/>
          <w:szCs w:val="20"/>
          <w:lang w:val="es-PA"/>
        </w:rPr>
        <w:t>,</w:t>
      </w:r>
      <w:r w:rsidR="00571782">
        <w:rPr>
          <w:rFonts w:ascii="Verdana" w:hAnsi="Verdana" w:cs="Verdana"/>
          <w:sz w:val="20"/>
          <w:szCs w:val="20"/>
          <w:lang w:val="es-PA"/>
        </w:rPr>
        <w:t xml:space="preserve"> </w:t>
      </w:r>
      <w:r w:rsidR="008A2A90">
        <w:rPr>
          <w:rFonts w:ascii="Verdana" w:hAnsi="Verdana" w:cs="Verdana"/>
          <w:sz w:val="20"/>
          <w:szCs w:val="20"/>
          <w:lang w:val="es-PA"/>
        </w:rPr>
        <w:t xml:space="preserve">se refiere </w:t>
      </w:r>
      <w:r>
        <w:rPr>
          <w:rFonts w:ascii="Verdana" w:hAnsi="Verdana" w:cs="Verdana"/>
          <w:sz w:val="20"/>
          <w:szCs w:val="20"/>
          <w:lang w:val="es-PA"/>
        </w:rPr>
        <w:t xml:space="preserve">a </w:t>
      </w:r>
      <w:r w:rsidR="00475C1A">
        <w:rPr>
          <w:rFonts w:ascii="Verdana" w:hAnsi="Verdana" w:cs="Verdana"/>
          <w:sz w:val="20"/>
          <w:szCs w:val="20"/>
          <w:lang w:val="es-PA"/>
        </w:rPr>
        <w:t>los hechos de violencia sexual</w:t>
      </w:r>
      <w:r w:rsidR="00571782">
        <w:rPr>
          <w:rFonts w:ascii="Verdana" w:hAnsi="Verdana" w:cs="Verdana"/>
          <w:sz w:val="20"/>
          <w:szCs w:val="20"/>
          <w:lang w:val="es-PA"/>
        </w:rPr>
        <w:t xml:space="preserve"> o solo a los actos de violencia policial y ejecuciones extrajudiciales</w:t>
      </w:r>
      <w:r w:rsidR="00475C1A">
        <w:rPr>
          <w:rFonts w:ascii="Verdana" w:hAnsi="Verdana" w:cs="Verdana"/>
          <w:sz w:val="20"/>
          <w:szCs w:val="20"/>
          <w:lang w:val="es-PA"/>
        </w:rPr>
        <w:t>,</w:t>
      </w:r>
      <w:r w:rsidR="00407CB3">
        <w:rPr>
          <w:rFonts w:ascii="Verdana" w:hAnsi="Verdana" w:cs="Verdana"/>
          <w:sz w:val="20"/>
          <w:szCs w:val="20"/>
          <w:lang w:val="es-PA"/>
        </w:rPr>
        <w:t xml:space="preserve"> solicitando </w:t>
      </w:r>
      <w:r w:rsidR="00475C1A">
        <w:rPr>
          <w:rFonts w:ascii="Verdana" w:hAnsi="Verdana" w:cs="Verdana"/>
          <w:sz w:val="20"/>
          <w:szCs w:val="20"/>
          <w:lang w:val="es-PA"/>
        </w:rPr>
        <w:t xml:space="preserve">detalles para mejor cumplimiento de la sentencia por </w:t>
      </w:r>
      <w:r w:rsidR="008A2A90">
        <w:rPr>
          <w:rFonts w:ascii="Verdana" w:hAnsi="Verdana" w:cs="Verdana"/>
          <w:sz w:val="20"/>
          <w:szCs w:val="20"/>
          <w:lang w:val="es-PA"/>
        </w:rPr>
        <w:t>parte d</w:t>
      </w:r>
      <w:r w:rsidR="00475C1A">
        <w:rPr>
          <w:rFonts w:ascii="Verdana" w:hAnsi="Verdana" w:cs="Verdana"/>
          <w:sz w:val="20"/>
          <w:szCs w:val="20"/>
          <w:lang w:val="es-PA"/>
        </w:rPr>
        <w:t xml:space="preserve">el Estado </w:t>
      </w:r>
      <w:r w:rsidR="00571782">
        <w:rPr>
          <w:rFonts w:ascii="Verdana" w:hAnsi="Verdana" w:cs="Verdana"/>
          <w:sz w:val="20"/>
          <w:szCs w:val="20"/>
          <w:lang w:val="es-PA"/>
        </w:rPr>
        <w:t>brasileño</w:t>
      </w:r>
      <w:r>
        <w:rPr>
          <w:rFonts w:ascii="Verdana" w:hAnsi="Verdana" w:cs="Verdana"/>
          <w:sz w:val="20"/>
          <w:szCs w:val="20"/>
          <w:lang w:val="es-PA"/>
        </w:rPr>
        <w:t>.</w:t>
      </w:r>
    </w:p>
    <w:p w:rsidR="0074017B" w:rsidRPr="004F640F" w:rsidRDefault="0074017B" w:rsidP="00A82FB4">
      <w:pPr>
        <w:autoSpaceDE w:val="0"/>
        <w:autoSpaceDN w:val="0"/>
        <w:adjustRightInd w:val="0"/>
        <w:spacing w:after="0" w:line="240" w:lineRule="auto"/>
        <w:jc w:val="both"/>
        <w:rPr>
          <w:rFonts w:ascii="Verdana" w:hAnsi="Verdana" w:cs="Verdana"/>
          <w:sz w:val="20"/>
          <w:szCs w:val="20"/>
          <w:lang w:val="es-PA"/>
        </w:rPr>
      </w:pPr>
    </w:p>
    <w:p w:rsidR="0074017B" w:rsidRPr="00FD7BEA"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FD7BEA">
        <w:rPr>
          <w:rFonts w:ascii="Verdana" w:hAnsi="Verdana" w:cs="Verdana"/>
          <w:sz w:val="20"/>
          <w:szCs w:val="20"/>
          <w:lang w:val="es-PA"/>
        </w:rPr>
        <w:t xml:space="preserve">El 14 de agosto de 2017 Brasil presentó una solicitud de interpretación de sentencia, de conformidad con los artículos 67 de la Convención y 68 del Reglamento, sobre: </w:t>
      </w:r>
      <w:r w:rsidR="00A9152C">
        <w:rPr>
          <w:rFonts w:ascii="Verdana" w:hAnsi="Verdana" w:cs="Verdana"/>
          <w:sz w:val="20"/>
          <w:szCs w:val="20"/>
          <w:lang w:val="es-PA"/>
        </w:rPr>
        <w:t>a)</w:t>
      </w:r>
      <w:r w:rsidRPr="00FD7BEA">
        <w:rPr>
          <w:rFonts w:ascii="Verdana" w:hAnsi="Verdana" w:cs="Verdana"/>
          <w:sz w:val="20"/>
          <w:szCs w:val="20"/>
          <w:lang w:val="es-PA"/>
        </w:rPr>
        <w:t xml:space="preserve"> la</w:t>
      </w:r>
      <w:r w:rsidR="009419AC">
        <w:rPr>
          <w:rFonts w:ascii="Verdana" w:hAnsi="Verdana" w:cs="Verdana"/>
          <w:sz w:val="20"/>
          <w:szCs w:val="20"/>
          <w:lang w:val="es-PA"/>
        </w:rPr>
        <w:t xml:space="preserve"> adecuada</w:t>
      </w:r>
      <w:r w:rsidRPr="00FD7BEA">
        <w:rPr>
          <w:rFonts w:ascii="Verdana" w:hAnsi="Verdana" w:cs="Verdana"/>
          <w:sz w:val="20"/>
          <w:szCs w:val="20"/>
          <w:lang w:val="es-PA"/>
        </w:rPr>
        <w:t xml:space="preserve"> representación de las víctimas y sus familiares por parte de CEJIL </w:t>
      </w:r>
      <w:r w:rsidR="008A2A90">
        <w:rPr>
          <w:rFonts w:ascii="Verdana" w:hAnsi="Verdana" w:cs="Verdana"/>
          <w:sz w:val="20"/>
          <w:szCs w:val="20"/>
          <w:lang w:val="es-PA"/>
        </w:rPr>
        <w:t>e</w:t>
      </w:r>
      <w:r w:rsidRPr="00FD7BEA">
        <w:rPr>
          <w:rFonts w:ascii="Verdana" w:hAnsi="Verdana" w:cs="Verdana"/>
          <w:sz w:val="20"/>
          <w:szCs w:val="20"/>
          <w:lang w:val="es-PA"/>
        </w:rPr>
        <w:t xml:space="preserve"> ISER</w:t>
      </w:r>
      <w:r w:rsidR="009419AC">
        <w:rPr>
          <w:rFonts w:ascii="Verdana" w:hAnsi="Verdana" w:cs="Verdana"/>
          <w:sz w:val="20"/>
          <w:szCs w:val="20"/>
          <w:lang w:val="es-PA"/>
        </w:rPr>
        <w:t xml:space="preserve"> </w:t>
      </w:r>
      <w:r w:rsidR="00E50131">
        <w:rPr>
          <w:rFonts w:ascii="Verdana" w:hAnsi="Verdana" w:cs="Verdana"/>
          <w:sz w:val="20"/>
          <w:szCs w:val="20"/>
          <w:lang w:val="es-PA"/>
        </w:rPr>
        <w:t xml:space="preserve">(párrafo 41 de la </w:t>
      </w:r>
      <w:r w:rsidR="009419AC">
        <w:rPr>
          <w:rFonts w:ascii="Verdana" w:hAnsi="Verdana" w:cs="Verdana"/>
          <w:sz w:val="20"/>
          <w:szCs w:val="20"/>
          <w:lang w:val="es-PA"/>
        </w:rPr>
        <w:t>S</w:t>
      </w:r>
      <w:r w:rsidR="00E50131">
        <w:rPr>
          <w:rFonts w:ascii="Verdana" w:hAnsi="Verdana" w:cs="Verdana"/>
          <w:sz w:val="20"/>
          <w:szCs w:val="20"/>
          <w:lang w:val="es-PA"/>
        </w:rPr>
        <w:t>entencia)</w:t>
      </w:r>
      <w:r w:rsidRPr="00FD7BEA">
        <w:rPr>
          <w:rFonts w:ascii="Verdana" w:hAnsi="Verdana" w:cs="Verdana"/>
          <w:sz w:val="20"/>
          <w:szCs w:val="20"/>
          <w:lang w:val="es-PA"/>
        </w:rPr>
        <w:t xml:space="preserve">; </w:t>
      </w:r>
      <w:r w:rsidR="00A9152C">
        <w:rPr>
          <w:rFonts w:ascii="Verdana" w:hAnsi="Verdana" w:cs="Verdana"/>
          <w:sz w:val="20"/>
          <w:szCs w:val="20"/>
          <w:lang w:val="es-PA"/>
        </w:rPr>
        <w:t>b)</w:t>
      </w:r>
      <w:r w:rsidRPr="00FD7BEA">
        <w:rPr>
          <w:rFonts w:ascii="Verdana" w:hAnsi="Verdana"/>
          <w:sz w:val="20"/>
          <w:szCs w:val="20"/>
          <w:lang w:bidi="en-US"/>
        </w:rPr>
        <w:t xml:space="preserve"> la competencia en razón de la materia para declarar supuestas violaciones a la </w:t>
      </w:r>
      <w:r w:rsidRPr="008A2A90">
        <w:rPr>
          <w:rFonts w:ascii="Verdana" w:hAnsi="Verdana"/>
          <w:sz w:val="20"/>
          <w:szCs w:val="20"/>
          <w:lang w:bidi="en-US"/>
        </w:rPr>
        <w:t xml:space="preserve">Convención </w:t>
      </w:r>
      <w:r w:rsidRPr="0028163D">
        <w:rPr>
          <w:rFonts w:ascii="Verdana" w:hAnsi="Verdana"/>
          <w:iCs/>
          <w:sz w:val="20"/>
          <w:szCs w:val="20"/>
          <w:lang w:bidi="en-US"/>
        </w:rPr>
        <w:t xml:space="preserve">Interamericana para Prevenir y </w:t>
      </w:r>
      <w:r w:rsidR="008A2A90">
        <w:rPr>
          <w:rFonts w:ascii="Verdana" w:hAnsi="Verdana"/>
          <w:iCs/>
          <w:sz w:val="20"/>
          <w:szCs w:val="20"/>
          <w:lang w:bidi="en-US"/>
        </w:rPr>
        <w:t>S</w:t>
      </w:r>
      <w:r w:rsidR="008A2A90" w:rsidRPr="0028163D">
        <w:rPr>
          <w:rFonts w:ascii="Verdana" w:hAnsi="Verdana"/>
          <w:iCs/>
          <w:sz w:val="20"/>
          <w:szCs w:val="20"/>
          <w:lang w:bidi="en-US"/>
        </w:rPr>
        <w:t xml:space="preserve">ancionar </w:t>
      </w:r>
      <w:r w:rsidRPr="0028163D">
        <w:rPr>
          <w:rFonts w:ascii="Verdana" w:hAnsi="Verdana"/>
          <w:iCs/>
          <w:sz w:val="20"/>
          <w:szCs w:val="20"/>
          <w:lang w:bidi="en-US"/>
        </w:rPr>
        <w:t>la Tortura</w:t>
      </w:r>
      <w:r w:rsidR="00E50131">
        <w:rPr>
          <w:rFonts w:ascii="Verdana" w:hAnsi="Verdana"/>
          <w:i/>
          <w:iCs/>
          <w:sz w:val="20"/>
          <w:szCs w:val="20"/>
          <w:lang w:bidi="en-US"/>
        </w:rPr>
        <w:t xml:space="preserve"> </w:t>
      </w:r>
      <w:r w:rsidR="00E50131" w:rsidRPr="0028163D">
        <w:rPr>
          <w:rFonts w:ascii="Verdana" w:hAnsi="Verdana"/>
          <w:iCs/>
          <w:sz w:val="20"/>
          <w:szCs w:val="20"/>
          <w:lang w:bidi="en-US"/>
        </w:rPr>
        <w:t>(párrafo</w:t>
      </w:r>
      <w:r w:rsidR="008A2A90">
        <w:rPr>
          <w:rFonts w:ascii="Verdana" w:hAnsi="Verdana"/>
          <w:iCs/>
          <w:sz w:val="20"/>
          <w:szCs w:val="20"/>
          <w:lang w:bidi="en-US"/>
        </w:rPr>
        <w:t>s</w:t>
      </w:r>
      <w:r w:rsidR="00E50131" w:rsidRPr="0028163D">
        <w:rPr>
          <w:rFonts w:ascii="Verdana" w:hAnsi="Verdana"/>
          <w:iCs/>
          <w:sz w:val="20"/>
          <w:szCs w:val="20"/>
          <w:lang w:bidi="en-US"/>
        </w:rPr>
        <w:t xml:space="preserve"> 65</w:t>
      </w:r>
      <w:r w:rsidR="00E50131">
        <w:rPr>
          <w:rFonts w:ascii="Verdana" w:hAnsi="Verdana"/>
          <w:iCs/>
          <w:sz w:val="20"/>
          <w:szCs w:val="20"/>
          <w:lang w:bidi="en-US"/>
        </w:rPr>
        <w:t xml:space="preserve"> y 66</w:t>
      </w:r>
      <w:r w:rsidR="00E50131" w:rsidRPr="0028163D">
        <w:rPr>
          <w:rFonts w:ascii="Verdana" w:hAnsi="Verdana"/>
          <w:iCs/>
          <w:sz w:val="20"/>
          <w:szCs w:val="20"/>
          <w:lang w:bidi="en-US"/>
        </w:rPr>
        <w:t xml:space="preserve"> de la </w:t>
      </w:r>
      <w:r w:rsidR="009419AC">
        <w:rPr>
          <w:rFonts w:ascii="Verdana" w:hAnsi="Verdana"/>
          <w:iCs/>
          <w:sz w:val="20"/>
          <w:szCs w:val="20"/>
          <w:lang w:bidi="en-US"/>
        </w:rPr>
        <w:t>S</w:t>
      </w:r>
      <w:r w:rsidR="00E50131" w:rsidRPr="0028163D">
        <w:rPr>
          <w:rFonts w:ascii="Verdana" w:hAnsi="Verdana"/>
          <w:iCs/>
          <w:sz w:val="20"/>
          <w:szCs w:val="20"/>
          <w:lang w:bidi="en-US"/>
        </w:rPr>
        <w:t>entencia)</w:t>
      </w:r>
      <w:r w:rsidRPr="00FD7BEA">
        <w:rPr>
          <w:rFonts w:ascii="Verdana" w:hAnsi="Verdana" w:cs="Verdana"/>
          <w:sz w:val="20"/>
          <w:szCs w:val="20"/>
          <w:lang w:val="es-PA"/>
        </w:rPr>
        <w:t xml:space="preserve">; </w:t>
      </w:r>
      <w:r w:rsidR="00A9152C">
        <w:rPr>
          <w:rFonts w:ascii="Verdana" w:hAnsi="Verdana" w:cs="Verdana"/>
          <w:sz w:val="20"/>
          <w:szCs w:val="20"/>
          <w:lang w:val="es-PA"/>
        </w:rPr>
        <w:t>c)</w:t>
      </w:r>
      <w:r w:rsidRPr="00FD7BEA">
        <w:rPr>
          <w:rFonts w:ascii="Verdana" w:hAnsi="Verdana" w:cs="Verdana"/>
          <w:sz w:val="20"/>
          <w:szCs w:val="20"/>
          <w:lang w:val="es-PA"/>
        </w:rPr>
        <w:t xml:space="preserve"> la modalidad de cumplimiento de los pagos ordenados</w:t>
      </w:r>
      <w:r w:rsidR="00E50131">
        <w:rPr>
          <w:rFonts w:ascii="Verdana" w:hAnsi="Verdana" w:cs="Verdana"/>
          <w:sz w:val="20"/>
          <w:szCs w:val="20"/>
          <w:lang w:val="es-PA"/>
        </w:rPr>
        <w:t xml:space="preserve"> (párr</w:t>
      </w:r>
      <w:r w:rsidR="009419AC">
        <w:rPr>
          <w:rFonts w:ascii="Verdana" w:hAnsi="Verdana" w:cs="Verdana"/>
          <w:sz w:val="20"/>
          <w:szCs w:val="20"/>
          <w:lang w:val="es-PA"/>
        </w:rPr>
        <w:t>afos 363, 364, 366 y 368 de la S</w:t>
      </w:r>
      <w:r w:rsidR="00E50131">
        <w:rPr>
          <w:rFonts w:ascii="Verdana" w:hAnsi="Verdana" w:cs="Verdana"/>
          <w:sz w:val="20"/>
          <w:szCs w:val="20"/>
          <w:lang w:val="es-PA"/>
        </w:rPr>
        <w:t>entencia)</w:t>
      </w:r>
      <w:r w:rsidRPr="00FD7BEA">
        <w:rPr>
          <w:rFonts w:ascii="Verdana" w:hAnsi="Verdana" w:cs="Verdana"/>
          <w:sz w:val="20"/>
          <w:szCs w:val="20"/>
          <w:lang w:val="es-PA"/>
        </w:rPr>
        <w:t xml:space="preserve">, y </w:t>
      </w:r>
      <w:r w:rsidR="00A9152C">
        <w:rPr>
          <w:rFonts w:ascii="Verdana" w:hAnsi="Verdana" w:cs="Verdana"/>
          <w:sz w:val="20"/>
          <w:szCs w:val="20"/>
          <w:lang w:val="es-PA"/>
        </w:rPr>
        <w:t>d)</w:t>
      </w:r>
      <w:r w:rsidRPr="00FD7BEA">
        <w:rPr>
          <w:rFonts w:ascii="Verdana" w:hAnsi="Verdana" w:cs="Verdana"/>
          <w:sz w:val="20"/>
          <w:szCs w:val="20"/>
          <w:lang w:val="es-PA"/>
        </w:rPr>
        <w:t xml:space="preserve"> el deber de investigar del Estado con respecto a los casos de violencia sexual (párrafo</w:t>
      </w:r>
      <w:r w:rsidR="00E50131">
        <w:rPr>
          <w:rFonts w:ascii="Verdana" w:hAnsi="Verdana" w:cs="Verdana"/>
          <w:sz w:val="20"/>
          <w:szCs w:val="20"/>
          <w:lang w:val="es-PA"/>
        </w:rPr>
        <w:t>s 291 y</w:t>
      </w:r>
      <w:r w:rsidRPr="00FD7BEA">
        <w:rPr>
          <w:rFonts w:ascii="Verdana" w:hAnsi="Verdana" w:cs="Verdana"/>
          <w:sz w:val="20"/>
          <w:szCs w:val="20"/>
          <w:lang w:val="es-PA"/>
        </w:rPr>
        <w:t xml:space="preserve"> 292.b</w:t>
      </w:r>
      <w:r w:rsidR="009419AC">
        <w:rPr>
          <w:rFonts w:ascii="Verdana" w:hAnsi="Verdana" w:cs="Verdana"/>
          <w:sz w:val="20"/>
          <w:szCs w:val="20"/>
          <w:lang w:val="es-PA"/>
        </w:rPr>
        <w:t xml:space="preserve"> de la S</w:t>
      </w:r>
      <w:r w:rsidR="00E50131">
        <w:rPr>
          <w:rFonts w:ascii="Verdana" w:hAnsi="Verdana" w:cs="Verdana"/>
          <w:sz w:val="20"/>
          <w:szCs w:val="20"/>
          <w:lang w:val="es-PA"/>
        </w:rPr>
        <w:t>entencia</w:t>
      </w:r>
      <w:r w:rsidRPr="00FD7BEA">
        <w:rPr>
          <w:rFonts w:ascii="Verdana" w:hAnsi="Verdana" w:cs="Verdana"/>
          <w:sz w:val="20"/>
          <w:szCs w:val="20"/>
          <w:lang w:val="es-PA"/>
        </w:rPr>
        <w:t>).</w:t>
      </w:r>
    </w:p>
    <w:p w:rsidR="0074017B" w:rsidRPr="00FD7BEA" w:rsidRDefault="0074017B" w:rsidP="00A82FB4">
      <w:pPr>
        <w:autoSpaceDE w:val="0"/>
        <w:autoSpaceDN w:val="0"/>
        <w:adjustRightInd w:val="0"/>
        <w:spacing w:after="0" w:line="240" w:lineRule="auto"/>
        <w:jc w:val="both"/>
        <w:rPr>
          <w:rFonts w:ascii="Verdana" w:hAnsi="Verdana" w:cs="Verdana"/>
          <w:sz w:val="20"/>
          <w:szCs w:val="20"/>
          <w:lang w:val="es-PA"/>
        </w:rPr>
      </w:pPr>
    </w:p>
    <w:p w:rsidR="0074017B"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FD7BEA">
        <w:rPr>
          <w:rFonts w:ascii="Verdana" w:hAnsi="Verdana" w:cs="Verdana"/>
          <w:sz w:val="20"/>
          <w:szCs w:val="20"/>
          <w:lang w:val="es-PA"/>
        </w:rPr>
        <w:t>El 16 de agosto de 2017, de conformidad con lo dispuesto en el artículo 68.2 del Reglamento, la Secretaría de la Corte transmitió las solicitudes de interpretación a los representantes de las víctimas, a la Comisión Interamericana de Derechos Humanos y al Estado de Brasil</w:t>
      </w:r>
      <w:r w:rsidR="00C6047D">
        <w:rPr>
          <w:rFonts w:ascii="Verdana" w:hAnsi="Verdana" w:cs="Verdana"/>
          <w:sz w:val="20"/>
          <w:szCs w:val="20"/>
          <w:lang w:val="es-PA"/>
        </w:rPr>
        <w:t>, y</w:t>
      </w:r>
      <w:r w:rsidRPr="00FD7BEA">
        <w:rPr>
          <w:rFonts w:ascii="Verdana" w:hAnsi="Verdana" w:cs="Verdana"/>
          <w:sz w:val="20"/>
          <w:szCs w:val="20"/>
          <w:lang w:val="es-PA"/>
        </w:rPr>
        <w:t xml:space="preserve">, de conformidad con el mencionado artículo del Reglamento y siguiendo instrucciones del Presidente en ejercicio para el presente caso, </w:t>
      </w:r>
      <w:r w:rsidR="00C6047D">
        <w:rPr>
          <w:rFonts w:ascii="Verdana" w:hAnsi="Verdana" w:cs="Verdana"/>
          <w:sz w:val="20"/>
          <w:szCs w:val="20"/>
          <w:lang w:val="es-PA"/>
        </w:rPr>
        <w:t xml:space="preserve">concedió </w:t>
      </w:r>
      <w:r w:rsidRPr="00FD7BEA">
        <w:rPr>
          <w:rFonts w:ascii="Verdana" w:hAnsi="Verdana" w:cs="Verdana"/>
          <w:sz w:val="20"/>
          <w:szCs w:val="20"/>
          <w:lang w:val="es-PA"/>
        </w:rPr>
        <w:t>un plazo hasta el 18 de septiembre del mismo año para presentar las observaciones escritas que estimaran pertinentes</w:t>
      </w:r>
      <w:r w:rsidR="00C6047D">
        <w:rPr>
          <w:rFonts w:ascii="Verdana" w:hAnsi="Verdana" w:cs="Verdana"/>
          <w:sz w:val="20"/>
          <w:szCs w:val="20"/>
          <w:lang w:val="es-PA"/>
        </w:rPr>
        <w:t>.</w:t>
      </w:r>
    </w:p>
    <w:p w:rsidR="00912F31" w:rsidRDefault="00912F31" w:rsidP="00A82FB4">
      <w:pPr>
        <w:autoSpaceDE w:val="0"/>
        <w:autoSpaceDN w:val="0"/>
        <w:adjustRightInd w:val="0"/>
        <w:spacing w:after="0" w:line="240" w:lineRule="auto"/>
        <w:jc w:val="both"/>
        <w:rPr>
          <w:rFonts w:ascii="Verdana" w:hAnsi="Verdana" w:cs="Verdana"/>
          <w:sz w:val="20"/>
          <w:szCs w:val="20"/>
          <w:lang w:val="es-PA"/>
        </w:rPr>
      </w:pPr>
    </w:p>
    <w:p w:rsidR="00995B9E" w:rsidRPr="00995B9E" w:rsidRDefault="00995B9E"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Pr>
          <w:rFonts w:ascii="Verdana" w:hAnsi="Verdana" w:cs="Verdana"/>
          <w:sz w:val="20"/>
          <w:szCs w:val="20"/>
          <w:lang w:val="es-PA"/>
        </w:rPr>
        <w:t xml:space="preserve">La Comisión </w:t>
      </w:r>
      <w:r w:rsidRPr="00995B9E">
        <w:rPr>
          <w:rFonts w:ascii="Verdana" w:hAnsi="Verdana" w:cs="Verdana"/>
          <w:sz w:val="20"/>
          <w:szCs w:val="20"/>
          <w:lang w:val="es-PA"/>
        </w:rPr>
        <w:t>solicitó prórroga del plazo por dos días, la cual fue concedida por la Corte</w:t>
      </w:r>
      <w:r w:rsidR="004A373D">
        <w:rPr>
          <w:rFonts w:ascii="Verdana" w:hAnsi="Verdana" w:cs="Verdana"/>
          <w:sz w:val="20"/>
          <w:szCs w:val="20"/>
          <w:lang w:val="es-PA"/>
        </w:rPr>
        <w:t>.</w:t>
      </w:r>
    </w:p>
    <w:p w:rsidR="0074017B" w:rsidRPr="004F640F" w:rsidRDefault="0074017B" w:rsidP="00A82FB4">
      <w:pPr>
        <w:autoSpaceDE w:val="0"/>
        <w:autoSpaceDN w:val="0"/>
        <w:adjustRightInd w:val="0"/>
        <w:spacing w:after="0" w:line="240" w:lineRule="auto"/>
        <w:jc w:val="both"/>
        <w:rPr>
          <w:rFonts w:ascii="Verdana" w:hAnsi="Verdana" w:cs="Verdana"/>
          <w:sz w:val="20"/>
          <w:szCs w:val="20"/>
          <w:lang w:val="es-PA"/>
        </w:rPr>
      </w:pPr>
    </w:p>
    <w:p w:rsidR="0074017B" w:rsidRPr="004F640F"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4F640F">
        <w:rPr>
          <w:rFonts w:ascii="Verdana" w:hAnsi="Verdana" w:cs="Verdana"/>
          <w:sz w:val="20"/>
          <w:szCs w:val="20"/>
          <w:lang w:val="es-PA"/>
        </w:rPr>
        <w:t xml:space="preserve">El </w:t>
      </w:r>
      <w:r>
        <w:rPr>
          <w:rFonts w:ascii="Verdana" w:hAnsi="Verdana" w:cs="Verdana"/>
          <w:sz w:val="20"/>
          <w:szCs w:val="20"/>
          <w:lang w:val="es-PA"/>
        </w:rPr>
        <w:t>15, 18 y 20 de septiembre</w:t>
      </w:r>
      <w:r w:rsidRPr="004F640F">
        <w:rPr>
          <w:rFonts w:ascii="Verdana" w:hAnsi="Verdana" w:cs="Verdana"/>
          <w:sz w:val="20"/>
          <w:szCs w:val="20"/>
          <w:lang w:val="es-PA"/>
        </w:rPr>
        <w:t xml:space="preserve"> de 2017 los representantes</w:t>
      </w:r>
      <w:r>
        <w:rPr>
          <w:rFonts w:ascii="Verdana" w:hAnsi="Verdana" w:cs="Verdana"/>
          <w:sz w:val="20"/>
          <w:szCs w:val="20"/>
          <w:lang w:val="es-PA"/>
        </w:rPr>
        <w:t>, el Estado,</w:t>
      </w:r>
      <w:r w:rsidRPr="004F640F">
        <w:rPr>
          <w:rFonts w:ascii="Verdana" w:hAnsi="Verdana" w:cs="Verdana"/>
          <w:sz w:val="20"/>
          <w:szCs w:val="20"/>
          <w:lang w:val="es-PA"/>
        </w:rPr>
        <w:t xml:space="preserve"> y la Comisión, respectivamente, presentaron sus observaciones escritas</w:t>
      </w:r>
      <w:r w:rsidR="004A373D">
        <w:rPr>
          <w:rFonts w:ascii="Verdana" w:hAnsi="Verdana" w:cs="Verdana"/>
          <w:sz w:val="20"/>
          <w:szCs w:val="20"/>
          <w:lang w:val="es-PA"/>
        </w:rPr>
        <w:t>.</w:t>
      </w:r>
    </w:p>
    <w:p w:rsidR="0074017B" w:rsidRPr="004F640F" w:rsidRDefault="0074017B" w:rsidP="00A82FB4">
      <w:pPr>
        <w:autoSpaceDE w:val="0"/>
        <w:autoSpaceDN w:val="0"/>
        <w:adjustRightInd w:val="0"/>
        <w:spacing w:after="0" w:line="240" w:lineRule="auto"/>
        <w:jc w:val="both"/>
        <w:rPr>
          <w:rFonts w:ascii="Verdana" w:hAnsi="Verdana" w:cs="Verdana"/>
          <w:sz w:val="20"/>
          <w:szCs w:val="20"/>
          <w:lang w:val="es-PA"/>
        </w:rPr>
      </w:pPr>
    </w:p>
    <w:p w:rsidR="0074017B" w:rsidRPr="004F640F" w:rsidRDefault="0074017B" w:rsidP="00A82FB4">
      <w:pPr>
        <w:spacing w:after="0" w:line="240" w:lineRule="auto"/>
        <w:jc w:val="center"/>
        <w:rPr>
          <w:rFonts w:ascii="Verdana" w:eastAsia="Times" w:hAnsi="Verdana"/>
          <w:b/>
          <w:bCs/>
          <w:sz w:val="20"/>
          <w:szCs w:val="20"/>
          <w:lang w:val="es-PA"/>
        </w:rPr>
      </w:pPr>
      <w:r w:rsidRPr="004F640F">
        <w:rPr>
          <w:rFonts w:ascii="Verdana" w:eastAsia="Times" w:hAnsi="Verdana"/>
          <w:b/>
          <w:bCs/>
          <w:sz w:val="20"/>
          <w:szCs w:val="20"/>
          <w:lang w:val="es-PA"/>
        </w:rPr>
        <w:t>II</w:t>
      </w:r>
    </w:p>
    <w:p w:rsidR="0074017B" w:rsidRPr="004F640F" w:rsidRDefault="0074017B" w:rsidP="00A82FB4">
      <w:pPr>
        <w:spacing w:after="0" w:line="240" w:lineRule="auto"/>
        <w:jc w:val="center"/>
        <w:rPr>
          <w:rFonts w:ascii="Verdana" w:eastAsia="Times" w:hAnsi="Verdana"/>
          <w:b/>
          <w:bCs/>
          <w:sz w:val="20"/>
          <w:szCs w:val="20"/>
          <w:lang w:val="es-PA"/>
        </w:rPr>
      </w:pPr>
      <w:r w:rsidRPr="004F640F">
        <w:rPr>
          <w:rFonts w:ascii="Verdana" w:eastAsia="Times" w:hAnsi="Verdana"/>
          <w:b/>
          <w:bCs/>
          <w:sz w:val="20"/>
          <w:szCs w:val="20"/>
          <w:lang w:val="es-PA"/>
        </w:rPr>
        <w:t xml:space="preserve">COMPETENCIA </w:t>
      </w:r>
    </w:p>
    <w:p w:rsidR="0074017B" w:rsidRPr="004F640F" w:rsidRDefault="0074017B" w:rsidP="00A82FB4">
      <w:pPr>
        <w:spacing w:after="0" w:line="240" w:lineRule="auto"/>
        <w:jc w:val="center"/>
        <w:rPr>
          <w:rFonts w:ascii="Verdana" w:eastAsia="Times" w:hAnsi="Verdana"/>
          <w:b/>
          <w:bCs/>
          <w:sz w:val="20"/>
          <w:szCs w:val="20"/>
          <w:lang w:val="es-PA"/>
        </w:rPr>
      </w:pPr>
    </w:p>
    <w:p w:rsidR="0074017B" w:rsidRPr="004F640F" w:rsidRDefault="0074017B"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 xml:space="preserve">El artículo 67 </w:t>
      </w:r>
      <w:r>
        <w:rPr>
          <w:rFonts w:ascii="Verdana" w:hAnsi="Verdana" w:cs="Verdana"/>
          <w:sz w:val="20"/>
          <w:szCs w:val="20"/>
          <w:lang w:val="es-PA"/>
        </w:rPr>
        <w:t>de la</w:t>
      </w:r>
      <w:r w:rsidRPr="004F640F">
        <w:rPr>
          <w:rFonts w:ascii="Verdana" w:hAnsi="Verdana" w:cs="Verdana"/>
          <w:sz w:val="20"/>
          <w:szCs w:val="20"/>
          <w:lang w:val="es-PA"/>
        </w:rPr>
        <w:t xml:space="preserve"> Convención establece que:</w:t>
      </w:r>
    </w:p>
    <w:p w:rsidR="0074017B" w:rsidRPr="004F640F" w:rsidRDefault="0074017B" w:rsidP="00A82FB4">
      <w:pPr>
        <w:autoSpaceDE w:val="0"/>
        <w:autoSpaceDN w:val="0"/>
        <w:adjustRightInd w:val="0"/>
        <w:spacing w:after="0" w:line="240" w:lineRule="auto"/>
        <w:jc w:val="both"/>
        <w:rPr>
          <w:rFonts w:ascii="Verdana" w:hAnsi="Verdana" w:cs="Verdana"/>
          <w:sz w:val="20"/>
          <w:szCs w:val="20"/>
          <w:lang w:val="es-PA"/>
        </w:rPr>
      </w:pPr>
    </w:p>
    <w:p w:rsidR="0074017B" w:rsidRPr="004F640F" w:rsidRDefault="0074017B" w:rsidP="00A82FB4">
      <w:pPr>
        <w:pStyle w:val="BlockText"/>
        <w:rPr>
          <w:lang w:val="es-PA"/>
        </w:rPr>
      </w:pPr>
      <w:r w:rsidRPr="004F640F">
        <w:rPr>
          <w:lang w:val="es-PA"/>
        </w:rPr>
        <w:t>El fallo de la Corte será definitivo e inapelable. En caso de desacuerdo sobre el sentido o alcance del fallo, la Corte lo interpretará a solicitud de cualquiera de las partes, siempre que dicha solicitud sea presente dentro de los noventa días a partir de la fecha de la notificación del fallo.</w:t>
      </w:r>
    </w:p>
    <w:p w:rsidR="0074017B" w:rsidRPr="004F640F" w:rsidRDefault="0074017B" w:rsidP="00A82FB4">
      <w:pPr>
        <w:autoSpaceDE w:val="0"/>
        <w:autoSpaceDN w:val="0"/>
        <w:adjustRightInd w:val="0"/>
        <w:spacing w:after="0" w:line="240" w:lineRule="auto"/>
        <w:jc w:val="both"/>
        <w:rPr>
          <w:rFonts w:ascii="Verdana" w:hAnsi="Verdana" w:cs="Verdana"/>
          <w:sz w:val="20"/>
          <w:szCs w:val="20"/>
          <w:lang w:val="es-PA"/>
        </w:rPr>
      </w:pPr>
    </w:p>
    <w:p w:rsidR="0074017B" w:rsidRPr="004F640F" w:rsidRDefault="0074017B"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De conformidad con el artículo citado, la Corte es competente para interpretar sus fallos. Para realizar el examen de la</w:t>
      </w:r>
      <w:r w:rsidR="0022574E">
        <w:rPr>
          <w:rFonts w:ascii="Verdana" w:hAnsi="Verdana" w:cs="Verdana"/>
          <w:sz w:val="20"/>
          <w:szCs w:val="20"/>
          <w:lang w:val="es-PA"/>
        </w:rPr>
        <w:t>s</w:t>
      </w:r>
      <w:r w:rsidRPr="004F640F">
        <w:rPr>
          <w:rFonts w:ascii="Verdana" w:hAnsi="Verdana" w:cs="Verdana"/>
          <w:sz w:val="20"/>
          <w:szCs w:val="20"/>
          <w:lang w:val="es-PA"/>
        </w:rPr>
        <w:t xml:space="preserve"> </w:t>
      </w:r>
      <w:r>
        <w:rPr>
          <w:rFonts w:ascii="Verdana" w:hAnsi="Verdana" w:cs="Verdana"/>
          <w:sz w:val="20"/>
          <w:szCs w:val="20"/>
          <w:lang w:val="es-PA"/>
        </w:rPr>
        <w:t>solicitud</w:t>
      </w:r>
      <w:r w:rsidR="0022574E">
        <w:rPr>
          <w:rFonts w:ascii="Verdana" w:hAnsi="Verdana" w:cs="Verdana"/>
          <w:sz w:val="20"/>
          <w:szCs w:val="20"/>
          <w:lang w:val="es-PA"/>
        </w:rPr>
        <w:t>es</w:t>
      </w:r>
      <w:r w:rsidRPr="004F640F">
        <w:rPr>
          <w:rFonts w:ascii="Verdana" w:hAnsi="Verdana" w:cs="Verdana"/>
          <w:sz w:val="20"/>
          <w:szCs w:val="20"/>
          <w:lang w:val="es-PA"/>
        </w:rPr>
        <w:t xml:space="preserve"> de interpretación y resolver lo que </w:t>
      </w:r>
      <w:r>
        <w:rPr>
          <w:rFonts w:ascii="Verdana" w:hAnsi="Verdana" w:cs="Verdana"/>
          <w:sz w:val="20"/>
          <w:szCs w:val="20"/>
          <w:lang w:val="es-PA"/>
        </w:rPr>
        <w:t>corresponda</w:t>
      </w:r>
      <w:r w:rsidRPr="004F640F">
        <w:rPr>
          <w:rFonts w:ascii="Verdana" w:hAnsi="Verdana" w:cs="Verdana"/>
          <w:sz w:val="20"/>
          <w:szCs w:val="20"/>
          <w:lang w:val="es-PA"/>
        </w:rPr>
        <w:t xml:space="preserve">, el Tribunal debe tener, </w:t>
      </w:r>
      <w:r>
        <w:rPr>
          <w:rFonts w:ascii="Verdana" w:hAnsi="Verdana" w:cs="Verdana"/>
          <w:sz w:val="20"/>
          <w:szCs w:val="20"/>
          <w:lang w:val="es-PA"/>
        </w:rPr>
        <w:t>si es</w:t>
      </w:r>
      <w:r w:rsidRPr="004F640F">
        <w:rPr>
          <w:rFonts w:ascii="Verdana" w:hAnsi="Verdana" w:cs="Verdana"/>
          <w:sz w:val="20"/>
          <w:szCs w:val="20"/>
          <w:lang w:val="es-PA"/>
        </w:rPr>
        <w:t xml:space="preserve"> posible, la misma composición que tenía al dictar </w:t>
      </w:r>
      <w:r w:rsidRPr="004F640F">
        <w:rPr>
          <w:rFonts w:ascii="Verdana" w:hAnsi="Verdana" w:cs="Verdana"/>
          <w:sz w:val="20"/>
          <w:szCs w:val="20"/>
          <w:lang w:val="es-PA"/>
        </w:rPr>
        <w:lastRenderedPageBreak/>
        <w:t xml:space="preserve">la Sentencia respectiva, de </w:t>
      </w:r>
      <w:r>
        <w:rPr>
          <w:rFonts w:ascii="Verdana" w:hAnsi="Verdana" w:cs="Verdana"/>
          <w:sz w:val="20"/>
          <w:szCs w:val="20"/>
          <w:lang w:val="es-PA"/>
        </w:rPr>
        <w:t>acuerdo</w:t>
      </w:r>
      <w:r w:rsidRPr="004F640F">
        <w:rPr>
          <w:rFonts w:ascii="Verdana" w:hAnsi="Verdana" w:cs="Verdana"/>
          <w:sz w:val="20"/>
          <w:szCs w:val="20"/>
          <w:lang w:val="es-PA"/>
        </w:rPr>
        <w:t xml:space="preserve"> con el artículo 68.3 del Reglamento</w:t>
      </w:r>
      <w:r>
        <w:rPr>
          <w:rFonts w:ascii="Verdana" w:hAnsi="Verdana" w:cs="Verdana"/>
          <w:sz w:val="20"/>
          <w:szCs w:val="20"/>
          <w:lang w:val="es-PA"/>
        </w:rPr>
        <w:t>.</w:t>
      </w:r>
      <w:r w:rsidRPr="004F640F">
        <w:rPr>
          <w:rFonts w:ascii="Verdana" w:hAnsi="Verdana" w:cs="Verdana"/>
          <w:sz w:val="20"/>
          <w:szCs w:val="20"/>
          <w:lang w:val="es-PA"/>
        </w:rPr>
        <w:t xml:space="preserve"> En esta ocasión, la Corte está integrada por los mismos jueces que </w:t>
      </w:r>
      <w:r>
        <w:rPr>
          <w:rFonts w:ascii="Verdana" w:hAnsi="Verdana" w:cs="Verdana"/>
          <w:sz w:val="20"/>
          <w:szCs w:val="20"/>
          <w:lang w:val="es-PA"/>
        </w:rPr>
        <w:t>dictaron</w:t>
      </w:r>
      <w:r w:rsidRPr="004F640F">
        <w:rPr>
          <w:rFonts w:ascii="Verdana" w:hAnsi="Verdana" w:cs="Verdana"/>
          <w:sz w:val="20"/>
          <w:szCs w:val="20"/>
          <w:lang w:val="es-PA"/>
        </w:rPr>
        <w:t xml:space="preserve"> la Sentencia cuya interpretación </w:t>
      </w:r>
      <w:r>
        <w:rPr>
          <w:rFonts w:ascii="Verdana" w:hAnsi="Verdana" w:cs="Verdana"/>
          <w:sz w:val="20"/>
          <w:szCs w:val="20"/>
          <w:lang w:val="es-PA"/>
        </w:rPr>
        <w:t>ha sido</w:t>
      </w:r>
      <w:r w:rsidRPr="004F640F">
        <w:rPr>
          <w:rFonts w:ascii="Verdana" w:hAnsi="Verdana" w:cs="Verdana"/>
          <w:sz w:val="20"/>
          <w:szCs w:val="20"/>
          <w:lang w:val="es-PA"/>
        </w:rPr>
        <w:t xml:space="preserve"> solicitada por el Estado</w:t>
      </w:r>
      <w:r w:rsidR="0022574E">
        <w:rPr>
          <w:rFonts w:ascii="Verdana" w:hAnsi="Verdana" w:cs="Verdana"/>
          <w:sz w:val="20"/>
          <w:szCs w:val="20"/>
          <w:lang w:val="es-PA"/>
        </w:rPr>
        <w:t xml:space="preserve"> y los representantes</w:t>
      </w:r>
      <w:r w:rsidRPr="004F640F">
        <w:rPr>
          <w:rFonts w:ascii="Verdana" w:hAnsi="Verdana" w:cs="Verdana"/>
          <w:sz w:val="20"/>
          <w:szCs w:val="20"/>
          <w:lang w:val="es-PA"/>
        </w:rPr>
        <w:t>.</w:t>
      </w:r>
    </w:p>
    <w:p w:rsidR="0074017B" w:rsidRPr="004F640F" w:rsidRDefault="0074017B" w:rsidP="00A82FB4">
      <w:pPr>
        <w:autoSpaceDE w:val="0"/>
        <w:autoSpaceDN w:val="0"/>
        <w:adjustRightInd w:val="0"/>
        <w:spacing w:after="0" w:line="240" w:lineRule="auto"/>
        <w:jc w:val="both"/>
        <w:rPr>
          <w:rFonts w:ascii="Verdana" w:hAnsi="Verdana" w:cs="Verdana"/>
          <w:sz w:val="20"/>
          <w:szCs w:val="20"/>
          <w:lang w:val="es-PA"/>
        </w:rPr>
      </w:pPr>
    </w:p>
    <w:p w:rsidR="0074017B" w:rsidRPr="004F640F" w:rsidRDefault="0074017B" w:rsidP="00A82FB4">
      <w:pPr>
        <w:autoSpaceDE w:val="0"/>
        <w:autoSpaceDN w:val="0"/>
        <w:adjustRightInd w:val="0"/>
        <w:spacing w:after="0" w:line="240" w:lineRule="auto"/>
        <w:jc w:val="center"/>
        <w:rPr>
          <w:rFonts w:ascii="Verdana" w:hAnsi="Verdana" w:cs="Verdana"/>
          <w:b/>
          <w:sz w:val="20"/>
          <w:szCs w:val="20"/>
          <w:lang w:val="es-PA"/>
        </w:rPr>
      </w:pPr>
      <w:r w:rsidRPr="004F640F">
        <w:rPr>
          <w:rFonts w:ascii="Verdana" w:hAnsi="Verdana" w:cs="Verdana"/>
          <w:b/>
          <w:sz w:val="20"/>
          <w:szCs w:val="20"/>
          <w:lang w:val="es-PA"/>
        </w:rPr>
        <w:t>III</w:t>
      </w:r>
    </w:p>
    <w:p w:rsidR="0074017B" w:rsidRPr="004F640F" w:rsidRDefault="0074017B" w:rsidP="00A82FB4">
      <w:pPr>
        <w:autoSpaceDE w:val="0"/>
        <w:autoSpaceDN w:val="0"/>
        <w:adjustRightInd w:val="0"/>
        <w:spacing w:after="0" w:line="240" w:lineRule="auto"/>
        <w:jc w:val="center"/>
        <w:rPr>
          <w:rFonts w:ascii="Verdana" w:hAnsi="Verdana" w:cs="Verdana"/>
          <w:b/>
          <w:sz w:val="20"/>
          <w:szCs w:val="20"/>
          <w:lang w:val="es-PA"/>
        </w:rPr>
      </w:pPr>
      <w:r w:rsidRPr="004F640F">
        <w:rPr>
          <w:rFonts w:ascii="Verdana" w:hAnsi="Verdana" w:cs="Verdana"/>
          <w:b/>
          <w:sz w:val="20"/>
          <w:szCs w:val="20"/>
          <w:lang w:val="es-PA"/>
        </w:rPr>
        <w:t>ADMISIBILIDAD</w:t>
      </w:r>
    </w:p>
    <w:p w:rsidR="0074017B" w:rsidRPr="004F640F" w:rsidRDefault="0074017B" w:rsidP="00A82FB4">
      <w:pPr>
        <w:autoSpaceDE w:val="0"/>
        <w:autoSpaceDN w:val="0"/>
        <w:adjustRightInd w:val="0"/>
        <w:spacing w:after="0" w:line="240" w:lineRule="auto"/>
        <w:jc w:val="both"/>
        <w:rPr>
          <w:rFonts w:ascii="Verdana" w:hAnsi="Verdana" w:cs="Verdana"/>
          <w:sz w:val="20"/>
          <w:szCs w:val="20"/>
          <w:lang w:val="es-PA"/>
        </w:rPr>
      </w:pPr>
    </w:p>
    <w:p w:rsidR="009E59CB" w:rsidRPr="00703EEA" w:rsidRDefault="009E59CB" w:rsidP="009E59CB">
      <w:pPr>
        <w:numPr>
          <w:ilvl w:val="0"/>
          <w:numId w:val="2"/>
        </w:numPr>
        <w:tabs>
          <w:tab w:val="clear" w:pos="1247"/>
          <w:tab w:val="num" w:pos="720"/>
          <w:tab w:val="num" w:pos="1427"/>
        </w:tabs>
        <w:autoSpaceDE w:val="0"/>
        <w:autoSpaceDN w:val="0"/>
        <w:adjustRightInd w:val="0"/>
        <w:spacing w:after="0" w:line="240" w:lineRule="auto"/>
        <w:jc w:val="both"/>
        <w:rPr>
          <w:rFonts w:ascii="Verdana" w:hAnsi="Verdana" w:cs="Verdana"/>
          <w:strike/>
          <w:sz w:val="20"/>
          <w:szCs w:val="20"/>
          <w:lang w:val="es-CR"/>
        </w:rPr>
      </w:pPr>
      <w:r w:rsidRPr="00703EEA">
        <w:rPr>
          <w:rFonts w:ascii="Verdana" w:hAnsi="Verdana"/>
          <w:sz w:val="20"/>
          <w:szCs w:val="20"/>
          <w:lang w:val="es-CR"/>
        </w:rPr>
        <w:t>Corresponde a la Corte verificar si la solicitud presentada por el Estado cumple con los requisitos establecidos en las normas aplicables a una solicitud de interpretación de Sentencia, a saber, el artículo 67 de la Convención y el artículo 68 del Reglamento</w:t>
      </w:r>
      <w:r w:rsidRPr="00703EEA">
        <w:rPr>
          <w:rStyle w:val="FootnoteReference"/>
          <w:sz w:val="20"/>
          <w:szCs w:val="20"/>
          <w:lang w:val="es-CR"/>
        </w:rPr>
        <w:footnoteReference w:id="2"/>
      </w:r>
      <w:r w:rsidRPr="00703EEA">
        <w:rPr>
          <w:rFonts w:ascii="Verdana" w:hAnsi="Verdana"/>
          <w:sz w:val="20"/>
          <w:szCs w:val="20"/>
          <w:lang w:val="es-CR"/>
        </w:rPr>
        <w:t>.</w:t>
      </w:r>
    </w:p>
    <w:p w:rsidR="009E59CB" w:rsidRPr="00703EEA" w:rsidRDefault="009E59CB" w:rsidP="00A82FB4">
      <w:pPr>
        <w:autoSpaceDE w:val="0"/>
        <w:autoSpaceDN w:val="0"/>
        <w:adjustRightInd w:val="0"/>
        <w:spacing w:after="0" w:line="240" w:lineRule="auto"/>
        <w:jc w:val="both"/>
        <w:rPr>
          <w:rFonts w:ascii="Verdana" w:hAnsi="Verdana" w:cs="Verdana"/>
          <w:sz w:val="20"/>
          <w:szCs w:val="20"/>
          <w:lang w:val="es-CR"/>
        </w:rPr>
      </w:pPr>
    </w:p>
    <w:p w:rsidR="0074017B" w:rsidRPr="004F640F" w:rsidRDefault="0074017B"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1D0CDF">
        <w:rPr>
          <w:rFonts w:ascii="Verdana" w:hAnsi="Verdana" w:cs="Verdana"/>
          <w:sz w:val="20"/>
          <w:szCs w:val="20"/>
          <w:lang w:val="es-PA"/>
        </w:rPr>
        <w:t xml:space="preserve">La Corte nota que </w:t>
      </w:r>
      <w:r>
        <w:rPr>
          <w:rFonts w:ascii="Verdana" w:hAnsi="Verdana" w:cs="Verdana"/>
          <w:sz w:val="20"/>
          <w:szCs w:val="20"/>
          <w:lang w:val="es-PA"/>
        </w:rPr>
        <w:t>tanto los representantes de las víctimas</w:t>
      </w:r>
      <w:r w:rsidR="006E1792">
        <w:rPr>
          <w:rFonts w:ascii="Verdana" w:hAnsi="Verdana" w:cs="Verdana"/>
          <w:sz w:val="20"/>
          <w:szCs w:val="20"/>
          <w:lang w:val="es-PA"/>
        </w:rPr>
        <w:t xml:space="preserve"> como</w:t>
      </w:r>
      <w:r w:rsidR="006E1792" w:rsidRPr="001D0CDF">
        <w:rPr>
          <w:rFonts w:ascii="Verdana" w:hAnsi="Verdana" w:cs="Verdana"/>
          <w:sz w:val="20"/>
          <w:szCs w:val="20"/>
          <w:lang w:val="es-PA"/>
        </w:rPr>
        <w:t xml:space="preserve"> el Estado</w:t>
      </w:r>
      <w:r w:rsidR="006E1792">
        <w:rPr>
          <w:rFonts w:ascii="Verdana" w:hAnsi="Verdana" w:cs="Verdana"/>
          <w:sz w:val="20"/>
          <w:szCs w:val="20"/>
          <w:lang w:val="es-PA"/>
        </w:rPr>
        <w:t xml:space="preserve"> </w:t>
      </w:r>
      <w:r>
        <w:rPr>
          <w:rFonts w:ascii="Verdana" w:hAnsi="Verdana" w:cs="Verdana"/>
          <w:sz w:val="20"/>
          <w:szCs w:val="20"/>
          <w:lang w:val="es-PA"/>
        </w:rPr>
        <w:t>presentaron</w:t>
      </w:r>
      <w:r w:rsidRPr="001D0CDF">
        <w:rPr>
          <w:rFonts w:ascii="Verdana" w:hAnsi="Verdana" w:cs="Verdana"/>
          <w:sz w:val="20"/>
          <w:szCs w:val="20"/>
          <w:lang w:val="es-PA"/>
        </w:rPr>
        <w:t xml:space="preserve"> </w:t>
      </w:r>
      <w:r w:rsidR="0022574E">
        <w:rPr>
          <w:rFonts w:ascii="Verdana" w:hAnsi="Verdana" w:cs="Verdana"/>
          <w:sz w:val="20"/>
          <w:szCs w:val="20"/>
          <w:lang w:val="es-PA"/>
        </w:rPr>
        <w:t>sus</w:t>
      </w:r>
      <w:r w:rsidR="0022574E" w:rsidRPr="001D0CDF">
        <w:rPr>
          <w:rFonts w:ascii="Verdana" w:hAnsi="Verdana" w:cs="Verdana"/>
          <w:sz w:val="20"/>
          <w:szCs w:val="20"/>
          <w:lang w:val="es-PA"/>
        </w:rPr>
        <w:t xml:space="preserve"> </w:t>
      </w:r>
      <w:r>
        <w:rPr>
          <w:rFonts w:ascii="Verdana" w:hAnsi="Verdana" w:cs="Verdana"/>
          <w:sz w:val="20"/>
          <w:szCs w:val="20"/>
          <w:lang w:val="es-PA"/>
        </w:rPr>
        <w:t>solicitud</w:t>
      </w:r>
      <w:r w:rsidR="0022574E">
        <w:rPr>
          <w:rFonts w:ascii="Verdana" w:hAnsi="Verdana" w:cs="Verdana"/>
          <w:sz w:val="20"/>
          <w:szCs w:val="20"/>
          <w:lang w:val="es-PA"/>
        </w:rPr>
        <w:t>es</w:t>
      </w:r>
      <w:r w:rsidRPr="001D0CDF">
        <w:rPr>
          <w:rFonts w:ascii="Verdana" w:hAnsi="Verdana" w:cs="Verdana"/>
          <w:sz w:val="20"/>
          <w:szCs w:val="20"/>
          <w:lang w:val="es-PA"/>
        </w:rPr>
        <w:t xml:space="preserve"> de interpretación en el plazo establecido en el artículo 67 de la Convención, ya que la</w:t>
      </w:r>
      <w:r>
        <w:rPr>
          <w:rFonts w:ascii="Verdana" w:hAnsi="Verdana" w:cs="Verdana"/>
          <w:sz w:val="20"/>
          <w:szCs w:val="20"/>
          <w:lang w:val="es-PA"/>
        </w:rPr>
        <w:t>s</w:t>
      </w:r>
      <w:r w:rsidRPr="001D0CDF">
        <w:rPr>
          <w:rFonts w:ascii="Verdana" w:hAnsi="Verdana" w:cs="Verdana"/>
          <w:sz w:val="20"/>
          <w:szCs w:val="20"/>
          <w:lang w:val="es-PA"/>
        </w:rPr>
        <w:t xml:space="preserve"> misma</w:t>
      </w:r>
      <w:r>
        <w:rPr>
          <w:rFonts w:ascii="Verdana" w:hAnsi="Verdana" w:cs="Verdana"/>
          <w:sz w:val="20"/>
          <w:szCs w:val="20"/>
          <w:lang w:val="es-PA"/>
        </w:rPr>
        <w:t>s</w:t>
      </w:r>
      <w:r w:rsidRPr="001D0CDF">
        <w:rPr>
          <w:rFonts w:ascii="Verdana" w:hAnsi="Verdana" w:cs="Verdana"/>
          <w:sz w:val="20"/>
          <w:szCs w:val="20"/>
          <w:lang w:val="es-PA"/>
        </w:rPr>
        <w:t xml:space="preserve"> fue</w:t>
      </w:r>
      <w:r>
        <w:rPr>
          <w:rFonts w:ascii="Verdana" w:hAnsi="Verdana" w:cs="Verdana"/>
          <w:sz w:val="20"/>
          <w:szCs w:val="20"/>
          <w:lang w:val="es-PA"/>
        </w:rPr>
        <w:t>ron</w:t>
      </w:r>
      <w:r w:rsidRPr="001D0CDF">
        <w:rPr>
          <w:rFonts w:ascii="Verdana" w:hAnsi="Verdana" w:cs="Verdana"/>
          <w:sz w:val="20"/>
          <w:szCs w:val="20"/>
          <w:lang w:val="es-PA"/>
        </w:rPr>
        <w:t xml:space="preserve"> presentada</w:t>
      </w:r>
      <w:r>
        <w:rPr>
          <w:rFonts w:ascii="Verdana" w:hAnsi="Verdana" w:cs="Verdana"/>
          <w:sz w:val="20"/>
          <w:szCs w:val="20"/>
          <w:lang w:val="es-PA"/>
        </w:rPr>
        <w:t>s en fecha 9 y 14 de agosto de 2017, respectivamente,</w:t>
      </w:r>
      <w:r w:rsidRPr="001D0CDF">
        <w:rPr>
          <w:rFonts w:ascii="Verdana" w:hAnsi="Verdana" w:cs="Verdana"/>
          <w:sz w:val="20"/>
          <w:szCs w:val="20"/>
          <w:lang w:val="es-PA"/>
        </w:rPr>
        <w:t xml:space="preserve"> y las partes fueron notificadas de </w:t>
      </w:r>
      <w:r w:rsidRPr="001010F6">
        <w:rPr>
          <w:rFonts w:ascii="Verdana" w:hAnsi="Verdana" w:cs="Verdana"/>
          <w:sz w:val="20"/>
          <w:szCs w:val="20"/>
          <w:lang w:val="es-PA"/>
        </w:rPr>
        <w:t xml:space="preserve">la </w:t>
      </w:r>
      <w:r w:rsidRPr="0028163D">
        <w:rPr>
          <w:rFonts w:ascii="Verdana" w:hAnsi="Verdana" w:cs="Verdana"/>
          <w:sz w:val="20"/>
          <w:szCs w:val="20"/>
          <w:lang w:val="es-PA"/>
        </w:rPr>
        <w:t xml:space="preserve">Sentencia el </w:t>
      </w:r>
      <w:r w:rsidR="0003025F" w:rsidRPr="0028163D">
        <w:rPr>
          <w:rFonts w:ascii="Verdana" w:hAnsi="Verdana" w:cs="Verdana"/>
          <w:sz w:val="20"/>
          <w:szCs w:val="20"/>
          <w:lang w:val="es-PA"/>
        </w:rPr>
        <w:t>12</w:t>
      </w:r>
      <w:r w:rsidR="006E1792" w:rsidRPr="0028163D">
        <w:rPr>
          <w:rFonts w:ascii="Verdana" w:hAnsi="Verdana" w:cs="Verdana"/>
          <w:sz w:val="20"/>
          <w:szCs w:val="20"/>
          <w:lang w:val="es-PA"/>
        </w:rPr>
        <w:t xml:space="preserve"> </w:t>
      </w:r>
      <w:r w:rsidR="0003025F" w:rsidRPr="0028163D">
        <w:rPr>
          <w:rFonts w:ascii="Verdana" w:hAnsi="Verdana" w:cs="Verdana"/>
          <w:sz w:val="20"/>
          <w:szCs w:val="20"/>
          <w:lang w:val="es-PA"/>
        </w:rPr>
        <w:t xml:space="preserve">de </w:t>
      </w:r>
      <w:r w:rsidR="00296A89" w:rsidRPr="0028163D">
        <w:rPr>
          <w:rFonts w:ascii="Verdana" w:hAnsi="Verdana" w:cs="Verdana"/>
          <w:sz w:val="20"/>
          <w:szCs w:val="20"/>
          <w:lang w:val="es-PA"/>
        </w:rPr>
        <w:t xml:space="preserve">mayo de </w:t>
      </w:r>
      <w:r w:rsidRPr="0028163D">
        <w:rPr>
          <w:rFonts w:ascii="Verdana" w:hAnsi="Verdana" w:cs="Verdana"/>
          <w:sz w:val="20"/>
          <w:szCs w:val="20"/>
          <w:lang w:val="es-PA"/>
        </w:rPr>
        <w:t>2017</w:t>
      </w:r>
      <w:r w:rsidRPr="001010F6">
        <w:rPr>
          <w:rFonts w:ascii="Verdana" w:hAnsi="Verdana" w:cs="Verdana"/>
          <w:sz w:val="20"/>
          <w:szCs w:val="20"/>
          <w:lang w:val="es-PA"/>
        </w:rPr>
        <w:t>. Por</w:t>
      </w:r>
      <w:r w:rsidRPr="001D0CDF">
        <w:rPr>
          <w:rFonts w:ascii="Verdana" w:hAnsi="Verdana" w:cs="Verdana"/>
          <w:sz w:val="20"/>
          <w:szCs w:val="20"/>
          <w:lang w:val="es-PA"/>
        </w:rPr>
        <w:t xml:space="preserve"> </w:t>
      </w:r>
      <w:r>
        <w:rPr>
          <w:rFonts w:ascii="Verdana" w:hAnsi="Verdana" w:cs="Verdana"/>
          <w:sz w:val="20"/>
          <w:szCs w:val="20"/>
          <w:lang w:val="es-PA"/>
        </w:rPr>
        <w:t>lo tanto</w:t>
      </w:r>
      <w:r w:rsidRPr="001D0CDF">
        <w:rPr>
          <w:rFonts w:ascii="Verdana" w:hAnsi="Verdana" w:cs="Verdana"/>
          <w:sz w:val="20"/>
          <w:szCs w:val="20"/>
          <w:lang w:val="es-PA"/>
        </w:rPr>
        <w:t>, la</w:t>
      </w:r>
      <w:r w:rsidR="0022574E">
        <w:rPr>
          <w:rFonts w:ascii="Verdana" w:hAnsi="Verdana" w:cs="Verdana"/>
          <w:sz w:val="20"/>
          <w:szCs w:val="20"/>
          <w:lang w:val="es-PA"/>
        </w:rPr>
        <w:t>s</w:t>
      </w:r>
      <w:r w:rsidRPr="001D0CDF">
        <w:rPr>
          <w:rFonts w:ascii="Verdana" w:hAnsi="Verdana" w:cs="Verdana"/>
          <w:sz w:val="20"/>
          <w:szCs w:val="20"/>
          <w:lang w:val="es-PA"/>
        </w:rPr>
        <w:t xml:space="preserve"> solicitud</w:t>
      </w:r>
      <w:r w:rsidR="0022574E">
        <w:rPr>
          <w:rFonts w:ascii="Verdana" w:hAnsi="Verdana" w:cs="Verdana"/>
          <w:sz w:val="20"/>
          <w:szCs w:val="20"/>
          <w:lang w:val="es-PA"/>
        </w:rPr>
        <w:t>es</w:t>
      </w:r>
      <w:r w:rsidRPr="001D0CDF">
        <w:rPr>
          <w:rFonts w:ascii="Verdana" w:hAnsi="Verdana" w:cs="Verdana"/>
          <w:sz w:val="20"/>
          <w:szCs w:val="20"/>
          <w:lang w:val="es-PA"/>
        </w:rPr>
        <w:t xml:space="preserve"> </w:t>
      </w:r>
      <w:r w:rsidR="0022574E">
        <w:rPr>
          <w:rFonts w:ascii="Verdana" w:hAnsi="Verdana" w:cs="Verdana"/>
          <w:sz w:val="20"/>
          <w:szCs w:val="20"/>
          <w:lang w:val="es-PA"/>
        </w:rPr>
        <w:t>son</w:t>
      </w:r>
      <w:r w:rsidR="0022574E" w:rsidRPr="001D0CDF">
        <w:rPr>
          <w:rFonts w:ascii="Verdana" w:hAnsi="Verdana" w:cs="Verdana"/>
          <w:sz w:val="20"/>
          <w:szCs w:val="20"/>
          <w:lang w:val="es-PA"/>
        </w:rPr>
        <w:t xml:space="preserve"> </w:t>
      </w:r>
      <w:r w:rsidRPr="001D0CDF">
        <w:rPr>
          <w:rFonts w:ascii="Verdana" w:hAnsi="Verdana" w:cs="Verdana"/>
          <w:sz w:val="20"/>
          <w:szCs w:val="20"/>
          <w:lang w:val="es-PA"/>
        </w:rPr>
        <w:t>admisible</w:t>
      </w:r>
      <w:r w:rsidR="0022574E">
        <w:rPr>
          <w:rFonts w:ascii="Verdana" w:hAnsi="Verdana" w:cs="Verdana"/>
          <w:sz w:val="20"/>
          <w:szCs w:val="20"/>
          <w:lang w:val="es-PA"/>
        </w:rPr>
        <w:t>s</w:t>
      </w:r>
      <w:r w:rsidRPr="001D0CDF">
        <w:rPr>
          <w:rFonts w:ascii="Verdana" w:hAnsi="Verdana" w:cs="Verdana"/>
          <w:sz w:val="20"/>
          <w:szCs w:val="20"/>
          <w:lang w:val="es-PA"/>
        </w:rPr>
        <w:t xml:space="preserve"> en lo que</w:t>
      </w:r>
      <w:r w:rsidRPr="004F640F">
        <w:rPr>
          <w:rFonts w:ascii="Verdana" w:hAnsi="Verdana" w:cs="Verdana"/>
          <w:sz w:val="20"/>
          <w:szCs w:val="20"/>
          <w:lang w:val="es-PA"/>
        </w:rPr>
        <w:t xml:space="preserve"> se refiere al plazo en que fue</w:t>
      </w:r>
      <w:r w:rsidR="0022574E">
        <w:rPr>
          <w:rFonts w:ascii="Verdana" w:hAnsi="Verdana" w:cs="Verdana"/>
          <w:sz w:val="20"/>
          <w:szCs w:val="20"/>
          <w:lang w:val="es-PA"/>
        </w:rPr>
        <w:t>ron</w:t>
      </w:r>
      <w:r w:rsidRPr="004F640F">
        <w:rPr>
          <w:rFonts w:ascii="Verdana" w:hAnsi="Verdana" w:cs="Verdana"/>
          <w:sz w:val="20"/>
          <w:szCs w:val="20"/>
          <w:lang w:val="es-PA"/>
        </w:rPr>
        <w:t xml:space="preserve"> presentada</w:t>
      </w:r>
      <w:r w:rsidR="0022574E">
        <w:rPr>
          <w:rFonts w:ascii="Verdana" w:hAnsi="Verdana" w:cs="Verdana"/>
          <w:sz w:val="20"/>
          <w:szCs w:val="20"/>
          <w:lang w:val="es-PA"/>
        </w:rPr>
        <w:t>s</w:t>
      </w:r>
      <w:r w:rsidRPr="004F640F">
        <w:rPr>
          <w:rFonts w:ascii="Verdana" w:hAnsi="Verdana" w:cs="Verdana"/>
          <w:sz w:val="20"/>
          <w:szCs w:val="20"/>
          <w:lang w:val="es-PA"/>
        </w:rPr>
        <w:t xml:space="preserve">. En cuanto a los demás requisitos, la Corte realizará el análisis respectivo </w:t>
      </w:r>
      <w:r>
        <w:rPr>
          <w:rFonts w:ascii="Verdana" w:hAnsi="Verdana" w:cs="Verdana"/>
          <w:sz w:val="20"/>
          <w:szCs w:val="20"/>
          <w:lang w:val="es-PA"/>
        </w:rPr>
        <w:t>al</w:t>
      </w:r>
      <w:r w:rsidR="00A9152C">
        <w:rPr>
          <w:rFonts w:ascii="Verdana" w:hAnsi="Verdana" w:cs="Verdana"/>
          <w:sz w:val="20"/>
          <w:szCs w:val="20"/>
          <w:lang w:val="es-PA"/>
        </w:rPr>
        <w:t xml:space="preserve"> </w:t>
      </w:r>
      <w:r>
        <w:rPr>
          <w:rFonts w:ascii="Verdana" w:hAnsi="Verdana" w:cs="Verdana"/>
          <w:sz w:val="20"/>
          <w:szCs w:val="20"/>
          <w:lang w:val="es-PA"/>
        </w:rPr>
        <w:t>mérito</w:t>
      </w:r>
      <w:r w:rsidRPr="004F640F">
        <w:rPr>
          <w:rFonts w:ascii="Verdana" w:hAnsi="Verdana" w:cs="Verdana"/>
          <w:sz w:val="20"/>
          <w:szCs w:val="20"/>
          <w:lang w:val="es-PA"/>
        </w:rPr>
        <w:t xml:space="preserve"> de </w:t>
      </w:r>
      <w:r w:rsidR="0022574E">
        <w:rPr>
          <w:rFonts w:ascii="Verdana" w:hAnsi="Verdana" w:cs="Verdana"/>
          <w:sz w:val="20"/>
          <w:szCs w:val="20"/>
          <w:lang w:val="es-PA"/>
        </w:rPr>
        <w:t xml:space="preserve">dichas </w:t>
      </w:r>
      <w:r w:rsidRPr="004F640F">
        <w:rPr>
          <w:rFonts w:ascii="Verdana" w:hAnsi="Verdana" w:cs="Verdana"/>
          <w:sz w:val="20"/>
          <w:szCs w:val="20"/>
          <w:lang w:val="es-PA"/>
        </w:rPr>
        <w:t>solicitud</w:t>
      </w:r>
      <w:r w:rsidR="0022574E">
        <w:rPr>
          <w:rFonts w:ascii="Verdana" w:hAnsi="Verdana" w:cs="Verdana"/>
          <w:sz w:val="20"/>
          <w:szCs w:val="20"/>
          <w:lang w:val="es-PA"/>
        </w:rPr>
        <w:t>es</w:t>
      </w:r>
      <w:r w:rsidRPr="004F640F">
        <w:rPr>
          <w:rFonts w:ascii="Verdana" w:hAnsi="Verdana" w:cs="Verdana"/>
          <w:sz w:val="20"/>
          <w:szCs w:val="20"/>
          <w:lang w:val="es-PA"/>
        </w:rPr>
        <w:t xml:space="preserve"> en el próximo capítulo.</w:t>
      </w:r>
    </w:p>
    <w:p w:rsidR="0074017B" w:rsidRPr="004F640F" w:rsidRDefault="0074017B" w:rsidP="00A82FB4">
      <w:pPr>
        <w:spacing w:after="0" w:line="240" w:lineRule="auto"/>
        <w:jc w:val="both"/>
        <w:rPr>
          <w:rFonts w:ascii="Verdana" w:eastAsia="Times" w:hAnsi="Verdana"/>
          <w:sz w:val="20"/>
          <w:szCs w:val="20"/>
          <w:u w:val="single"/>
          <w:lang w:val="es-PA"/>
        </w:rPr>
      </w:pPr>
    </w:p>
    <w:p w:rsidR="0074017B" w:rsidRPr="004F640F" w:rsidRDefault="0074017B" w:rsidP="00A82FB4">
      <w:pPr>
        <w:spacing w:after="0" w:line="240" w:lineRule="auto"/>
        <w:jc w:val="center"/>
        <w:rPr>
          <w:rFonts w:ascii="Verdana" w:eastAsia="Times" w:hAnsi="Verdana"/>
          <w:b/>
          <w:sz w:val="20"/>
          <w:szCs w:val="20"/>
          <w:lang w:val="es-PA"/>
        </w:rPr>
      </w:pPr>
      <w:r w:rsidRPr="004F640F">
        <w:rPr>
          <w:rFonts w:ascii="Verdana" w:eastAsia="Times" w:hAnsi="Verdana"/>
          <w:b/>
          <w:sz w:val="20"/>
          <w:szCs w:val="20"/>
          <w:lang w:val="es-PA"/>
        </w:rPr>
        <w:t>IV</w:t>
      </w:r>
    </w:p>
    <w:p w:rsidR="0074017B" w:rsidRPr="004F640F" w:rsidRDefault="0074017B" w:rsidP="00A82FB4">
      <w:pPr>
        <w:autoSpaceDE w:val="0"/>
        <w:autoSpaceDN w:val="0"/>
        <w:adjustRightInd w:val="0"/>
        <w:spacing w:after="0" w:line="240" w:lineRule="auto"/>
        <w:jc w:val="center"/>
        <w:rPr>
          <w:rFonts w:ascii="Verdana" w:hAnsi="Verdana" w:cs="Verdana"/>
          <w:b/>
          <w:caps/>
          <w:sz w:val="20"/>
          <w:szCs w:val="20"/>
          <w:lang w:val="es-PA"/>
        </w:rPr>
      </w:pPr>
      <w:r w:rsidRPr="004F640F">
        <w:rPr>
          <w:rFonts w:ascii="Verdana" w:hAnsi="Verdana" w:cs="Verdana"/>
          <w:b/>
          <w:caps/>
          <w:sz w:val="20"/>
          <w:szCs w:val="20"/>
          <w:lang w:val="es-PA"/>
        </w:rPr>
        <w:t xml:space="preserve">ANÁLISIS dE LA procedEncia DE </w:t>
      </w:r>
      <w:r>
        <w:rPr>
          <w:rFonts w:ascii="Verdana" w:hAnsi="Verdana" w:cs="Verdana"/>
          <w:b/>
          <w:caps/>
          <w:sz w:val="20"/>
          <w:szCs w:val="20"/>
          <w:lang w:val="es-PA"/>
        </w:rPr>
        <w:t>LAS SOLICITUDES</w:t>
      </w:r>
      <w:r w:rsidRPr="004F640F">
        <w:rPr>
          <w:rFonts w:ascii="Verdana" w:hAnsi="Verdana" w:cs="Verdana"/>
          <w:b/>
          <w:caps/>
          <w:sz w:val="20"/>
          <w:szCs w:val="20"/>
          <w:lang w:val="es-PA"/>
        </w:rPr>
        <w:t xml:space="preserve"> de interpretación</w:t>
      </w:r>
    </w:p>
    <w:p w:rsidR="0074017B" w:rsidRPr="004F640F" w:rsidRDefault="0074017B" w:rsidP="00A82FB4">
      <w:pPr>
        <w:autoSpaceDE w:val="0"/>
        <w:autoSpaceDN w:val="0"/>
        <w:adjustRightInd w:val="0"/>
        <w:spacing w:after="0" w:line="240" w:lineRule="auto"/>
        <w:jc w:val="center"/>
        <w:rPr>
          <w:rFonts w:ascii="Verdana" w:hAnsi="Verdana" w:cs="Verdana"/>
          <w:b/>
          <w:caps/>
          <w:sz w:val="20"/>
          <w:szCs w:val="20"/>
          <w:lang w:val="es-PA"/>
        </w:rPr>
      </w:pPr>
    </w:p>
    <w:p w:rsidR="0074017B" w:rsidRPr="004F640F" w:rsidRDefault="0074017B"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 xml:space="preserve">A continuación la Corte analizará las solicitudes del Estado </w:t>
      </w:r>
      <w:r w:rsidR="001A16FA">
        <w:rPr>
          <w:rFonts w:ascii="Verdana" w:hAnsi="Verdana" w:cs="Verdana"/>
          <w:sz w:val="20"/>
          <w:szCs w:val="20"/>
          <w:lang w:val="es-PA"/>
        </w:rPr>
        <w:t xml:space="preserve">y de los representantes </w:t>
      </w:r>
      <w:r w:rsidRPr="004F640F">
        <w:rPr>
          <w:rFonts w:ascii="Verdana" w:hAnsi="Verdana" w:cs="Verdana"/>
          <w:sz w:val="20"/>
          <w:szCs w:val="20"/>
          <w:lang w:val="es-PA"/>
        </w:rPr>
        <w:t>para determinar si, de acuerdo a la normativa y a los criterios desarrollados en su jurisprudencia, procede aclarar el sentido de determinados puntos de la Sentencia.</w:t>
      </w:r>
    </w:p>
    <w:p w:rsidR="0074017B" w:rsidRPr="004F640F" w:rsidRDefault="0074017B" w:rsidP="00A82FB4">
      <w:pPr>
        <w:autoSpaceDE w:val="0"/>
        <w:autoSpaceDN w:val="0"/>
        <w:adjustRightInd w:val="0"/>
        <w:spacing w:after="0" w:line="240" w:lineRule="auto"/>
        <w:jc w:val="both"/>
        <w:rPr>
          <w:rFonts w:ascii="Verdana" w:hAnsi="Verdana" w:cs="Verdana"/>
          <w:sz w:val="20"/>
          <w:szCs w:val="20"/>
          <w:lang w:val="es-PA"/>
        </w:rPr>
      </w:pPr>
    </w:p>
    <w:p w:rsidR="0074017B" w:rsidRPr="004F640F" w:rsidRDefault="0074017B" w:rsidP="00C81D57">
      <w:pPr>
        <w:pStyle w:val="ListParagraph"/>
        <w:numPr>
          <w:ilvl w:val="0"/>
          <w:numId w:val="2"/>
        </w:numPr>
        <w:tabs>
          <w:tab w:val="clear" w:pos="1247"/>
          <w:tab w:val="num" w:pos="0"/>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Para analizar la procedencia de las solicitudes del Estado</w:t>
      </w:r>
      <w:r w:rsidR="001A16FA">
        <w:rPr>
          <w:rFonts w:ascii="Verdana" w:hAnsi="Verdana" w:cs="Verdana"/>
          <w:sz w:val="20"/>
          <w:szCs w:val="20"/>
          <w:lang w:val="es-PA"/>
        </w:rPr>
        <w:t xml:space="preserve"> y de los representantes</w:t>
      </w:r>
      <w:r w:rsidRPr="004F640F">
        <w:rPr>
          <w:rFonts w:ascii="Verdana" w:hAnsi="Verdana" w:cs="Verdana"/>
          <w:sz w:val="20"/>
          <w:szCs w:val="20"/>
          <w:lang w:val="es-PA"/>
        </w:rPr>
        <w:t>, la Corte toma en consideración su jurisprudencia constante, en cuanto a que una solicitud de interpretación de sentencia no puede utilizarse como medio de impugnación de la decisión cuya interpretación se requiere. Dicha solicitud debe te</w:t>
      </w:r>
      <w:r>
        <w:rPr>
          <w:rFonts w:ascii="Verdana" w:hAnsi="Verdana" w:cs="Verdana"/>
          <w:sz w:val="20"/>
          <w:szCs w:val="20"/>
          <w:lang w:val="es-PA"/>
        </w:rPr>
        <w:t>ne</w:t>
      </w:r>
      <w:r w:rsidRPr="004F640F">
        <w:rPr>
          <w:rFonts w:ascii="Verdana" w:hAnsi="Verdana" w:cs="Verdana"/>
          <w:sz w:val="20"/>
          <w:szCs w:val="20"/>
          <w:lang w:val="es-PA"/>
        </w:rPr>
        <w:t>r como objeto, exclusivamente, determinar el sentido de un fallo cuando alguna de las partes sostiene que el texto de sus puntos resolutivos o de sus consideraciones carece de claridad o precisión, siempre y cuando esas consideraciones incidan en la parte resolutiva de la Sentencia</w:t>
      </w:r>
      <w:r w:rsidRPr="0028163D">
        <w:rPr>
          <w:rStyle w:val="FootnoteReference"/>
          <w:rFonts w:cs="Verdana"/>
          <w:sz w:val="20"/>
          <w:szCs w:val="20"/>
          <w:lang w:val="es-PA"/>
        </w:rPr>
        <w:footnoteReference w:id="3"/>
      </w:r>
      <w:r>
        <w:rPr>
          <w:rFonts w:ascii="Verdana" w:hAnsi="Verdana" w:cs="Verdana"/>
          <w:sz w:val="20"/>
          <w:szCs w:val="20"/>
          <w:lang w:val="es-PA"/>
        </w:rPr>
        <w:t>.</w:t>
      </w:r>
      <w:r w:rsidRPr="004F640F">
        <w:rPr>
          <w:rFonts w:ascii="Verdana" w:hAnsi="Verdana" w:cs="Verdana"/>
          <w:sz w:val="20"/>
          <w:szCs w:val="20"/>
          <w:lang w:val="es-PA"/>
        </w:rPr>
        <w:t xml:space="preserve"> Por lo tanto,</w:t>
      </w:r>
      <w:r w:rsidR="001F08E6" w:rsidRPr="001F08E6">
        <w:t xml:space="preserve"> </w:t>
      </w:r>
      <w:r w:rsidR="001F08E6" w:rsidRPr="001F08E6">
        <w:rPr>
          <w:rFonts w:ascii="Verdana" w:hAnsi="Verdana" w:cs="Verdana"/>
          <w:sz w:val="20"/>
          <w:szCs w:val="20"/>
          <w:lang w:val="es-PA"/>
        </w:rPr>
        <w:t>de conformidad con el artículo 31.3 del Reglamento</w:t>
      </w:r>
      <w:r w:rsidR="001F08E6">
        <w:rPr>
          <w:rFonts w:ascii="Verdana" w:hAnsi="Verdana" w:cs="Verdana"/>
          <w:sz w:val="20"/>
          <w:szCs w:val="20"/>
          <w:lang w:val="es-PA"/>
        </w:rPr>
        <w:t>,</w:t>
      </w:r>
      <w:r w:rsidRPr="004F640F">
        <w:rPr>
          <w:rFonts w:ascii="Verdana" w:hAnsi="Verdana" w:cs="Verdana"/>
          <w:sz w:val="20"/>
          <w:szCs w:val="20"/>
          <w:lang w:val="es-PA"/>
        </w:rPr>
        <w:t xml:space="preserve"> no se puede solicitar la modificación o anulación de la sentencia respectiva a través de una solicitud de interpretación</w:t>
      </w:r>
      <w:r w:rsidRPr="0028163D">
        <w:rPr>
          <w:rStyle w:val="FootnoteReference"/>
          <w:rFonts w:cs="Verdana"/>
          <w:sz w:val="20"/>
          <w:szCs w:val="20"/>
          <w:lang w:val="es-PA"/>
        </w:rPr>
        <w:footnoteReference w:id="4"/>
      </w:r>
      <w:r>
        <w:rPr>
          <w:rFonts w:ascii="Verdana" w:hAnsi="Verdana" w:cs="Verdana"/>
          <w:sz w:val="20"/>
          <w:szCs w:val="20"/>
          <w:lang w:val="es-PA"/>
        </w:rPr>
        <w:t>.</w:t>
      </w:r>
      <w:r w:rsidRPr="004F640F">
        <w:rPr>
          <w:rFonts w:ascii="Verdana" w:hAnsi="Verdana" w:cs="Verdana"/>
          <w:sz w:val="20"/>
          <w:szCs w:val="20"/>
          <w:lang w:val="es-PA"/>
        </w:rPr>
        <w:t xml:space="preserve"> </w:t>
      </w:r>
    </w:p>
    <w:p w:rsidR="0074017B" w:rsidRPr="004F640F" w:rsidRDefault="0074017B" w:rsidP="00A82FB4">
      <w:pPr>
        <w:pStyle w:val="ListParagraph"/>
        <w:spacing w:after="0" w:line="240" w:lineRule="auto"/>
        <w:contextualSpacing w:val="0"/>
        <w:rPr>
          <w:rFonts w:ascii="Verdana" w:hAnsi="Verdana" w:cs="Verdana"/>
          <w:sz w:val="20"/>
          <w:szCs w:val="20"/>
          <w:lang w:val="es-PA"/>
        </w:rPr>
      </w:pPr>
    </w:p>
    <w:p w:rsidR="00186DA5" w:rsidRPr="0022574E" w:rsidRDefault="0074017B" w:rsidP="00A82FB4">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22574E">
        <w:rPr>
          <w:rFonts w:ascii="Verdana" w:hAnsi="Verdana" w:cs="Verdana"/>
          <w:sz w:val="20"/>
          <w:szCs w:val="20"/>
          <w:lang w:val="es-PA"/>
        </w:rPr>
        <w:t>Adicionalmente, la Corte ha sostenido la improcedencia de utilizar una solicitud de interpretación para someter cuestiones de hecho y de derecho que ya fueron planteadas en su oportunidad procesal y sobre las cuales la Corte ya adoptó una decisión</w:t>
      </w:r>
      <w:r w:rsidRPr="0028163D">
        <w:rPr>
          <w:rStyle w:val="FootnoteReference"/>
          <w:rFonts w:cs="Verdana"/>
          <w:sz w:val="20"/>
          <w:szCs w:val="20"/>
          <w:lang w:val="es-PA"/>
        </w:rPr>
        <w:footnoteReference w:id="5"/>
      </w:r>
      <w:r w:rsidRPr="0022574E">
        <w:rPr>
          <w:rFonts w:ascii="Verdana" w:hAnsi="Verdana" w:cs="Verdana"/>
          <w:sz w:val="20"/>
          <w:szCs w:val="20"/>
          <w:lang w:val="es-PA"/>
        </w:rPr>
        <w:t xml:space="preserve">, así como para pretender que la Corte valore nuevamente cuestiones que ya han sido resueltas por ésta en </w:t>
      </w:r>
      <w:r w:rsidRPr="0022574E">
        <w:rPr>
          <w:rFonts w:ascii="Verdana" w:hAnsi="Verdana" w:cs="Verdana"/>
          <w:sz w:val="20"/>
          <w:szCs w:val="20"/>
          <w:lang w:val="es-PA"/>
        </w:rPr>
        <w:lastRenderedPageBreak/>
        <w:t>su sentencia</w:t>
      </w:r>
      <w:r w:rsidRPr="0028163D">
        <w:rPr>
          <w:rStyle w:val="FootnoteReference"/>
          <w:rFonts w:cs="Verdana"/>
          <w:sz w:val="20"/>
          <w:szCs w:val="20"/>
          <w:lang w:val="es-PA"/>
        </w:rPr>
        <w:footnoteReference w:id="6"/>
      </w:r>
      <w:r w:rsidRPr="0022574E">
        <w:rPr>
          <w:rFonts w:ascii="Verdana" w:hAnsi="Verdana" w:cs="Verdana"/>
          <w:sz w:val="20"/>
          <w:szCs w:val="20"/>
          <w:lang w:val="es-PA"/>
        </w:rPr>
        <w:t>. De igual manera, por esta vía tampoco se puede intentar que se amplíe el alcance de una medida de reparación ordenada oportunamente</w:t>
      </w:r>
      <w:r w:rsidRPr="0028163D">
        <w:rPr>
          <w:rStyle w:val="FootnoteReference"/>
          <w:rFonts w:cs="Verdana"/>
          <w:sz w:val="20"/>
          <w:szCs w:val="20"/>
          <w:lang w:val="es-PA"/>
        </w:rPr>
        <w:footnoteReference w:id="7"/>
      </w:r>
      <w:r w:rsidRPr="0022574E">
        <w:rPr>
          <w:rFonts w:ascii="Verdana" w:hAnsi="Verdana" w:cs="Verdana"/>
          <w:sz w:val="20"/>
          <w:szCs w:val="20"/>
          <w:lang w:val="es-PA"/>
        </w:rPr>
        <w:t xml:space="preserve">. </w:t>
      </w:r>
    </w:p>
    <w:p w:rsidR="00BF616B" w:rsidRPr="0028163D" w:rsidRDefault="00BF616B" w:rsidP="00A82FB4">
      <w:pPr>
        <w:pStyle w:val="ListParagraph"/>
        <w:autoSpaceDE w:val="0"/>
        <w:autoSpaceDN w:val="0"/>
        <w:adjustRightInd w:val="0"/>
        <w:spacing w:after="0" w:line="240" w:lineRule="auto"/>
        <w:ind w:left="0"/>
        <w:contextualSpacing w:val="0"/>
        <w:jc w:val="both"/>
        <w:rPr>
          <w:rFonts w:ascii="Verdana" w:hAnsi="Verdana" w:cs="Verdana"/>
          <w:sz w:val="20"/>
          <w:szCs w:val="20"/>
          <w:lang w:val="es-PA"/>
        </w:rPr>
      </w:pPr>
    </w:p>
    <w:p w:rsidR="0074017B" w:rsidRDefault="0074017B"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186DA5">
        <w:rPr>
          <w:rFonts w:ascii="Verdana" w:hAnsi="Verdana" w:cs="Verdana"/>
          <w:sz w:val="20"/>
          <w:szCs w:val="20"/>
          <w:lang w:val="es-PA"/>
        </w:rPr>
        <w:t>Bajo este entendido, la Corte examinará las cuestiones planteadas por el Estado</w:t>
      </w:r>
      <w:r w:rsidR="00186DA5" w:rsidRPr="00186DA5">
        <w:rPr>
          <w:rFonts w:ascii="Verdana" w:hAnsi="Verdana" w:cs="Verdana"/>
          <w:sz w:val="20"/>
          <w:szCs w:val="20"/>
          <w:lang w:val="es-PA"/>
        </w:rPr>
        <w:t xml:space="preserve"> y por los representantes</w:t>
      </w:r>
      <w:r w:rsidR="00186DA5" w:rsidRPr="003F1D25">
        <w:rPr>
          <w:rFonts w:ascii="Verdana" w:hAnsi="Verdana" w:cs="Verdana"/>
          <w:sz w:val="20"/>
          <w:szCs w:val="20"/>
          <w:lang w:val="es-PA"/>
        </w:rPr>
        <w:t xml:space="preserve"> </w:t>
      </w:r>
      <w:r w:rsidRPr="005808E2">
        <w:rPr>
          <w:rFonts w:ascii="Verdana" w:hAnsi="Verdana" w:cs="Verdana"/>
          <w:sz w:val="20"/>
          <w:szCs w:val="20"/>
          <w:lang w:val="es-PA"/>
        </w:rPr>
        <w:t>así como las observaciones de la Comisión</w:t>
      </w:r>
      <w:r w:rsidR="00186DA5" w:rsidRPr="0028163D">
        <w:rPr>
          <w:rFonts w:ascii="Verdana" w:hAnsi="Verdana" w:cs="Verdana"/>
          <w:sz w:val="20"/>
          <w:szCs w:val="20"/>
          <w:lang w:val="es-PA"/>
        </w:rPr>
        <w:t>,</w:t>
      </w:r>
      <w:r w:rsidR="00186DA5" w:rsidRPr="003F1D25">
        <w:rPr>
          <w:rFonts w:ascii="Verdana" w:hAnsi="Verdana" w:cs="Verdana"/>
          <w:sz w:val="20"/>
          <w:szCs w:val="20"/>
          <w:lang w:val="es-PA"/>
        </w:rPr>
        <w:t xml:space="preserve"> en el siguiente orde</w:t>
      </w:r>
      <w:r w:rsidR="00186DA5" w:rsidRPr="005808E2">
        <w:rPr>
          <w:rFonts w:ascii="Verdana" w:hAnsi="Verdana" w:cs="Verdana"/>
          <w:sz w:val="20"/>
          <w:szCs w:val="20"/>
          <w:lang w:val="es-PA"/>
        </w:rPr>
        <w:t xml:space="preserve">n: </w:t>
      </w:r>
      <w:r w:rsidR="001F08E6">
        <w:rPr>
          <w:rFonts w:ascii="Verdana" w:hAnsi="Verdana" w:cs="Verdana"/>
          <w:sz w:val="20"/>
          <w:szCs w:val="20"/>
          <w:lang w:val="es-PA"/>
        </w:rPr>
        <w:t>A</w:t>
      </w:r>
      <w:r w:rsidR="000C2BED" w:rsidRPr="005808E2">
        <w:rPr>
          <w:rFonts w:ascii="Verdana" w:hAnsi="Verdana" w:cs="Verdana"/>
          <w:sz w:val="20"/>
          <w:szCs w:val="20"/>
          <w:lang w:val="es-PA"/>
        </w:rPr>
        <w:t>)</w:t>
      </w:r>
      <w:r w:rsidR="00186DA5" w:rsidRPr="005808E2">
        <w:rPr>
          <w:rFonts w:ascii="Verdana" w:hAnsi="Verdana" w:cs="Verdana"/>
          <w:sz w:val="20"/>
          <w:szCs w:val="20"/>
          <w:lang w:val="es-PA"/>
        </w:rPr>
        <w:t xml:space="preserve"> </w:t>
      </w:r>
      <w:r w:rsidR="001F08E6">
        <w:rPr>
          <w:rFonts w:ascii="Verdana" w:hAnsi="Verdana" w:cs="Verdana"/>
          <w:sz w:val="20"/>
          <w:szCs w:val="20"/>
          <w:lang w:val="es-PA"/>
        </w:rPr>
        <w:t>L</w:t>
      </w:r>
      <w:r w:rsidR="00FE04E9">
        <w:rPr>
          <w:rFonts w:ascii="Verdana" w:hAnsi="Verdana" w:cs="Verdana"/>
          <w:sz w:val="20"/>
          <w:szCs w:val="20"/>
          <w:lang w:val="es-PA"/>
        </w:rPr>
        <w:t>a investigación de las</w:t>
      </w:r>
      <w:r w:rsidR="006574B1" w:rsidRPr="005808E2">
        <w:rPr>
          <w:rFonts w:ascii="Verdana" w:hAnsi="Verdana" w:cs="Verdana"/>
          <w:sz w:val="20"/>
          <w:szCs w:val="20"/>
          <w:lang w:val="es-PA"/>
        </w:rPr>
        <w:t xml:space="preserve"> violaciones de derechos humano</w:t>
      </w:r>
      <w:r w:rsidR="006574B1">
        <w:rPr>
          <w:rFonts w:ascii="Verdana" w:hAnsi="Verdana" w:cs="Verdana"/>
          <w:sz w:val="20"/>
          <w:szCs w:val="20"/>
          <w:lang w:val="es-PA"/>
        </w:rPr>
        <w:t xml:space="preserve">s </w:t>
      </w:r>
      <w:r w:rsidR="0022574E">
        <w:rPr>
          <w:rFonts w:ascii="Verdana" w:hAnsi="Verdana" w:cs="Verdana"/>
          <w:sz w:val="20"/>
          <w:szCs w:val="20"/>
          <w:lang w:val="es-PA"/>
        </w:rPr>
        <w:t xml:space="preserve">determinadas en la Sentencia; </w:t>
      </w:r>
      <w:r w:rsidR="001F08E6">
        <w:rPr>
          <w:rFonts w:ascii="Verdana" w:hAnsi="Verdana" w:cs="Verdana"/>
          <w:sz w:val="20"/>
          <w:szCs w:val="20"/>
          <w:lang w:val="es-PA"/>
        </w:rPr>
        <w:t>B</w:t>
      </w:r>
      <w:r w:rsidR="00186DA5" w:rsidRPr="00186DA5">
        <w:rPr>
          <w:rFonts w:ascii="Verdana" w:hAnsi="Verdana" w:cs="Verdana"/>
          <w:sz w:val="20"/>
          <w:szCs w:val="20"/>
          <w:lang w:val="es-PA"/>
        </w:rPr>
        <w:t xml:space="preserve">) </w:t>
      </w:r>
      <w:r w:rsidR="001F08E6">
        <w:rPr>
          <w:rFonts w:ascii="Verdana" w:hAnsi="Verdana" w:cs="Verdana"/>
          <w:sz w:val="20"/>
          <w:szCs w:val="20"/>
          <w:lang w:val="es-PA"/>
        </w:rPr>
        <w:t>L</w:t>
      </w:r>
      <w:r w:rsidR="0085449E">
        <w:rPr>
          <w:rFonts w:ascii="Verdana" w:hAnsi="Verdana" w:cs="Verdana"/>
          <w:sz w:val="20"/>
          <w:szCs w:val="20"/>
          <w:lang w:val="es-PA"/>
        </w:rPr>
        <w:t xml:space="preserve">a adecuada </w:t>
      </w:r>
      <w:r w:rsidR="00186DA5" w:rsidRPr="00186DA5">
        <w:rPr>
          <w:rFonts w:ascii="Verdana" w:hAnsi="Verdana" w:cs="Verdana"/>
          <w:sz w:val="20"/>
          <w:szCs w:val="20"/>
          <w:lang w:val="es-PA"/>
        </w:rPr>
        <w:t>representación de las víctimas y sus familiares</w:t>
      </w:r>
      <w:r w:rsidR="000C2BED">
        <w:rPr>
          <w:rFonts w:ascii="Verdana" w:hAnsi="Verdana" w:cs="Verdana"/>
          <w:sz w:val="20"/>
          <w:szCs w:val="20"/>
          <w:lang w:val="es-PA"/>
        </w:rPr>
        <w:t xml:space="preserve">; </w:t>
      </w:r>
      <w:r w:rsidR="001F08E6">
        <w:rPr>
          <w:rFonts w:ascii="Verdana" w:hAnsi="Verdana" w:cs="Verdana"/>
          <w:sz w:val="20"/>
          <w:szCs w:val="20"/>
          <w:lang w:val="es-PA"/>
        </w:rPr>
        <w:t>C</w:t>
      </w:r>
      <w:r w:rsidR="00186DA5" w:rsidRPr="00186DA5">
        <w:rPr>
          <w:rFonts w:ascii="Verdana" w:hAnsi="Verdana" w:cs="Verdana"/>
          <w:sz w:val="20"/>
          <w:szCs w:val="20"/>
          <w:lang w:val="es-PA"/>
        </w:rPr>
        <w:t>)</w:t>
      </w:r>
      <w:r w:rsidR="00186DA5" w:rsidRPr="00186DA5">
        <w:rPr>
          <w:rFonts w:ascii="Verdana" w:hAnsi="Verdana"/>
          <w:sz w:val="20"/>
          <w:szCs w:val="20"/>
          <w:lang w:bidi="en-US"/>
        </w:rPr>
        <w:t xml:space="preserve"> </w:t>
      </w:r>
      <w:r w:rsidR="001F08E6">
        <w:rPr>
          <w:rFonts w:ascii="Verdana" w:hAnsi="Verdana"/>
          <w:sz w:val="20"/>
          <w:szCs w:val="20"/>
          <w:lang w:bidi="en-US"/>
        </w:rPr>
        <w:t>L</w:t>
      </w:r>
      <w:r w:rsidR="00186DA5" w:rsidRPr="00186DA5">
        <w:rPr>
          <w:rFonts w:ascii="Verdana" w:hAnsi="Verdana"/>
          <w:sz w:val="20"/>
          <w:szCs w:val="20"/>
          <w:lang w:bidi="en-US"/>
        </w:rPr>
        <w:t xml:space="preserve">a competencia en razón de la materia para declarar violaciones a la </w:t>
      </w:r>
      <w:r w:rsidR="00186DA5" w:rsidRPr="0028163D">
        <w:rPr>
          <w:rFonts w:ascii="Verdana" w:hAnsi="Verdana"/>
          <w:sz w:val="20"/>
          <w:szCs w:val="20"/>
          <w:lang w:bidi="en-US"/>
        </w:rPr>
        <w:t>Convención</w:t>
      </w:r>
      <w:r w:rsidR="00186DA5" w:rsidRPr="0022574E">
        <w:rPr>
          <w:rFonts w:ascii="Verdana" w:hAnsi="Verdana"/>
          <w:sz w:val="20"/>
          <w:szCs w:val="20"/>
          <w:lang w:bidi="en-US"/>
        </w:rPr>
        <w:t xml:space="preserve"> </w:t>
      </w:r>
      <w:r w:rsidR="00186DA5" w:rsidRPr="0028163D">
        <w:rPr>
          <w:rFonts w:ascii="Verdana" w:hAnsi="Verdana"/>
          <w:iCs/>
          <w:sz w:val="20"/>
          <w:szCs w:val="20"/>
          <w:lang w:bidi="en-US"/>
        </w:rPr>
        <w:t xml:space="preserve">Interamericana para Prevenir y </w:t>
      </w:r>
      <w:r w:rsidR="0022574E">
        <w:rPr>
          <w:rFonts w:ascii="Verdana" w:hAnsi="Verdana"/>
          <w:iCs/>
          <w:sz w:val="20"/>
          <w:szCs w:val="20"/>
          <w:lang w:bidi="en-US"/>
        </w:rPr>
        <w:t>S</w:t>
      </w:r>
      <w:r w:rsidR="00186DA5" w:rsidRPr="0028163D">
        <w:rPr>
          <w:rFonts w:ascii="Verdana" w:hAnsi="Verdana"/>
          <w:iCs/>
          <w:sz w:val="20"/>
          <w:szCs w:val="20"/>
          <w:lang w:bidi="en-US"/>
        </w:rPr>
        <w:t>ancionar la Tortura</w:t>
      </w:r>
      <w:r w:rsidR="0022574E">
        <w:rPr>
          <w:rFonts w:ascii="Verdana" w:hAnsi="Verdana"/>
          <w:iCs/>
          <w:sz w:val="20"/>
          <w:szCs w:val="20"/>
          <w:lang w:bidi="en-US"/>
        </w:rPr>
        <w:t xml:space="preserve">, y </w:t>
      </w:r>
      <w:r w:rsidR="001F08E6">
        <w:rPr>
          <w:rFonts w:ascii="Verdana" w:hAnsi="Verdana" w:cs="Verdana"/>
          <w:sz w:val="20"/>
          <w:szCs w:val="20"/>
          <w:lang w:val="es-PA"/>
        </w:rPr>
        <w:t>D</w:t>
      </w:r>
      <w:r w:rsidR="00186DA5" w:rsidRPr="00186DA5">
        <w:rPr>
          <w:rFonts w:ascii="Verdana" w:hAnsi="Verdana" w:cs="Verdana"/>
          <w:sz w:val="20"/>
          <w:szCs w:val="20"/>
          <w:lang w:val="es-PA"/>
        </w:rPr>
        <w:t xml:space="preserve">) </w:t>
      </w:r>
      <w:r w:rsidR="001F08E6">
        <w:rPr>
          <w:rFonts w:ascii="Verdana" w:hAnsi="Verdana" w:cs="Verdana"/>
          <w:sz w:val="20"/>
          <w:szCs w:val="20"/>
          <w:lang w:val="es-PA"/>
        </w:rPr>
        <w:t>L</w:t>
      </w:r>
      <w:r w:rsidR="00186DA5" w:rsidRPr="00186DA5">
        <w:rPr>
          <w:rFonts w:ascii="Verdana" w:hAnsi="Verdana" w:cs="Verdana"/>
          <w:sz w:val="20"/>
          <w:szCs w:val="20"/>
          <w:lang w:val="es-PA"/>
        </w:rPr>
        <w:t>a modalidad de cumplimiento de los pagos ordenados</w:t>
      </w:r>
      <w:r w:rsidR="001F08E6">
        <w:rPr>
          <w:rFonts w:ascii="Verdana" w:hAnsi="Verdana" w:cs="Verdana"/>
          <w:sz w:val="20"/>
          <w:szCs w:val="20"/>
          <w:lang w:val="es-PA"/>
        </w:rPr>
        <w:t>.</w:t>
      </w:r>
      <w:r w:rsidRPr="0028163D">
        <w:rPr>
          <w:rFonts w:ascii="Verdana" w:hAnsi="Verdana" w:cs="Verdana"/>
          <w:color w:val="00B0F0"/>
          <w:sz w:val="20"/>
          <w:szCs w:val="20"/>
          <w:lang w:val="es-PA"/>
        </w:rPr>
        <w:t xml:space="preserve"> </w:t>
      </w:r>
    </w:p>
    <w:p w:rsidR="0074017B" w:rsidRPr="004F640F" w:rsidRDefault="0074017B" w:rsidP="00A82FB4">
      <w:pPr>
        <w:pStyle w:val="ListParagraph"/>
        <w:spacing w:after="0" w:line="240" w:lineRule="auto"/>
        <w:contextualSpacing w:val="0"/>
        <w:rPr>
          <w:rFonts w:ascii="Verdana" w:hAnsi="Verdana" w:cs="Verdana"/>
          <w:sz w:val="20"/>
          <w:szCs w:val="20"/>
          <w:lang w:val="es-PA"/>
        </w:rPr>
      </w:pPr>
    </w:p>
    <w:p w:rsidR="000C2BED" w:rsidRPr="001A6E65" w:rsidRDefault="00D159DD" w:rsidP="00A82FB4">
      <w:pPr>
        <w:widowControl w:val="0"/>
        <w:numPr>
          <w:ilvl w:val="0"/>
          <w:numId w:val="3"/>
        </w:numPr>
        <w:spacing w:after="0" w:line="240" w:lineRule="auto"/>
        <w:jc w:val="both"/>
        <w:rPr>
          <w:rFonts w:ascii="Verdana" w:hAnsi="Verdana"/>
          <w:b/>
          <w:sz w:val="20"/>
          <w:szCs w:val="20"/>
          <w:lang w:val="es-PA"/>
        </w:rPr>
      </w:pPr>
      <w:r w:rsidRPr="001A6E65">
        <w:rPr>
          <w:rFonts w:ascii="Verdana" w:hAnsi="Verdana"/>
          <w:b/>
          <w:sz w:val="20"/>
          <w:szCs w:val="20"/>
          <w:lang w:val="es-PA"/>
        </w:rPr>
        <w:t>La Investigación de las violaciones de derechos humanos determinadas en la Sentencia</w:t>
      </w:r>
    </w:p>
    <w:p w:rsidR="000C2BED" w:rsidRDefault="0085449E" w:rsidP="00A82FB4">
      <w:pPr>
        <w:pStyle w:val="ListParagraph"/>
        <w:widowControl w:val="0"/>
        <w:spacing w:after="0" w:line="240" w:lineRule="auto"/>
        <w:ind w:left="0"/>
        <w:jc w:val="both"/>
        <w:rPr>
          <w:rFonts w:ascii="Verdana" w:hAnsi="Verdana"/>
          <w:b/>
          <w:smallCaps/>
          <w:sz w:val="20"/>
          <w:szCs w:val="20"/>
          <w:lang w:val="es-PA"/>
        </w:rPr>
      </w:pPr>
      <w:r>
        <w:rPr>
          <w:rFonts w:ascii="Verdana" w:hAnsi="Verdana"/>
          <w:b/>
          <w:smallCaps/>
          <w:sz w:val="20"/>
          <w:szCs w:val="20"/>
          <w:lang w:val="es-PA"/>
        </w:rPr>
        <w:tab/>
      </w:r>
    </w:p>
    <w:p w:rsidR="006574B1" w:rsidRDefault="006574B1"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Pr>
          <w:rFonts w:ascii="Verdana" w:hAnsi="Verdana" w:cs="Verdana"/>
          <w:sz w:val="20"/>
          <w:szCs w:val="20"/>
          <w:lang w:val="es-PA"/>
        </w:rPr>
        <w:t xml:space="preserve">Los representantes y el Estado </w:t>
      </w:r>
      <w:r w:rsidR="00D159DD">
        <w:rPr>
          <w:rFonts w:ascii="Verdana" w:hAnsi="Verdana" w:cs="Verdana"/>
          <w:sz w:val="20"/>
          <w:szCs w:val="20"/>
          <w:lang w:val="es-PA"/>
        </w:rPr>
        <w:t>presentaron</w:t>
      </w:r>
      <w:r>
        <w:rPr>
          <w:rFonts w:ascii="Verdana" w:hAnsi="Verdana" w:cs="Verdana"/>
          <w:sz w:val="20"/>
          <w:szCs w:val="20"/>
          <w:lang w:val="es-PA"/>
        </w:rPr>
        <w:t xml:space="preserve"> solicitudes de interpretación en relación con la medida de investigación </w:t>
      </w:r>
      <w:r w:rsidR="00D159DD">
        <w:rPr>
          <w:rFonts w:ascii="Verdana" w:hAnsi="Verdana" w:cs="Verdana"/>
          <w:sz w:val="20"/>
          <w:szCs w:val="20"/>
          <w:lang w:val="es-PA"/>
        </w:rPr>
        <w:t xml:space="preserve">sobre </w:t>
      </w:r>
      <w:r w:rsidR="005361B1">
        <w:rPr>
          <w:rFonts w:ascii="Verdana" w:hAnsi="Verdana" w:cs="Verdana"/>
          <w:sz w:val="20"/>
          <w:szCs w:val="20"/>
          <w:lang w:val="es-PA"/>
        </w:rPr>
        <w:t>la</w:t>
      </w:r>
      <w:r>
        <w:rPr>
          <w:rFonts w:ascii="Verdana" w:hAnsi="Verdana" w:cs="Verdana"/>
          <w:sz w:val="20"/>
          <w:szCs w:val="20"/>
          <w:lang w:val="es-PA"/>
        </w:rPr>
        <w:t xml:space="preserve">s violaciones de derechos humanos </w:t>
      </w:r>
      <w:r w:rsidR="00D159DD">
        <w:rPr>
          <w:rFonts w:ascii="Verdana" w:hAnsi="Verdana" w:cs="Verdana"/>
          <w:sz w:val="20"/>
          <w:szCs w:val="20"/>
          <w:lang w:val="es-PA"/>
        </w:rPr>
        <w:t>determinadas</w:t>
      </w:r>
      <w:r>
        <w:rPr>
          <w:rFonts w:ascii="Verdana" w:hAnsi="Verdana" w:cs="Verdana"/>
          <w:sz w:val="20"/>
          <w:szCs w:val="20"/>
          <w:lang w:val="es-PA"/>
        </w:rPr>
        <w:t xml:space="preserve"> en este caso. </w:t>
      </w:r>
    </w:p>
    <w:p w:rsidR="006574B1" w:rsidRDefault="006574B1" w:rsidP="00A82FB4">
      <w:pPr>
        <w:autoSpaceDE w:val="0"/>
        <w:autoSpaceDN w:val="0"/>
        <w:adjustRightInd w:val="0"/>
        <w:spacing w:after="0" w:line="240" w:lineRule="auto"/>
        <w:jc w:val="both"/>
        <w:rPr>
          <w:rFonts w:ascii="Verdana" w:hAnsi="Verdana" w:cs="Verdana"/>
          <w:sz w:val="20"/>
          <w:szCs w:val="20"/>
          <w:lang w:val="es-PA"/>
        </w:rPr>
      </w:pPr>
    </w:p>
    <w:p w:rsidR="00D159DD" w:rsidRDefault="0049492F"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9D38EF">
        <w:rPr>
          <w:rFonts w:ascii="Verdana" w:hAnsi="Verdana" w:cs="Verdana"/>
          <w:sz w:val="20"/>
          <w:szCs w:val="20"/>
          <w:lang w:val="es-PA"/>
        </w:rPr>
        <w:t>E</w:t>
      </w:r>
      <w:r w:rsidR="003201B1">
        <w:rPr>
          <w:rFonts w:ascii="Verdana" w:hAnsi="Verdana" w:cs="Verdana"/>
          <w:sz w:val="20"/>
          <w:szCs w:val="20"/>
          <w:lang w:val="es-PA"/>
        </w:rPr>
        <w:t>n los párrafos 291, 292 y 293</w:t>
      </w:r>
      <w:r w:rsidRPr="009D38EF">
        <w:rPr>
          <w:rFonts w:ascii="Verdana" w:hAnsi="Verdana" w:cs="Verdana"/>
          <w:sz w:val="20"/>
          <w:szCs w:val="20"/>
          <w:lang w:val="es-PA"/>
        </w:rPr>
        <w:t xml:space="preserve"> de la Sentencia</w:t>
      </w:r>
      <w:r w:rsidR="00AF6BDD">
        <w:rPr>
          <w:rFonts w:ascii="Verdana" w:hAnsi="Verdana" w:cs="Verdana"/>
          <w:sz w:val="20"/>
          <w:szCs w:val="20"/>
          <w:lang w:val="es-PA"/>
        </w:rPr>
        <w:t>, la Corte</w:t>
      </w:r>
      <w:r w:rsidRPr="009D38EF">
        <w:rPr>
          <w:rFonts w:ascii="Verdana" w:hAnsi="Verdana" w:cs="Verdana"/>
          <w:sz w:val="20"/>
          <w:szCs w:val="20"/>
          <w:lang w:val="es-PA"/>
        </w:rPr>
        <w:t xml:space="preserve"> </w:t>
      </w:r>
      <w:r w:rsidR="009D38EF" w:rsidRPr="009D38EF">
        <w:rPr>
          <w:rFonts w:ascii="Verdana" w:hAnsi="Verdana" w:cs="Verdana"/>
          <w:sz w:val="20"/>
          <w:szCs w:val="20"/>
          <w:lang w:val="es-PA"/>
        </w:rPr>
        <w:t xml:space="preserve">dispuso </w:t>
      </w:r>
      <w:r w:rsidR="00AF6BDD">
        <w:rPr>
          <w:rFonts w:ascii="Verdana" w:hAnsi="Verdana" w:cs="Verdana"/>
          <w:sz w:val="20"/>
          <w:szCs w:val="20"/>
          <w:lang w:val="es-PA"/>
        </w:rPr>
        <w:t>lo siguiente</w:t>
      </w:r>
      <w:r w:rsidR="00D159DD">
        <w:rPr>
          <w:rFonts w:ascii="Verdana" w:hAnsi="Verdana" w:cs="Verdana"/>
          <w:sz w:val="20"/>
          <w:szCs w:val="20"/>
          <w:lang w:val="es-PA"/>
        </w:rPr>
        <w:t xml:space="preserve">: </w:t>
      </w:r>
    </w:p>
    <w:p w:rsidR="00D159DD" w:rsidRDefault="00D159DD" w:rsidP="00A82FB4">
      <w:pPr>
        <w:pStyle w:val="ListParagraph"/>
        <w:ind w:left="0"/>
        <w:rPr>
          <w:rFonts w:ascii="Verdana" w:hAnsi="Verdana" w:cs="Verdana"/>
          <w:sz w:val="20"/>
          <w:szCs w:val="20"/>
          <w:lang w:val="es-PA"/>
        </w:rPr>
      </w:pPr>
    </w:p>
    <w:p w:rsidR="003201B1" w:rsidRPr="0028163D" w:rsidRDefault="003201B1" w:rsidP="00A82FB4">
      <w:pPr>
        <w:pStyle w:val="ListParagraph"/>
        <w:numPr>
          <w:ilvl w:val="0"/>
          <w:numId w:val="17"/>
        </w:numPr>
        <w:autoSpaceDE w:val="0"/>
        <w:autoSpaceDN w:val="0"/>
        <w:adjustRightInd w:val="0"/>
        <w:spacing w:after="0" w:line="240" w:lineRule="auto"/>
        <w:ind w:left="993" w:right="855" w:firstLine="0"/>
        <w:jc w:val="both"/>
        <w:rPr>
          <w:rFonts w:ascii="Verdana" w:hAnsi="Verdana" w:cs="Verdana"/>
          <w:iCs/>
          <w:sz w:val="18"/>
          <w:szCs w:val="18"/>
          <w:lang w:val="es-ES_tradnl"/>
        </w:rPr>
      </w:pPr>
      <w:r>
        <w:rPr>
          <w:rFonts w:ascii="Verdana" w:hAnsi="Verdana" w:cs="Verdana"/>
          <w:iCs/>
          <w:sz w:val="18"/>
          <w:szCs w:val="18"/>
          <w:lang w:val="es-CL"/>
        </w:rPr>
        <w:t xml:space="preserve"> </w:t>
      </w:r>
      <w:r w:rsidRPr="0028163D">
        <w:rPr>
          <w:rFonts w:ascii="Verdana" w:hAnsi="Verdana" w:cs="Verdana"/>
          <w:iCs/>
          <w:sz w:val="18"/>
          <w:szCs w:val="18"/>
          <w:lang w:val="es-CL"/>
        </w:rPr>
        <w:t>La Corte recuerda que en el capítulo VII-1 declaró que las diversas investigaciones llevadas a cabo por el Estado relativas a los hechos del presente caso violaron l</w:t>
      </w:r>
      <w:r w:rsidRPr="0028163D">
        <w:rPr>
          <w:rFonts w:ascii="Verdana" w:hAnsi="Verdana" w:cs="Verdana"/>
          <w:iCs/>
          <w:sz w:val="18"/>
          <w:szCs w:val="18"/>
          <w:lang w:val="es-ES_tradnl"/>
        </w:rPr>
        <w:t xml:space="preserve">os derechos a las garantías judiciales y a la protección judicial de las víctimas; se determinó que </w:t>
      </w:r>
      <w:r w:rsidRPr="0028163D">
        <w:rPr>
          <w:rFonts w:ascii="Verdana" w:hAnsi="Verdana" w:cs="Verdana"/>
          <w:sz w:val="18"/>
          <w:szCs w:val="18"/>
        </w:rPr>
        <w:t xml:space="preserve">la actuación de las autoridades judiciales careció de la debida diligencia y los procesos no fueron desarrollados en un plazo razonable, cerrándose las investigaciones sin haberse llegado a ningún análisis de fondo, y reabriéndose varios años después la investigación respecto a los hechos de 1994 sin que hasta la fecha se haya actuado con diligencia dentro de este proceso. La investigación por los hechos de 1995 fue reabierta y archivada nuevamente sin que se realizara ningún avance en la misma. Además, fue aplicada la prescripción a las investigaciones de los hechos a pesar de que constituían probables ejecuciones extrajudiciales y tortura </w:t>
      </w:r>
      <w:r>
        <w:rPr>
          <w:rFonts w:ascii="Verdana" w:hAnsi="Verdana" w:cs="Verdana"/>
          <w:sz w:val="18"/>
          <w:szCs w:val="18"/>
        </w:rPr>
        <w:t>[…]</w:t>
      </w:r>
      <w:r w:rsidRPr="0028163D">
        <w:rPr>
          <w:rFonts w:ascii="Verdana" w:hAnsi="Verdana" w:cs="Verdana"/>
          <w:sz w:val="18"/>
          <w:szCs w:val="18"/>
        </w:rPr>
        <w:t>.</w:t>
      </w:r>
    </w:p>
    <w:p w:rsidR="003201B1" w:rsidRPr="003201B1" w:rsidRDefault="003201B1" w:rsidP="00A82FB4">
      <w:pPr>
        <w:pStyle w:val="ListParagraph"/>
        <w:autoSpaceDE w:val="0"/>
        <w:autoSpaceDN w:val="0"/>
        <w:adjustRightInd w:val="0"/>
        <w:spacing w:after="0" w:line="240" w:lineRule="auto"/>
        <w:ind w:left="993" w:right="855"/>
        <w:jc w:val="both"/>
        <w:rPr>
          <w:rFonts w:ascii="Verdana" w:hAnsi="Verdana" w:cs="Verdana"/>
          <w:iCs/>
          <w:sz w:val="18"/>
          <w:szCs w:val="18"/>
          <w:lang w:val="es-ES_tradnl"/>
        </w:rPr>
      </w:pPr>
    </w:p>
    <w:p w:rsidR="003201B1" w:rsidRPr="0028163D" w:rsidRDefault="003201B1" w:rsidP="00A82FB4">
      <w:pPr>
        <w:pStyle w:val="ListParagraph"/>
        <w:numPr>
          <w:ilvl w:val="0"/>
          <w:numId w:val="17"/>
        </w:numPr>
        <w:autoSpaceDE w:val="0"/>
        <w:autoSpaceDN w:val="0"/>
        <w:adjustRightInd w:val="0"/>
        <w:spacing w:after="0" w:line="240" w:lineRule="auto"/>
        <w:ind w:left="993" w:right="855" w:firstLine="0"/>
        <w:jc w:val="both"/>
        <w:rPr>
          <w:rFonts w:ascii="Verdana" w:hAnsi="Verdana" w:cs="Verdana"/>
          <w:iCs/>
          <w:sz w:val="18"/>
          <w:szCs w:val="18"/>
          <w:lang w:val="es-ES_tradnl"/>
        </w:rPr>
      </w:pPr>
      <w:r>
        <w:rPr>
          <w:rFonts w:ascii="Verdana" w:hAnsi="Verdana" w:cs="Verdana"/>
          <w:sz w:val="18"/>
          <w:szCs w:val="18"/>
        </w:rPr>
        <w:t xml:space="preserve"> </w:t>
      </w:r>
      <w:r w:rsidRPr="0028163D">
        <w:rPr>
          <w:rFonts w:ascii="Verdana" w:hAnsi="Verdana" w:cs="Verdana"/>
          <w:sz w:val="18"/>
          <w:szCs w:val="18"/>
        </w:rPr>
        <w:t>En virtud de lo anterior, la Corte dispone que el Estado debe conducir eficazmente la investigación en curso sobre los hechos relacionados con las muertes ocurridas en la redada de 1994, con la debida diligencia y en un plazo razonable para identificar, procesar y, en su caso, sancionar a los responsables. Respecto a las muertes ocurridas en la redada de 1995, el Estado debe iniciar o reactivar una investigación eficaz respecto a estos hechos. La debida diligencia en la investigación implica que todas las autoridades estatales correspondientes están obligadas a colaborar en la recolección de la prueba, por lo que deberán brindar al juez, fiscal u otra autoridad judicial toda la información que requiera y abstenerse de actos que impliquen la obstrucción para la marcha del proceso investigativo</w:t>
      </w:r>
      <w:r w:rsidR="00727F43">
        <w:rPr>
          <w:rFonts w:ascii="Verdana" w:hAnsi="Verdana" w:cs="Verdana"/>
          <w:sz w:val="18"/>
          <w:szCs w:val="18"/>
        </w:rPr>
        <w:t xml:space="preserve"> </w:t>
      </w:r>
      <w:r>
        <w:rPr>
          <w:rFonts w:ascii="Verdana" w:hAnsi="Verdana" w:cs="Verdana"/>
          <w:sz w:val="18"/>
          <w:szCs w:val="18"/>
        </w:rPr>
        <w:t>[…]</w:t>
      </w:r>
      <w:r w:rsidRPr="0028163D">
        <w:rPr>
          <w:rFonts w:ascii="Verdana" w:hAnsi="Verdana" w:cs="Verdana"/>
          <w:sz w:val="18"/>
          <w:szCs w:val="18"/>
        </w:rPr>
        <w:t xml:space="preserve">. Asimismo, a partir de las conclusiones establecidas en la presente Sentencia respecto a las violaciones a los derechos a la protección judicial y a las garantías judiciales, el Estado, a través del Procurador General de la República del Ministerio Público Federal, debe evaluar si los hechos referentes a las redadas de 1994 y 1995 deben ser objeto de solicitud de </w:t>
      </w:r>
      <w:r w:rsidRPr="0028163D">
        <w:rPr>
          <w:rFonts w:ascii="Verdana" w:hAnsi="Verdana" w:cs="Verdana"/>
          <w:i/>
          <w:sz w:val="18"/>
          <w:szCs w:val="18"/>
        </w:rPr>
        <w:t>Incidente de Traslado de Competencia</w:t>
      </w:r>
      <w:r w:rsidRPr="0028163D">
        <w:rPr>
          <w:rFonts w:ascii="Verdana" w:hAnsi="Verdana" w:cs="Verdana"/>
          <w:sz w:val="18"/>
          <w:szCs w:val="18"/>
        </w:rPr>
        <w:t>. En particular, el Estado también debe:</w:t>
      </w:r>
    </w:p>
    <w:p w:rsidR="003201B1" w:rsidRPr="0028163D" w:rsidRDefault="003201B1" w:rsidP="00A82FB4">
      <w:pPr>
        <w:autoSpaceDE w:val="0"/>
        <w:autoSpaceDN w:val="0"/>
        <w:adjustRightInd w:val="0"/>
        <w:spacing w:after="0" w:line="240" w:lineRule="auto"/>
        <w:ind w:left="993" w:right="855"/>
        <w:jc w:val="both"/>
        <w:rPr>
          <w:rFonts w:ascii="Verdana" w:hAnsi="Verdana" w:cs="Verdana"/>
          <w:iCs/>
          <w:sz w:val="18"/>
          <w:szCs w:val="18"/>
          <w:lang w:val="es-ES_tradnl"/>
        </w:rPr>
      </w:pPr>
    </w:p>
    <w:p w:rsidR="003201B1" w:rsidRPr="0028163D" w:rsidRDefault="003201B1" w:rsidP="00A82FB4">
      <w:pPr>
        <w:numPr>
          <w:ilvl w:val="0"/>
          <w:numId w:val="16"/>
        </w:numPr>
        <w:autoSpaceDE w:val="0"/>
        <w:autoSpaceDN w:val="0"/>
        <w:adjustRightInd w:val="0"/>
        <w:spacing w:after="0" w:line="240" w:lineRule="auto"/>
        <w:ind w:left="993" w:right="855" w:firstLine="0"/>
        <w:jc w:val="both"/>
        <w:rPr>
          <w:rFonts w:ascii="Verdana" w:hAnsi="Verdana" w:cs="Verdana"/>
          <w:sz w:val="18"/>
          <w:szCs w:val="18"/>
        </w:rPr>
      </w:pPr>
      <w:r w:rsidRPr="0028163D">
        <w:rPr>
          <w:rFonts w:ascii="Verdana" w:hAnsi="Verdana" w:cs="Verdana"/>
          <w:sz w:val="18"/>
          <w:szCs w:val="18"/>
        </w:rPr>
        <w:lastRenderedPageBreak/>
        <w:t>asegurar el pleno acceso y capacidad de actuar de los familiares en todas las etapas de estas investigaciones, de acuerdo con la ley interna y las normas de la Convención Americana</w:t>
      </w:r>
      <w:r w:rsidR="00727F43">
        <w:rPr>
          <w:rFonts w:ascii="Verdana" w:hAnsi="Verdana" w:cs="Verdana"/>
          <w:sz w:val="18"/>
          <w:szCs w:val="18"/>
        </w:rPr>
        <w:t xml:space="preserve"> </w:t>
      </w:r>
      <w:r>
        <w:rPr>
          <w:rFonts w:ascii="Verdana" w:hAnsi="Verdana" w:cs="Verdana"/>
          <w:sz w:val="18"/>
          <w:szCs w:val="18"/>
        </w:rPr>
        <w:t>[…]</w:t>
      </w:r>
      <w:r w:rsidRPr="0028163D">
        <w:rPr>
          <w:rFonts w:ascii="Verdana" w:hAnsi="Verdana" w:cs="Verdana"/>
          <w:sz w:val="18"/>
          <w:szCs w:val="18"/>
        </w:rPr>
        <w:t>, y</w:t>
      </w:r>
    </w:p>
    <w:p w:rsidR="003201B1" w:rsidRPr="0028163D" w:rsidRDefault="003201B1" w:rsidP="00A82FB4">
      <w:pPr>
        <w:numPr>
          <w:ilvl w:val="0"/>
          <w:numId w:val="16"/>
        </w:numPr>
        <w:autoSpaceDE w:val="0"/>
        <w:autoSpaceDN w:val="0"/>
        <w:adjustRightInd w:val="0"/>
        <w:spacing w:after="0" w:line="240" w:lineRule="auto"/>
        <w:ind w:left="993" w:right="855" w:firstLine="0"/>
        <w:jc w:val="both"/>
        <w:rPr>
          <w:rFonts w:ascii="Verdana" w:hAnsi="Verdana" w:cs="Verdana"/>
          <w:iCs/>
          <w:sz w:val="18"/>
          <w:szCs w:val="18"/>
          <w:lang w:val="es-ES_tradnl"/>
        </w:rPr>
      </w:pPr>
      <w:r w:rsidRPr="0028163D">
        <w:rPr>
          <w:rFonts w:ascii="Verdana" w:hAnsi="Verdana" w:cs="Verdana"/>
          <w:sz w:val="18"/>
          <w:szCs w:val="18"/>
        </w:rPr>
        <w:t>por tratarse de probables ejecuciones extrajudiciales y actos de tortura, el Estado debe abstenerse de recurrir a cualquier obstáculo procesal para excusarse de esta obligación</w:t>
      </w:r>
      <w:r w:rsidR="00727F43">
        <w:rPr>
          <w:rFonts w:ascii="Verdana" w:hAnsi="Verdana" w:cs="Verdana"/>
          <w:sz w:val="18"/>
          <w:szCs w:val="18"/>
        </w:rPr>
        <w:t xml:space="preserve"> </w:t>
      </w:r>
      <w:r>
        <w:rPr>
          <w:rFonts w:ascii="Verdana" w:hAnsi="Verdana" w:cs="Verdana"/>
          <w:sz w:val="18"/>
          <w:szCs w:val="18"/>
        </w:rPr>
        <w:t>[…]</w:t>
      </w:r>
      <w:r w:rsidRPr="0028163D">
        <w:rPr>
          <w:rFonts w:ascii="Verdana" w:hAnsi="Verdana" w:cs="Verdana"/>
          <w:sz w:val="18"/>
          <w:szCs w:val="18"/>
        </w:rPr>
        <w:t>.</w:t>
      </w:r>
    </w:p>
    <w:p w:rsidR="003201B1" w:rsidRPr="0028163D" w:rsidRDefault="003201B1" w:rsidP="00A82FB4">
      <w:pPr>
        <w:autoSpaceDE w:val="0"/>
        <w:autoSpaceDN w:val="0"/>
        <w:adjustRightInd w:val="0"/>
        <w:spacing w:after="0" w:line="240" w:lineRule="auto"/>
        <w:ind w:left="993" w:right="855"/>
        <w:jc w:val="both"/>
        <w:rPr>
          <w:rFonts w:ascii="Verdana" w:hAnsi="Verdana" w:cs="Verdana"/>
          <w:iCs/>
          <w:sz w:val="18"/>
          <w:szCs w:val="18"/>
          <w:lang w:val="es-ES_tradnl"/>
        </w:rPr>
      </w:pPr>
    </w:p>
    <w:p w:rsidR="003201B1" w:rsidRPr="0028163D" w:rsidRDefault="003201B1" w:rsidP="00A82FB4">
      <w:pPr>
        <w:pStyle w:val="ListParagraph"/>
        <w:numPr>
          <w:ilvl w:val="0"/>
          <w:numId w:val="17"/>
        </w:numPr>
        <w:autoSpaceDE w:val="0"/>
        <w:autoSpaceDN w:val="0"/>
        <w:adjustRightInd w:val="0"/>
        <w:spacing w:after="0" w:line="240" w:lineRule="auto"/>
        <w:ind w:left="993" w:right="855" w:firstLine="0"/>
        <w:jc w:val="both"/>
        <w:rPr>
          <w:rFonts w:ascii="Verdana" w:hAnsi="Verdana" w:cs="Verdana"/>
          <w:iCs/>
          <w:sz w:val="18"/>
          <w:szCs w:val="18"/>
          <w:lang w:val="es-ES_tradnl"/>
        </w:rPr>
      </w:pPr>
      <w:r>
        <w:rPr>
          <w:rFonts w:ascii="Verdana" w:hAnsi="Verdana" w:cs="Verdana"/>
          <w:sz w:val="18"/>
          <w:szCs w:val="18"/>
          <w:lang w:val="es-CR"/>
        </w:rPr>
        <w:t xml:space="preserve"> </w:t>
      </w:r>
      <w:r w:rsidRPr="0028163D">
        <w:rPr>
          <w:rFonts w:ascii="Verdana" w:hAnsi="Verdana" w:cs="Verdana"/>
          <w:sz w:val="18"/>
          <w:szCs w:val="18"/>
          <w:lang w:val="es-CR"/>
        </w:rPr>
        <w:t>Finalmente, respecto a los hechos de violencia sexual, tal como se ha dispuesto en otras oportunidades relacionadas con este tipo de casos</w:t>
      </w:r>
      <w:r w:rsidR="00727F43">
        <w:rPr>
          <w:rFonts w:ascii="Verdana" w:hAnsi="Verdana" w:cs="Verdana"/>
          <w:sz w:val="18"/>
          <w:szCs w:val="18"/>
          <w:lang w:val="es-CR"/>
        </w:rPr>
        <w:t xml:space="preserve"> </w:t>
      </w:r>
      <w:r>
        <w:rPr>
          <w:rFonts w:ascii="Verdana" w:hAnsi="Verdana" w:cs="Verdana"/>
          <w:sz w:val="18"/>
          <w:szCs w:val="18"/>
          <w:lang w:val="es-CR"/>
        </w:rPr>
        <w:t>[…]</w:t>
      </w:r>
      <w:r w:rsidRPr="0028163D">
        <w:rPr>
          <w:rFonts w:ascii="Verdana" w:hAnsi="Verdana" w:cs="Verdana"/>
          <w:sz w:val="18"/>
          <w:szCs w:val="18"/>
          <w:lang w:val="es-CR"/>
        </w:rPr>
        <w:t>, tanto la investigación como el proceso penal consiguiente deberán incluir una perspectiva de género, emprender líneas de investigación específicas respecto de la violencia sexual, de conformidad con la legislación interna, y en su caso, la participación adecuada durante la investigación y el juzgamiento en todas las etapas. Asimismo, la investigación debe realizarse por funcionarios capacitados en casos similares y en atención a víctimas de discriminación y violencia por razón de género. Además, deberá asegurarse que las personas encargadas de la investigación y del proceso penal, así como, de ser el caso, otras personas involucradas, como testigos, peritos, o familiares de la víctima, cuenten con las debidas garantías de seguridad</w:t>
      </w:r>
      <w:r w:rsidR="00727F43">
        <w:rPr>
          <w:rFonts w:ascii="Verdana" w:hAnsi="Verdana" w:cs="Verdana"/>
          <w:sz w:val="18"/>
          <w:szCs w:val="18"/>
          <w:lang w:val="es-CR"/>
        </w:rPr>
        <w:t xml:space="preserve"> </w:t>
      </w:r>
      <w:r>
        <w:rPr>
          <w:rFonts w:ascii="Verdana" w:hAnsi="Verdana" w:cs="Verdana"/>
          <w:sz w:val="18"/>
          <w:szCs w:val="18"/>
          <w:lang w:val="es-CR"/>
        </w:rPr>
        <w:t>[…]</w:t>
      </w:r>
      <w:r w:rsidRPr="0028163D">
        <w:rPr>
          <w:rFonts w:ascii="Verdana" w:hAnsi="Verdana" w:cs="Verdana"/>
          <w:sz w:val="18"/>
          <w:szCs w:val="18"/>
          <w:lang w:val="es-CR"/>
        </w:rPr>
        <w:t>.</w:t>
      </w:r>
      <w:r w:rsidR="00044AA0">
        <w:rPr>
          <w:rFonts w:ascii="Verdana" w:hAnsi="Verdana" w:cs="Verdana"/>
          <w:sz w:val="18"/>
          <w:szCs w:val="18"/>
          <w:lang w:val="es-CR"/>
        </w:rPr>
        <w:t xml:space="preserve"> </w:t>
      </w:r>
    </w:p>
    <w:p w:rsidR="009D38EF" w:rsidRDefault="009D38EF" w:rsidP="00A82FB4">
      <w:pPr>
        <w:autoSpaceDE w:val="0"/>
        <w:autoSpaceDN w:val="0"/>
        <w:adjustRightInd w:val="0"/>
        <w:spacing w:after="0" w:line="240" w:lineRule="auto"/>
        <w:jc w:val="both"/>
        <w:rPr>
          <w:rFonts w:ascii="Verdana" w:hAnsi="Verdana" w:cs="Verdana"/>
          <w:sz w:val="20"/>
          <w:szCs w:val="20"/>
          <w:lang w:val="es-PA"/>
        </w:rPr>
      </w:pPr>
    </w:p>
    <w:p w:rsidR="00A33994" w:rsidRPr="0028163D" w:rsidRDefault="00A33994" w:rsidP="00A82FB4">
      <w:pPr>
        <w:numPr>
          <w:ilvl w:val="0"/>
          <w:numId w:val="2"/>
        </w:numPr>
        <w:tabs>
          <w:tab w:val="clear" w:pos="1247"/>
        </w:tabs>
        <w:autoSpaceDE w:val="0"/>
        <w:autoSpaceDN w:val="0"/>
        <w:adjustRightInd w:val="0"/>
        <w:spacing w:after="0" w:line="240" w:lineRule="auto"/>
        <w:jc w:val="both"/>
        <w:rPr>
          <w:rFonts w:ascii="Verdana" w:hAnsi="Verdana" w:cs="Verdana"/>
          <w:b/>
          <w:sz w:val="20"/>
          <w:szCs w:val="20"/>
          <w:lang w:val="es-PA"/>
        </w:rPr>
      </w:pPr>
      <w:r>
        <w:rPr>
          <w:rFonts w:ascii="Verdana" w:hAnsi="Verdana" w:cs="Verdana"/>
          <w:sz w:val="20"/>
          <w:szCs w:val="20"/>
          <w:lang w:val="es-PA"/>
        </w:rPr>
        <w:t xml:space="preserve">Asimismo, el Punto Resolutivo 10 de la Sentencia dispuso que: </w:t>
      </w:r>
    </w:p>
    <w:p w:rsidR="00A33994" w:rsidRDefault="00A33994" w:rsidP="00A82FB4">
      <w:pPr>
        <w:autoSpaceDE w:val="0"/>
        <w:autoSpaceDN w:val="0"/>
        <w:adjustRightInd w:val="0"/>
        <w:spacing w:after="0" w:line="240" w:lineRule="auto"/>
        <w:ind w:left="993" w:right="855"/>
        <w:jc w:val="both"/>
        <w:rPr>
          <w:rFonts w:ascii="Verdana" w:hAnsi="Verdana" w:cs="Verdana"/>
          <w:sz w:val="20"/>
          <w:szCs w:val="20"/>
          <w:lang w:val="es-PA"/>
        </w:rPr>
      </w:pPr>
    </w:p>
    <w:p w:rsidR="00A33994" w:rsidRPr="00044AA0" w:rsidRDefault="00A33994" w:rsidP="00A82FB4">
      <w:pPr>
        <w:autoSpaceDE w:val="0"/>
        <w:autoSpaceDN w:val="0"/>
        <w:adjustRightInd w:val="0"/>
        <w:spacing w:after="0" w:line="240" w:lineRule="auto"/>
        <w:ind w:left="993" w:right="855"/>
        <w:jc w:val="both"/>
        <w:rPr>
          <w:rFonts w:ascii="Verdana" w:hAnsi="Verdana" w:cs="Verdana"/>
          <w:b/>
          <w:bCs/>
          <w:sz w:val="18"/>
          <w:szCs w:val="18"/>
          <w:lang w:val="es-CR"/>
        </w:rPr>
      </w:pPr>
      <w:r>
        <w:rPr>
          <w:rFonts w:ascii="Verdana" w:hAnsi="Verdana" w:cs="Verdana"/>
          <w:bCs/>
          <w:sz w:val="18"/>
          <w:szCs w:val="18"/>
          <w:lang w:val="es-CR"/>
        </w:rPr>
        <w:t xml:space="preserve">10.  </w:t>
      </w:r>
      <w:r w:rsidRPr="0028163D">
        <w:rPr>
          <w:rFonts w:ascii="Verdana" w:hAnsi="Verdana" w:cs="Verdana"/>
          <w:bCs/>
          <w:sz w:val="18"/>
          <w:szCs w:val="18"/>
          <w:lang w:val="es-CR"/>
        </w:rPr>
        <w:t xml:space="preserve">El Estado </w:t>
      </w:r>
      <w:r w:rsidRPr="0028163D">
        <w:rPr>
          <w:rFonts w:ascii="Verdana" w:hAnsi="Verdana" w:cs="Verdana"/>
          <w:sz w:val="18"/>
          <w:szCs w:val="18"/>
        </w:rPr>
        <w:t xml:space="preserve">debe conducir eficazmente la investigación en curso sobre los hechos relacionados con las muertes ocurridas en la redada de 1994, con la debida diligencia y en un plazo razonable para identificar, procesar y, en su caso, sancionar a los responsables, en los términos de los párrafos 291 y 292 de la presente Sentencia. Respecto a las muertes ocurridas en la redada de 1995, el Estado debe iniciar o reactivar una investigación eficaz respecto a estos hechos, en los términos de los párrafos 291 y 292 de la presente Sentencia. Asimismo, el Estado, a través del Procurador General de la República del Ministerio Público Federal, debe evaluar si los hechos referentes a las redadas de 1994 y 1995 deben ser objeto de solicitud de </w:t>
      </w:r>
      <w:r w:rsidRPr="0028163D">
        <w:rPr>
          <w:rFonts w:ascii="Verdana" w:hAnsi="Verdana" w:cs="Verdana"/>
          <w:i/>
          <w:sz w:val="18"/>
          <w:szCs w:val="18"/>
        </w:rPr>
        <w:t>Incidente de Traslado de Competencia</w:t>
      </w:r>
      <w:r w:rsidRPr="0028163D">
        <w:rPr>
          <w:rFonts w:ascii="Verdana" w:hAnsi="Verdana" w:cs="Verdana"/>
          <w:sz w:val="18"/>
          <w:szCs w:val="18"/>
        </w:rPr>
        <w:t xml:space="preserve">, </w:t>
      </w:r>
      <w:r w:rsidRPr="0028163D">
        <w:rPr>
          <w:rFonts w:ascii="Verdana" w:hAnsi="Verdana" w:cs="Verdana"/>
          <w:iCs/>
          <w:sz w:val="18"/>
          <w:szCs w:val="18"/>
          <w:lang w:val="es-ES_tradnl"/>
        </w:rPr>
        <w:t>en el sentido dispuesto en el párrafo 292 de la presente Sentencia</w:t>
      </w:r>
      <w:r w:rsidRPr="0028163D">
        <w:rPr>
          <w:rFonts w:ascii="Verdana" w:hAnsi="Verdana" w:cs="Verdana"/>
          <w:bCs/>
          <w:sz w:val="18"/>
          <w:szCs w:val="18"/>
          <w:lang w:val="es-CR"/>
        </w:rPr>
        <w:t>.</w:t>
      </w:r>
      <w:r w:rsidR="00044AA0">
        <w:rPr>
          <w:rFonts w:ascii="Verdana" w:hAnsi="Verdana" w:cs="Verdana"/>
          <w:bCs/>
          <w:sz w:val="18"/>
          <w:szCs w:val="18"/>
          <w:lang w:val="es-CR"/>
        </w:rPr>
        <w:t xml:space="preserve"> </w:t>
      </w:r>
    </w:p>
    <w:p w:rsidR="00A33994" w:rsidRDefault="00A33994" w:rsidP="00A82FB4">
      <w:pPr>
        <w:autoSpaceDE w:val="0"/>
        <w:autoSpaceDN w:val="0"/>
        <w:adjustRightInd w:val="0"/>
        <w:spacing w:after="0" w:line="240" w:lineRule="auto"/>
        <w:jc w:val="both"/>
        <w:rPr>
          <w:rFonts w:ascii="Verdana" w:hAnsi="Verdana" w:cs="Verdana"/>
          <w:b/>
          <w:sz w:val="20"/>
          <w:szCs w:val="20"/>
          <w:lang w:val="es-PA"/>
        </w:rPr>
      </w:pPr>
    </w:p>
    <w:p w:rsidR="00351415" w:rsidRPr="0028163D" w:rsidRDefault="00351415" w:rsidP="00351415">
      <w:pPr>
        <w:autoSpaceDE w:val="0"/>
        <w:autoSpaceDN w:val="0"/>
        <w:adjustRightInd w:val="0"/>
        <w:spacing w:after="0" w:line="240" w:lineRule="auto"/>
        <w:jc w:val="both"/>
        <w:rPr>
          <w:rFonts w:ascii="Verdana" w:hAnsi="Verdana" w:cs="Verdana"/>
          <w:i/>
          <w:sz w:val="20"/>
          <w:szCs w:val="20"/>
          <w:lang w:val="es-PA"/>
        </w:rPr>
      </w:pPr>
      <w:r w:rsidRPr="0028163D">
        <w:rPr>
          <w:rFonts w:ascii="Verdana" w:hAnsi="Verdana" w:cs="Verdana"/>
          <w:i/>
          <w:sz w:val="20"/>
          <w:szCs w:val="20"/>
          <w:lang w:val="es-PA"/>
        </w:rPr>
        <w:t xml:space="preserve">A.1. Argumentos de las partes y de la </w:t>
      </w:r>
      <w:r w:rsidRPr="003F1D25">
        <w:rPr>
          <w:rFonts w:ascii="Verdana" w:hAnsi="Verdana" w:cs="Verdana"/>
          <w:i/>
          <w:sz w:val="20"/>
          <w:szCs w:val="20"/>
          <w:lang w:val="es-PA"/>
        </w:rPr>
        <w:t>Comisión</w:t>
      </w:r>
      <w:r w:rsidRPr="0028163D">
        <w:rPr>
          <w:rFonts w:ascii="Verdana" w:hAnsi="Verdana" w:cs="Verdana"/>
          <w:i/>
          <w:sz w:val="20"/>
          <w:szCs w:val="20"/>
          <w:lang w:val="es-PA"/>
        </w:rPr>
        <w:t xml:space="preserve"> </w:t>
      </w:r>
    </w:p>
    <w:p w:rsidR="00351415" w:rsidRPr="0028163D" w:rsidRDefault="00351415" w:rsidP="00A82FB4">
      <w:pPr>
        <w:autoSpaceDE w:val="0"/>
        <w:autoSpaceDN w:val="0"/>
        <w:adjustRightInd w:val="0"/>
        <w:spacing w:after="0" w:line="240" w:lineRule="auto"/>
        <w:jc w:val="both"/>
        <w:rPr>
          <w:rFonts w:ascii="Verdana" w:hAnsi="Verdana" w:cs="Verdana"/>
          <w:b/>
          <w:sz w:val="20"/>
          <w:szCs w:val="20"/>
          <w:lang w:val="es-PA"/>
        </w:rPr>
      </w:pPr>
    </w:p>
    <w:p w:rsidR="0085449E" w:rsidRPr="00486FED" w:rsidRDefault="000C2BED" w:rsidP="00A82FB4">
      <w:pPr>
        <w:numPr>
          <w:ilvl w:val="0"/>
          <w:numId w:val="2"/>
        </w:numPr>
        <w:tabs>
          <w:tab w:val="clear" w:pos="1247"/>
        </w:tabs>
        <w:autoSpaceDE w:val="0"/>
        <w:autoSpaceDN w:val="0"/>
        <w:adjustRightInd w:val="0"/>
        <w:spacing w:after="0" w:line="240" w:lineRule="auto"/>
        <w:jc w:val="both"/>
        <w:rPr>
          <w:rFonts w:ascii="Verdana" w:hAnsi="Verdana" w:cs="Verdana"/>
          <w:b/>
          <w:sz w:val="20"/>
          <w:szCs w:val="20"/>
          <w:lang w:val="es-PA"/>
        </w:rPr>
      </w:pPr>
      <w:r w:rsidRPr="009D38EF">
        <w:rPr>
          <w:rFonts w:ascii="Verdana" w:hAnsi="Verdana" w:cs="Verdana"/>
          <w:sz w:val="20"/>
          <w:szCs w:val="20"/>
          <w:lang w:val="es-PA"/>
        </w:rPr>
        <w:t>Los</w:t>
      </w:r>
      <w:r w:rsidRPr="0028163D">
        <w:rPr>
          <w:rFonts w:ascii="Verdana" w:hAnsi="Verdana" w:cs="Verdana"/>
          <w:b/>
          <w:sz w:val="20"/>
          <w:szCs w:val="20"/>
          <w:lang w:val="es-PA"/>
        </w:rPr>
        <w:t xml:space="preserve"> </w:t>
      </w:r>
      <w:r w:rsidRPr="0028163D">
        <w:rPr>
          <w:rFonts w:ascii="Verdana" w:hAnsi="Verdana" w:cs="Verdana"/>
          <w:b/>
          <w:i/>
          <w:sz w:val="20"/>
          <w:szCs w:val="20"/>
          <w:lang w:val="es-PA"/>
        </w:rPr>
        <w:t>representantes</w:t>
      </w:r>
      <w:r w:rsidRPr="0028163D">
        <w:rPr>
          <w:rFonts w:ascii="Verdana" w:hAnsi="Verdana" w:cs="Verdana"/>
          <w:b/>
          <w:sz w:val="20"/>
          <w:szCs w:val="20"/>
          <w:lang w:val="es-PA"/>
        </w:rPr>
        <w:t xml:space="preserve"> </w:t>
      </w:r>
      <w:r w:rsidR="00A318F7">
        <w:rPr>
          <w:rFonts w:ascii="Verdana" w:hAnsi="Verdana" w:cs="Verdana"/>
          <w:sz w:val="20"/>
          <w:szCs w:val="20"/>
          <w:lang w:val="es-PA"/>
        </w:rPr>
        <w:t>solicitaron una aclaración respecto</w:t>
      </w:r>
      <w:r w:rsidR="0085449E">
        <w:rPr>
          <w:rFonts w:ascii="Verdana" w:hAnsi="Verdana" w:cs="Verdana"/>
          <w:sz w:val="20"/>
          <w:szCs w:val="20"/>
          <w:lang w:val="es-PA"/>
        </w:rPr>
        <w:t xml:space="preserve"> </w:t>
      </w:r>
      <w:r w:rsidR="00A318F7">
        <w:rPr>
          <w:rFonts w:ascii="Verdana" w:hAnsi="Verdana" w:cs="Verdana"/>
          <w:sz w:val="20"/>
          <w:szCs w:val="20"/>
          <w:lang w:val="es-PA"/>
        </w:rPr>
        <w:t xml:space="preserve">al </w:t>
      </w:r>
      <w:r w:rsidR="005361B1">
        <w:rPr>
          <w:rFonts w:ascii="Verdana" w:hAnsi="Verdana" w:cs="Verdana"/>
          <w:sz w:val="20"/>
          <w:szCs w:val="20"/>
          <w:lang w:val="es-PA"/>
        </w:rPr>
        <w:t xml:space="preserve">alcance del </w:t>
      </w:r>
      <w:r w:rsidR="000C0E5B">
        <w:rPr>
          <w:rFonts w:ascii="Verdana" w:hAnsi="Verdana" w:cs="Verdana"/>
          <w:sz w:val="20"/>
          <w:szCs w:val="20"/>
          <w:lang w:val="es-PA"/>
        </w:rPr>
        <w:t>“obstáculo proces</w:t>
      </w:r>
      <w:r w:rsidR="0085449E">
        <w:rPr>
          <w:rFonts w:ascii="Verdana" w:hAnsi="Verdana" w:cs="Verdana"/>
          <w:sz w:val="20"/>
          <w:szCs w:val="20"/>
          <w:lang w:val="es-PA"/>
        </w:rPr>
        <w:t xml:space="preserve">al” </w:t>
      </w:r>
      <w:r w:rsidR="00FE04E9">
        <w:rPr>
          <w:rFonts w:ascii="Verdana" w:hAnsi="Verdana" w:cs="Verdana"/>
          <w:sz w:val="20"/>
          <w:szCs w:val="20"/>
          <w:lang w:val="es-PA"/>
        </w:rPr>
        <w:t xml:space="preserve">contenido </w:t>
      </w:r>
      <w:r w:rsidR="0085449E">
        <w:rPr>
          <w:rFonts w:ascii="Verdana" w:hAnsi="Verdana" w:cs="Verdana"/>
          <w:sz w:val="20"/>
          <w:szCs w:val="20"/>
          <w:lang w:val="es-PA"/>
        </w:rPr>
        <w:t xml:space="preserve">en el párrafo </w:t>
      </w:r>
      <w:r w:rsidR="00A318F7">
        <w:rPr>
          <w:rFonts w:ascii="Verdana" w:hAnsi="Verdana" w:cs="Verdana"/>
          <w:sz w:val="20"/>
          <w:szCs w:val="20"/>
          <w:lang w:val="es-PA"/>
        </w:rPr>
        <w:t xml:space="preserve">292.b de la Sentencia, en relación con </w:t>
      </w:r>
      <w:r w:rsidR="0085449E">
        <w:rPr>
          <w:rFonts w:ascii="Verdana" w:hAnsi="Verdana" w:cs="Verdana"/>
          <w:sz w:val="20"/>
          <w:szCs w:val="20"/>
          <w:lang w:val="es-PA"/>
        </w:rPr>
        <w:t>las investigaciones de los hechos de violencia sexual</w:t>
      </w:r>
      <w:r w:rsidR="00A779B0">
        <w:rPr>
          <w:rFonts w:ascii="Verdana" w:hAnsi="Verdana" w:cs="Verdana"/>
          <w:sz w:val="20"/>
          <w:szCs w:val="20"/>
          <w:lang w:val="es-PA"/>
        </w:rPr>
        <w:t>. Según</w:t>
      </w:r>
      <w:r w:rsidR="0021582A">
        <w:rPr>
          <w:rFonts w:ascii="Verdana" w:hAnsi="Verdana" w:cs="Verdana"/>
          <w:sz w:val="20"/>
          <w:szCs w:val="20"/>
          <w:lang w:val="es-PA"/>
        </w:rPr>
        <w:t xml:space="preserve"> l</w:t>
      </w:r>
      <w:r w:rsidR="00486FED">
        <w:rPr>
          <w:rFonts w:ascii="Verdana" w:hAnsi="Verdana" w:cs="Verdana"/>
          <w:sz w:val="20"/>
          <w:szCs w:val="20"/>
          <w:lang w:val="es-PA"/>
        </w:rPr>
        <w:t xml:space="preserve">os representantes, el párrafo mencionado se aplica tanto a las investigaciones relativas a las muertes ocurridas en las incursiones de 1994 </w:t>
      </w:r>
      <w:r w:rsidR="00E10F1D">
        <w:rPr>
          <w:rFonts w:ascii="Verdana" w:hAnsi="Verdana" w:cs="Verdana"/>
          <w:sz w:val="20"/>
          <w:szCs w:val="20"/>
          <w:lang w:val="es-PA"/>
        </w:rPr>
        <w:t xml:space="preserve">y </w:t>
      </w:r>
      <w:r w:rsidR="00486FED">
        <w:rPr>
          <w:rFonts w:ascii="Verdana" w:hAnsi="Verdana" w:cs="Verdana"/>
          <w:sz w:val="20"/>
          <w:szCs w:val="20"/>
          <w:lang w:val="es-PA"/>
        </w:rPr>
        <w:t>1995, como a las investigaciones de los hechos de violencia sexual a que se refiere el párrafo 293. Eso porque la redacción hace referencia a las</w:t>
      </w:r>
      <w:r w:rsidR="00A51A01">
        <w:rPr>
          <w:rFonts w:ascii="Verdana" w:hAnsi="Verdana" w:cs="Verdana"/>
          <w:sz w:val="20"/>
          <w:szCs w:val="20"/>
          <w:lang w:val="es-PA"/>
        </w:rPr>
        <w:t xml:space="preserve"> investigaciones de las</w:t>
      </w:r>
      <w:r w:rsidR="00486FED">
        <w:rPr>
          <w:rFonts w:ascii="Verdana" w:hAnsi="Verdana" w:cs="Verdana"/>
          <w:sz w:val="20"/>
          <w:szCs w:val="20"/>
          <w:lang w:val="es-PA"/>
        </w:rPr>
        <w:t xml:space="preserve"> probables ejecuciones extrajudiciales </w:t>
      </w:r>
      <w:r w:rsidR="00E10F1D">
        <w:rPr>
          <w:rFonts w:ascii="Verdana" w:hAnsi="Verdana" w:cs="Verdana"/>
          <w:sz w:val="20"/>
          <w:szCs w:val="20"/>
          <w:lang w:val="es-PA"/>
        </w:rPr>
        <w:t xml:space="preserve">y actos de tortura </w:t>
      </w:r>
      <w:r w:rsidR="00A51A01">
        <w:rPr>
          <w:rFonts w:ascii="Verdana" w:hAnsi="Verdana" w:cs="Verdana"/>
          <w:sz w:val="20"/>
          <w:szCs w:val="20"/>
          <w:lang w:val="es-PA"/>
        </w:rPr>
        <w:t xml:space="preserve">dentro </w:t>
      </w:r>
      <w:r w:rsidR="00A9152C">
        <w:rPr>
          <w:rFonts w:ascii="Verdana" w:hAnsi="Verdana" w:cs="Verdana"/>
          <w:sz w:val="20"/>
          <w:szCs w:val="20"/>
          <w:lang w:val="es-PA"/>
        </w:rPr>
        <w:t xml:space="preserve">de </w:t>
      </w:r>
      <w:r w:rsidR="00A51A01">
        <w:rPr>
          <w:rFonts w:ascii="Verdana" w:hAnsi="Verdana" w:cs="Verdana"/>
          <w:sz w:val="20"/>
          <w:szCs w:val="20"/>
          <w:lang w:val="es-PA"/>
        </w:rPr>
        <w:t xml:space="preserve">las cuales estaría </w:t>
      </w:r>
      <w:r w:rsidR="00B94334">
        <w:rPr>
          <w:rFonts w:ascii="Verdana" w:hAnsi="Verdana" w:cs="Verdana"/>
          <w:sz w:val="20"/>
          <w:szCs w:val="20"/>
          <w:lang w:val="es-PA"/>
        </w:rPr>
        <w:t>incluida</w:t>
      </w:r>
      <w:r w:rsidR="00A51A01">
        <w:rPr>
          <w:rFonts w:ascii="Verdana" w:hAnsi="Verdana" w:cs="Verdana"/>
          <w:sz w:val="20"/>
          <w:szCs w:val="20"/>
          <w:lang w:val="es-PA"/>
        </w:rPr>
        <w:t xml:space="preserve"> la investigación de los actos de violencia sexual practicados contra L.R.J., C.S.S y J.F.C</w:t>
      </w:r>
      <w:r w:rsidR="00F53503" w:rsidRPr="00486FED">
        <w:rPr>
          <w:rFonts w:ascii="Verdana" w:hAnsi="Verdana" w:cs="Verdana"/>
          <w:sz w:val="20"/>
          <w:szCs w:val="20"/>
          <w:lang w:val="es-PA"/>
        </w:rPr>
        <w:t xml:space="preserve">. </w:t>
      </w:r>
      <w:r w:rsidR="006A4FF3" w:rsidRPr="00486FED">
        <w:rPr>
          <w:rFonts w:ascii="Verdana" w:hAnsi="Verdana" w:cs="Verdana"/>
          <w:sz w:val="20"/>
          <w:szCs w:val="20"/>
          <w:lang w:val="es-PA"/>
        </w:rPr>
        <w:t>Acerca de este pedido, el Estado manifestó</w:t>
      </w:r>
      <w:r w:rsidR="00AE49CE" w:rsidRPr="00486FED">
        <w:rPr>
          <w:rFonts w:ascii="Verdana" w:hAnsi="Verdana" w:cs="Verdana"/>
          <w:sz w:val="20"/>
          <w:szCs w:val="20"/>
          <w:lang w:val="es-PA"/>
        </w:rPr>
        <w:t xml:space="preserve"> </w:t>
      </w:r>
      <w:r w:rsidR="00A318F7" w:rsidRPr="00486FED">
        <w:rPr>
          <w:rFonts w:ascii="Verdana" w:hAnsi="Verdana" w:cs="Verdana"/>
          <w:sz w:val="20"/>
          <w:szCs w:val="20"/>
          <w:lang w:val="es-PA"/>
        </w:rPr>
        <w:t xml:space="preserve">que la solicitud de los representantes </w:t>
      </w:r>
      <w:r w:rsidR="00CC70AA">
        <w:rPr>
          <w:rFonts w:ascii="Verdana" w:hAnsi="Verdana" w:cs="Verdana"/>
          <w:sz w:val="20"/>
          <w:szCs w:val="20"/>
          <w:lang w:val="es-PA"/>
        </w:rPr>
        <w:t>busca incorporar elementos nuevos a</w:t>
      </w:r>
      <w:r w:rsidR="00AE49CE" w:rsidRPr="00486FED">
        <w:rPr>
          <w:rFonts w:ascii="Verdana" w:hAnsi="Verdana" w:cs="Verdana"/>
          <w:sz w:val="20"/>
          <w:szCs w:val="20"/>
          <w:lang w:val="es-PA"/>
        </w:rPr>
        <w:t xml:space="preserve"> l</w:t>
      </w:r>
      <w:r w:rsidR="00CC19D5" w:rsidRPr="00486FED">
        <w:rPr>
          <w:rFonts w:ascii="Verdana" w:hAnsi="Verdana" w:cs="Verdana"/>
          <w:sz w:val="20"/>
          <w:szCs w:val="20"/>
          <w:lang w:val="es-PA"/>
        </w:rPr>
        <w:t xml:space="preserve">a </w:t>
      </w:r>
      <w:r w:rsidR="00A318F7" w:rsidRPr="00486FED">
        <w:rPr>
          <w:rFonts w:ascii="Verdana" w:hAnsi="Verdana" w:cs="Verdana"/>
          <w:sz w:val="20"/>
          <w:szCs w:val="20"/>
          <w:lang w:val="es-PA"/>
        </w:rPr>
        <w:t>S</w:t>
      </w:r>
      <w:r w:rsidR="00CC19D5" w:rsidRPr="00486FED">
        <w:rPr>
          <w:rFonts w:ascii="Verdana" w:hAnsi="Verdana" w:cs="Verdana"/>
          <w:sz w:val="20"/>
          <w:szCs w:val="20"/>
          <w:lang w:val="es-PA"/>
        </w:rPr>
        <w:t xml:space="preserve">entencia, razón por la cual </w:t>
      </w:r>
      <w:r w:rsidR="00FE04E9" w:rsidRPr="00486FED">
        <w:rPr>
          <w:rFonts w:ascii="Verdana" w:hAnsi="Verdana" w:cs="Verdana"/>
          <w:sz w:val="20"/>
          <w:szCs w:val="20"/>
          <w:lang w:val="es-PA"/>
        </w:rPr>
        <w:t>debe ser rechazada</w:t>
      </w:r>
      <w:r w:rsidR="00AE49CE" w:rsidRPr="00486FED">
        <w:rPr>
          <w:rFonts w:ascii="Verdana" w:hAnsi="Verdana" w:cs="Verdana"/>
          <w:sz w:val="20"/>
          <w:szCs w:val="20"/>
          <w:lang w:val="es-PA"/>
        </w:rPr>
        <w:t xml:space="preserve">. </w:t>
      </w:r>
    </w:p>
    <w:p w:rsidR="00F80CA4" w:rsidRDefault="00F80CA4" w:rsidP="00A82FB4">
      <w:pPr>
        <w:autoSpaceDE w:val="0"/>
        <w:autoSpaceDN w:val="0"/>
        <w:adjustRightInd w:val="0"/>
        <w:spacing w:after="0" w:line="240" w:lineRule="auto"/>
        <w:jc w:val="both"/>
        <w:rPr>
          <w:rFonts w:ascii="Verdana" w:hAnsi="Verdana" w:cs="Verdana"/>
          <w:sz w:val="20"/>
          <w:szCs w:val="20"/>
          <w:lang w:val="es-PA"/>
        </w:rPr>
      </w:pPr>
    </w:p>
    <w:p w:rsidR="006574B1" w:rsidRPr="003414DF" w:rsidRDefault="006574B1"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6574B1">
        <w:rPr>
          <w:rFonts w:ascii="Verdana" w:hAnsi="Verdana" w:cs="Verdana"/>
          <w:sz w:val="20"/>
          <w:szCs w:val="20"/>
          <w:lang w:val="es-PA"/>
        </w:rPr>
        <w:t xml:space="preserve">El </w:t>
      </w:r>
      <w:r w:rsidRPr="0028163D">
        <w:rPr>
          <w:rFonts w:ascii="Verdana" w:hAnsi="Verdana" w:cs="Verdana"/>
          <w:b/>
          <w:i/>
          <w:sz w:val="20"/>
          <w:szCs w:val="20"/>
          <w:lang w:val="es-PA"/>
        </w:rPr>
        <w:t>Estado</w:t>
      </w:r>
      <w:r w:rsidR="006A4FF3" w:rsidRPr="007A0710">
        <w:rPr>
          <w:rFonts w:ascii="Verdana" w:hAnsi="Verdana" w:cs="Verdana"/>
          <w:sz w:val="20"/>
          <w:szCs w:val="20"/>
          <w:lang w:val="es-PA"/>
        </w:rPr>
        <w:t>,</w:t>
      </w:r>
      <w:r w:rsidR="006A4FF3">
        <w:rPr>
          <w:rFonts w:ascii="Verdana" w:hAnsi="Verdana" w:cs="Verdana"/>
          <w:b/>
          <w:i/>
          <w:sz w:val="20"/>
          <w:szCs w:val="20"/>
          <w:lang w:val="es-PA"/>
        </w:rPr>
        <w:t xml:space="preserve"> </w:t>
      </w:r>
      <w:r w:rsidR="006A4FF3">
        <w:rPr>
          <w:rFonts w:ascii="Verdana" w:hAnsi="Verdana" w:cs="Verdana"/>
          <w:sz w:val="20"/>
          <w:szCs w:val="20"/>
          <w:lang w:val="es-PA"/>
        </w:rPr>
        <w:t xml:space="preserve">por su parte, solicitó </w:t>
      </w:r>
      <w:r w:rsidR="00A318F7">
        <w:rPr>
          <w:rFonts w:ascii="Verdana" w:hAnsi="Verdana" w:cs="Verdana"/>
          <w:sz w:val="20"/>
          <w:szCs w:val="20"/>
          <w:lang w:val="es-PA"/>
        </w:rPr>
        <w:t xml:space="preserve">la aclaración </w:t>
      </w:r>
      <w:r w:rsidR="006A4FF3">
        <w:rPr>
          <w:rFonts w:ascii="Verdana" w:hAnsi="Verdana" w:cs="Verdana"/>
          <w:sz w:val="20"/>
          <w:szCs w:val="20"/>
          <w:lang w:val="es-PA"/>
        </w:rPr>
        <w:t xml:space="preserve">de las razones por las cuales </w:t>
      </w:r>
      <w:r w:rsidR="00F911DB">
        <w:rPr>
          <w:rFonts w:ascii="Verdana" w:hAnsi="Verdana" w:cs="Verdana"/>
          <w:sz w:val="20"/>
          <w:szCs w:val="20"/>
          <w:lang w:val="es-PA"/>
        </w:rPr>
        <w:t xml:space="preserve">el Tribunal </w:t>
      </w:r>
      <w:r w:rsidR="006A4FF3">
        <w:rPr>
          <w:rFonts w:ascii="Verdana" w:hAnsi="Verdana" w:cs="Verdana"/>
          <w:sz w:val="20"/>
          <w:szCs w:val="20"/>
          <w:lang w:val="es-PA"/>
        </w:rPr>
        <w:t xml:space="preserve">ordenó que no se </w:t>
      </w:r>
      <w:r w:rsidR="00F911DB">
        <w:rPr>
          <w:rFonts w:ascii="Verdana" w:hAnsi="Verdana" w:cs="Verdana"/>
          <w:sz w:val="20"/>
          <w:szCs w:val="20"/>
          <w:lang w:val="es-PA"/>
        </w:rPr>
        <w:t>apliquen “obstáculos procesales”, como la prescripción, sobre los hechos de posibles ejecuciones extrajudiciales y actos de tortura.</w:t>
      </w:r>
      <w:r w:rsidR="00F53503" w:rsidRPr="00F53503">
        <w:rPr>
          <w:rFonts w:ascii="Verdana" w:hAnsi="Verdana" w:cs="Verdana"/>
          <w:b/>
          <w:sz w:val="20"/>
          <w:szCs w:val="20"/>
          <w:lang w:val="es-PA"/>
        </w:rPr>
        <w:t xml:space="preserve"> </w:t>
      </w:r>
      <w:r w:rsidR="00A318F7">
        <w:rPr>
          <w:rFonts w:ascii="Verdana" w:hAnsi="Verdana" w:cs="Verdana"/>
          <w:sz w:val="20"/>
          <w:szCs w:val="20"/>
          <w:lang w:val="es-PA"/>
        </w:rPr>
        <w:t xml:space="preserve">Sostuvo </w:t>
      </w:r>
      <w:r w:rsidR="00F53503">
        <w:rPr>
          <w:rFonts w:ascii="Verdana" w:hAnsi="Verdana" w:cs="Verdana"/>
          <w:sz w:val="20"/>
          <w:szCs w:val="20"/>
          <w:lang w:val="es-PA"/>
        </w:rPr>
        <w:t xml:space="preserve">que referirse solo a </w:t>
      </w:r>
      <w:r w:rsidR="00A318F7">
        <w:rPr>
          <w:rFonts w:ascii="Verdana" w:hAnsi="Verdana" w:cs="Verdana"/>
          <w:sz w:val="20"/>
          <w:szCs w:val="20"/>
          <w:lang w:val="es-PA"/>
        </w:rPr>
        <w:t>su</w:t>
      </w:r>
      <w:r w:rsidR="00F53503">
        <w:rPr>
          <w:rFonts w:ascii="Verdana" w:hAnsi="Verdana" w:cs="Verdana"/>
          <w:sz w:val="20"/>
          <w:szCs w:val="20"/>
          <w:lang w:val="es-PA"/>
        </w:rPr>
        <w:t xml:space="preserve"> jurisprudencia no es suficiente</w:t>
      </w:r>
      <w:r w:rsidR="00CC19D5">
        <w:rPr>
          <w:rFonts w:ascii="Verdana" w:hAnsi="Verdana" w:cs="Verdana"/>
          <w:sz w:val="20"/>
          <w:szCs w:val="20"/>
          <w:lang w:val="es-PA"/>
        </w:rPr>
        <w:t xml:space="preserve">, </w:t>
      </w:r>
      <w:r w:rsidR="00F53503">
        <w:rPr>
          <w:rFonts w:ascii="Verdana" w:hAnsi="Verdana" w:cs="Verdana"/>
          <w:sz w:val="20"/>
          <w:szCs w:val="20"/>
          <w:lang w:val="es-PA"/>
        </w:rPr>
        <w:t xml:space="preserve">para determinar </w:t>
      </w:r>
      <w:r w:rsidR="00CA07DC">
        <w:rPr>
          <w:rFonts w:ascii="Verdana" w:hAnsi="Verdana" w:cs="Verdana"/>
          <w:sz w:val="20"/>
          <w:szCs w:val="20"/>
          <w:lang w:val="es-PA"/>
        </w:rPr>
        <w:t>por qué</w:t>
      </w:r>
      <w:r w:rsidR="00E10134">
        <w:rPr>
          <w:rFonts w:ascii="Verdana" w:hAnsi="Verdana" w:cs="Verdana"/>
          <w:sz w:val="20"/>
          <w:szCs w:val="20"/>
          <w:lang w:val="es-PA"/>
        </w:rPr>
        <w:t xml:space="preserve"> el caso en cuestión </w:t>
      </w:r>
      <w:r w:rsidR="00CA07DC">
        <w:rPr>
          <w:rFonts w:ascii="Verdana" w:hAnsi="Verdana" w:cs="Verdana"/>
          <w:sz w:val="20"/>
          <w:szCs w:val="20"/>
          <w:lang w:val="es-PA"/>
        </w:rPr>
        <w:t>es considerado</w:t>
      </w:r>
      <w:r w:rsidR="00E10134">
        <w:rPr>
          <w:rFonts w:ascii="Verdana" w:hAnsi="Verdana" w:cs="Verdana"/>
          <w:sz w:val="20"/>
          <w:szCs w:val="20"/>
          <w:lang w:val="es-PA"/>
        </w:rPr>
        <w:t xml:space="preserve"> una “grave violación a los derechos humanos”</w:t>
      </w:r>
      <w:r w:rsidR="003414DF">
        <w:rPr>
          <w:rFonts w:ascii="Verdana" w:hAnsi="Verdana" w:cs="Verdana"/>
          <w:sz w:val="20"/>
          <w:szCs w:val="20"/>
          <w:lang w:val="es-PA"/>
        </w:rPr>
        <w:t xml:space="preserve">. Según el Estado, la Sentencia no explicita </w:t>
      </w:r>
      <w:r w:rsidR="00C80F4D">
        <w:rPr>
          <w:rFonts w:ascii="Verdana" w:hAnsi="Verdana" w:cs="Verdana"/>
          <w:sz w:val="20"/>
          <w:szCs w:val="20"/>
          <w:lang w:val="es-PA"/>
        </w:rPr>
        <w:t>l</w:t>
      </w:r>
      <w:r w:rsidR="003414DF">
        <w:rPr>
          <w:rFonts w:ascii="Verdana" w:hAnsi="Verdana" w:cs="Verdana"/>
          <w:sz w:val="20"/>
          <w:szCs w:val="20"/>
          <w:lang w:val="es-PA"/>
        </w:rPr>
        <w:t xml:space="preserve">os fundamentos para considerar que tales probables ejecuciones extrajudiciales y actos de tortura sean imprescriptibles o </w:t>
      </w:r>
      <w:r w:rsidR="002F7A19">
        <w:rPr>
          <w:rFonts w:ascii="Verdana" w:hAnsi="Verdana" w:cs="Verdana"/>
          <w:sz w:val="20"/>
          <w:szCs w:val="20"/>
          <w:lang w:val="es-PA"/>
        </w:rPr>
        <w:t xml:space="preserve">que no sean </w:t>
      </w:r>
      <w:r w:rsidR="001F08E6">
        <w:rPr>
          <w:rFonts w:ascii="Verdana" w:hAnsi="Verdana" w:cs="Verdana"/>
          <w:sz w:val="20"/>
          <w:szCs w:val="20"/>
          <w:lang w:val="es-PA"/>
        </w:rPr>
        <w:t xml:space="preserve">cobijados </w:t>
      </w:r>
      <w:r w:rsidR="003414DF">
        <w:rPr>
          <w:rFonts w:ascii="Verdana" w:hAnsi="Verdana" w:cs="Verdana"/>
          <w:sz w:val="20"/>
          <w:szCs w:val="20"/>
          <w:lang w:val="es-PA"/>
        </w:rPr>
        <w:t xml:space="preserve">por la cosa juzgada y demás </w:t>
      </w:r>
      <w:r w:rsidR="00CC70AA">
        <w:rPr>
          <w:rFonts w:ascii="Verdana" w:hAnsi="Verdana" w:cs="Verdana"/>
          <w:sz w:val="20"/>
          <w:szCs w:val="20"/>
          <w:lang w:val="es-PA"/>
        </w:rPr>
        <w:t>obstáculos</w:t>
      </w:r>
      <w:r w:rsidR="003414DF">
        <w:rPr>
          <w:rFonts w:ascii="Verdana" w:hAnsi="Verdana" w:cs="Verdana"/>
          <w:sz w:val="20"/>
          <w:szCs w:val="20"/>
          <w:lang w:val="es-PA"/>
        </w:rPr>
        <w:t xml:space="preserve"> de derecho interno.</w:t>
      </w:r>
      <w:r w:rsidR="00180BA1">
        <w:rPr>
          <w:rFonts w:ascii="Verdana" w:hAnsi="Verdana" w:cs="Verdana"/>
          <w:sz w:val="20"/>
          <w:szCs w:val="20"/>
          <w:lang w:val="es-PA"/>
        </w:rPr>
        <w:t xml:space="preserve"> Además, argumentó que los crímenes de lesa humanidad están sujetos a la jurisdicción del Tribunal Penal Internacional y de otras cortes </w:t>
      </w:r>
      <w:r w:rsidR="00180BA1">
        <w:rPr>
          <w:rFonts w:ascii="Verdana" w:hAnsi="Verdana" w:cs="Verdana"/>
          <w:sz w:val="20"/>
          <w:szCs w:val="20"/>
          <w:lang w:val="es-PA"/>
        </w:rPr>
        <w:lastRenderedPageBreak/>
        <w:t xml:space="preserve">internacionales </w:t>
      </w:r>
      <w:r w:rsidR="002F7A19">
        <w:rPr>
          <w:rFonts w:ascii="Verdana" w:hAnsi="Verdana" w:cs="Verdana"/>
          <w:sz w:val="20"/>
          <w:szCs w:val="20"/>
          <w:lang w:val="es-PA"/>
        </w:rPr>
        <w:t xml:space="preserve">y </w:t>
      </w:r>
      <w:r w:rsidR="00180BA1">
        <w:rPr>
          <w:rFonts w:ascii="Verdana" w:hAnsi="Verdana" w:cs="Verdana"/>
          <w:sz w:val="20"/>
          <w:szCs w:val="20"/>
          <w:lang w:val="es-PA"/>
        </w:rPr>
        <w:t xml:space="preserve">que no tienen la capacidad de imponer a los legisladores domésticos obligaciones de </w:t>
      </w:r>
      <w:r w:rsidR="00C80F4D">
        <w:rPr>
          <w:rFonts w:ascii="Verdana" w:hAnsi="Verdana" w:cs="Verdana"/>
          <w:sz w:val="20"/>
          <w:szCs w:val="20"/>
          <w:lang w:val="es-PA"/>
        </w:rPr>
        <w:t>no aplicar</w:t>
      </w:r>
      <w:r w:rsidR="00180BA1">
        <w:rPr>
          <w:rFonts w:ascii="Verdana" w:hAnsi="Verdana" w:cs="Verdana"/>
          <w:sz w:val="20"/>
          <w:szCs w:val="20"/>
          <w:lang w:val="es-PA"/>
        </w:rPr>
        <w:t xml:space="preserve"> la prescripción en la persecución penal interna</w:t>
      </w:r>
      <w:r w:rsidR="00F53503" w:rsidRPr="003414DF">
        <w:rPr>
          <w:rFonts w:ascii="Verdana" w:hAnsi="Verdana" w:cs="Verdana"/>
          <w:sz w:val="20"/>
          <w:szCs w:val="20"/>
          <w:lang w:val="es-PA"/>
        </w:rPr>
        <w:t xml:space="preserve">. </w:t>
      </w:r>
      <w:r w:rsidR="00F86BC7">
        <w:rPr>
          <w:rFonts w:ascii="Verdana" w:hAnsi="Verdana" w:cs="Verdana"/>
          <w:sz w:val="20"/>
          <w:szCs w:val="20"/>
          <w:lang w:val="es-PA"/>
        </w:rPr>
        <w:t>Al respecto, l</w:t>
      </w:r>
      <w:r w:rsidR="003F1D25" w:rsidRPr="003414DF">
        <w:rPr>
          <w:rFonts w:ascii="Verdana" w:hAnsi="Verdana" w:cs="Verdana"/>
          <w:sz w:val="20"/>
          <w:szCs w:val="20"/>
          <w:lang w:val="es-PA"/>
        </w:rPr>
        <w:t>os representantes</w:t>
      </w:r>
      <w:r w:rsidR="00E10134" w:rsidRPr="003414DF">
        <w:rPr>
          <w:rFonts w:ascii="Verdana" w:hAnsi="Verdana" w:cs="Verdana"/>
          <w:sz w:val="20"/>
          <w:szCs w:val="20"/>
          <w:lang w:val="es-PA"/>
        </w:rPr>
        <w:t xml:space="preserve"> articularon en el sentido de que </w:t>
      </w:r>
      <w:r w:rsidR="00C80F4D">
        <w:rPr>
          <w:rFonts w:ascii="Verdana" w:hAnsi="Verdana" w:cs="Verdana"/>
          <w:sz w:val="20"/>
          <w:szCs w:val="20"/>
          <w:lang w:val="es-PA"/>
        </w:rPr>
        <w:t xml:space="preserve">Brasil </w:t>
      </w:r>
      <w:r w:rsidR="00E10134" w:rsidRPr="003414DF">
        <w:rPr>
          <w:rFonts w:ascii="Verdana" w:hAnsi="Verdana" w:cs="Verdana"/>
          <w:sz w:val="20"/>
          <w:szCs w:val="20"/>
          <w:lang w:val="es-PA"/>
        </w:rPr>
        <w:t>no estaría solicitando una interpretación de la Sentencia, sino cuestionando la decisión fundamentada por esta Corte</w:t>
      </w:r>
      <w:r w:rsidR="00F53503" w:rsidRPr="003414DF">
        <w:rPr>
          <w:rFonts w:ascii="Verdana" w:hAnsi="Verdana" w:cs="Verdana"/>
          <w:sz w:val="20"/>
          <w:szCs w:val="20"/>
          <w:lang w:val="es-PA"/>
        </w:rPr>
        <w:t>.</w:t>
      </w:r>
    </w:p>
    <w:p w:rsidR="0085449E" w:rsidRPr="006574B1" w:rsidRDefault="0085449E" w:rsidP="00A82FB4">
      <w:pPr>
        <w:autoSpaceDE w:val="0"/>
        <w:autoSpaceDN w:val="0"/>
        <w:adjustRightInd w:val="0"/>
        <w:spacing w:after="0" w:line="240" w:lineRule="auto"/>
        <w:jc w:val="both"/>
        <w:rPr>
          <w:rFonts w:ascii="Verdana" w:hAnsi="Verdana" w:cs="Verdana"/>
          <w:sz w:val="20"/>
          <w:szCs w:val="20"/>
          <w:lang w:val="es-PA"/>
        </w:rPr>
      </w:pPr>
    </w:p>
    <w:p w:rsidR="008275D2" w:rsidRPr="0028163D" w:rsidRDefault="0085449E" w:rsidP="00A82FB4">
      <w:pPr>
        <w:numPr>
          <w:ilvl w:val="0"/>
          <w:numId w:val="2"/>
        </w:numPr>
        <w:tabs>
          <w:tab w:val="clear" w:pos="1247"/>
        </w:tabs>
        <w:autoSpaceDE w:val="0"/>
        <w:autoSpaceDN w:val="0"/>
        <w:adjustRightInd w:val="0"/>
        <w:spacing w:after="0" w:line="240" w:lineRule="auto"/>
        <w:jc w:val="both"/>
        <w:rPr>
          <w:rFonts w:ascii="Verdana" w:hAnsi="Verdana" w:cs="Verdana"/>
          <w:b/>
          <w:sz w:val="20"/>
          <w:szCs w:val="20"/>
        </w:rPr>
      </w:pPr>
      <w:r w:rsidRPr="008275D2">
        <w:rPr>
          <w:rFonts w:ascii="Verdana" w:hAnsi="Verdana" w:cs="Verdana"/>
          <w:sz w:val="20"/>
          <w:szCs w:val="20"/>
          <w:lang w:val="es-PA"/>
        </w:rPr>
        <w:t xml:space="preserve">La </w:t>
      </w:r>
      <w:r w:rsidRPr="0028163D">
        <w:rPr>
          <w:rFonts w:ascii="Verdana" w:hAnsi="Verdana" w:cs="Verdana"/>
          <w:b/>
          <w:i/>
          <w:sz w:val="20"/>
          <w:szCs w:val="20"/>
          <w:lang w:val="es-PA"/>
        </w:rPr>
        <w:t xml:space="preserve">Comisión </w:t>
      </w:r>
      <w:r w:rsidR="00A743B3" w:rsidRPr="008275D2">
        <w:rPr>
          <w:rFonts w:ascii="Verdana" w:hAnsi="Verdana" w:cs="Verdana"/>
          <w:sz w:val="20"/>
          <w:szCs w:val="20"/>
          <w:lang w:val="es-PA"/>
        </w:rPr>
        <w:t xml:space="preserve">reconoció que </w:t>
      </w:r>
      <w:r w:rsidR="00F911DB" w:rsidRPr="008275D2">
        <w:rPr>
          <w:rFonts w:ascii="Verdana" w:hAnsi="Verdana" w:cs="Verdana"/>
          <w:sz w:val="20"/>
          <w:szCs w:val="20"/>
          <w:lang w:val="es-PA"/>
        </w:rPr>
        <w:t xml:space="preserve">la Sentencia de la Corte </w:t>
      </w:r>
      <w:r w:rsidR="00F80CA4" w:rsidRPr="008275D2">
        <w:rPr>
          <w:rFonts w:ascii="Verdana" w:hAnsi="Verdana" w:cs="Verdana"/>
          <w:sz w:val="20"/>
          <w:szCs w:val="20"/>
          <w:lang w:val="es-PA"/>
        </w:rPr>
        <w:t>ya dispuso que</w:t>
      </w:r>
      <w:r w:rsidR="00F6454B" w:rsidRPr="004A18EF">
        <w:rPr>
          <w:rFonts w:ascii="Verdana" w:hAnsi="Verdana" w:cs="Verdana"/>
          <w:sz w:val="20"/>
          <w:szCs w:val="20"/>
          <w:lang w:val="es-PA"/>
        </w:rPr>
        <w:t xml:space="preserve"> </w:t>
      </w:r>
      <w:r w:rsidR="00F6454B" w:rsidRPr="0028163D">
        <w:rPr>
          <w:rFonts w:ascii="Verdana" w:eastAsiaTheme="minorHAnsi" w:hAnsi="Verdana" w:cs="Cambria"/>
          <w:sz w:val="20"/>
          <w:szCs w:val="20"/>
        </w:rPr>
        <w:t>la violencia sexual</w:t>
      </w:r>
      <w:r w:rsidR="008275D2" w:rsidRPr="008275D2">
        <w:rPr>
          <w:rFonts w:ascii="Verdana" w:eastAsiaTheme="minorHAnsi" w:hAnsi="Verdana" w:cs="Cambria"/>
          <w:sz w:val="20"/>
          <w:szCs w:val="20"/>
        </w:rPr>
        <w:t xml:space="preserve"> </w:t>
      </w:r>
      <w:r w:rsidR="00F6454B" w:rsidRPr="0028163D">
        <w:rPr>
          <w:rFonts w:ascii="Verdana" w:eastAsiaTheme="minorHAnsi" w:hAnsi="Verdana" w:cs="Cambria"/>
          <w:sz w:val="20"/>
          <w:szCs w:val="20"/>
        </w:rPr>
        <w:t>cometida en el presente caso se trató de un “delito especialmente grave”, y estableció la responsabilidad del Estado por la “completa falta de actuación estatal respecto a las violaciones sexuales y posibles actos de tortura” en contra de las tres víctimas, y con ello violaciones a los artículos 8.1 de la Convención en relación con su artículo 1.1, así co</w:t>
      </w:r>
      <w:r w:rsidR="008275D2" w:rsidRPr="0028163D">
        <w:rPr>
          <w:rFonts w:ascii="Verdana" w:eastAsiaTheme="minorHAnsi" w:hAnsi="Verdana" w:cs="Cambria"/>
          <w:sz w:val="20"/>
          <w:szCs w:val="20"/>
        </w:rPr>
        <w:t xml:space="preserve">mo los artículos 1, 6 y 8 de la </w:t>
      </w:r>
      <w:r w:rsidR="00F6454B" w:rsidRPr="0028163D">
        <w:rPr>
          <w:rFonts w:ascii="Verdana" w:eastAsiaTheme="minorHAnsi" w:hAnsi="Verdana" w:cs="Cambria"/>
          <w:sz w:val="20"/>
          <w:szCs w:val="20"/>
        </w:rPr>
        <w:t xml:space="preserve">CIPST y el artículo 7 de la Convención de Belém do Pará. Para la Comisión, de una lectura integral del fallo, se entiende que estos hechos se encuentran dentro de los parámetros puntualizados por la Corte en su Sentencia, específicamente en el párrafo 292 sobre la manera cómo el Estado debe conducir las investigaciones de las violaciones cometidas. A la luz de la jurisprudencia interamericana, la </w:t>
      </w:r>
      <w:r w:rsidR="008275D2" w:rsidRPr="0028163D">
        <w:rPr>
          <w:rFonts w:ascii="Verdana" w:eastAsiaTheme="minorHAnsi" w:hAnsi="Verdana" w:cs="Cambria"/>
          <w:sz w:val="20"/>
          <w:szCs w:val="20"/>
        </w:rPr>
        <w:t xml:space="preserve">Comisión consideró </w:t>
      </w:r>
      <w:r w:rsidR="00F6454B" w:rsidRPr="0028163D">
        <w:rPr>
          <w:rFonts w:ascii="Verdana" w:eastAsiaTheme="minorHAnsi" w:hAnsi="Verdana" w:cs="Cambria"/>
          <w:sz w:val="20"/>
          <w:szCs w:val="20"/>
        </w:rPr>
        <w:t>que este es el sentido y alcance correcto del fallo. Sin perjuicio de que la Honorable Corte considere útil ratificarlo</w:t>
      </w:r>
      <w:r w:rsidR="008275D2" w:rsidRPr="0028163D">
        <w:rPr>
          <w:rFonts w:ascii="Verdana" w:eastAsiaTheme="minorHAnsi" w:hAnsi="Verdana" w:cs="Cambria"/>
          <w:sz w:val="20"/>
          <w:szCs w:val="20"/>
        </w:rPr>
        <w:t xml:space="preserve"> </w:t>
      </w:r>
      <w:r w:rsidR="00113ECA">
        <w:rPr>
          <w:rFonts w:ascii="Verdana" w:eastAsiaTheme="minorHAnsi" w:hAnsi="Verdana" w:cs="Cambria"/>
          <w:sz w:val="20"/>
          <w:szCs w:val="20"/>
        </w:rPr>
        <w:t>en términos más precisos</w:t>
      </w:r>
      <w:r w:rsidR="00113ECA" w:rsidRPr="00113ECA">
        <w:rPr>
          <w:rFonts w:ascii="Verdana" w:eastAsiaTheme="minorHAnsi" w:hAnsi="Verdana" w:cs="Cambria"/>
          <w:sz w:val="20"/>
          <w:szCs w:val="20"/>
        </w:rPr>
        <w:t>.</w:t>
      </w:r>
      <w:r w:rsidR="00113ECA">
        <w:rPr>
          <w:rFonts w:ascii="Verdana" w:eastAsiaTheme="minorHAnsi" w:hAnsi="Verdana" w:cs="Cambria"/>
          <w:b/>
          <w:sz w:val="20"/>
          <w:szCs w:val="20"/>
        </w:rPr>
        <w:t xml:space="preserve"> </w:t>
      </w:r>
      <w:r w:rsidR="008275D2" w:rsidRPr="008275D2">
        <w:rPr>
          <w:rFonts w:ascii="Verdana" w:hAnsi="Verdana" w:cs="Verdana"/>
          <w:sz w:val="20"/>
          <w:szCs w:val="20"/>
        </w:rPr>
        <w:t>En relación con la solicitud del Estado sobre e</w:t>
      </w:r>
      <w:r w:rsidR="008275D2" w:rsidRPr="004A18EF">
        <w:rPr>
          <w:rFonts w:ascii="Verdana" w:hAnsi="Verdana" w:cs="Verdana"/>
          <w:sz w:val="20"/>
          <w:szCs w:val="20"/>
        </w:rPr>
        <w:t xml:space="preserve">ste punto, </w:t>
      </w:r>
      <w:r w:rsidR="008275D2" w:rsidRPr="008275D2">
        <w:rPr>
          <w:rFonts w:ascii="Verdana" w:hAnsi="Verdana" w:cs="Verdana"/>
          <w:sz w:val="20"/>
          <w:szCs w:val="20"/>
        </w:rPr>
        <w:t>consideró que los estándares aplicados por la Corte en su Sentencia se corresponden con la jurisprudencia reiterada del Tribunal en relación con la impunidad generada por la falta de investigación y juzgamiento de graves violaciones de derechos humanos, en casos en los que operan o pueden operar figuras como la prescripción. Sobre este extremo, y considerando la importancia y centralidad de los principios involucrados, la Corte también podría considerar útil precisar en estos términos los estándares</w:t>
      </w:r>
      <w:r w:rsidR="00113ECA" w:rsidRPr="008275D2">
        <w:rPr>
          <w:rFonts w:ascii="Verdana" w:hAnsi="Verdana" w:cs="Verdana"/>
          <w:sz w:val="20"/>
          <w:szCs w:val="20"/>
        </w:rPr>
        <w:t>.</w:t>
      </w:r>
    </w:p>
    <w:p w:rsidR="0085449E" w:rsidRPr="00113ECA" w:rsidRDefault="0085449E" w:rsidP="00A82FB4">
      <w:pPr>
        <w:autoSpaceDE w:val="0"/>
        <w:autoSpaceDN w:val="0"/>
        <w:adjustRightInd w:val="0"/>
        <w:spacing w:after="0" w:line="240" w:lineRule="auto"/>
        <w:jc w:val="both"/>
        <w:rPr>
          <w:rFonts w:ascii="Verdana" w:hAnsi="Verdana" w:cs="Verdana"/>
          <w:i/>
          <w:sz w:val="20"/>
          <w:szCs w:val="20"/>
        </w:rPr>
      </w:pPr>
    </w:p>
    <w:p w:rsidR="000C2BED" w:rsidRDefault="000C2BED" w:rsidP="00A82FB4">
      <w:pPr>
        <w:pStyle w:val="Heading4"/>
        <w:tabs>
          <w:tab w:val="clear" w:pos="0"/>
        </w:tabs>
      </w:pPr>
      <w:r w:rsidRPr="00C80F4D">
        <w:t>A.2. Consideraciones de la Corte</w:t>
      </w:r>
      <w:r w:rsidRPr="0028163D">
        <w:t xml:space="preserve"> </w:t>
      </w:r>
    </w:p>
    <w:p w:rsidR="000C2BED" w:rsidRPr="0028163D" w:rsidRDefault="000C2BED" w:rsidP="00A82FB4">
      <w:pPr>
        <w:autoSpaceDE w:val="0"/>
        <w:autoSpaceDN w:val="0"/>
        <w:adjustRightInd w:val="0"/>
        <w:spacing w:after="0" w:line="240" w:lineRule="auto"/>
        <w:jc w:val="both"/>
        <w:rPr>
          <w:rFonts w:ascii="Verdana" w:hAnsi="Verdana" w:cs="Verdana"/>
          <w:b/>
          <w:i/>
          <w:sz w:val="20"/>
          <w:szCs w:val="20"/>
          <w:lang w:val="es-PA"/>
        </w:rPr>
      </w:pPr>
    </w:p>
    <w:p w:rsidR="00DC7584" w:rsidRDefault="00DC7584"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Pr>
          <w:rFonts w:ascii="Verdana" w:hAnsi="Verdana" w:cs="Verdana"/>
          <w:sz w:val="20"/>
          <w:szCs w:val="20"/>
          <w:lang w:val="es-PA"/>
        </w:rPr>
        <w:t xml:space="preserve">La Jurisprudencia de la Corte Interamericana </w:t>
      </w:r>
      <w:r w:rsidR="004B0A78">
        <w:rPr>
          <w:rFonts w:ascii="Verdana" w:hAnsi="Verdana" w:cs="Verdana"/>
          <w:sz w:val="20"/>
          <w:szCs w:val="20"/>
          <w:lang w:val="es-PA"/>
        </w:rPr>
        <w:t>h</w:t>
      </w:r>
      <w:r w:rsidR="00F87049">
        <w:rPr>
          <w:rFonts w:ascii="Verdana" w:hAnsi="Verdana" w:cs="Verdana"/>
          <w:sz w:val="20"/>
          <w:szCs w:val="20"/>
          <w:lang w:val="es-PA"/>
        </w:rPr>
        <w:t>a sido</w:t>
      </w:r>
      <w:r>
        <w:rPr>
          <w:rFonts w:ascii="Verdana" w:hAnsi="Verdana" w:cs="Verdana"/>
          <w:sz w:val="20"/>
          <w:szCs w:val="20"/>
          <w:lang w:val="es-PA"/>
        </w:rPr>
        <w:t xml:space="preserve"> reiterada y constante al considerar que </w:t>
      </w:r>
      <w:r w:rsidR="00880A95">
        <w:rPr>
          <w:rFonts w:ascii="Verdana" w:hAnsi="Verdana" w:cs="Verdana"/>
          <w:sz w:val="20"/>
          <w:szCs w:val="20"/>
          <w:lang w:val="es-PA"/>
        </w:rPr>
        <w:t xml:space="preserve">ciertas figuras jurídicas que </w:t>
      </w:r>
      <w:r>
        <w:rPr>
          <w:rFonts w:ascii="Verdana" w:hAnsi="Verdana" w:cs="Verdana"/>
          <w:sz w:val="20"/>
          <w:szCs w:val="20"/>
          <w:lang w:val="es-PA"/>
        </w:rPr>
        <w:t xml:space="preserve">representen </w:t>
      </w:r>
      <w:r w:rsidR="00880A95">
        <w:rPr>
          <w:rFonts w:ascii="Verdana" w:hAnsi="Verdana" w:cs="Verdana"/>
          <w:sz w:val="20"/>
          <w:szCs w:val="20"/>
          <w:lang w:val="es-PA"/>
        </w:rPr>
        <w:t xml:space="preserve">obstáculos </w:t>
      </w:r>
      <w:r>
        <w:rPr>
          <w:rFonts w:ascii="Verdana" w:hAnsi="Verdana" w:cs="Verdana"/>
          <w:sz w:val="20"/>
          <w:szCs w:val="20"/>
          <w:lang w:val="es-PA"/>
        </w:rPr>
        <w:t xml:space="preserve">procesales </w:t>
      </w:r>
      <w:r w:rsidR="00880A95">
        <w:rPr>
          <w:rFonts w:ascii="Verdana" w:hAnsi="Verdana" w:cs="Verdana"/>
          <w:sz w:val="20"/>
          <w:szCs w:val="20"/>
          <w:lang w:val="es-PA"/>
        </w:rPr>
        <w:t xml:space="preserve">a investigaciones de </w:t>
      </w:r>
      <w:r>
        <w:rPr>
          <w:rFonts w:ascii="Verdana" w:hAnsi="Verdana" w:cs="Verdana"/>
          <w:sz w:val="20"/>
          <w:szCs w:val="20"/>
          <w:lang w:val="es-PA"/>
        </w:rPr>
        <w:t xml:space="preserve">graves violaciones de derechos humanos y/o </w:t>
      </w:r>
      <w:r w:rsidR="00880A95">
        <w:rPr>
          <w:rFonts w:ascii="Verdana" w:hAnsi="Verdana" w:cs="Verdana"/>
          <w:sz w:val="20"/>
          <w:szCs w:val="20"/>
          <w:lang w:val="es-PA"/>
        </w:rPr>
        <w:t xml:space="preserve">crímenes de lesa a humanidad </w:t>
      </w:r>
      <w:r>
        <w:rPr>
          <w:rFonts w:ascii="Verdana" w:hAnsi="Verdana" w:cs="Verdana"/>
          <w:sz w:val="20"/>
          <w:szCs w:val="20"/>
          <w:lang w:val="es-PA"/>
        </w:rPr>
        <w:t>son prohibidas por el derecho internacional</w:t>
      </w:r>
      <w:r w:rsidR="00F87049" w:rsidRPr="004B0A78">
        <w:rPr>
          <w:rStyle w:val="FootnoteReference"/>
          <w:rFonts w:cs="Verdana"/>
          <w:sz w:val="20"/>
          <w:szCs w:val="20"/>
          <w:lang w:val="es-PA"/>
        </w:rPr>
        <w:footnoteReference w:id="8"/>
      </w:r>
      <w:r w:rsidR="00880A95">
        <w:rPr>
          <w:rFonts w:ascii="Verdana" w:hAnsi="Verdana" w:cs="Verdana"/>
          <w:sz w:val="20"/>
          <w:szCs w:val="20"/>
          <w:lang w:val="es-PA"/>
        </w:rPr>
        <w:t xml:space="preserve">. </w:t>
      </w:r>
    </w:p>
    <w:p w:rsidR="00DC7584" w:rsidRDefault="00DC7584" w:rsidP="00A82FB4">
      <w:pPr>
        <w:autoSpaceDE w:val="0"/>
        <w:autoSpaceDN w:val="0"/>
        <w:adjustRightInd w:val="0"/>
        <w:spacing w:after="0" w:line="240" w:lineRule="auto"/>
        <w:jc w:val="both"/>
        <w:rPr>
          <w:rFonts w:ascii="Verdana" w:hAnsi="Verdana" w:cs="Verdana"/>
          <w:sz w:val="20"/>
          <w:szCs w:val="20"/>
          <w:lang w:val="es-PA"/>
        </w:rPr>
      </w:pPr>
    </w:p>
    <w:p w:rsidR="00450964" w:rsidRDefault="008104F8"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Pr>
          <w:rFonts w:ascii="Verdana" w:hAnsi="Verdana" w:cs="Verdana"/>
          <w:sz w:val="20"/>
          <w:szCs w:val="20"/>
          <w:lang w:val="es-PA"/>
        </w:rPr>
        <w:t xml:space="preserve">La Sentencia </w:t>
      </w:r>
      <w:r w:rsidR="00DC7584">
        <w:rPr>
          <w:rFonts w:ascii="Verdana" w:hAnsi="Verdana" w:cs="Verdana"/>
          <w:sz w:val="20"/>
          <w:szCs w:val="20"/>
          <w:lang w:val="es-PA"/>
        </w:rPr>
        <w:t>de fondo de</w:t>
      </w:r>
      <w:r w:rsidR="00880A95">
        <w:rPr>
          <w:rFonts w:ascii="Verdana" w:hAnsi="Verdana" w:cs="Verdana"/>
          <w:sz w:val="20"/>
          <w:szCs w:val="20"/>
          <w:lang w:val="es-PA"/>
        </w:rPr>
        <w:t xml:space="preserve">l presente caso </w:t>
      </w:r>
      <w:r>
        <w:rPr>
          <w:rFonts w:ascii="Verdana" w:hAnsi="Verdana" w:cs="Verdana"/>
          <w:sz w:val="20"/>
          <w:szCs w:val="20"/>
          <w:lang w:val="es-PA"/>
        </w:rPr>
        <w:t>fue clara en considerar que los hechos de violencia sexual cometidos</w:t>
      </w:r>
      <w:r w:rsidR="005B64B7">
        <w:rPr>
          <w:rFonts w:ascii="Verdana" w:hAnsi="Verdana" w:cs="Verdana"/>
          <w:sz w:val="20"/>
          <w:szCs w:val="20"/>
          <w:lang w:val="es-PA"/>
        </w:rPr>
        <w:t xml:space="preserve"> en </w:t>
      </w:r>
      <w:r w:rsidR="00DC7584">
        <w:rPr>
          <w:rFonts w:ascii="Verdana" w:hAnsi="Verdana" w:cs="Verdana"/>
          <w:sz w:val="20"/>
          <w:szCs w:val="20"/>
          <w:lang w:val="es-PA"/>
        </w:rPr>
        <w:t>la</w:t>
      </w:r>
      <w:r w:rsidR="005B64B7">
        <w:rPr>
          <w:rFonts w:ascii="Verdana" w:hAnsi="Verdana" w:cs="Verdana"/>
          <w:sz w:val="20"/>
          <w:szCs w:val="20"/>
          <w:lang w:val="es-PA"/>
        </w:rPr>
        <w:t xml:space="preserve"> Favela Nova Brasília</w:t>
      </w:r>
      <w:r>
        <w:rPr>
          <w:rFonts w:ascii="Verdana" w:hAnsi="Verdana" w:cs="Verdana"/>
          <w:sz w:val="20"/>
          <w:szCs w:val="20"/>
          <w:lang w:val="es-PA"/>
        </w:rPr>
        <w:t xml:space="preserve"> se trataron de </w:t>
      </w:r>
      <w:r w:rsidR="00450964">
        <w:rPr>
          <w:rFonts w:ascii="Verdana" w:hAnsi="Verdana" w:cs="Verdana"/>
          <w:sz w:val="20"/>
          <w:szCs w:val="20"/>
          <w:lang w:val="es-PA"/>
        </w:rPr>
        <w:t xml:space="preserve">delitos especialmente graves, en los términos del párrafo 255: </w:t>
      </w:r>
    </w:p>
    <w:p w:rsidR="00CE2C0E" w:rsidRPr="00880A95" w:rsidRDefault="00CE2C0E" w:rsidP="00A82FB4">
      <w:pPr>
        <w:autoSpaceDE w:val="0"/>
        <w:autoSpaceDN w:val="0"/>
        <w:adjustRightInd w:val="0"/>
        <w:spacing w:after="0" w:line="240" w:lineRule="auto"/>
        <w:ind w:left="1440"/>
        <w:jc w:val="both"/>
        <w:rPr>
          <w:rFonts w:ascii="Verdana" w:hAnsi="Verdana"/>
          <w:sz w:val="18"/>
          <w:szCs w:val="18"/>
          <w:lang w:val="es-PA"/>
        </w:rPr>
      </w:pPr>
    </w:p>
    <w:p w:rsidR="008104F8" w:rsidRPr="00CE2C0E" w:rsidRDefault="00450964" w:rsidP="00A82FB4">
      <w:pPr>
        <w:autoSpaceDE w:val="0"/>
        <w:autoSpaceDN w:val="0"/>
        <w:adjustRightInd w:val="0"/>
        <w:spacing w:after="0" w:line="240" w:lineRule="auto"/>
        <w:ind w:left="993" w:right="855"/>
        <w:jc w:val="both"/>
        <w:rPr>
          <w:rFonts w:ascii="Verdana" w:hAnsi="Verdana" w:cs="Verdana"/>
          <w:sz w:val="18"/>
          <w:szCs w:val="18"/>
          <w:lang w:val="es-PA"/>
        </w:rPr>
      </w:pPr>
      <w:r w:rsidRPr="00CE2C0E">
        <w:rPr>
          <w:rFonts w:ascii="Verdana" w:hAnsi="Verdana"/>
          <w:sz w:val="18"/>
          <w:szCs w:val="18"/>
        </w:rPr>
        <w:t xml:space="preserve">La Corte reconoce que la violación sexual de una mujer que se encuentra detenida o bajo la custodia de un agente del Estado es un acto especialmente grave y reprobable, tomando en cuenta la vulnerabilidad de la víctima y el abuso de poder que despliega el agente. Asimismo, la violación sexual es una experiencia sumamente traumática que puede tener severas consecuencias y causa gran daño físico y psicológico, que deja a la víctima “humillada física y emocionalmente”, situación difícilmente superable por el paso del tiempo, a diferencia de lo que acontece en otras experiencias traumáticas. En este caso el propio Estado reconoció la gravedad de la violación sexual durante la audiencia pública del presente caso </w:t>
      </w:r>
      <w:r w:rsidR="00A53DAD">
        <w:rPr>
          <w:rFonts w:ascii="Verdana" w:hAnsi="Verdana"/>
          <w:sz w:val="18"/>
          <w:szCs w:val="18"/>
        </w:rPr>
        <w:t>y la calificó como “repugnante”</w:t>
      </w:r>
      <w:r w:rsidR="004A373D">
        <w:rPr>
          <w:rFonts w:ascii="Verdana" w:hAnsi="Verdana"/>
          <w:sz w:val="18"/>
          <w:szCs w:val="18"/>
        </w:rPr>
        <w:t>.</w:t>
      </w:r>
      <w:r w:rsidR="00A53DAD">
        <w:rPr>
          <w:rFonts w:ascii="Verdana" w:hAnsi="Verdana"/>
          <w:sz w:val="18"/>
          <w:szCs w:val="18"/>
        </w:rPr>
        <w:t xml:space="preserve"> </w:t>
      </w:r>
    </w:p>
    <w:p w:rsidR="00DC7584" w:rsidRDefault="00DC7584" w:rsidP="00A82FB4">
      <w:pPr>
        <w:autoSpaceDE w:val="0"/>
        <w:autoSpaceDN w:val="0"/>
        <w:adjustRightInd w:val="0"/>
        <w:spacing w:after="0" w:line="240" w:lineRule="auto"/>
        <w:jc w:val="both"/>
        <w:rPr>
          <w:rFonts w:ascii="Verdana" w:hAnsi="Verdana" w:cs="Verdana"/>
          <w:sz w:val="20"/>
          <w:szCs w:val="20"/>
          <w:lang w:val="es-PA"/>
        </w:rPr>
      </w:pPr>
    </w:p>
    <w:p w:rsidR="00C0777A" w:rsidRDefault="00C0777A"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9E1747">
        <w:rPr>
          <w:rFonts w:ascii="Verdana" w:hAnsi="Verdana" w:cs="Verdana"/>
          <w:sz w:val="20"/>
          <w:szCs w:val="20"/>
          <w:lang w:val="es-PA"/>
        </w:rPr>
        <w:t xml:space="preserve">Además, </w:t>
      </w:r>
      <w:r w:rsidR="007A0710" w:rsidRPr="00E06E90">
        <w:rPr>
          <w:rFonts w:ascii="Verdana" w:hAnsi="Verdana" w:cs="Verdana"/>
          <w:sz w:val="20"/>
          <w:szCs w:val="20"/>
          <w:lang w:val="es-PA"/>
        </w:rPr>
        <w:t xml:space="preserve">el párrafo 250 de la Sentencia de Fondo la Corte reitera su criterio, </w:t>
      </w:r>
      <w:r w:rsidR="007A0710">
        <w:rPr>
          <w:rFonts w:ascii="Verdana" w:hAnsi="Verdana" w:cs="Verdana"/>
          <w:sz w:val="20"/>
          <w:szCs w:val="20"/>
          <w:lang w:val="es-PA"/>
        </w:rPr>
        <w:t xml:space="preserve">en cuanto a </w:t>
      </w:r>
      <w:r w:rsidR="007A0710" w:rsidRPr="00E06E90">
        <w:rPr>
          <w:rFonts w:ascii="Verdana" w:hAnsi="Verdana" w:cs="Verdana"/>
          <w:sz w:val="20"/>
          <w:szCs w:val="20"/>
          <w:lang w:val="es-PA"/>
        </w:rPr>
        <w:t xml:space="preserve">que </w:t>
      </w:r>
      <w:r w:rsidR="007A0710">
        <w:rPr>
          <w:rFonts w:ascii="Verdana" w:hAnsi="Verdana"/>
          <w:sz w:val="20"/>
          <w:szCs w:val="20"/>
        </w:rPr>
        <w:t>una</w:t>
      </w:r>
      <w:r w:rsidR="007A0710" w:rsidRPr="00E06E90">
        <w:rPr>
          <w:rFonts w:ascii="Verdana" w:hAnsi="Verdana"/>
          <w:sz w:val="20"/>
          <w:szCs w:val="20"/>
        </w:rPr>
        <w:t xml:space="preserve"> violación del derecho a la integridad física y psíquica de las personas tiene diversas connotaciones de grado</w:t>
      </w:r>
      <w:r w:rsidR="007A0710">
        <w:rPr>
          <w:rFonts w:ascii="Verdana" w:hAnsi="Verdana"/>
          <w:sz w:val="20"/>
          <w:szCs w:val="20"/>
        </w:rPr>
        <w:t xml:space="preserve">. En este sentido, puede </w:t>
      </w:r>
      <w:r w:rsidR="007A0710" w:rsidRPr="00E06E90">
        <w:rPr>
          <w:rFonts w:ascii="Verdana" w:hAnsi="Verdana"/>
          <w:sz w:val="20"/>
          <w:szCs w:val="20"/>
        </w:rPr>
        <w:t>abarca</w:t>
      </w:r>
      <w:r w:rsidR="007A0710">
        <w:rPr>
          <w:rFonts w:ascii="Verdana" w:hAnsi="Verdana"/>
          <w:sz w:val="20"/>
          <w:szCs w:val="20"/>
        </w:rPr>
        <w:t>r</w:t>
      </w:r>
      <w:r w:rsidR="007A0710" w:rsidRPr="00E06E90">
        <w:rPr>
          <w:rFonts w:ascii="Verdana" w:hAnsi="Verdana"/>
          <w:sz w:val="20"/>
          <w:szCs w:val="20"/>
        </w:rPr>
        <w:t xml:space="preserve"> desde la tortura hasta otro tipo de vejámenes o tratos crueles, inhumanos o degradantes, cuyas secuelas físicas y </w:t>
      </w:r>
      <w:r w:rsidR="007A0710" w:rsidRPr="00E06E90">
        <w:rPr>
          <w:rFonts w:ascii="Verdana" w:hAnsi="Verdana"/>
          <w:sz w:val="20"/>
          <w:szCs w:val="20"/>
        </w:rPr>
        <w:lastRenderedPageBreak/>
        <w:t>psíquicas varían de intensidad según factores endógenos y exógenos de la persona (duración de los tratos, edad, sexo, salud, contexto, vulnerabilidad, entre otros) que debe</w:t>
      </w:r>
      <w:r w:rsidR="007A0710">
        <w:rPr>
          <w:rFonts w:ascii="Verdana" w:hAnsi="Verdana"/>
          <w:sz w:val="20"/>
          <w:szCs w:val="20"/>
        </w:rPr>
        <w:t>n</w:t>
      </w:r>
      <w:r w:rsidR="007A0710" w:rsidRPr="00E06E90">
        <w:rPr>
          <w:rFonts w:ascii="Verdana" w:hAnsi="Verdana"/>
          <w:sz w:val="20"/>
          <w:szCs w:val="20"/>
        </w:rPr>
        <w:t xml:space="preserve"> ser analizados en cada situación concreta.</w:t>
      </w:r>
      <w:r w:rsidR="007A0710">
        <w:rPr>
          <w:rFonts w:ascii="Verdana" w:hAnsi="Verdana"/>
          <w:sz w:val="20"/>
          <w:szCs w:val="20"/>
        </w:rPr>
        <w:t xml:space="preserve"> </w:t>
      </w:r>
    </w:p>
    <w:p w:rsidR="00C0777A" w:rsidRDefault="00C0777A" w:rsidP="00A82FB4">
      <w:pPr>
        <w:autoSpaceDE w:val="0"/>
        <w:autoSpaceDN w:val="0"/>
        <w:adjustRightInd w:val="0"/>
        <w:spacing w:after="0" w:line="240" w:lineRule="auto"/>
        <w:jc w:val="both"/>
        <w:rPr>
          <w:rFonts w:ascii="Verdana" w:hAnsi="Verdana" w:cs="Verdana"/>
          <w:sz w:val="20"/>
          <w:szCs w:val="20"/>
          <w:lang w:val="es-PA"/>
        </w:rPr>
      </w:pPr>
    </w:p>
    <w:p w:rsidR="00E06E90" w:rsidRPr="00E06E90" w:rsidRDefault="00C0777A"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E06E90">
        <w:rPr>
          <w:rFonts w:ascii="Verdana" w:hAnsi="Verdana" w:cs="Verdana"/>
          <w:sz w:val="20"/>
          <w:szCs w:val="20"/>
          <w:lang w:val="es-PA"/>
        </w:rPr>
        <w:t xml:space="preserve">Igualmente, </w:t>
      </w:r>
      <w:r w:rsidR="007A0710" w:rsidRPr="009E1747">
        <w:rPr>
          <w:rFonts w:ascii="Verdana" w:hAnsi="Verdana" w:cs="Verdana"/>
          <w:sz w:val="20"/>
          <w:szCs w:val="20"/>
          <w:lang w:val="es-PA"/>
        </w:rPr>
        <w:t>esta Corte ha subrayado</w:t>
      </w:r>
      <w:r w:rsidR="007A0710">
        <w:rPr>
          <w:rFonts w:ascii="Verdana" w:hAnsi="Verdana" w:cs="Verdana"/>
          <w:sz w:val="20"/>
          <w:szCs w:val="20"/>
          <w:lang w:val="es-PA"/>
        </w:rPr>
        <w:t>, en el párrafo 252 de la Sentencia,</w:t>
      </w:r>
      <w:r w:rsidR="007A0710" w:rsidRPr="009E1747">
        <w:rPr>
          <w:rFonts w:ascii="Verdana" w:hAnsi="Verdana" w:cs="Verdana"/>
          <w:sz w:val="20"/>
          <w:szCs w:val="20"/>
          <w:lang w:val="es-PA"/>
        </w:rPr>
        <w:t xml:space="preserve"> </w:t>
      </w:r>
      <w:r w:rsidR="007A0710">
        <w:rPr>
          <w:rFonts w:ascii="Verdana" w:hAnsi="Verdana" w:cs="Verdana"/>
          <w:sz w:val="20"/>
          <w:szCs w:val="20"/>
          <w:lang w:val="es-PA"/>
        </w:rPr>
        <w:t xml:space="preserve">los </w:t>
      </w:r>
      <w:r w:rsidR="007A0710" w:rsidRPr="009E1747">
        <w:rPr>
          <w:rFonts w:ascii="Verdana" w:hAnsi="Verdana" w:cs="Verdana"/>
          <w:sz w:val="20"/>
          <w:szCs w:val="20"/>
          <w:lang w:val="es-PA"/>
        </w:rPr>
        <w:t xml:space="preserve">numerosos casos </w:t>
      </w:r>
      <w:r w:rsidR="007A0710">
        <w:rPr>
          <w:rFonts w:ascii="Verdana" w:hAnsi="Verdana" w:cs="Verdana"/>
          <w:sz w:val="20"/>
          <w:szCs w:val="20"/>
          <w:lang w:val="es-PA"/>
        </w:rPr>
        <w:t xml:space="preserve">en </w:t>
      </w:r>
      <w:r w:rsidR="007A0710" w:rsidRPr="009E1747">
        <w:rPr>
          <w:rFonts w:ascii="Verdana" w:hAnsi="Verdana" w:cs="Verdana"/>
          <w:sz w:val="20"/>
          <w:szCs w:val="20"/>
          <w:lang w:val="es-PA"/>
        </w:rPr>
        <w:t xml:space="preserve">su jurisprudencia en </w:t>
      </w:r>
      <w:r w:rsidR="007A0710">
        <w:rPr>
          <w:rFonts w:ascii="Verdana" w:hAnsi="Verdana" w:cs="Verdana"/>
          <w:sz w:val="20"/>
          <w:szCs w:val="20"/>
          <w:lang w:val="es-PA"/>
        </w:rPr>
        <w:t xml:space="preserve">los cuales </w:t>
      </w:r>
      <w:r w:rsidR="007A0710" w:rsidRPr="009E1747">
        <w:rPr>
          <w:rFonts w:ascii="Verdana" w:hAnsi="Verdana" w:cs="Verdana"/>
          <w:sz w:val="20"/>
          <w:szCs w:val="20"/>
          <w:lang w:val="es-PA"/>
        </w:rPr>
        <w:t xml:space="preserve">la violación sexual </w:t>
      </w:r>
      <w:r w:rsidR="007A0710">
        <w:rPr>
          <w:rFonts w:ascii="Verdana" w:hAnsi="Verdana" w:cs="Verdana"/>
          <w:sz w:val="20"/>
          <w:szCs w:val="20"/>
          <w:lang w:val="es-PA"/>
        </w:rPr>
        <w:t>ha sido</w:t>
      </w:r>
      <w:r w:rsidR="007A0710" w:rsidRPr="009E1747">
        <w:rPr>
          <w:rFonts w:ascii="Verdana" w:hAnsi="Verdana" w:cs="Verdana"/>
          <w:sz w:val="20"/>
          <w:szCs w:val="20"/>
          <w:lang w:val="es-PA"/>
        </w:rPr>
        <w:t xml:space="preserve"> considerada una forma de tortura.</w:t>
      </w:r>
    </w:p>
    <w:p w:rsidR="00E06E90" w:rsidRDefault="00E06E90" w:rsidP="00A82FB4">
      <w:pPr>
        <w:pStyle w:val="ListParagraph"/>
        <w:spacing w:after="0" w:line="240" w:lineRule="auto"/>
        <w:contextualSpacing w:val="0"/>
        <w:rPr>
          <w:rFonts w:ascii="Verdana" w:hAnsi="Verdana" w:cs="Verdana"/>
          <w:sz w:val="20"/>
          <w:szCs w:val="20"/>
          <w:lang w:val="es-PA"/>
        </w:rPr>
      </w:pPr>
    </w:p>
    <w:p w:rsidR="00351415" w:rsidRDefault="00E06E90"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1B476D">
        <w:rPr>
          <w:rFonts w:ascii="Verdana" w:hAnsi="Verdana" w:cs="Verdana"/>
          <w:sz w:val="20"/>
          <w:szCs w:val="20"/>
          <w:lang w:val="es-PA"/>
        </w:rPr>
        <w:t xml:space="preserve">De lo anterior es evidente que la Corte considera que las violaciones sexuales perpetradas por agentes del Estado contra </w:t>
      </w:r>
      <w:r w:rsidR="00D5218C" w:rsidRPr="001B476D">
        <w:rPr>
          <w:rFonts w:ascii="Verdana" w:hAnsi="Verdana" w:cs="Verdana"/>
          <w:sz w:val="20"/>
          <w:szCs w:val="20"/>
          <w:lang w:val="es-PA"/>
        </w:rPr>
        <w:t>L.R.J., C.S.S. y J.F.C. representan graves violaciones de derechos humanos,</w:t>
      </w:r>
      <w:r w:rsidR="00351415">
        <w:rPr>
          <w:rFonts w:ascii="Verdana" w:hAnsi="Verdana" w:cs="Verdana"/>
          <w:sz w:val="20"/>
          <w:szCs w:val="20"/>
          <w:lang w:val="es-PA"/>
        </w:rPr>
        <w:t xml:space="preserve"> y pueden incluso ser consideradas como tortura</w:t>
      </w:r>
      <w:r w:rsidR="00A1526E">
        <w:rPr>
          <w:rFonts w:ascii="Verdana" w:hAnsi="Verdana" w:cs="Verdana"/>
          <w:sz w:val="20"/>
          <w:szCs w:val="20"/>
          <w:lang w:val="es-PA"/>
        </w:rPr>
        <w:t xml:space="preserve">. No obstante, ello </w:t>
      </w:r>
      <w:r w:rsidR="00351415">
        <w:rPr>
          <w:rFonts w:ascii="Verdana" w:hAnsi="Verdana" w:cs="Verdana"/>
          <w:sz w:val="20"/>
          <w:szCs w:val="20"/>
          <w:lang w:val="es-PA"/>
        </w:rPr>
        <w:t>debe ser determinado por los tribunales internos</w:t>
      </w:r>
      <w:r w:rsidR="004B0A78">
        <w:rPr>
          <w:rFonts w:ascii="Verdana" w:hAnsi="Verdana" w:cs="Verdana"/>
          <w:sz w:val="20"/>
          <w:szCs w:val="20"/>
          <w:lang w:val="es-PA"/>
        </w:rPr>
        <w:t xml:space="preserve"> tras la realización de una investigación de acuerdo a los estándares determinados en los párrafos 292 y 293 de la Sentencia. </w:t>
      </w:r>
    </w:p>
    <w:p w:rsidR="00351415" w:rsidRDefault="00351415" w:rsidP="00351415">
      <w:pPr>
        <w:autoSpaceDE w:val="0"/>
        <w:autoSpaceDN w:val="0"/>
        <w:adjustRightInd w:val="0"/>
        <w:spacing w:after="0" w:line="240" w:lineRule="auto"/>
        <w:jc w:val="both"/>
        <w:rPr>
          <w:rFonts w:ascii="Verdana" w:hAnsi="Verdana" w:cs="Verdana"/>
          <w:sz w:val="20"/>
          <w:szCs w:val="20"/>
          <w:lang w:val="es-PA"/>
        </w:rPr>
      </w:pPr>
    </w:p>
    <w:p w:rsidR="00351415" w:rsidRPr="00CE2C0E" w:rsidRDefault="00351415" w:rsidP="00351415">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Pr>
          <w:rFonts w:ascii="Verdana" w:hAnsi="Verdana" w:cs="Verdana"/>
          <w:sz w:val="20"/>
          <w:szCs w:val="20"/>
          <w:lang w:val="es-PA"/>
        </w:rPr>
        <w:t xml:space="preserve">Esa interpretación es consecuente con el </w:t>
      </w:r>
      <w:r w:rsidRPr="00C70AA2">
        <w:rPr>
          <w:rFonts w:ascii="Verdana" w:hAnsi="Verdana" w:cs="Verdana"/>
          <w:sz w:val="20"/>
          <w:szCs w:val="20"/>
          <w:lang w:val="es-PA"/>
        </w:rPr>
        <w:t>p</w:t>
      </w:r>
      <w:r w:rsidRPr="00CE2C0E">
        <w:rPr>
          <w:rFonts w:ascii="Verdana" w:hAnsi="Verdana" w:cs="Verdana"/>
          <w:sz w:val="20"/>
          <w:szCs w:val="20"/>
          <w:lang w:val="es-PA"/>
        </w:rPr>
        <w:t>árrafo 293 de la Sentencia</w:t>
      </w:r>
      <w:r>
        <w:rPr>
          <w:rFonts w:ascii="Verdana" w:hAnsi="Verdana" w:cs="Verdana"/>
          <w:sz w:val="20"/>
          <w:szCs w:val="20"/>
          <w:lang w:val="es-PA"/>
        </w:rPr>
        <w:t>, el cual señala que</w:t>
      </w:r>
      <w:r w:rsidRPr="00CE2C0E">
        <w:rPr>
          <w:rFonts w:ascii="Verdana" w:hAnsi="Verdana" w:cs="Verdana"/>
          <w:sz w:val="20"/>
          <w:szCs w:val="20"/>
          <w:lang w:val="es-PA"/>
        </w:rPr>
        <w:t xml:space="preserve"> “</w:t>
      </w:r>
      <w:r w:rsidRPr="00C70AA2">
        <w:rPr>
          <w:rFonts w:ascii="Verdana" w:hAnsi="Verdana" w:cs="Verdana"/>
          <w:sz w:val="20"/>
          <w:szCs w:val="20"/>
          <w:lang w:val="es-CR"/>
        </w:rPr>
        <w:t>tanto la investigación como el proceso penal consiguiente deberán incluir una perspectiva de género, emprender líneas de investigación específicas respecto de la violencia sexual, de conformidad con la legislación interna, y en su caso, la participación adecuada durante la investigación y el juzgamiento en todas las etapas”</w:t>
      </w:r>
      <w:r>
        <w:rPr>
          <w:rFonts w:ascii="Verdana" w:hAnsi="Verdana" w:cs="Verdana"/>
          <w:sz w:val="20"/>
          <w:szCs w:val="20"/>
          <w:lang w:val="es-CR"/>
        </w:rPr>
        <w:t>,</w:t>
      </w:r>
      <w:r w:rsidRPr="00C70AA2">
        <w:rPr>
          <w:rFonts w:ascii="Verdana" w:hAnsi="Verdana" w:cs="Verdana"/>
          <w:sz w:val="20"/>
          <w:szCs w:val="20"/>
          <w:lang w:val="es-CR"/>
        </w:rPr>
        <w:t xml:space="preserve"> razón por la cual está claro </w:t>
      </w:r>
      <w:r>
        <w:rPr>
          <w:rFonts w:ascii="Verdana" w:hAnsi="Verdana" w:cs="Verdana"/>
          <w:sz w:val="20"/>
          <w:szCs w:val="20"/>
          <w:lang w:val="es-PA"/>
        </w:rPr>
        <w:t xml:space="preserve">que el Estado brasileño tiene el deber de investigar esos actos y no oponer </w:t>
      </w:r>
      <w:r w:rsidR="00007AA4">
        <w:rPr>
          <w:rFonts w:ascii="Verdana" w:hAnsi="Verdana" w:cs="Verdana"/>
          <w:sz w:val="20"/>
          <w:szCs w:val="20"/>
          <w:lang w:val="es-PA"/>
        </w:rPr>
        <w:t xml:space="preserve">ningún tipo de </w:t>
      </w:r>
      <w:r>
        <w:rPr>
          <w:rFonts w:ascii="Verdana" w:hAnsi="Verdana" w:cs="Verdana"/>
          <w:sz w:val="20"/>
          <w:szCs w:val="20"/>
          <w:lang w:val="es-PA"/>
        </w:rPr>
        <w:t xml:space="preserve">obstáculo procesal a tales investigaciones, de lo contrario no habría </w:t>
      </w:r>
      <w:r w:rsidR="007A0710">
        <w:rPr>
          <w:rFonts w:ascii="Verdana" w:hAnsi="Verdana" w:cs="Verdana"/>
          <w:sz w:val="20"/>
          <w:szCs w:val="20"/>
          <w:lang w:val="es-PA"/>
        </w:rPr>
        <w:t xml:space="preserve">ordenado tal </w:t>
      </w:r>
      <w:r>
        <w:rPr>
          <w:rFonts w:ascii="Verdana" w:hAnsi="Verdana" w:cs="Verdana"/>
          <w:sz w:val="20"/>
          <w:szCs w:val="20"/>
          <w:lang w:val="es-PA"/>
        </w:rPr>
        <w:t>especificidad</w:t>
      </w:r>
      <w:r w:rsidR="007A0710">
        <w:rPr>
          <w:rFonts w:ascii="Verdana" w:hAnsi="Verdana" w:cs="Verdana"/>
          <w:sz w:val="20"/>
          <w:szCs w:val="20"/>
          <w:lang w:val="es-PA"/>
        </w:rPr>
        <w:t>.</w:t>
      </w:r>
      <w:r>
        <w:rPr>
          <w:rFonts w:ascii="Verdana" w:hAnsi="Verdana" w:cs="Verdana"/>
          <w:sz w:val="20"/>
          <w:szCs w:val="20"/>
          <w:lang w:val="es-PA"/>
        </w:rPr>
        <w:t xml:space="preserve"> </w:t>
      </w:r>
      <w:r w:rsidR="004B0A78">
        <w:rPr>
          <w:rFonts w:ascii="Verdana" w:hAnsi="Verdana" w:cs="Verdana"/>
          <w:sz w:val="20"/>
          <w:szCs w:val="20"/>
          <w:lang w:val="es-PA"/>
        </w:rPr>
        <w:t xml:space="preserve">Lo anterior es la conclusión lógica de la lectura conjunta de los párrafos 292 y 293 de la </w:t>
      </w:r>
      <w:r w:rsidR="00CC32D3">
        <w:rPr>
          <w:rFonts w:ascii="Verdana" w:hAnsi="Verdana" w:cs="Verdana"/>
          <w:sz w:val="20"/>
          <w:szCs w:val="20"/>
          <w:lang w:val="es-PA"/>
        </w:rPr>
        <w:t>Sentencia</w:t>
      </w:r>
      <w:r>
        <w:rPr>
          <w:rFonts w:ascii="Verdana" w:hAnsi="Verdana" w:cs="Verdana"/>
          <w:sz w:val="20"/>
          <w:szCs w:val="20"/>
          <w:lang w:val="es-PA"/>
        </w:rPr>
        <w:t>.</w:t>
      </w:r>
    </w:p>
    <w:p w:rsidR="00351415" w:rsidRDefault="00351415" w:rsidP="00351415">
      <w:pPr>
        <w:autoSpaceDE w:val="0"/>
        <w:autoSpaceDN w:val="0"/>
        <w:adjustRightInd w:val="0"/>
        <w:spacing w:after="0" w:line="240" w:lineRule="auto"/>
        <w:jc w:val="both"/>
        <w:rPr>
          <w:rFonts w:ascii="Verdana" w:hAnsi="Verdana" w:cs="Verdana"/>
          <w:sz w:val="20"/>
          <w:szCs w:val="20"/>
          <w:lang w:val="es-PA"/>
        </w:rPr>
      </w:pPr>
    </w:p>
    <w:p w:rsidR="00E841FD" w:rsidRPr="00351415" w:rsidRDefault="005E14D7" w:rsidP="00A82FB4">
      <w:pPr>
        <w:numPr>
          <w:ilvl w:val="0"/>
          <w:numId w:val="2"/>
        </w:numPr>
        <w:tabs>
          <w:tab w:val="clear" w:pos="1247"/>
        </w:tabs>
        <w:autoSpaceDE w:val="0"/>
        <w:autoSpaceDN w:val="0"/>
        <w:adjustRightInd w:val="0"/>
        <w:spacing w:after="0" w:line="240" w:lineRule="auto"/>
        <w:jc w:val="both"/>
        <w:rPr>
          <w:rFonts w:ascii="Verdana" w:hAnsi="Verdana" w:cs="Verdana"/>
          <w:sz w:val="18"/>
          <w:szCs w:val="18"/>
          <w:lang w:val="es-PA"/>
        </w:rPr>
      </w:pPr>
      <w:r w:rsidRPr="00D121D6">
        <w:rPr>
          <w:rFonts w:ascii="Verdana" w:hAnsi="Verdana"/>
          <w:sz w:val="20"/>
          <w:szCs w:val="20"/>
        </w:rPr>
        <w:t>Sin perjuicio de lo anterior</w:t>
      </w:r>
      <w:r w:rsidR="00274B71">
        <w:rPr>
          <w:rFonts w:ascii="Verdana" w:hAnsi="Verdana"/>
          <w:sz w:val="20"/>
          <w:szCs w:val="20"/>
        </w:rPr>
        <w:t>,</w:t>
      </w:r>
      <w:r w:rsidRPr="00D121D6">
        <w:rPr>
          <w:rFonts w:ascii="Verdana" w:hAnsi="Verdana"/>
          <w:sz w:val="20"/>
          <w:szCs w:val="20"/>
        </w:rPr>
        <w:t xml:space="preserve"> </w:t>
      </w:r>
      <w:r w:rsidR="00274B71">
        <w:rPr>
          <w:rFonts w:ascii="Verdana" w:hAnsi="Verdana"/>
          <w:sz w:val="20"/>
          <w:szCs w:val="20"/>
        </w:rPr>
        <w:t>en atención a los planteamientos del</w:t>
      </w:r>
      <w:r w:rsidR="00180A5B" w:rsidRPr="00D121D6">
        <w:rPr>
          <w:rFonts w:ascii="Verdana" w:hAnsi="Verdana"/>
          <w:sz w:val="20"/>
          <w:szCs w:val="20"/>
        </w:rPr>
        <w:t xml:space="preserve"> Estado (</w:t>
      </w:r>
      <w:r w:rsidR="00180A5B" w:rsidRPr="00D121D6">
        <w:rPr>
          <w:rFonts w:ascii="Verdana" w:hAnsi="Verdana"/>
          <w:i/>
          <w:sz w:val="20"/>
          <w:szCs w:val="20"/>
        </w:rPr>
        <w:t xml:space="preserve">supra </w:t>
      </w:r>
      <w:r w:rsidR="00180A5B" w:rsidRPr="00D121D6">
        <w:rPr>
          <w:rFonts w:ascii="Verdana" w:hAnsi="Verdana"/>
          <w:sz w:val="20"/>
          <w:szCs w:val="20"/>
        </w:rPr>
        <w:t xml:space="preserve">párr. </w:t>
      </w:r>
      <w:r w:rsidR="00F86BC7">
        <w:rPr>
          <w:rFonts w:ascii="Verdana" w:hAnsi="Verdana"/>
          <w:sz w:val="20"/>
          <w:szCs w:val="20"/>
        </w:rPr>
        <w:t>1</w:t>
      </w:r>
      <w:r w:rsidR="003A6010">
        <w:rPr>
          <w:rFonts w:ascii="Verdana" w:hAnsi="Verdana"/>
          <w:sz w:val="20"/>
          <w:szCs w:val="20"/>
        </w:rPr>
        <w:t>9</w:t>
      </w:r>
      <w:r w:rsidR="00180A5B" w:rsidRPr="00D121D6">
        <w:rPr>
          <w:rFonts w:ascii="Verdana" w:hAnsi="Verdana"/>
          <w:sz w:val="20"/>
          <w:szCs w:val="20"/>
        </w:rPr>
        <w:t xml:space="preserve">), </w:t>
      </w:r>
      <w:r w:rsidRPr="00D121D6">
        <w:rPr>
          <w:rFonts w:ascii="Verdana" w:hAnsi="Verdana"/>
          <w:sz w:val="20"/>
          <w:szCs w:val="20"/>
        </w:rPr>
        <w:t xml:space="preserve">la Corte </w:t>
      </w:r>
      <w:r w:rsidR="00180A5B" w:rsidRPr="00D121D6">
        <w:rPr>
          <w:rFonts w:ascii="Verdana" w:hAnsi="Verdana"/>
          <w:sz w:val="20"/>
          <w:szCs w:val="20"/>
        </w:rPr>
        <w:t xml:space="preserve">recuerda </w:t>
      </w:r>
      <w:r w:rsidR="00D121D6" w:rsidRPr="00D121D6">
        <w:rPr>
          <w:rFonts w:ascii="Verdana" w:hAnsi="Verdana"/>
          <w:sz w:val="20"/>
          <w:szCs w:val="20"/>
        </w:rPr>
        <w:t xml:space="preserve">que en el eventual análisis de la impunidad en un proceso judicial, es importante tener presente que ciertos contextos de violencia institucional </w:t>
      </w:r>
      <w:r w:rsidR="00E76384">
        <w:rPr>
          <w:rFonts w:ascii="Verdana" w:hAnsi="Verdana"/>
          <w:sz w:val="20"/>
          <w:szCs w:val="20"/>
        </w:rPr>
        <w:t>–</w:t>
      </w:r>
      <w:r w:rsidR="00D121D6" w:rsidRPr="00D121D6">
        <w:rPr>
          <w:rFonts w:ascii="Verdana" w:hAnsi="Verdana"/>
          <w:sz w:val="20"/>
          <w:szCs w:val="20"/>
        </w:rPr>
        <w:t>además</w:t>
      </w:r>
      <w:r w:rsidR="00E76384">
        <w:rPr>
          <w:rFonts w:ascii="Verdana" w:hAnsi="Verdana"/>
          <w:sz w:val="20"/>
          <w:szCs w:val="20"/>
        </w:rPr>
        <w:t xml:space="preserve"> </w:t>
      </w:r>
      <w:r w:rsidR="00D121D6" w:rsidRPr="00D121D6">
        <w:rPr>
          <w:rFonts w:ascii="Verdana" w:hAnsi="Verdana"/>
          <w:sz w:val="20"/>
          <w:szCs w:val="20"/>
        </w:rPr>
        <w:t>de ciertos obstáculos en la investigación</w:t>
      </w:r>
      <w:r w:rsidR="00E76384">
        <w:rPr>
          <w:rFonts w:ascii="Verdana" w:hAnsi="Verdana"/>
          <w:sz w:val="20"/>
          <w:szCs w:val="20"/>
        </w:rPr>
        <w:t>–</w:t>
      </w:r>
      <w:r w:rsidR="00D121D6" w:rsidRPr="00D121D6">
        <w:rPr>
          <w:rFonts w:ascii="Verdana" w:hAnsi="Verdana"/>
          <w:sz w:val="20"/>
          <w:szCs w:val="20"/>
        </w:rPr>
        <w:t xml:space="preserve"> pueden propiciar serias dificultades para </w:t>
      </w:r>
      <w:r w:rsidR="00E76384">
        <w:rPr>
          <w:rFonts w:ascii="Verdana" w:hAnsi="Verdana"/>
          <w:sz w:val="20"/>
          <w:szCs w:val="20"/>
        </w:rPr>
        <w:t xml:space="preserve">esclarecer </w:t>
      </w:r>
      <w:r w:rsidR="00D121D6" w:rsidRPr="00D121D6">
        <w:rPr>
          <w:rFonts w:ascii="Verdana" w:hAnsi="Verdana"/>
          <w:sz w:val="20"/>
          <w:szCs w:val="20"/>
        </w:rPr>
        <w:t>violaciones de derechos humanos. En cada caso concreto</w:t>
      </w:r>
      <w:r w:rsidR="002240EA">
        <w:rPr>
          <w:rFonts w:ascii="Verdana" w:hAnsi="Verdana"/>
          <w:sz w:val="20"/>
          <w:szCs w:val="20"/>
        </w:rPr>
        <w:t xml:space="preserve">, </w:t>
      </w:r>
      <w:r w:rsidR="008919B8">
        <w:rPr>
          <w:rFonts w:ascii="Verdana" w:hAnsi="Verdana"/>
          <w:sz w:val="20"/>
          <w:szCs w:val="20"/>
        </w:rPr>
        <w:t xml:space="preserve">deberá evaluarse si </w:t>
      </w:r>
      <w:r w:rsidR="00D121D6" w:rsidRPr="00D121D6">
        <w:rPr>
          <w:rFonts w:ascii="Verdana" w:hAnsi="Verdana"/>
          <w:sz w:val="20"/>
          <w:szCs w:val="20"/>
        </w:rPr>
        <w:t>la</w:t>
      </w:r>
      <w:r w:rsidR="00F40859">
        <w:rPr>
          <w:rFonts w:ascii="Verdana" w:hAnsi="Verdana"/>
          <w:sz w:val="20"/>
          <w:szCs w:val="20"/>
        </w:rPr>
        <w:t xml:space="preserve"> eventual</w:t>
      </w:r>
      <w:r w:rsidR="00D121D6" w:rsidRPr="00D121D6">
        <w:rPr>
          <w:rFonts w:ascii="Verdana" w:hAnsi="Verdana"/>
          <w:sz w:val="20"/>
          <w:szCs w:val="20"/>
        </w:rPr>
        <w:t xml:space="preserve"> </w:t>
      </w:r>
      <w:r w:rsidR="00F40859">
        <w:rPr>
          <w:rFonts w:ascii="Verdana" w:hAnsi="Verdana"/>
          <w:sz w:val="20"/>
          <w:szCs w:val="20"/>
        </w:rPr>
        <w:t>im</w:t>
      </w:r>
      <w:r w:rsidR="00D121D6" w:rsidRPr="00D121D6">
        <w:rPr>
          <w:rFonts w:ascii="Verdana" w:hAnsi="Verdana"/>
          <w:sz w:val="20"/>
          <w:szCs w:val="20"/>
        </w:rPr>
        <w:t xml:space="preserve">procedencia de la prescripción </w:t>
      </w:r>
      <w:r w:rsidR="00B72CF1">
        <w:rPr>
          <w:rFonts w:ascii="Verdana" w:hAnsi="Verdana"/>
          <w:sz w:val="20"/>
          <w:szCs w:val="20"/>
        </w:rPr>
        <w:t>lograría impedir</w:t>
      </w:r>
      <w:r w:rsidR="00D121D6" w:rsidRPr="00D121D6">
        <w:rPr>
          <w:rFonts w:ascii="Verdana" w:hAnsi="Verdana"/>
          <w:sz w:val="20"/>
          <w:szCs w:val="20"/>
        </w:rPr>
        <w:t xml:space="preserve"> que</w:t>
      </w:r>
      <w:r w:rsidR="00911BF2">
        <w:rPr>
          <w:rFonts w:ascii="Verdana" w:hAnsi="Verdana"/>
          <w:sz w:val="20"/>
          <w:szCs w:val="20"/>
        </w:rPr>
        <w:t xml:space="preserve"> agentes del </w:t>
      </w:r>
      <w:r w:rsidR="00D121D6" w:rsidRPr="00D121D6">
        <w:rPr>
          <w:rFonts w:ascii="Verdana" w:hAnsi="Verdana"/>
          <w:sz w:val="20"/>
          <w:szCs w:val="20"/>
        </w:rPr>
        <w:t xml:space="preserve">Estado </w:t>
      </w:r>
      <w:r w:rsidR="008919B8">
        <w:rPr>
          <w:rFonts w:ascii="Verdana" w:hAnsi="Verdana"/>
          <w:sz w:val="20"/>
          <w:szCs w:val="20"/>
        </w:rPr>
        <w:t>eludan</w:t>
      </w:r>
      <w:r w:rsidR="008919B8" w:rsidRPr="00D121D6">
        <w:rPr>
          <w:rFonts w:ascii="Verdana" w:hAnsi="Verdana"/>
          <w:sz w:val="20"/>
          <w:szCs w:val="20"/>
        </w:rPr>
        <w:t xml:space="preserve"> </w:t>
      </w:r>
      <w:r w:rsidR="00B72CF1">
        <w:rPr>
          <w:rFonts w:ascii="Verdana" w:hAnsi="Verdana"/>
          <w:sz w:val="20"/>
          <w:szCs w:val="20"/>
        </w:rPr>
        <w:t>su obligación de rendir</w:t>
      </w:r>
      <w:r w:rsidR="00D121D6" w:rsidRPr="00D121D6">
        <w:rPr>
          <w:rFonts w:ascii="Verdana" w:hAnsi="Verdana"/>
          <w:sz w:val="20"/>
          <w:szCs w:val="20"/>
        </w:rPr>
        <w:t xml:space="preserve"> cuentas por </w:t>
      </w:r>
      <w:r w:rsidR="008919B8">
        <w:rPr>
          <w:rFonts w:ascii="Verdana" w:hAnsi="Verdana"/>
          <w:sz w:val="20"/>
          <w:szCs w:val="20"/>
        </w:rPr>
        <w:t>posibles</w:t>
      </w:r>
      <w:r w:rsidR="008919B8" w:rsidRPr="00D121D6">
        <w:rPr>
          <w:rFonts w:ascii="Verdana" w:hAnsi="Verdana"/>
          <w:sz w:val="20"/>
          <w:szCs w:val="20"/>
        </w:rPr>
        <w:t xml:space="preserve"> </w:t>
      </w:r>
      <w:r w:rsidR="00D121D6" w:rsidRPr="00D121D6">
        <w:rPr>
          <w:rFonts w:ascii="Verdana" w:hAnsi="Verdana"/>
          <w:sz w:val="20"/>
          <w:szCs w:val="20"/>
        </w:rPr>
        <w:t xml:space="preserve">arbitrariedades </w:t>
      </w:r>
      <w:r w:rsidR="008919B8">
        <w:rPr>
          <w:rFonts w:ascii="Verdana" w:hAnsi="Verdana"/>
          <w:sz w:val="20"/>
          <w:szCs w:val="20"/>
        </w:rPr>
        <w:t>cometidas</w:t>
      </w:r>
      <w:r w:rsidR="00D121D6" w:rsidRPr="00D121D6">
        <w:rPr>
          <w:rFonts w:ascii="Verdana" w:hAnsi="Verdana"/>
          <w:sz w:val="20"/>
          <w:szCs w:val="20"/>
        </w:rPr>
        <w:t xml:space="preserve"> en el marco de </w:t>
      </w:r>
      <w:r w:rsidR="00B72CF1">
        <w:rPr>
          <w:rFonts w:ascii="Verdana" w:hAnsi="Verdana"/>
          <w:sz w:val="20"/>
          <w:szCs w:val="20"/>
        </w:rPr>
        <w:t xml:space="preserve">los </w:t>
      </w:r>
      <w:r w:rsidR="00D121D6" w:rsidRPr="00D121D6">
        <w:rPr>
          <w:rFonts w:ascii="Verdana" w:hAnsi="Verdana"/>
          <w:sz w:val="20"/>
          <w:szCs w:val="20"/>
        </w:rPr>
        <w:t>contextos</w:t>
      </w:r>
      <w:r w:rsidR="00B72CF1">
        <w:rPr>
          <w:rFonts w:ascii="Verdana" w:hAnsi="Verdana"/>
          <w:sz w:val="20"/>
          <w:szCs w:val="20"/>
        </w:rPr>
        <w:t xml:space="preserve"> antes mencionados</w:t>
      </w:r>
      <w:r w:rsidR="00D121D6" w:rsidRPr="00D121D6">
        <w:rPr>
          <w:rStyle w:val="FootnoteReference"/>
          <w:sz w:val="20"/>
          <w:szCs w:val="20"/>
        </w:rPr>
        <w:footnoteReference w:id="9"/>
      </w:r>
      <w:r w:rsidR="00D121D6" w:rsidRPr="00D121D6">
        <w:rPr>
          <w:rFonts w:ascii="Verdana" w:hAnsi="Verdana"/>
          <w:sz w:val="20"/>
          <w:szCs w:val="20"/>
        </w:rPr>
        <w:t xml:space="preserve">. Eso significa que </w:t>
      </w:r>
      <w:r w:rsidR="007A0710">
        <w:rPr>
          <w:rFonts w:ascii="Verdana" w:hAnsi="Verdana"/>
          <w:sz w:val="20"/>
          <w:szCs w:val="20"/>
        </w:rPr>
        <w:t xml:space="preserve">para </w:t>
      </w:r>
      <w:r w:rsidR="00E841FD" w:rsidRPr="00D121D6">
        <w:rPr>
          <w:rFonts w:ascii="Verdana" w:hAnsi="Verdana"/>
          <w:sz w:val="20"/>
          <w:szCs w:val="20"/>
        </w:rPr>
        <w:t>garantizar un recurso efectivo de protección judicial</w:t>
      </w:r>
      <w:r w:rsidR="007A0710">
        <w:rPr>
          <w:rFonts w:ascii="Verdana" w:hAnsi="Verdana"/>
          <w:sz w:val="20"/>
          <w:szCs w:val="20"/>
        </w:rPr>
        <w:t xml:space="preserve">, </w:t>
      </w:r>
      <w:r w:rsidR="00E841FD" w:rsidRPr="00D121D6">
        <w:rPr>
          <w:rFonts w:ascii="Verdana" w:hAnsi="Verdana"/>
          <w:sz w:val="20"/>
          <w:szCs w:val="20"/>
        </w:rPr>
        <w:t xml:space="preserve">el proceso penal no </w:t>
      </w:r>
      <w:r w:rsidR="007A0710">
        <w:rPr>
          <w:rFonts w:ascii="Verdana" w:hAnsi="Verdana"/>
          <w:sz w:val="20"/>
          <w:szCs w:val="20"/>
        </w:rPr>
        <w:t xml:space="preserve">debe </w:t>
      </w:r>
      <w:r w:rsidR="00E841FD" w:rsidRPr="00D121D6">
        <w:rPr>
          <w:rFonts w:ascii="Verdana" w:hAnsi="Verdana"/>
          <w:sz w:val="20"/>
          <w:szCs w:val="20"/>
        </w:rPr>
        <w:t>enfrent</w:t>
      </w:r>
      <w:r w:rsidR="007A0710">
        <w:rPr>
          <w:rFonts w:ascii="Verdana" w:hAnsi="Verdana"/>
          <w:sz w:val="20"/>
          <w:szCs w:val="20"/>
        </w:rPr>
        <w:t>ar</w:t>
      </w:r>
      <w:r w:rsidR="00E841FD" w:rsidRPr="00D121D6">
        <w:rPr>
          <w:rFonts w:ascii="Verdana" w:hAnsi="Verdana"/>
          <w:sz w:val="20"/>
          <w:szCs w:val="20"/>
        </w:rPr>
        <w:t xml:space="preserve"> limitaciones derivadas de la prescripción u otro tipo de obstáculos como la amnistía</w:t>
      </w:r>
      <w:r w:rsidR="00E8168B" w:rsidRPr="00D121D6">
        <w:rPr>
          <w:rStyle w:val="FootnoteReference"/>
          <w:sz w:val="20"/>
          <w:szCs w:val="20"/>
        </w:rPr>
        <w:footnoteReference w:id="10"/>
      </w:r>
      <w:r w:rsidR="00D121D6" w:rsidRPr="00D121D6">
        <w:rPr>
          <w:rFonts w:ascii="Verdana" w:hAnsi="Verdana"/>
          <w:sz w:val="20"/>
          <w:szCs w:val="20"/>
        </w:rPr>
        <w:t>.</w:t>
      </w:r>
    </w:p>
    <w:p w:rsidR="00422634" w:rsidRDefault="00422634" w:rsidP="00422634">
      <w:pPr>
        <w:autoSpaceDE w:val="0"/>
        <w:autoSpaceDN w:val="0"/>
        <w:adjustRightInd w:val="0"/>
        <w:spacing w:after="0" w:line="240" w:lineRule="auto"/>
        <w:jc w:val="both"/>
        <w:rPr>
          <w:rFonts w:ascii="Verdana" w:hAnsi="Verdana" w:cs="Verdana"/>
          <w:sz w:val="20"/>
          <w:szCs w:val="20"/>
          <w:lang w:val="es-PA"/>
        </w:rPr>
      </w:pPr>
    </w:p>
    <w:p w:rsidR="00BD1CBD" w:rsidRPr="00422634" w:rsidRDefault="00C633C6" w:rsidP="00BD1CBD">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422634">
        <w:rPr>
          <w:rFonts w:ascii="Verdana" w:hAnsi="Verdana"/>
          <w:sz w:val="20"/>
          <w:szCs w:val="20"/>
          <w:lang w:val="es-ES_tradnl"/>
        </w:rPr>
        <w:t xml:space="preserve">Como el Tribunal ha afirmado en repetidas ocasiones, ninguna ley o disposición interna –incluyendo leyes de amnistía y plazos de prescripción– </w:t>
      </w:r>
      <w:r w:rsidR="001364F4" w:rsidRPr="00422634">
        <w:rPr>
          <w:rFonts w:ascii="Verdana" w:hAnsi="Verdana"/>
          <w:sz w:val="20"/>
          <w:szCs w:val="20"/>
          <w:lang w:val="es-ES_tradnl"/>
        </w:rPr>
        <w:t>puede invocarse para incumplir con las obligaciones internacionales de los Estados, incluyendo las</w:t>
      </w:r>
      <w:r w:rsidRPr="00422634">
        <w:rPr>
          <w:rFonts w:ascii="Verdana" w:hAnsi="Verdana"/>
          <w:sz w:val="20"/>
          <w:szCs w:val="20"/>
          <w:lang w:val="es-ES_tradnl"/>
        </w:rPr>
        <w:t xml:space="preserve"> decisiones de la </w:t>
      </w:r>
      <w:r w:rsidR="001364F4" w:rsidRPr="00422634">
        <w:rPr>
          <w:rFonts w:ascii="Verdana" w:hAnsi="Verdana"/>
          <w:sz w:val="20"/>
          <w:szCs w:val="20"/>
          <w:lang w:val="es-ES_tradnl"/>
        </w:rPr>
        <w:t xml:space="preserve">propia </w:t>
      </w:r>
      <w:r w:rsidRPr="00422634">
        <w:rPr>
          <w:rFonts w:ascii="Verdana" w:hAnsi="Verdana"/>
          <w:sz w:val="20"/>
          <w:szCs w:val="20"/>
          <w:lang w:val="es-ES_tradnl"/>
        </w:rPr>
        <w:t>Corte en cuanto a la investigación y sanción de los responsables de violaciones de derechos humanos. Si no fuera así, los derechos consagrados en la Convención Americana estarían desprovistos de protección efectiva. Este entendimiento de la Corte es conforme a la letra y al espíritu de la Convención, así como a los principios generales del derecho internacional</w:t>
      </w:r>
      <w:r w:rsidR="00245984" w:rsidRPr="00245984">
        <w:rPr>
          <w:rStyle w:val="FootnoteReference"/>
          <w:sz w:val="20"/>
          <w:szCs w:val="20"/>
          <w:lang w:val="es-ES_tradnl"/>
        </w:rPr>
        <w:footnoteReference w:id="11"/>
      </w:r>
      <w:r w:rsidRPr="00245984">
        <w:rPr>
          <w:rFonts w:ascii="Verdana" w:hAnsi="Verdana"/>
          <w:sz w:val="20"/>
          <w:szCs w:val="20"/>
          <w:lang w:val="es-ES_tradnl"/>
        </w:rPr>
        <w:t>.</w:t>
      </w:r>
      <w:r w:rsidRPr="00245984">
        <w:rPr>
          <w:rFonts w:ascii="Times New Roman" w:eastAsia="Times New Roman" w:hAnsi="Times New Roman"/>
          <w:sz w:val="20"/>
          <w:szCs w:val="20"/>
        </w:rPr>
        <w:t xml:space="preserve"> </w:t>
      </w:r>
    </w:p>
    <w:p w:rsidR="00422634" w:rsidRDefault="00422634" w:rsidP="00BD1CBD">
      <w:pPr>
        <w:autoSpaceDE w:val="0"/>
        <w:autoSpaceDN w:val="0"/>
        <w:adjustRightInd w:val="0"/>
        <w:spacing w:after="0" w:line="240" w:lineRule="auto"/>
        <w:jc w:val="both"/>
        <w:rPr>
          <w:rFonts w:ascii="Verdana" w:hAnsi="Verdana" w:cs="Verdana"/>
          <w:sz w:val="20"/>
          <w:szCs w:val="20"/>
          <w:lang w:val="es-PA"/>
        </w:rPr>
      </w:pPr>
    </w:p>
    <w:p w:rsidR="005177B3" w:rsidRPr="0028163D" w:rsidRDefault="009E24B5" w:rsidP="00A82FB4">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Pr>
          <w:rFonts w:ascii="Verdana" w:hAnsi="Verdana" w:cs="Verdana"/>
          <w:sz w:val="20"/>
          <w:szCs w:val="20"/>
          <w:lang w:val="es-PA"/>
        </w:rPr>
        <w:lastRenderedPageBreak/>
        <w:t>En suma</w:t>
      </w:r>
      <w:r w:rsidR="008F19C9" w:rsidRPr="008F19C9">
        <w:rPr>
          <w:rFonts w:ascii="Verdana" w:hAnsi="Verdana" w:cs="Verdana"/>
          <w:sz w:val="20"/>
          <w:szCs w:val="20"/>
          <w:lang w:val="es-PA"/>
        </w:rPr>
        <w:t xml:space="preserve">, </w:t>
      </w:r>
      <w:r>
        <w:rPr>
          <w:rFonts w:ascii="Verdana" w:hAnsi="Verdana" w:cs="Verdana"/>
          <w:sz w:val="20"/>
          <w:szCs w:val="20"/>
          <w:lang w:val="es-PA"/>
        </w:rPr>
        <w:t xml:space="preserve">al interpretar </w:t>
      </w:r>
      <w:r w:rsidR="00A6445A">
        <w:rPr>
          <w:rFonts w:ascii="Verdana" w:hAnsi="Verdana" w:cs="Verdana"/>
          <w:sz w:val="20"/>
          <w:szCs w:val="20"/>
          <w:lang w:val="es-PA"/>
        </w:rPr>
        <w:t>los párrafos</w:t>
      </w:r>
      <w:r w:rsidR="002F1998">
        <w:rPr>
          <w:rFonts w:ascii="Verdana" w:hAnsi="Verdana" w:cs="Verdana"/>
          <w:sz w:val="20"/>
          <w:szCs w:val="20"/>
          <w:lang w:val="es-PA"/>
        </w:rPr>
        <w:t xml:space="preserve"> 250, 252, 255, 291 a 293 y el punto resolutivo 10</w:t>
      </w:r>
      <w:r>
        <w:rPr>
          <w:rFonts w:ascii="Verdana" w:hAnsi="Verdana" w:cs="Verdana"/>
          <w:sz w:val="20"/>
          <w:szCs w:val="20"/>
          <w:lang w:val="es-PA"/>
        </w:rPr>
        <w:t xml:space="preserve"> de la Sentencia</w:t>
      </w:r>
      <w:r w:rsidR="00FD0992">
        <w:rPr>
          <w:rFonts w:ascii="Verdana" w:hAnsi="Verdana" w:cs="Verdana"/>
          <w:sz w:val="20"/>
          <w:szCs w:val="20"/>
          <w:lang w:val="es-PA"/>
        </w:rPr>
        <w:t>,</w:t>
      </w:r>
      <w:r w:rsidR="002F1998">
        <w:rPr>
          <w:rFonts w:ascii="Verdana" w:hAnsi="Verdana" w:cs="Verdana"/>
          <w:sz w:val="20"/>
          <w:szCs w:val="20"/>
          <w:lang w:val="es-PA"/>
        </w:rPr>
        <w:t xml:space="preserve"> </w:t>
      </w:r>
      <w:r>
        <w:rPr>
          <w:rFonts w:ascii="Verdana" w:hAnsi="Verdana" w:cs="Verdana"/>
          <w:sz w:val="20"/>
          <w:szCs w:val="20"/>
          <w:lang w:val="es-PA"/>
        </w:rPr>
        <w:t xml:space="preserve">se observa </w:t>
      </w:r>
      <w:r w:rsidR="005177B3">
        <w:rPr>
          <w:rFonts w:ascii="Verdana" w:hAnsi="Verdana" w:cs="Verdana"/>
          <w:sz w:val="20"/>
          <w:szCs w:val="20"/>
          <w:lang w:val="es-PA"/>
        </w:rPr>
        <w:t xml:space="preserve">que: i) </w:t>
      </w:r>
      <w:r w:rsidR="001C0BCF">
        <w:rPr>
          <w:rFonts w:ascii="Verdana" w:hAnsi="Verdana" w:cs="Verdana"/>
          <w:sz w:val="20"/>
          <w:szCs w:val="20"/>
          <w:lang w:val="es-PA"/>
        </w:rPr>
        <w:t>no son admisibles ningún tipo de obstáculos procesales que impidan la investigación de</w:t>
      </w:r>
      <w:r w:rsidR="005177B3" w:rsidRPr="0028163D">
        <w:rPr>
          <w:rFonts w:ascii="Verdana" w:hAnsi="Verdana" w:cs="Verdana"/>
          <w:sz w:val="20"/>
          <w:szCs w:val="20"/>
          <w:lang w:val="es-PA"/>
        </w:rPr>
        <w:t xml:space="preserve"> graves violaciones de derechos humanos;</w:t>
      </w:r>
      <w:r w:rsidR="005177B3">
        <w:rPr>
          <w:rFonts w:ascii="Verdana" w:hAnsi="Verdana" w:cs="Verdana"/>
          <w:sz w:val="20"/>
          <w:szCs w:val="20"/>
          <w:lang w:val="es-PA"/>
        </w:rPr>
        <w:t xml:space="preserve"> ii) l</w:t>
      </w:r>
      <w:r w:rsidR="005177B3" w:rsidRPr="0028163D">
        <w:rPr>
          <w:rFonts w:ascii="Verdana" w:hAnsi="Verdana" w:cs="Verdana"/>
          <w:sz w:val="20"/>
          <w:szCs w:val="20"/>
          <w:lang w:val="es-PA"/>
        </w:rPr>
        <w:t>os crímenes de violación sexual, pueden ser considerados como una forma de tortura;</w:t>
      </w:r>
      <w:r w:rsidR="005177B3">
        <w:rPr>
          <w:rFonts w:ascii="Verdana" w:hAnsi="Verdana" w:cs="Verdana"/>
          <w:sz w:val="20"/>
          <w:szCs w:val="20"/>
          <w:lang w:val="es-PA"/>
        </w:rPr>
        <w:t xml:space="preserve"> </w:t>
      </w:r>
      <w:r w:rsidR="001B5A90">
        <w:rPr>
          <w:rFonts w:ascii="Verdana" w:hAnsi="Verdana" w:cs="Verdana"/>
          <w:sz w:val="20"/>
          <w:szCs w:val="20"/>
          <w:lang w:val="es-PA"/>
        </w:rPr>
        <w:t xml:space="preserve">y </w:t>
      </w:r>
      <w:r w:rsidR="005177B3">
        <w:rPr>
          <w:rFonts w:ascii="Verdana" w:hAnsi="Verdana" w:cs="Verdana"/>
          <w:sz w:val="20"/>
          <w:szCs w:val="20"/>
          <w:lang w:val="es-PA"/>
        </w:rPr>
        <w:t>i</w:t>
      </w:r>
      <w:r w:rsidR="0028496F">
        <w:rPr>
          <w:rFonts w:ascii="Verdana" w:hAnsi="Verdana" w:cs="Verdana"/>
          <w:sz w:val="20"/>
          <w:szCs w:val="20"/>
          <w:lang w:val="es-PA"/>
        </w:rPr>
        <w:t>ii</w:t>
      </w:r>
      <w:r w:rsidR="005177B3">
        <w:rPr>
          <w:rFonts w:ascii="Verdana" w:hAnsi="Verdana" w:cs="Verdana"/>
          <w:sz w:val="20"/>
          <w:szCs w:val="20"/>
          <w:lang w:val="es-PA"/>
        </w:rPr>
        <w:t>) l</w:t>
      </w:r>
      <w:r w:rsidR="005177B3" w:rsidRPr="0028163D">
        <w:rPr>
          <w:rFonts w:ascii="Verdana" w:hAnsi="Verdana" w:cs="Verdana"/>
          <w:sz w:val="20"/>
          <w:szCs w:val="20"/>
          <w:lang w:val="es-PA"/>
        </w:rPr>
        <w:t xml:space="preserve">os hechos de violación sexual en </w:t>
      </w:r>
      <w:r w:rsidR="00C0777A">
        <w:rPr>
          <w:rFonts w:ascii="Verdana" w:hAnsi="Verdana" w:cs="Verdana"/>
          <w:sz w:val="20"/>
          <w:szCs w:val="20"/>
          <w:lang w:val="es-PA"/>
        </w:rPr>
        <w:t>el presente caso</w:t>
      </w:r>
      <w:r w:rsidR="00C0777A" w:rsidRPr="0028163D">
        <w:rPr>
          <w:rFonts w:ascii="Verdana" w:hAnsi="Verdana" w:cs="Verdana"/>
          <w:sz w:val="20"/>
          <w:szCs w:val="20"/>
          <w:lang w:val="es-PA"/>
        </w:rPr>
        <w:t xml:space="preserve"> </w:t>
      </w:r>
      <w:r w:rsidR="005177B3" w:rsidRPr="0028163D">
        <w:rPr>
          <w:rFonts w:ascii="Verdana" w:hAnsi="Verdana" w:cs="Verdana"/>
          <w:sz w:val="20"/>
          <w:szCs w:val="20"/>
          <w:lang w:val="es-PA"/>
        </w:rPr>
        <w:t>fueron cometidos por agentes del Estado a personas que estaban bajo su custodia</w:t>
      </w:r>
      <w:r w:rsidR="00944587">
        <w:rPr>
          <w:rFonts w:ascii="Verdana" w:hAnsi="Verdana" w:cs="Verdana"/>
          <w:sz w:val="20"/>
          <w:szCs w:val="20"/>
          <w:lang w:val="es-PA"/>
        </w:rPr>
        <w:t xml:space="preserve"> y en </w:t>
      </w:r>
      <w:r w:rsidR="001C0BCF">
        <w:rPr>
          <w:rFonts w:ascii="Verdana" w:hAnsi="Verdana" w:cs="Verdana"/>
          <w:sz w:val="20"/>
          <w:szCs w:val="20"/>
          <w:lang w:val="es-PA"/>
        </w:rPr>
        <w:t>un contexto</w:t>
      </w:r>
      <w:r w:rsidR="00944587">
        <w:rPr>
          <w:rFonts w:ascii="Verdana" w:hAnsi="Verdana" w:cs="Verdana"/>
          <w:sz w:val="20"/>
          <w:szCs w:val="20"/>
          <w:lang w:val="es-PA"/>
        </w:rPr>
        <w:t xml:space="preserve"> de ejecuciones extrajudiciales y torturas</w:t>
      </w:r>
      <w:r w:rsidR="00C0777A">
        <w:rPr>
          <w:rFonts w:ascii="Verdana" w:hAnsi="Verdana" w:cs="Verdana"/>
          <w:sz w:val="20"/>
          <w:szCs w:val="20"/>
          <w:lang w:val="es-PA"/>
        </w:rPr>
        <w:t xml:space="preserve">, lo que </w:t>
      </w:r>
      <w:r w:rsidR="00944587">
        <w:rPr>
          <w:rFonts w:ascii="Verdana" w:hAnsi="Verdana" w:cs="Verdana"/>
          <w:sz w:val="20"/>
          <w:szCs w:val="20"/>
          <w:lang w:val="es-PA"/>
        </w:rPr>
        <w:t>fue</w:t>
      </w:r>
      <w:r w:rsidR="00C0777A">
        <w:rPr>
          <w:rFonts w:ascii="Verdana" w:hAnsi="Verdana" w:cs="Verdana"/>
          <w:sz w:val="20"/>
          <w:szCs w:val="20"/>
          <w:lang w:val="es-PA"/>
        </w:rPr>
        <w:t xml:space="preserve"> considerado </w:t>
      </w:r>
      <w:r w:rsidR="00944587">
        <w:rPr>
          <w:rFonts w:ascii="Verdana" w:hAnsi="Verdana" w:cs="Verdana"/>
          <w:sz w:val="20"/>
          <w:szCs w:val="20"/>
          <w:lang w:val="es-PA"/>
        </w:rPr>
        <w:t xml:space="preserve">como </w:t>
      </w:r>
      <w:r w:rsidR="00C0777A">
        <w:rPr>
          <w:rFonts w:ascii="Verdana" w:hAnsi="Verdana" w:cs="Verdana"/>
          <w:sz w:val="20"/>
          <w:szCs w:val="20"/>
          <w:lang w:val="es-PA"/>
        </w:rPr>
        <w:t>de extrema gravedad por este Tribunal</w:t>
      </w:r>
      <w:r w:rsidR="00944587">
        <w:rPr>
          <w:rFonts w:ascii="Verdana" w:hAnsi="Verdana" w:cs="Verdana"/>
          <w:sz w:val="20"/>
          <w:szCs w:val="20"/>
          <w:lang w:val="es-PA"/>
        </w:rPr>
        <w:t>. Así,</w:t>
      </w:r>
      <w:r w:rsidR="0079694E">
        <w:rPr>
          <w:rFonts w:ascii="Verdana" w:hAnsi="Verdana" w:cs="Verdana"/>
          <w:sz w:val="20"/>
          <w:szCs w:val="20"/>
          <w:lang w:val="es-PA"/>
        </w:rPr>
        <w:t xml:space="preserve"> esta Corte aclara </w:t>
      </w:r>
      <w:r w:rsidR="001B5A90">
        <w:rPr>
          <w:rFonts w:ascii="Verdana" w:hAnsi="Verdana" w:cs="Verdana"/>
          <w:sz w:val="20"/>
          <w:szCs w:val="20"/>
          <w:lang w:val="es-PA"/>
        </w:rPr>
        <w:t xml:space="preserve">el motivo por </w:t>
      </w:r>
      <w:r w:rsidR="001C0BCF">
        <w:rPr>
          <w:rFonts w:ascii="Verdana" w:hAnsi="Verdana" w:cs="Verdana"/>
          <w:sz w:val="20"/>
          <w:szCs w:val="20"/>
          <w:lang w:val="es-PA"/>
        </w:rPr>
        <w:t>el</w:t>
      </w:r>
      <w:r w:rsidR="001B5A90">
        <w:rPr>
          <w:rFonts w:ascii="Verdana" w:hAnsi="Verdana" w:cs="Verdana"/>
          <w:sz w:val="20"/>
          <w:szCs w:val="20"/>
          <w:lang w:val="es-PA"/>
        </w:rPr>
        <w:t xml:space="preserve"> cual decidió por </w:t>
      </w:r>
      <w:r w:rsidR="0079694E">
        <w:rPr>
          <w:rFonts w:ascii="Verdana" w:hAnsi="Verdana" w:cs="Verdana"/>
          <w:sz w:val="20"/>
          <w:szCs w:val="20"/>
          <w:lang w:val="es-PA"/>
        </w:rPr>
        <w:t xml:space="preserve">la imposibilidad de aplicación de los “obstáculos procesales” a los actos de violencia y ejecución extrajudicial y que tal </w:t>
      </w:r>
      <w:r w:rsidR="001B5A90">
        <w:rPr>
          <w:rFonts w:ascii="Verdana" w:hAnsi="Verdana" w:cs="Verdana"/>
          <w:sz w:val="20"/>
          <w:szCs w:val="20"/>
          <w:lang w:val="es-PA"/>
        </w:rPr>
        <w:t xml:space="preserve">decisión </w:t>
      </w:r>
      <w:r w:rsidR="0079694E">
        <w:rPr>
          <w:rFonts w:ascii="Verdana" w:hAnsi="Verdana" w:cs="Verdana"/>
          <w:sz w:val="20"/>
          <w:szCs w:val="20"/>
          <w:lang w:val="es-PA"/>
        </w:rPr>
        <w:t>también se extiende a los hechos de violación sexual</w:t>
      </w:r>
      <w:r w:rsidR="00C0777A">
        <w:rPr>
          <w:rFonts w:ascii="Verdana" w:hAnsi="Verdana" w:cs="Verdana"/>
          <w:sz w:val="20"/>
          <w:szCs w:val="20"/>
          <w:lang w:val="es-PA"/>
        </w:rPr>
        <w:t xml:space="preserve">, </w:t>
      </w:r>
      <w:r w:rsidR="00944587">
        <w:rPr>
          <w:rFonts w:ascii="Verdana" w:hAnsi="Verdana" w:cs="Verdana"/>
          <w:sz w:val="20"/>
          <w:szCs w:val="20"/>
          <w:lang w:val="es-PA"/>
        </w:rPr>
        <w:t xml:space="preserve">aplicándose </w:t>
      </w:r>
      <w:r w:rsidR="00C0777A" w:rsidRPr="00A6445A">
        <w:rPr>
          <w:rFonts w:ascii="Verdana" w:hAnsi="Verdana"/>
          <w:sz w:val="20"/>
          <w:szCs w:val="20"/>
        </w:rPr>
        <w:t>la exclusión de la prescripción de la acción penal</w:t>
      </w:r>
      <w:r w:rsidR="00C0777A">
        <w:rPr>
          <w:rFonts w:ascii="Verdana" w:hAnsi="Verdana"/>
          <w:sz w:val="20"/>
          <w:szCs w:val="20"/>
        </w:rPr>
        <w:t xml:space="preserve"> para los crímenes</w:t>
      </w:r>
      <w:r w:rsidR="00944587">
        <w:rPr>
          <w:rFonts w:ascii="Verdana" w:hAnsi="Verdana"/>
          <w:sz w:val="20"/>
          <w:szCs w:val="20"/>
        </w:rPr>
        <w:t xml:space="preserve"> cometidos en el presente caso. </w:t>
      </w:r>
      <w:r w:rsidR="00C0777A">
        <w:rPr>
          <w:rFonts w:ascii="Verdana" w:hAnsi="Verdana"/>
          <w:sz w:val="20"/>
          <w:szCs w:val="20"/>
        </w:rPr>
        <w:t xml:space="preserve"> </w:t>
      </w:r>
    </w:p>
    <w:p w:rsidR="000C2BED" w:rsidRPr="00BD1CBD" w:rsidRDefault="005177B3" w:rsidP="00BD1CBD">
      <w:pPr>
        <w:autoSpaceDE w:val="0"/>
        <w:autoSpaceDN w:val="0"/>
        <w:adjustRightInd w:val="0"/>
        <w:spacing w:after="0" w:line="240" w:lineRule="auto"/>
        <w:jc w:val="both"/>
        <w:rPr>
          <w:rFonts w:ascii="Verdana" w:hAnsi="Verdana" w:cs="Verdana"/>
          <w:sz w:val="20"/>
          <w:szCs w:val="20"/>
          <w:lang w:val="es-PA"/>
        </w:rPr>
      </w:pPr>
      <w:r w:rsidRPr="0028163D">
        <w:rPr>
          <w:rFonts w:ascii="Verdana" w:hAnsi="Verdana" w:cs="Verdana"/>
          <w:sz w:val="20"/>
          <w:szCs w:val="20"/>
          <w:lang w:val="es-PA"/>
        </w:rPr>
        <w:t xml:space="preserve"> </w:t>
      </w:r>
    </w:p>
    <w:p w:rsidR="0074017B" w:rsidRPr="001A6E65" w:rsidRDefault="0085449E" w:rsidP="001A6E65">
      <w:pPr>
        <w:pStyle w:val="Heading5"/>
        <w:rPr>
          <w:b/>
          <w:i w:val="0"/>
        </w:rPr>
      </w:pPr>
      <w:r w:rsidRPr="001A6E65">
        <w:rPr>
          <w:b/>
          <w:i w:val="0"/>
        </w:rPr>
        <w:t>A</w:t>
      </w:r>
      <w:r w:rsidR="008275D2" w:rsidRPr="001A6E65">
        <w:rPr>
          <w:b/>
          <w:i w:val="0"/>
        </w:rPr>
        <w:t>decuada Representación de las Víctimas</w:t>
      </w:r>
    </w:p>
    <w:p w:rsidR="0049492F" w:rsidRDefault="0049492F" w:rsidP="00A82FB4">
      <w:pPr>
        <w:autoSpaceDE w:val="0"/>
        <w:autoSpaceDN w:val="0"/>
        <w:adjustRightInd w:val="0"/>
        <w:spacing w:after="0" w:line="240" w:lineRule="auto"/>
        <w:ind w:left="720"/>
        <w:jc w:val="both"/>
        <w:rPr>
          <w:rFonts w:ascii="Verdana" w:hAnsi="Verdana" w:cs="Verdana"/>
          <w:i/>
          <w:sz w:val="20"/>
          <w:szCs w:val="20"/>
          <w:lang w:val="es-PA"/>
        </w:rPr>
      </w:pPr>
    </w:p>
    <w:p w:rsidR="0049492F" w:rsidRPr="0028163D" w:rsidRDefault="0049492F" w:rsidP="00E048DB">
      <w:pPr>
        <w:pStyle w:val="Heading4"/>
        <w:tabs>
          <w:tab w:val="clear" w:pos="0"/>
        </w:tabs>
      </w:pPr>
      <w:r>
        <w:t>B</w:t>
      </w:r>
      <w:r w:rsidRPr="0028163D">
        <w:t xml:space="preserve">.1. Argumentos de las partes y de la </w:t>
      </w:r>
      <w:r w:rsidR="003F1D25" w:rsidRPr="003F1D25">
        <w:t>Comisión</w:t>
      </w:r>
      <w:r w:rsidRPr="0028163D">
        <w:t xml:space="preserve"> </w:t>
      </w:r>
    </w:p>
    <w:p w:rsidR="0074017B" w:rsidRPr="00373820" w:rsidRDefault="0074017B" w:rsidP="00A82FB4">
      <w:pPr>
        <w:widowControl w:val="0"/>
        <w:spacing w:after="0" w:line="240" w:lineRule="auto"/>
        <w:ind w:left="720"/>
        <w:jc w:val="both"/>
        <w:rPr>
          <w:rFonts w:ascii="Verdana" w:hAnsi="Verdana"/>
          <w:b/>
          <w:smallCaps/>
          <w:sz w:val="20"/>
          <w:szCs w:val="20"/>
          <w:lang w:val="es-PA"/>
        </w:rPr>
      </w:pPr>
    </w:p>
    <w:p w:rsidR="0074017B" w:rsidRPr="00632600" w:rsidRDefault="0074017B" w:rsidP="00A82FB4">
      <w:pPr>
        <w:pStyle w:val="ListParagraph"/>
        <w:numPr>
          <w:ilvl w:val="0"/>
          <w:numId w:val="2"/>
        </w:numPr>
        <w:tabs>
          <w:tab w:val="clear" w:pos="1247"/>
        </w:tabs>
        <w:spacing w:after="0" w:line="240" w:lineRule="auto"/>
        <w:jc w:val="both"/>
        <w:rPr>
          <w:rFonts w:ascii="Verdana" w:hAnsi="Verdana"/>
          <w:sz w:val="20"/>
          <w:szCs w:val="20"/>
          <w:lang w:val="es-PA"/>
        </w:rPr>
      </w:pPr>
      <w:r w:rsidRPr="00632600">
        <w:rPr>
          <w:rFonts w:ascii="Verdana" w:hAnsi="Verdana"/>
          <w:sz w:val="20"/>
          <w:szCs w:val="20"/>
          <w:lang w:val="es-PA"/>
        </w:rPr>
        <w:t>El párrafo 41 de la Sentencia de la Corte consider</w:t>
      </w:r>
      <w:r w:rsidR="00B44952">
        <w:rPr>
          <w:rFonts w:ascii="Verdana" w:hAnsi="Verdana"/>
          <w:sz w:val="20"/>
          <w:szCs w:val="20"/>
          <w:lang w:val="es-PA"/>
        </w:rPr>
        <w:t>ó</w:t>
      </w:r>
      <w:r w:rsidRPr="00632600">
        <w:rPr>
          <w:rFonts w:ascii="Verdana" w:hAnsi="Verdana"/>
          <w:sz w:val="20"/>
          <w:szCs w:val="20"/>
          <w:lang w:val="es-PA"/>
        </w:rPr>
        <w:t xml:space="preserve"> que los familiares de las presuntas víctimas est</w:t>
      </w:r>
      <w:r w:rsidR="00B44952">
        <w:rPr>
          <w:rFonts w:ascii="Verdana" w:hAnsi="Verdana"/>
          <w:sz w:val="20"/>
          <w:szCs w:val="20"/>
          <w:lang w:val="es-PA"/>
        </w:rPr>
        <w:t xml:space="preserve">aban </w:t>
      </w:r>
      <w:r w:rsidRPr="00632600">
        <w:rPr>
          <w:rFonts w:ascii="Verdana" w:hAnsi="Verdana"/>
          <w:sz w:val="20"/>
          <w:szCs w:val="20"/>
          <w:lang w:val="es-PA"/>
        </w:rPr>
        <w:t xml:space="preserve">razonablemente representados por CEJIL e ISER, rechazando de ese modo la excepción </w:t>
      </w:r>
      <w:r w:rsidRPr="0028163D">
        <w:rPr>
          <w:rFonts w:ascii="Verdana" w:hAnsi="Verdana"/>
          <w:i/>
          <w:sz w:val="20"/>
          <w:szCs w:val="20"/>
          <w:lang w:val="es-PA"/>
        </w:rPr>
        <w:t>rationae</w:t>
      </w:r>
      <w:r w:rsidRPr="00632600">
        <w:rPr>
          <w:rFonts w:ascii="Verdana" w:hAnsi="Verdana"/>
          <w:sz w:val="20"/>
          <w:szCs w:val="20"/>
          <w:lang w:val="es-PA"/>
        </w:rPr>
        <w:t xml:space="preserve"> </w:t>
      </w:r>
      <w:r w:rsidRPr="0028163D">
        <w:rPr>
          <w:rFonts w:ascii="Verdana" w:hAnsi="Verdana"/>
          <w:i/>
          <w:sz w:val="20"/>
          <w:szCs w:val="20"/>
          <w:lang w:val="es-PA"/>
        </w:rPr>
        <w:t>personae</w:t>
      </w:r>
      <w:r w:rsidRPr="00632600">
        <w:rPr>
          <w:rFonts w:ascii="Verdana" w:hAnsi="Verdana"/>
          <w:sz w:val="20"/>
          <w:szCs w:val="20"/>
          <w:lang w:val="es-PA"/>
        </w:rPr>
        <w:t xml:space="preserve"> interpu</w:t>
      </w:r>
      <w:r w:rsidR="00B44952">
        <w:rPr>
          <w:rFonts w:ascii="Verdana" w:hAnsi="Verdana"/>
          <w:sz w:val="20"/>
          <w:szCs w:val="20"/>
          <w:lang w:val="es-PA"/>
        </w:rPr>
        <w:t xml:space="preserve">esta por </w:t>
      </w:r>
      <w:r w:rsidRPr="00632600">
        <w:rPr>
          <w:rFonts w:ascii="Verdana" w:hAnsi="Verdana"/>
          <w:sz w:val="20"/>
          <w:szCs w:val="20"/>
          <w:lang w:val="es-PA"/>
        </w:rPr>
        <w:t xml:space="preserve">el Estado sobre la supuesta falta de otorgamiento de poderes a los representantes. </w:t>
      </w:r>
    </w:p>
    <w:p w:rsidR="0074017B" w:rsidRPr="00163A1A" w:rsidRDefault="0074017B" w:rsidP="00A82FB4">
      <w:pPr>
        <w:pStyle w:val="ListParagraph"/>
        <w:spacing w:after="0" w:line="240" w:lineRule="auto"/>
        <w:ind w:left="0"/>
        <w:jc w:val="both"/>
        <w:rPr>
          <w:rFonts w:ascii="Verdana" w:hAnsi="Verdana"/>
          <w:sz w:val="20"/>
          <w:szCs w:val="20"/>
          <w:lang w:val="es-PA"/>
        </w:rPr>
      </w:pPr>
    </w:p>
    <w:p w:rsidR="0074017B" w:rsidRPr="0028163D" w:rsidRDefault="0074017B" w:rsidP="00A82FB4">
      <w:pPr>
        <w:pStyle w:val="ListParagraph"/>
        <w:numPr>
          <w:ilvl w:val="0"/>
          <w:numId w:val="2"/>
        </w:numPr>
        <w:tabs>
          <w:tab w:val="clear" w:pos="1247"/>
        </w:tabs>
        <w:spacing w:after="0" w:line="240" w:lineRule="auto"/>
        <w:jc w:val="both"/>
        <w:rPr>
          <w:rFonts w:ascii="Verdana" w:hAnsi="Verdana"/>
          <w:sz w:val="20"/>
          <w:szCs w:val="20"/>
          <w:lang w:val="es-PA"/>
        </w:rPr>
      </w:pPr>
      <w:r w:rsidRPr="006900B1">
        <w:rPr>
          <w:rFonts w:ascii="Verdana" w:hAnsi="Verdana"/>
          <w:sz w:val="20"/>
          <w:szCs w:val="20"/>
          <w:lang w:val="es-PA"/>
        </w:rPr>
        <w:t xml:space="preserve"> Sobre lo resuelto, </w:t>
      </w:r>
      <w:r w:rsidR="006900B1" w:rsidRPr="006900B1">
        <w:rPr>
          <w:rFonts w:ascii="Verdana" w:hAnsi="Verdana"/>
          <w:sz w:val="20"/>
          <w:szCs w:val="20"/>
          <w:lang w:val="es-PA"/>
        </w:rPr>
        <w:t xml:space="preserve">el </w:t>
      </w:r>
      <w:r w:rsidRPr="0028163D">
        <w:rPr>
          <w:rFonts w:ascii="Verdana" w:hAnsi="Verdana"/>
          <w:b/>
          <w:i/>
          <w:sz w:val="20"/>
          <w:szCs w:val="20"/>
          <w:lang w:val="es-PA"/>
        </w:rPr>
        <w:t>Estado</w:t>
      </w:r>
      <w:r w:rsidRPr="006900B1">
        <w:rPr>
          <w:rFonts w:ascii="Verdana" w:hAnsi="Verdana"/>
          <w:sz w:val="20"/>
          <w:szCs w:val="20"/>
          <w:lang w:val="es-PA"/>
        </w:rPr>
        <w:t xml:space="preserve"> afirmó que en la fase de cumplimiento de la Sentencia, la representación inadecuada trae como consecuencia la imposibilidad de realizar el pago de las indemnizaciones. </w:t>
      </w:r>
      <w:r w:rsidR="006900B1" w:rsidRPr="006900B1">
        <w:rPr>
          <w:rFonts w:ascii="Verdana" w:hAnsi="Verdana"/>
          <w:sz w:val="20"/>
          <w:szCs w:val="20"/>
          <w:lang w:val="es-PA"/>
        </w:rPr>
        <w:t>Argumentó que no basta la formalidad de la representación,</w:t>
      </w:r>
      <w:r w:rsidR="006900B1" w:rsidRPr="00937A5D">
        <w:rPr>
          <w:rFonts w:ascii="Verdana" w:hAnsi="Verdana"/>
          <w:sz w:val="20"/>
          <w:szCs w:val="20"/>
          <w:lang w:val="es-PA"/>
        </w:rPr>
        <w:t xml:space="preserve"> razón por la cual </w:t>
      </w:r>
      <w:r w:rsidR="00FE2C8B">
        <w:rPr>
          <w:rFonts w:ascii="Verdana" w:hAnsi="Verdana"/>
          <w:sz w:val="20"/>
          <w:szCs w:val="20"/>
          <w:lang w:val="es-PA"/>
        </w:rPr>
        <w:t>existe</w:t>
      </w:r>
      <w:r w:rsidR="006900B1" w:rsidRPr="00937A5D">
        <w:rPr>
          <w:rFonts w:ascii="Verdana" w:hAnsi="Verdana"/>
          <w:sz w:val="20"/>
          <w:szCs w:val="20"/>
          <w:lang w:val="es-PA"/>
        </w:rPr>
        <w:t xml:space="preserve"> la necesidad de otorga</w:t>
      </w:r>
      <w:r w:rsidR="00FE2C8B">
        <w:rPr>
          <w:rFonts w:ascii="Verdana" w:hAnsi="Verdana"/>
          <w:sz w:val="20"/>
          <w:szCs w:val="20"/>
          <w:lang w:val="es-PA"/>
        </w:rPr>
        <w:t>miento</w:t>
      </w:r>
      <w:r w:rsidR="006900B1" w:rsidRPr="00937A5D">
        <w:rPr>
          <w:rFonts w:ascii="Verdana" w:hAnsi="Verdana"/>
          <w:sz w:val="20"/>
          <w:szCs w:val="20"/>
          <w:lang w:val="es-PA"/>
        </w:rPr>
        <w:t xml:space="preserve"> de </w:t>
      </w:r>
      <w:r w:rsidR="00FE2C8B">
        <w:rPr>
          <w:rFonts w:ascii="Verdana" w:hAnsi="Verdana"/>
          <w:sz w:val="20"/>
          <w:szCs w:val="20"/>
          <w:lang w:val="es-PA"/>
        </w:rPr>
        <w:t xml:space="preserve">poderes de representación por parte de </w:t>
      </w:r>
      <w:r w:rsidR="006900B1" w:rsidRPr="00937A5D">
        <w:rPr>
          <w:rFonts w:ascii="Verdana" w:hAnsi="Verdana"/>
          <w:sz w:val="20"/>
          <w:szCs w:val="20"/>
          <w:lang w:val="es-PA"/>
        </w:rPr>
        <w:t xml:space="preserve">las </w:t>
      </w:r>
      <w:r w:rsidR="006900B1" w:rsidRPr="006900B1">
        <w:rPr>
          <w:rFonts w:ascii="Verdana" w:hAnsi="Verdana"/>
          <w:sz w:val="20"/>
          <w:szCs w:val="20"/>
          <w:lang w:val="es-PA"/>
        </w:rPr>
        <w:t xml:space="preserve">víctimas y familiares. </w:t>
      </w:r>
      <w:r w:rsidRPr="006900B1">
        <w:rPr>
          <w:rFonts w:ascii="Verdana" w:hAnsi="Verdana"/>
          <w:sz w:val="20"/>
          <w:szCs w:val="20"/>
          <w:lang w:val="es-PA"/>
        </w:rPr>
        <w:t>Además</w:t>
      </w:r>
      <w:r w:rsidR="00B44952">
        <w:rPr>
          <w:rFonts w:ascii="Verdana" w:hAnsi="Verdana"/>
          <w:sz w:val="20"/>
          <w:szCs w:val="20"/>
          <w:lang w:val="es-PA"/>
        </w:rPr>
        <w:t>,</w:t>
      </w:r>
      <w:r w:rsidRPr="006900B1">
        <w:rPr>
          <w:rFonts w:ascii="Verdana" w:hAnsi="Verdana"/>
          <w:sz w:val="20"/>
          <w:szCs w:val="20"/>
          <w:lang w:val="es-PA"/>
        </w:rPr>
        <w:t xml:space="preserve"> consideró necesario que la Corte explique las razones que hacen de CEJIL y del ISER representantes razonables de las víctimas del presente caso</w:t>
      </w:r>
      <w:r w:rsidR="00720C21">
        <w:rPr>
          <w:rFonts w:ascii="Verdana" w:hAnsi="Verdana"/>
          <w:sz w:val="20"/>
          <w:szCs w:val="20"/>
          <w:lang w:val="es-PA"/>
        </w:rPr>
        <w:t xml:space="preserve">, tomando en cuenta que no poseen un instrumento jurídico formal que pruebe la relación afectiva o familiar con </w:t>
      </w:r>
      <w:r w:rsidR="00937A5D">
        <w:rPr>
          <w:rFonts w:ascii="Verdana" w:hAnsi="Verdana"/>
          <w:sz w:val="20"/>
          <w:szCs w:val="20"/>
          <w:lang w:val="es-PA"/>
        </w:rPr>
        <w:t>las víctimas</w:t>
      </w:r>
      <w:r w:rsidR="004A373D">
        <w:rPr>
          <w:rFonts w:ascii="Verdana" w:hAnsi="Verdana"/>
          <w:sz w:val="20"/>
          <w:szCs w:val="20"/>
          <w:lang w:val="es-PA"/>
        </w:rPr>
        <w:t>.</w:t>
      </w:r>
      <w:r w:rsidR="00C1365D">
        <w:rPr>
          <w:rFonts w:ascii="Verdana" w:hAnsi="Verdana"/>
          <w:sz w:val="20"/>
          <w:szCs w:val="20"/>
          <w:lang w:val="es-PA"/>
        </w:rPr>
        <w:t xml:space="preserve"> </w:t>
      </w:r>
    </w:p>
    <w:p w:rsidR="0028163D" w:rsidRPr="006900B1" w:rsidRDefault="0028163D" w:rsidP="00A82FB4">
      <w:pPr>
        <w:pStyle w:val="ListParagraph"/>
        <w:spacing w:after="0" w:line="240" w:lineRule="auto"/>
        <w:ind w:left="0"/>
        <w:jc w:val="both"/>
        <w:rPr>
          <w:rFonts w:ascii="Verdana" w:hAnsi="Verdana"/>
          <w:sz w:val="20"/>
          <w:szCs w:val="20"/>
          <w:lang w:val="es-PA"/>
        </w:rPr>
      </w:pPr>
    </w:p>
    <w:p w:rsidR="0074017B" w:rsidRPr="00FD4F33" w:rsidRDefault="0074017B" w:rsidP="00A82FB4">
      <w:pPr>
        <w:pStyle w:val="ListParagraph"/>
        <w:numPr>
          <w:ilvl w:val="0"/>
          <w:numId w:val="2"/>
        </w:numPr>
        <w:tabs>
          <w:tab w:val="clear" w:pos="1247"/>
        </w:tabs>
        <w:spacing w:after="0" w:line="240" w:lineRule="auto"/>
        <w:jc w:val="both"/>
        <w:rPr>
          <w:rFonts w:ascii="Verdana" w:hAnsi="Verdana"/>
          <w:b/>
          <w:iCs/>
          <w:sz w:val="20"/>
          <w:szCs w:val="20"/>
        </w:rPr>
      </w:pPr>
      <w:r w:rsidRPr="004F640F">
        <w:rPr>
          <w:rFonts w:ascii="Verdana" w:hAnsi="Verdana"/>
          <w:sz w:val="20"/>
          <w:szCs w:val="20"/>
          <w:lang w:val="es-PA"/>
        </w:rPr>
        <w:t xml:space="preserve">Los </w:t>
      </w:r>
      <w:r w:rsidRPr="004F640F">
        <w:rPr>
          <w:rFonts w:ascii="Verdana" w:hAnsi="Verdana"/>
          <w:b/>
          <w:i/>
          <w:sz w:val="20"/>
          <w:szCs w:val="20"/>
          <w:lang w:val="es-PA"/>
        </w:rPr>
        <w:t>representantes</w:t>
      </w:r>
      <w:r w:rsidRPr="004F640F">
        <w:rPr>
          <w:rFonts w:ascii="Verdana" w:hAnsi="Verdana"/>
          <w:sz w:val="20"/>
          <w:szCs w:val="20"/>
          <w:lang w:val="es-PA"/>
        </w:rPr>
        <w:t xml:space="preserve"> </w:t>
      </w:r>
      <w:r>
        <w:rPr>
          <w:rFonts w:ascii="Verdana" w:hAnsi="Verdana"/>
          <w:sz w:val="20"/>
          <w:szCs w:val="20"/>
          <w:lang w:val="es-PA"/>
        </w:rPr>
        <w:t xml:space="preserve">afirmaron </w:t>
      </w:r>
      <w:r w:rsidRPr="00414F55">
        <w:rPr>
          <w:rFonts w:ascii="Verdana" w:hAnsi="Verdana"/>
          <w:iCs/>
          <w:sz w:val="20"/>
          <w:szCs w:val="20"/>
          <w:lang w:val="es-CR"/>
        </w:rPr>
        <w:t xml:space="preserve">que </w:t>
      </w:r>
      <w:r w:rsidR="00937A5D">
        <w:rPr>
          <w:rFonts w:ascii="Verdana" w:hAnsi="Verdana"/>
          <w:iCs/>
          <w:sz w:val="20"/>
          <w:szCs w:val="20"/>
          <w:lang w:val="es-CR"/>
        </w:rPr>
        <w:t xml:space="preserve">la argumentación </w:t>
      </w:r>
      <w:r w:rsidR="00937A5D">
        <w:rPr>
          <w:rFonts w:ascii="Verdana" w:hAnsi="Verdana"/>
          <w:sz w:val="20"/>
          <w:szCs w:val="20"/>
          <w:lang w:val="es-PA"/>
        </w:rPr>
        <w:t>desarrollada por el Estado</w:t>
      </w:r>
      <w:r w:rsidR="00B44952">
        <w:rPr>
          <w:rFonts w:ascii="Verdana" w:hAnsi="Verdana"/>
          <w:sz w:val="20"/>
          <w:szCs w:val="20"/>
          <w:lang w:val="es-PA"/>
        </w:rPr>
        <w:t xml:space="preserve"> </w:t>
      </w:r>
      <w:r w:rsidR="00937A5D">
        <w:rPr>
          <w:rFonts w:ascii="Verdana" w:hAnsi="Verdana"/>
          <w:sz w:val="20"/>
          <w:szCs w:val="20"/>
          <w:lang w:val="es-PA"/>
        </w:rPr>
        <w:t xml:space="preserve"> </w:t>
      </w:r>
      <w:r w:rsidRPr="00414F55">
        <w:rPr>
          <w:rFonts w:ascii="Verdana" w:hAnsi="Verdana"/>
          <w:iCs/>
          <w:sz w:val="20"/>
          <w:szCs w:val="20"/>
          <w:lang w:val="es-CR"/>
        </w:rPr>
        <w:t xml:space="preserve">ya fue </w:t>
      </w:r>
      <w:r w:rsidR="00B44952">
        <w:rPr>
          <w:rFonts w:ascii="Verdana" w:hAnsi="Verdana"/>
          <w:iCs/>
          <w:sz w:val="20"/>
          <w:szCs w:val="20"/>
          <w:lang w:val="es-CR"/>
        </w:rPr>
        <w:t xml:space="preserve">debatida y resuelta </w:t>
      </w:r>
      <w:r>
        <w:rPr>
          <w:rFonts w:ascii="Verdana" w:hAnsi="Verdana"/>
          <w:iCs/>
          <w:sz w:val="20"/>
          <w:szCs w:val="20"/>
          <w:lang w:val="es-CR"/>
        </w:rPr>
        <w:t xml:space="preserve">en la etapa procesal oportuna. </w:t>
      </w:r>
      <w:r w:rsidRPr="00414F55">
        <w:rPr>
          <w:rFonts w:ascii="Verdana" w:hAnsi="Verdana"/>
          <w:iCs/>
          <w:sz w:val="20"/>
          <w:szCs w:val="20"/>
        </w:rPr>
        <w:t>Asimismo</w:t>
      </w:r>
      <w:r w:rsidR="00B44952">
        <w:rPr>
          <w:rFonts w:ascii="Verdana" w:hAnsi="Verdana"/>
          <w:iCs/>
          <w:sz w:val="20"/>
          <w:szCs w:val="20"/>
        </w:rPr>
        <w:t>,</w:t>
      </w:r>
      <w:r w:rsidRPr="00414F55">
        <w:rPr>
          <w:rFonts w:ascii="Verdana" w:hAnsi="Verdana"/>
          <w:iCs/>
          <w:sz w:val="20"/>
          <w:szCs w:val="20"/>
        </w:rPr>
        <w:t xml:space="preserve"> los </w:t>
      </w:r>
      <w:r w:rsidR="00B44952">
        <w:rPr>
          <w:rFonts w:ascii="Verdana" w:hAnsi="Verdana"/>
          <w:iCs/>
          <w:sz w:val="20"/>
          <w:szCs w:val="20"/>
        </w:rPr>
        <w:t>r</w:t>
      </w:r>
      <w:r w:rsidRPr="00414F55">
        <w:rPr>
          <w:rFonts w:ascii="Verdana" w:hAnsi="Verdana"/>
          <w:iCs/>
          <w:sz w:val="20"/>
          <w:szCs w:val="20"/>
        </w:rPr>
        <w:t xml:space="preserve">epresentantes observaron que la representación legal formal no es un requerimiento de la </w:t>
      </w:r>
      <w:r w:rsidR="00B44952">
        <w:rPr>
          <w:rFonts w:ascii="Verdana" w:hAnsi="Verdana"/>
          <w:iCs/>
          <w:sz w:val="20"/>
          <w:szCs w:val="20"/>
        </w:rPr>
        <w:t>Convención Americana</w:t>
      </w:r>
      <w:r w:rsidRPr="00414F55">
        <w:rPr>
          <w:rFonts w:ascii="Verdana" w:hAnsi="Verdana"/>
          <w:iCs/>
          <w:sz w:val="20"/>
          <w:szCs w:val="20"/>
        </w:rPr>
        <w:t xml:space="preserve">, ni de los Reglamentos de la </w:t>
      </w:r>
      <w:r w:rsidR="00B44952">
        <w:rPr>
          <w:rFonts w:ascii="Verdana" w:hAnsi="Verdana"/>
          <w:iCs/>
          <w:sz w:val="20"/>
          <w:szCs w:val="20"/>
        </w:rPr>
        <w:t>Comisión o de la Corte</w:t>
      </w:r>
      <w:r>
        <w:rPr>
          <w:rFonts w:ascii="Verdana" w:hAnsi="Verdana"/>
          <w:iCs/>
          <w:sz w:val="20"/>
          <w:szCs w:val="20"/>
        </w:rPr>
        <w:t xml:space="preserve"> y que</w:t>
      </w:r>
      <w:r w:rsidRPr="00414F55">
        <w:rPr>
          <w:rFonts w:ascii="Verdana" w:hAnsi="Verdana"/>
          <w:iCs/>
          <w:sz w:val="20"/>
          <w:szCs w:val="20"/>
        </w:rPr>
        <w:t>, dado que el propósito último del sistema interamericano es proteger los derechos humanos, hay pocos formalismos para acceder</w:t>
      </w:r>
      <w:r>
        <w:rPr>
          <w:rFonts w:ascii="Verdana" w:hAnsi="Verdana"/>
          <w:iCs/>
          <w:sz w:val="20"/>
          <w:szCs w:val="20"/>
        </w:rPr>
        <w:t xml:space="preserve"> a los mecanismos de protección</w:t>
      </w:r>
      <w:r w:rsidRPr="00414F55">
        <w:rPr>
          <w:rFonts w:ascii="Verdana" w:hAnsi="Verdana"/>
          <w:iCs/>
          <w:sz w:val="20"/>
          <w:szCs w:val="20"/>
        </w:rPr>
        <w:t xml:space="preserve">. </w:t>
      </w:r>
      <w:r>
        <w:rPr>
          <w:rFonts w:ascii="Verdana" w:hAnsi="Verdana"/>
          <w:iCs/>
          <w:sz w:val="20"/>
          <w:szCs w:val="20"/>
        </w:rPr>
        <w:t>Así</w:t>
      </w:r>
      <w:r w:rsidR="00B44952">
        <w:rPr>
          <w:rFonts w:ascii="Verdana" w:hAnsi="Verdana"/>
          <w:iCs/>
          <w:sz w:val="20"/>
          <w:szCs w:val="20"/>
        </w:rPr>
        <w:t>,</w:t>
      </w:r>
      <w:r>
        <w:rPr>
          <w:rFonts w:ascii="Verdana" w:hAnsi="Verdana"/>
          <w:iCs/>
          <w:sz w:val="20"/>
          <w:szCs w:val="20"/>
        </w:rPr>
        <w:t xml:space="preserve"> la</w:t>
      </w:r>
      <w:r w:rsidR="00E22A2D">
        <w:rPr>
          <w:rFonts w:ascii="Verdana" w:hAnsi="Verdana"/>
          <w:iCs/>
          <w:sz w:val="20"/>
          <w:szCs w:val="20"/>
        </w:rPr>
        <w:t xml:space="preserve"> </w:t>
      </w:r>
      <w:r w:rsidR="00B44952">
        <w:rPr>
          <w:rFonts w:ascii="Verdana" w:hAnsi="Verdana"/>
          <w:iCs/>
          <w:sz w:val="20"/>
          <w:szCs w:val="20"/>
        </w:rPr>
        <w:t xml:space="preserve">Comisión y la Corte consideran </w:t>
      </w:r>
      <w:r>
        <w:rPr>
          <w:rFonts w:ascii="Verdana" w:hAnsi="Verdana"/>
          <w:iCs/>
          <w:sz w:val="20"/>
          <w:szCs w:val="20"/>
        </w:rPr>
        <w:t xml:space="preserve">que </w:t>
      </w:r>
      <w:r w:rsidRPr="00414F55">
        <w:rPr>
          <w:rFonts w:ascii="Verdana" w:hAnsi="Verdana"/>
          <w:iCs/>
          <w:sz w:val="20"/>
          <w:szCs w:val="20"/>
        </w:rPr>
        <w:t>la representación legal es una facultad de las víct</w:t>
      </w:r>
      <w:r>
        <w:rPr>
          <w:rFonts w:ascii="Verdana" w:hAnsi="Verdana"/>
          <w:iCs/>
          <w:sz w:val="20"/>
          <w:szCs w:val="20"/>
        </w:rPr>
        <w:t xml:space="preserve">imas, y no una exigencia </w:t>
      </w:r>
      <w:r w:rsidRPr="00FD4F33">
        <w:rPr>
          <w:rFonts w:ascii="Verdana" w:hAnsi="Verdana"/>
          <w:iCs/>
          <w:sz w:val="20"/>
          <w:szCs w:val="20"/>
        </w:rPr>
        <w:t xml:space="preserve">formal. Finalmente, en </w:t>
      </w:r>
      <w:r w:rsidRPr="00414F55">
        <w:rPr>
          <w:rFonts w:ascii="Verdana" w:hAnsi="Verdana"/>
          <w:iCs/>
          <w:sz w:val="20"/>
          <w:szCs w:val="20"/>
        </w:rPr>
        <w:t>lo que se refiere al proceso de cumplimiento de sentencia, aclararon que los pagos deben efectuarse directamente a las víctimas, claramente identificadas en la sentencia, en cuentas en nombres propios</w:t>
      </w:r>
      <w:r w:rsidR="00E22A2D">
        <w:rPr>
          <w:rFonts w:ascii="Verdana" w:hAnsi="Verdana"/>
          <w:iCs/>
          <w:sz w:val="20"/>
          <w:szCs w:val="20"/>
        </w:rPr>
        <w:t>.</w:t>
      </w:r>
    </w:p>
    <w:p w:rsidR="0074017B" w:rsidRPr="00FD4F33" w:rsidRDefault="0074017B" w:rsidP="00A82FB4">
      <w:pPr>
        <w:pStyle w:val="ListParagraph"/>
        <w:spacing w:after="0" w:line="240" w:lineRule="auto"/>
        <w:ind w:left="0"/>
        <w:jc w:val="both"/>
        <w:rPr>
          <w:rFonts w:ascii="Verdana" w:hAnsi="Verdana"/>
          <w:b/>
          <w:iCs/>
          <w:sz w:val="20"/>
          <w:szCs w:val="20"/>
        </w:rPr>
      </w:pPr>
    </w:p>
    <w:p w:rsidR="0074017B" w:rsidRPr="00FD4F33" w:rsidRDefault="0074017B" w:rsidP="00A82FB4">
      <w:pPr>
        <w:pStyle w:val="ListParagraph"/>
        <w:numPr>
          <w:ilvl w:val="0"/>
          <w:numId w:val="2"/>
        </w:numPr>
        <w:tabs>
          <w:tab w:val="clear" w:pos="1247"/>
        </w:tabs>
        <w:spacing w:after="0" w:line="240" w:lineRule="auto"/>
        <w:jc w:val="both"/>
        <w:rPr>
          <w:rFonts w:ascii="Verdana" w:hAnsi="Verdana"/>
          <w:sz w:val="20"/>
          <w:szCs w:val="20"/>
          <w:lang w:val="es-CR"/>
        </w:rPr>
      </w:pPr>
      <w:r w:rsidRPr="004F640F">
        <w:rPr>
          <w:rFonts w:ascii="Verdana" w:hAnsi="Verdana"/>
          <w:sz w:val="20"/>
          <w:szCs w:val="20"/>
          <w:lang w:val="es-PA"/>
        </w:rPr>
        <w:t xml:space="preserve">La </w:t>
      </w:r>
      <w:r w:rsidRPr="004F640F">
        <w:rPr>
          <w:rFonts w:ascii="Verdana" w:hAnsi="Verdana"/>
          <w:b/>
          <w:i/>
          <w:sz w:val="20"/>
          <w:szCs w:val="20"/>
          <w:lang w:val="es-PA"/>
        </w:rPr>
        <w:t>Comisión</w:t>
      </w:r>
      <w:r w:rsidRPr="00FD4F33">
        <w:rPr>
          <w:rFonts w:ascii="Verdana" w:hAnsi="Verdana"/>
          <w:sz w:val="20"/>
          <w:szCs w:val="20"/>
          <w:lang w:val="es-CR"/>
        </w:rPr>
        <w:t xml:space="preserve"> </w:t>
      </w:r>
      <w:r>
        <w:rPr>
          <w:rFonts w:ascii="Verdana" w:hAnsi="Verdana"/>
          <w:sz w:val="20"/>
          <w:szCs w:val="20"/>
          <w:lang w:val="es-CR"/>
        </w:rPr>
        <w:t>consideró</w:t>
      </w:r>
      <w:r w:rsidRPr="00FD4F33">
        <w:rPr>
          <w:rFonts w:ascii="Verdana" w:hAnsi="Verdana"/>
          <w:sz w:val="20"/>
          <w:szCs w:val="20"/>
          <w:lang w:val="es-CR"/>
        </w:rPr>
        <w:t xml:space="preserve"> que la Corte, en la Sentencia, desestimó claramente lo planteado por el Estado sobre la falta de otorgamiento de poderes por parte de las víctimas y sus fam</w:t>
      </w:r>
      <w:r>
        <w:rPr>
          <w:rFonts w:ascii="Verdana" w:hAnsi="Verdana"/>
          <w:sz w:val="20"/>
          <w:szCs w:val="20"/>
          <w:lang w:val="es-CR"/>
        </w:rPr>
        <w:t xml:space="preserve">iliares a los representantes. </w:t>
      </w:r>
      <w:r w:rsidR="00E22A2D">
        <w:rPr>
          <w:rFonts w:ascii="Verdana" w:hAnsi="Verdana"/>
          <w:sz w:val="20"/>
          <w:szCs w:val="20"/>
          <w:lang w:val="es-CR"/>
        </w:rPr>
        <w:t>Aseveró</w:t>
      </w:r>
      <w:r w:rsidRPr="00FD4F33">
        <w:rPr>
          <w:rFonts w:ascii="Verdana" w:hAnsi="Verdana"/>
          <w:sz w:val="20"/>
          <w:szCs w:val="20"/>
          <w:lang w:val="es-CR"/>
        </w:rPr>
        <w:t xml:space="preserve"> que el Estado debe hacer efectivas sus obligaciones internacionales sin oponer obstáculos de orden interno</w:t>
      </w:r>
      <w:r w:rsidR="00E22A2D">
        <w:rPr>
          <w:rFonts w:ascii="Verdana" w:hAnsi="Verdana"/>
          <w:sz w:val="20"/>
          <w:szCs w:val="20"/>
          <w:lang w:val="es-CR"/>
        </w:rPr>
        <w:t xml:space="preserve"> y que tampoco se corresponden con las reglas de procedimiento del trámite interamericano</w:t>
      </w:r>
      <w:r w:rsidRPr="00FD4F33">
        <w:rPr>
          <w:rFonts w:ascii="Verdana" w:hAnsi="Verdana"/>
          <w:sz w:val="20"/>
          <w:szCs w:val="20"/>
          <w:lang w:val="es-CR"/>
        </w:rPr>
        <w:t xml:space="preserve">. </w:t>
      </w:r>
      <w:r w:rsidR="003F1D25">
        <w:rPr>
          <w:rFonts w:ascii="Verdana" w:hAnsi="Verdana"/>
          <w:sz w:val="20"/>
          <w:szCs w:val="20"/>
          <w:lang w:val="es-CR"/>
        </w:rPr>
        <w:t>Por lo tanto, concluyó</w:t>
      </w:r>
      <w:r w:rsidR="00E22A2D">
        <w:rPr>
          <w:rFonts w:ascii="Verdana" w:hAnsi="Verdana"/>
          <w:sz w:val="20"/>
          <w:szCs w:val="20"/>
          <w:lang w:val="es-CR"/>
        </w:rPr>
        <w:t xml:space="preserve"> </w:t>
      </w:r>
      <w:r>
        <w:rPr>
          <w:rFonts w:ascii="Verdana" w:hAnsi="Verdana"/>
          <w:sz w:val="20"/>
          <w:szCs w:val="20"/>
          <w:lang w:val="es-CR"/>
        </w:rPr>
        <w:t>que el párrafo en cuestión</w:t>
      </w:r>
      <w:r w:rsidRPr="00FD4F33">
        <w:rPr>
          <w:rFonts w:ascii="Verdana" w:hAnsi="Verdana"/>
          <w:sz w:val="20"/>
          <w:szCs w:val="20"/>
          <w:lang w:val="es-CR"/>
        </w:rPr>
        <w:t xml:space="preserve"> no requiere inte</w:t>
      </w:r>
      <w:r>
        <w:rPr>
          <w:rFonts w:ascii="Verdana" w:hAnsi="Verdana"/>
          <w:sz w:val="20"/>
          <w:szCs w:val="20"/>
          <w:lang w:val="es-CR"/>
        </w:rPr>
        <w:t>r</w:t>
      </w:r>
      <w:r w:rsidRPr="00FD4F33">
        <w:rPr>
          <w:rFonts w:ascii="Verdana" w:hAnsi="Verdana"/>
          <w:sz w:val="20"/>
          <w:szCs w:val="20"/>
          <w:lang w:val="es-CR"/>
        </w:rPr>
        <w:t>pretación.</w:t>
      </w:r>
    </w:p>
    <w:p w:rsidR="0074017B" w:rsidRPr="0049492F" w:rsidRDefault="0074017B" w:rsidP="00A82FB4">
      <w:pPr>
        <w:spacing w:after="0" w:line="240" w:lineRule="auto"/>
        <w:jc w:val="both"/>
        <w:rPr>
          <w:rFonts w:ascii="Verdana" w:hAnsi="Verdana"/>
          <w:i/>
          <w:color w:val="FF0000"/>
          <w:sz w:val="20"/>
          <w:szCs w:val="20"/>
          <w:lang w:val="es-PA"/>
        </w:rPr>
      </w:pPr>
    </w:p>
    <w:p w:rsidR="0074017B" w:rsidRPr="0028163D" w:rsidRDefault="0049492F" w:rsidP="00E048DB">
      <w:pPr>
        <w:pStyle w:val="Heading2"/>
        <w:rPr>
          <w:b w:val="0"/>
          <w:lang w:val="es-PA"/>
        </w:rPr>
      </w:pPr>
      <w:r w:rsidRPr="0028163D">
        <w:rPr>
          <w:b w:val="0"/>
          <w:lang w:val="es-PA"/>
        </w:rPr>
        <w:t xml:space="preserve">B.2. </w:t>
      </w:r>
      <w:r w:rsidR="0074017B" w:rsidRPr="0028163D">
        <w:rPr>
          <w:b w:val="0"/>
          <w:lang w:val="es-PA"/>
        </w:rPr>
        <w:t>Consideraciones de la Corte</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1F30D1" w:rsidRPr="001F30D1" w:rsidRDefault="001F30D1" w:rsidP="00703EEA">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sz w:val="20"/>
          <w:szCs w:val="20"/>
          <w:lang w:val="es-PA"/>
        </w:rPr>
      </w:pPr>
      <w:r w:rsidRPr="00703EEA">
        <w:rPr>
          <w:rFonts w:ascii="Verdana" w:hAnsi="Verdana" w:cs="Verdana"/>
          <w:sz w:val="20"/>
          <w:szCs w:val="20"/>
          <w:lang w:val="es-CR"/>
        </w:rPr>
        <w:t xml:space="preserve">La Corte estima que </w:t>
      </w:r>
      <w:r w:rsidRPr="00703EEA">
        <w:rPr>
          <w:rFonts w:ascii="Verdana" w:hAnsi="Verdana"/>
          <w:sz w:val="20"/>
          <w:szCs w:val="20"/>
          <w:lang w:val="es-PA"/>
        </w:rPr>
        <w:t xml:space="preserve">el Estado interpuso una excepción </w:t>
      </w:r>
      <w:r w:rsidRPr="00703EEA">
        <w:rPr>
          <w:rFonts w:ascii="Verdana" w:hAnsi="Verdana"/>
          <w:i/>
          <w:sz w:val="20"/>
          <w:szCs w:val="20"/>
          <w:lang w:val="es-PA"/>
        </w:rPr>
        <w:t xml:space="preserve">ratione personae </w:t>
      </w:r>
      <w:r w:rsidRPr="00703EEA">
        <w:rPr>
          <w:rFonts w:ascii="Verdana" w:hAnsi="Verdana"/>
          <w:sz w:val="20"/>
          <w:szCs w:val="20"/>
          <w:lang w:val="es-PA"/>
        </w:rPr>
        <w:t>en el momento procesal oportuno, la cual fue resuelta en los párrafos 35 a 42 de la sentencia</w:t>
      </w:r>
      <w:r w:rsidRPr="00703EEA">
        <w:rPr>
          <w:rFonts w:ascii="Verdana" w:hAnsi="Verdana" w:cs="Verdana"/>
          <w:sz w:val="20"/>
          <w:szCs w:val="20"/>
          <w:lang w:val="es-CR"/>
        </w:rPr>
        <w:t xml:space="preserve">. </w:t>
      </w:r>
      <w:r w:rsidR="00703EEA" w:rsidRPr="00703EEA">
        <w:rPr>
          <w:rFonts w:ascii="Verdana" w:hAnsi="Verdana" w:cs="Verdana"/>
          <w:sz w:val="20"/>
          <w:szCs w:val="20"/>
          <w:lang w:val="es-CR"/>
        </w:rPr>
        <w:t>Por</w:t>
      </w:r>
      <w:r>
        <w:rPr>
          <w:rFonts w:ascii="Verdana" w:hAnsi="Verdana" w:cs="Verdana"/>
          <w:sz w:val="20"/>
          <w:szCs w:val="20"/>
          <w:lang w:val="es-CR"/>
        </w:rPr>
        <w:t xml:space="preserve"> lo tanto advierte</w:t>
      </w:r>
      <w:r w:rsidRPr="001F30D1">
        <w:rPr>
          <w:rFonts w:ascii="Verdana" w:hAnsi="Verdana"/>
          <w:sz w:val="20"/>
          <w:szCs w:val="20"/>
          <w:lang w:val="es-PA"/>
        </w:rPr>
        <w:t xml:space="preserve"> que, bajo la apariencia de una solicitud de interpretación,</w:t>
      </w:r>
      <w:r>
        <w:rPr>
          <w:rFonts w:ascii="Verdana" w:hAnsi="Verdana"/>
          <w:sz w:val="20"/>
          <w:szCs w:val="20"/>
          <w:lang w:val="es-PA"/>
        </w:rPr>
        <w:t xml:space="preserve"> la posición del </w:t>
      </w:r>
      <w:r>
        <w:rPr>
          <w:rFonts w:ascii="Verdana" w:hAnsi="Verdana"/>
          <w:sz w:val="20"/>
          <w:szCs w:val="20"/>
          <w:lang w:val="es-PA"/>
        </w:rPr>
        <w:lastRenderedPageBreak/>
        <w:t>Estado</w:t>
      </w:r>
      <w:r w:rsidRPr="001F30D1">
        <w:rPr>
          <w:rFonts w:ascii="Verdana" w:hAnsi="Verdana"/>
          <w:sz w:val="20"/>
          <w:szCs w:val="20"/>
          <w:lang w:val="es-PA"/>
        </w:rPr>
        <w:t xml:space="preserve"> evidencia una discrepancia con lo resuelto por la Corte, ya que pretende recrear una controversia que fue planteada en su oportunidad procesal y sobre la cual este Tribunal ya adoptó una decisión. Por ende, se decla</w:t>
      </w:r>
      <w:r>
        <w:rPr>
          <w:rFonts w:ascii="Verdana" w:hAnsi="Verdana"/>
          <w:sz w:val="20"/>
          <w:szCs w:val="20"/>
          <w:lang w:val="es-PA"/>
        </w:rPr>
        <w:t xml:space="preserve">ra improcedente la solicitud del Estado </w:t>
      </w:r>
      <w:r w:rsidRPr="001F30D1">
        <w:rPr>
          <w:rFonts w:ascii="Verdana" w:hAnsi="Verdana"/>
          <w:sz w:val="20"/>
          <w:szCs w:val="20"/>
          <w:lang w:val="es-PA"/>
        </w:rPr>
        <w:t>en este extremo, toda vez que el propósito de la interpretación debe ser aclarar algún punto impreciso o ambiguo sobre el sentido o alcance de la Sentencia, lo cual no corresponde respecto a dicho</w:t>
      </w:r>
      <w:r>
        <w:rPr>
          <w:rFonts w:ascii="Verdana" w:hAnsi="Verdana"/>
          <w:sz w:val="20"/>
          <w:szCs w:val="20"/>
          <w:lang w:val="es-PA"/>
        </w:rPr>
        <w:t>s</w:t>
      </w:r>
      <w:r w:rsidRPr="001F30D1">
        <w:rPr>
          <w:rFonts w:ascii="Verdana" w:hAnsi="Verdana"/>
          <w:sz w:val="20"/>
          <w:szCs w:val="20"/>
          <w:lang w:val="es-PA"/>
        </w:rPr>
        <w:t xml:space="preserve"> párrafo</w:t>
      </w:r>
      <w:r>
        <w:rPr>
          <w:rFonts w:ascii="Verdana" w:hAnsi="Verdana"/>
          <w:sz w:val="20"/>
          <w:szCs w:val="20"/>
          <w:lang w:val="es-PA"/>
        </w:rPr>
        <w:t>s</w:t>
      </w:r>
      <w:r w:rsidRPr="001F30D1">
        <w:rPr>
          <w:rFonts w:ascii="Verdana" w:hAnsi="Verdana"/>
          <w:sz w:val="20"/>
          <w:szCs w:val="20"/>
          <w:lang w:val="es-PA"/>
        </w:rPr>
        <w:t>, en los términos esgrimidos.</w:t>
      </w:r>
    </w:p>
    <w:p w:rsidR="0074017B" w:rsidRDefault="0074017B" w:rsidP="00A82FB4">
      <w:pPr>
        <w:pStyle w:val="ListParagraph"/>
        <w:spacing w:after="0" w:line="240" w:lineRule="auto"/>
        <w:ind w:left="0"/>
        <w:contextualSpacing w:val="0"/>
        <w:jc w:val="both"/>
        <w:rPr>
          <w:rFonts w:ascii="Verdana" w:hAnsi="Verdana"/>
          <w:b/>
          <w:sz w:val="20"/>
          <w:szCs w:val="20"/>
          <w:lang w:val="es-PA"/>
        </w:rPr>
      </w:pPr>
    </w:p>
    <w:p w:rsidR="0074017B" w:rsidRPr="00B17569" w:rsidRDefault="0074017B" w:rsidP="00A82FB4">
      <w:pPr>
        <w:pStyle w:val="ListParagraph"/>
        <w:numPr>
          <w:ilvl w:val="0"/>
          <w:numId w:val="3"/>
        </w:numPr>
        <w:jc w:val="both"/>
        <w:rPr>
          <w:rFonts w:ascii="Verdana" w:hAnsi="Verdana"/>
          <w:b/>
          <w:sz w:val="20"/>
          <w:szCs w:val="20"/>
        </w:rPr>
      </w:pPr>
      <w:r>
        <w:rPr>
          <w:rFonts w:ascii="Verdana" w:hAnsi="Verdana"/>
          <w:b/>
          <w:sz w:val="20"/>
          <w:szCs w:val="20"/>
        </w:rPr>
        <w:t>C</w:t>
      </w:r>
      <w:r w:rsidR="00331226">
        <w:rPr>
          <w:rFonts w:ascii="Verdana" w:hAnsi="Verdana"/>
          <w:b/>
          <w:sz w:val="20"/>
          <w:szCs w:val="20"/>
        </w:rPr>
        <w:t xml:space="preserve">ompetencia </w:t>
      </w:r>
      <w:r w:rsidR="00331226">
        <w:rPr>
          <w:rFonts w:ascii="Verdana" w:hAnsi="Verdana"/>
          <w:b/>
          <w:i/>
          <w:sz w:val="20"/>
          <w:szCs w:val="20"/>
        </w:rPr>
        <w:t xml:space="preserve">Ratione Materiae </w:t>
      </w:r>
      <w:r w:rsidR="00331226">
        <w:rPr>
          <w:rFonts w:ascii="Verdana" w:hAnsi="Verdana"/>
          <w:b/>
          <w:sz w:val="20"/>
          <w:szCs w:val="20"/>
        </w:rPr>
        <w:t>en relación con la Convención Interamericana para Prevenir y Sancionar la Tortura</w:t>
      </w:r>
      <w:r w:rsidRPr="00B17569">
        <w:rPr>
          <w:rFonts w:ascii="Verdana" w:hAnsi="Verdana"/>
          <w:b/>
          <w:sz w:val="20"/>
          <w:szCs w:val="20"/>
        </w:rPr>
        <w:t xml:space="preserve"> </w:t>
      </w:r>
    </w:p>
    <w:p w:rsidR="0049492F" w:rsidRPr="0028163D" w:rsidRDefault="0049492F" w:rsidP="00E048DB">
      <w:pPr>
        <w:pStyle w:val="Heading4"/>
        <w:tabs>
          <w:tab w:val="clear" w:pos="0"/>
        </w:tabs>
      </w:pPr>
      <w:r>
        <w:t>C</w:t>
      </w:r>
      <w:r w:rsidRPr="0028163D">
        <w:t xml:space="preserve">.1. Argumentos de las partes y de la </w:t>
      </w:r>
      <w:r w:rsidRPr="0049492F">
        <w:t>Comisión</w:t>
      </w:r>
      <w:r w:rsidRPr="0028163D">
        <w:t xml:space="preserve"> </w:t>
      </w:r>
    </w:p>
    <w:p w:rsidR="0074017B" w:rsidRPr="004F640F" w:rsidRDefault="0074017B" w:rsidP="00A82FB4">
      <w:pPr>
        <w:widowControl w:val="0"/>
        <w:spacing w:after="0" w:line="240" w:lineRule="auto"/>
        <w:jc w:val="both"/>
        <w:rPr>
          <w:rFonts w:ascii="Verdana" w:hAnsi="Verdana"/>
          <w:b/>
          <w:smallCaps/>
          <w:sz w:val="20"/>
          <w:szCs w:val="20"/>
          <w:lang w:val="es-PA"/>
        </w:rPr>
      </w:pPr>
    </w:p>
    <w:p w:rsidR="0074017B" w:rsidRPr="00204F5D"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 xml:space="preserve">En el párrafo 66 de la Sentencia la Corte </w:t>
      </w:r>
      <w:r>
        <w:rPr>
          <w:rFonts w:ascii="Verdana" w:hAnsi="Verdana"/>
          <w:sz w:val="20"/>
          <w:szCs w:val="20"/>
          <w:lang w:val="es-CL"/>
        </w:rPr>
        <w:t>se declar</w:t>
      </w:r>
      <w:r w:rsidR="000246F0">
        <w:rPr>
          <w:rFonts w:ascii="Verdana" w:hAnsi="Verdana"/>
          <w:sz w:val="20"/>
          <w:szCs w:val="20"/>
          <w:lang w:val="es-CL"/>
        </w:rPr>
        <w:t>ó</w:t>
      </w:r>
      <w:r w:rsidRPr="00204F5D">
        <w:rPr>
          <w:rFonts w:ascii="Verdana" w:hAnsi="Verdana"/>
          <w:sz w:val="20"/>
          <w:szCs w:val="20"/>
          <w:lang w:val="es-CL"/>
        </w:rPr>
        <w:t xml:space="preserve"> competente para interpretar y aplicar la </w:t>
      </w:r>
      <w:r w:rsidR="000246F0" w:rsidRPr="00B17569">
        <w:rPr>
          <w:rFonts w:ascii="Verdana" w:hAnsi="Verdana"/>
          <w:sz w:val="20"/>
          <w:szCs w:val="20"/>
          <w:lang w:val="es-CR"/>
        </w:rPr>
        <w:t>C</w:t>
      </w:r>
      <w:r w:rsidR="000246F0">
        <w:rPr>
          <w:rFonts w:ascii="Verdana" w:hAnsi="Verdana"/>
          <w:sz w:val="20"/>
          <w:szCs w:val="20"/>
          <w:lang w:val="es-CR"/>
        </w:rPr>
        <w:t xml:space="preserve">onvención </w:t>
      </w:r>
      <w:r w:rsidR="000246F0" w:rsidRPr="00B17569">
        <w:rPr>
          <w:rFonts w:ascii="Verdana" w:hAnsi="Verdana"/>
          <w:sz w:val="20"/>
          <w:szCs w:val="20"/>
          <w:lang w:val="es-CR"/>
        </w:rPr>
        <w:t>I</w:t>
      </w:r>
      <w:r w:rsidR="000246F0">
        <w:rPr>
          <w:rFonts w:ascii="Verdana" w:hAnsi="Verdana"/>
          <w:sz w:val="20"/>
          <w:szCs w:val="20"/>
          <w:lang w:val="es-CR"/>
        </w:rPr>
        <w:t xml:space="preserve">nteramericana para </w:t>
      </w:r>
      <w:r w:rsidR="000246F0" w:rsidRPr="00B17569">
        <w:rPr>
          <w:rFonts w:ascii="Verdana" w:hAnsi="Verdana"/>
          <w:sz w:val="20"/>
          <w:szCs w:val="20"/>
          <w:lang w:val="es-CR"/>
        </w:rPr>
        <w:t>P</w:t>
      </w:r>
      <w:r w:rsidR="000246F0">
        <w:rPr>
          <w:rFonts w:ascii="Verdana" w:hAnsi="Verdana"/>
          <w:sz w:val="20"/>
          <w:szCs w:val="20"/>
          <w:lang w:val="es-CR"/>
        </w:rPr>
        <w:t>revenir y Sancionar la Tortura</w:t>
      </w:r>
      <w:r w:rsidR="000246F0" w:rsidRPr="00B17569">
        <w:rPr>
          <w:rFonts w:ascii="Verdana" w:hAnsi="Verdana"/>
          <w:sz w:val="20"/>
          <w:szCs w:val="20"/>
          <w:lang w:val="es-CR"/>
        </w:rPr>
        <w:t xml:space="preserve"> </w:t>
      </w:r>
      <w:r w:rsidR="000246F0">
        <w:rPr>
          <w:rFonts w:ascii="Verdana" w:hAnsi="Verdana"/>
          <w:sz w:val="20"/>
          <w:szCs w:val="20"/>
          <w:lang w:val="es-CR"/>
        </w:rPr>
        <w:t>(en adelante también “CIPST”)</w:t>
      </w:r>
      <w:r w:rsidRPr="00204F5D">
        <w:rPr>
          <w:rFonts w:ascii="Verdana" w:hAnsi="Verdana"/>
          <w:sz w:val="20"/>
          <w:szCs w:val="20"/>
          <w:lang w:val="es-CL"/>
        </w:rPr>
        <w:t xml:space="preserve"> y declarar la responsabilidad de un Estado que haya dado su consentimiento para obligarse por esta Convención y haya aceptado, además, la competencia de la Corte Interamericana de Derechos Humanos</w:t>
      </w:r>
      <w:r w:rsidR="002F62C4" w:rsidRPr="007A23E3">
        <w:rPr>
          <w:rFonts w:ascii="Verdana" w:hAnsi="Verdana"/>
          <w:sz w:val="20"/>
          <w:szCs w:val="20"/>
          <w:lang w:val="es-PA"/>
        </w:rPr>
        <w:t>.</w:t>
      </w:r>
    </w:p>
    <w:p w:rsidR="0074017B" w:rsidRPr="004F640F" w:rsidRDefault="0074017B" w:rsidP="00A82FB4">
      <w:pPr>
        <w:spacing w:after="0" w:line="240" w:lineRule="auto"/>
        <w:jc w:val="both"/>
        <w:rPr>
          <w:rFonts w:ascii="Verdana" w:hAnsi="Verdana"/>
          <w:sz w:val="20"/>
          <w:szCs w:val="20"/>
          <w:lang w:val="es-PA"/>
        </w:rPr>
      </w:pPr>
    </w:p>
    <w:p w:rsidR="0074017B" w:rsidRPr="000D51BC" w:rsidRDefault="0074017B" w:rsidP="00A82FB4">
      <w:pPr>
        <w:pStyle w:val="ListParagraph"/>
        <w:numPr>
          <w:ilvl w:val="0"/>
          <w:numId w:val="2"/>
        </w:numPr>
        <w:tabs>
          <w:tab w:val="clear" w:pos="1247"/>
        </w:tabs>
        <w:spacing w:after="0" w:line="240" w:lineRule="auto"/>
        <w:jc w:val="both"/>
        <w:rPr>
          <w:rFonts w:ascii="Verdana" w:hAnsi="Verdana"/>
          <w:b/>
          <w:sz w:val="20"/>
          <w:szCs w:val="20"/>
          <w:lang w:val="es-CR"/>
        </w:rPr>
      </w:pPr>
      <w:r w:rsidRPr="004F640F">
        <w:rPr>
          <w:rFonts w:ascii="Verdana" w:hAnsi="Verdana"/>
          <w:sz w:val="20"/>
          <w:szCs w:val="20"/>
          <w:lang w:val="es-PA"/>
        </w:rPr>
        <w:t xml:space="preserve">El </w:t>
      </w:r>
      <w:r w:rsidRPr="004F640F">
        <w:rPr>
          <w:rFonts w:ascii="Verdana" w:hAnsi="Verdana"/>
          <w:b/>
          <w:i/>
          <w:sz w:val="20"/>
          <w:szCs w:val="20"/>
          <w:lang w:val="es-PA"/>
        </w:rPr>
        <w:t>Estado</w:t>
      </w:r>
      <w:r w:rsidRPr="004F640F">
        <w:rPr>
          <w:rFonts w:ascii="Verdana" w:hAnsi="Verdana"/>
          <w:sz w:val="20"/>
          <w:szCs w:val="20"/>
          <w:lang w:val="es-PA"/>
        </w:rPr>
        <w:t xml:space="preserve"> afirmó</w:t>
      </w:r>
      <w:r w:rsidRPr="00B17569">
        <w:rPr>
          <w:rFonts w:ascii="Verdana" w:hAnsi="Verdana"/>
          <w:sz w:val="20"/>
          <w:szCs w:val="20"/>
          <w:lang w:val="es-CR"/>
        </w:rPr>
        <w:t xml:space="preserve"> que </w:t>
      </w:r>
      <w:r w:rsidR="000246F0">
        <w:rPr>
          <w:rFonts w:ascii="Verdana" w:hAnsi="Verdana"/>
          <w:sz w:val="20"/>
          <w:szCs w:val="20"/>
          <w:lang w:val="es-CR"/>
        </w:rPr>
        <w:t xml:space="preserve">considera </w:t>
      </w:r>
      <w:r w:rsidRPr="00B17569">
        <w:rPr>
          <w:rFonts w:ascii="Verdana" w:hAnsi="Verdana"/>
          <w:sz w:val="20"/>
          <w:szCs w:val="20"/>
          <w:lang w:val="es-CR"/>
        </w:rPr>
        <w:t>evidente que la C</w:t>
      </w:r>
      <w:r>
        <w:rPr>
          <w:rFonts w:ascii="Verdana" w:hAnsi="Verdana"/>
          <w:sz w:val="20"/>
          <w:szCs w:val="20"/>
          <w:lang w:val="es-CR"/>
        </w:rPr>
        <w:t xml:space="preserve">onvención </w:t>
      </w:r>
      <w:r w:rsidRPr="00B17569">
        <w:rPr>
          <w:rFonts w:ascii="Verdana" w:hAnsi="Verdana"/>
          <w:sz w:val="20"/>
          <w:szCs w:val="20"/>
          <w:lang w:val="es-CR"/>
        </w:rPr>
        <w:t>I</w:t>
      </w:r>
      <w:r>
        <w:rPr>
          <w:rFonts w:ascii="Verdana" w:hAnsi="Verdana"/>
          <w:sz w:val="20"/>
          <w:szCs w:val="20"/>
          <w:lang w:val="es-CR"/>
        </w:rPr>
        <w:t xml:space="preserve">nteramericana para </w:t>
      </w:r>
      <w:r w:rsidRPr="00B17569">
        <w:rPr>
          <w:rFonts w:ascii="Verdana" w:hAnsi="Verdana"/>
          <w:sz w:val="20"/>
          <w:szCs w:val="20"/>
          <w:lang w:val="es-CR"/>
        </w:rPr>
        <w:t>P</w:t>
      </w:r>
      <w:r>
        <w:rPr>
          <w:rFonts w:ascii="Verdana" w:hAnsi="Verdana"/>
          <w:sz w:val="20"/>
          <w:szCs w:val="20"/>
          <w:lang w:val="es-CR"/>
        </w:rPr>
        <w:t>revenir y Sancionar la Tortura</w:t>
      </w:r>
      <w:r w:rsidRPr="00B17569">
        <w:rPr>
          <w:rFonts w:ascii="Verdana" w:hAnsi="Verdana"/>
          <w:sz w:val="20"/>
          <w:szCs w:val="20"/>
          <w:lang w:val="es-CR"/>
        </w:rPr>
        <w:t xml:space="preserve"> se expresa en el sentido de que el Estado debe manifestar la aceptación de la competencia de las instancias internacionales que podrán recibir y apreciar det</w:t>
      </w:r>
      <w:r>
        <w:rPr>
          <w:rFonts w:ascii="Verdana" w:hAnsi="Verdana"/>
          <w:sz w:val="20"/>
          <w:szCs w:val="20"/>
          <w:lang w:val="es-CR"/>
        </w:rPr>
        <w:t xml:space="preserve">erminado caso pautado en la CIPST, y que </w:t>
      </w:r>
      <w:r>
        <w:rPr>
          <w:rFonts w:ascii="Verdana" w:hAnsi="Verdana"/>
          <w:sz w:val="20"/>
          <w:szCs w:val="20"/>
          <w:lang w:val="es-PA"/>
        </w:rPr>
        <w:t>el Estado</w:t>
      </w:r>
      <w:r w:rsidRPr="007A23E3">
        <w:rPr>
          <w:rFonts w:ascii="Verdana" w:hAnsi="Verdana"/>
          <w:sz w:val="20"/>
          <w:szCs w:val="20"/>
          <w:lang w:val="es-PA"/>
        </w:rPr>
        <w:t xml:space="preserve"> no se sometió a la competencia de la Corte u otra instancia internacional para recibir y examinar supuestos casos de violación a la CIP</w:t>
      </w:r>
      <w:r w:rsidR="000246F0">
        <w:rPr>
          <w:rFonts w:ascii="Verdana" w:hAnsi="Verdana"/>
          <w:sz w:val="20"/>
          <w:szCs w:val="20"/>
          <w:lang w:val="es-PA"/>
        </w:rPr>
        <w:t>S</w:t>
      </w:r>
      <w:r w:rsidRPr="007A23E3">
        <w:rPr>
          <w:rFonts w:ascii="Verdana" w:hAnsi="Verdana"/>
          <w:sz w:val="20"/>
          <w:szCs w:val="20"/>
          <w:lang w:val="es-PA"/>
        </w:rPr>
        <w:t>T.</w:t>
      </w:r>
    </w:p>
    <w:p w:rsidR="0074017B" w:rsidRPr="007A23E3" w:rsidRDefault="0074017B" w:rsidP="00A82FB4">
      <w:pPr>
        <w:pStyle w:val="ListParagraph"/>
        <w:spacing w:after="0" w:line="240" w:lineRule="auto"/>
        <w:ind w:left="0"/>
        <w:jc w:val="both"/>
        <w:rPr>
          <w:rFonts w:ascii="Verdana" w:hAnsi="Verdana"/>
          <w:b/>
          <w:sz w:val="20"/>
          <w:szCs w:val="20"/>
          <w:lang w:val="es-CR"/>
        </w:rPr>
      </w:pPr>
    </w:p>
    <w:p w:rsidR="0074017B" w:rsidRPr="00B151DA" w:rsidRDefault="0074017B" w:rsidP="00A82FB4">
      <w:pPr>
        <w:pStyle w:val="ListParagraph"/>
        <w:numPr>
          <w:ilvl w:val="0"/>
          <w:numId w:val="2"/>
        </w:numPr>
        <w:tabs>
          <w:tab w:val="clear" w:pos="1247"/>
        </w:tabs>
        <w:spacing w:after="0" w:line="240" w:lineRule="auto"/>
        <w:jc w:val="both"/>
        <w:rPr>
          <w:rFonts w:ascii="Verdana" w:hAnsi="Verdana"/>
          <w:sz w:val="20"/>
          <w:szCs w:val="20"/>
          <w:lang w:val="es-PA"/>
        </w:rPr>
      </w:pPr>
      <w:r w:rsidRPr="00B151DA">
        <w:rPr>
          <w:rFonts w:ascii="Verdana" w:hAnsi="Verdana"/>
          <w:iCs/>
          <w:sz w:val="20"/>
          <w:szCs w:val="20"/>
          <w:lang w:val="es-CR"/>
        </w:rPr>
        <w:t xml:space="preserve">Finalmente </w:t>
      </w:r>
      <w:r w:rsidR="000246F0">
        <w:rPr>
          <w:rFonts w:ascii="Verdana" w:hAnsi="Verdana"/>
          <w:iCs/>
          <w:sz w:val="20"/>
          <w:szCs w:val="20"/>
          <w:lang w:val="es-CR"/>
        </w:rPr>
        <w:t xml:space="preserve">solicitó </w:t>
      </w:r>
      <w:r w:rsidR="006613E0">
        <w:rPr>
          <w:rFonts w:ascii="Verdana" w:hAnsi="Verdana"/>
          <w:iCs/>
          <w:sz w:val="20"/>
          <w:szCs w:val="20"/>
          <w:lang w:val="es-CR"/>
        </w:rPr>
        <w:t>que</w:t>
      </w:r>
      <w:r w:rsidRPr="00B151DA">
        <w:rPr>
          <w:rFonts w:ascii="Verdana" w:hAnsi="Verdana"/>
          <w:iCs/>
          <w:sz w:val="20"/>
          <w:szCs w:val="20"/>
          <w:lang w:val="es-CR"/>
        </w:rPr>
        <w:t xml:space="preserve"> se subsane la </w:t>
      </w:r>
      <w:r w:rsidR="000246F0">
        <w:rPr>
          <w:rFonts w:ascii="Verdana" w:hAnsi="Verdana"/>
          <w:iCs/>
          <w:sz w:val="20"/>
          <w:szCs w:val="20"/>
          <w:lang w:val="es-CR"/>
        </w:rPr>
        <w:t>“</w:t>
      </w:r>
      <w:r w:rsidRPr="00B151DA">
        <w:rPr>
          <w:rFonts w:ascii="Verdana" w:hAnsi="Verdana"/>
          <w:iCs/>
          <w:sz w:val="20"/>
          <w:szCs w:val="20"/>
          <w:lang w:val="es-CR"/>
        </w:rPr>
        <w:t>oscuridad</w:t>
      </w:r>
      <w:r w:rsidR="000246F0">
        <w:rPr>
          <w:rFonts w:ascii="Verdana" w:hAnsi="Verdana"/>
          <w:iCs/>
          <w:sz w:val="20"/>
          <w:szCs w:val="20"/>
          <w:lang w:val="es-CR"/>
        </w:rPr>
        <w:t>”</w:t>
      </w:r>
      <w:r w:rsidRPr="00B151DA">
        <w:rPr>
          <w:rFonts w:ascii="Verdana" w:hAnsi="Verdana"/>
          <w:iCs/>
          <w:sz w:val="20"/>
          <w:szCs w:val="20"/>
          <w:lang w:val="es-CR"/>
        </w:rPr>
        <w:t xml:space="preserve"> de los párrafos 65 </w:t>
      </w:r>
      <w:r>
        <w:rPr>
          <w:rFonts w:ascii="Verdana" w:hAnsi="Verdana"/>
          <w:iCs/>
          <w:sz w:val="20"/>
          <w:szCs w:val="20"/>
          <w:lang w:val="es-CR"/>
        </w:rPr>
        <w:t xml:space="preserve">y </w:t>
      </w:r>
      <w:r w:rsidRPr="00B151DA">
        <w:rPr>
          <w:rFonts w:ascii="Verdana" w:hAnsi="Verdana"/>
          <w:iCs/>
          <w:sz w:val="20"/>
          <w:szCs w:val="20"/>
          <w:lang w:val="es-CR"/>
        </w:rPr>
        <w:t xml:space="preserve">66 de la </w:t>
      </w:r>
      <w:r w:rsidR="000246F0">
        <w:rPr>
          <w:rFonts w:ascii="Verdana" w:hAnsi="Verdana"/>
          <w:iCs/>
          <w:sz w:val="20"/>
          <w:szCs w:val="20"/>
          <w:lang w:val="es-CR"/>
        </w:rPr>
        <w:t>S</w:t>
      </w:r>
      <w:r w:rsidR="000246F0" w:rsidRPr="00B151DA">
        <w:rPr>
          <w:rFonts w:ascii="Verdana" w:hAnsi="Verdana"/>
          <w:iCs/>
          <w:sz w:val="20"/>
          <w:szCs w:val="20"/>
          <w:lang w:val="es-CR"/>
        </w:rPr>
        <w:t>entencia</w:t>
      </w:r>
      <w:r w:rsidRPr="00B151DA">
        <w:rPr>
          <w:rFonts w:ascii="Verdana" w:hAnsi="Verdana"/>
          <w:iCs/>
          <w:sz w:val="20"/>
          <w:szCs w:val="20"/>
          <w:lang w:val="es-CR"/>
        </w:rPr>
        <w:t xml:space="preserve">, fundamentando la competencia </w:t>
      </w:r>
      <w:r w:rsidRPr="0028163D">
        <w:rPr>
          <w:rFonts w:ascii="Verdana" w:hAnsi="Verdana"/>
          <w:i/>
          <w:iCs/>
          <w:sz w:val="20"/>
          <w:szCs w:val="20"/>
          <w:lang w:val="es-CR"/>
        </w:rPr>
        <w:t>ratione materiae</w:t>
      </w:r>
      <w:r w:rsidRPr="00B151DA">
        <w:rPr>
          <w:rFonts w:ascii="Verdana" w:hAnsi="Verdana"/>
          <w:iCs/>
          <w:sz w:val="20"/>
          <w:szCs w:val="20"/>
          <w:lang w:val="es-CR"/>
        </w:rPr>
        <w:t xml:space="preserve"> para procesar </w:t>
      </w:r>
      <w:r w:rsidR="00720C21">
        <w:rPr>
          <w:rFonts w:ascii="Verdana" w:hAnsi="Verdana"/>
          <w:iCs/>
          <w:sz w:val="20"/>
          <w:szCs w:val="20"/>
          <w:lang w:val="es-CR"/>
        </w:rPr>
        <w:t xml:space="preserve">y </w:t>
      </w:r>
      <w:r w:rsidRPr="00B151DA">
        <w:rPr>
          <w:rFonts w:ascii="Verdana" w:hAnsi="Verdana"/>
          <w:iCs/>
          <w:sz w:val="20"/>
          <w:szCs w:val="20"/>
          <w:lang w:val="es-CR"/>
        </w:rPr>
        <w:t>juzgar posibles violaciones a la CIPST cometidas por el Estado brasileño</w:t>
      </w:r>
      <w:r w:rsidR="006613E0" w:rsidRPr="006613E0">
        <w:rPr>
          <w:rFonts w:ascii="Verdana" w:hAnsi="Verdana"/>
          <w:sz w:val="20"/>
          <w:szCs w:val="20"/>
          <w:lang w:val="es-CR"/>
        </w:rPr>
        <w:t>.</w:t>
      </w:r>
    </w:p>
    <w:p w:rsidR="0074017B" w:rsidRPr="00B17569" w:rsidRDefault="0074017B" w:rsidP="00A82FB4">
      <w:pPr>
        <w:pStyle w:val="ListParagraph"/>
        <w:spacing w:after="0" w:line="240" w:lineRule="auto"/>
        <w:ind w:left="0"/>
        <w:jc w:val="both"/>
        <w:rPr>
          <w:rFonts w:ascii="Verdana" w:hAnsi="Verdana"/>
          <w:sz w:val="20"/>
          <w:szCs w:val="20"/>
          <w:lang w:val="es-PA"/>
        </w:rPr>
      </w:pPr>
    </w:p>
    <w:p w:rsidR="0074017B" w:rsidRPr="006613E0" w:rsidRDefault="0074017B" w:rsidP="00A82FB4">
      <w:pPr>
        <w:pStyle w:val="ListParagraph"/>
        <w:numPr>
          <w:ilvl w:val="0"/>
          <w:numId w:val="2"/>
        </w:numPr>
        <w:tabs>
          <w:tab w:val="clear" w:pos="1247"/>
        </w:tabs>
        <w:spacing w:after="0" w:line="240" w:lineRule="auto"/>
        <w:jc w:val="both"/>
        <w:rPr>
          <w:rFonts w:ascii="Verdana" w:hAnsi="Verdana"/>
          <w:sz w:val="20"/>
          <w:szCs w:val="20"/>
          <w:lang w:val="es-PA"/>
        </w:rPr>
      </w:pPr>
      <w:r>
        <w:rPr>
          <w:rFonts w:ascii="Verdana" w:hAnsi="Verdana"/>
          <w:sz w:val="20"/>
          <w:szCs w:val="20"/>
          <w:lang w:val="es-PA"/>
        </w:rPr>
        <w:t xml:space="preserve">Los </w:t>
      </w:r>
      <w:r w:rsidRPr="009260F9">
        <w:rPr>
          <w:rFonts w:ascii="Verdana" w:hAnsi="Verdana"/>
          <w:b/>
          <w:i/>
          <w:sz w:val="20"/>
          <w:szCs w:val="20"/>
          <w:lang w:val="es-PA"/>
        </w:rPr>
        <w:t xml:space="preserve">representantes </w:t>
      </w:r>
      <w:r>
        <w:rPr>
          <w:rFonts w:ascii="Verdana" w:hAnsi="Verdana"/>
          <w:sz w:val="20"/>
          <w:szCs w:val="20"/>
        </w:rPr>
        <w:t xml:space="preserve">afirmaron que el Estado </w:t>
      </w:r>
      <w:r w:rsidRPr="00B151DA">
        <w:rPr>
          <w:rFonts w:ascii="Verdana" w:hAnsi="Verdana"/>
          <w:sz w:val="20"/>
          <w:szCs w:val="20"/>
        </w:rPr>
        <w:t>se limitó a repetir los argumentos ya presentados en sus excepciones preliminares, los cuales</w:t>
      </w:r>
      <w:r w:rsidRPr="00B151DA">
        <w:rPr>
          <w:rFonts w:ascii="Verdana" w:hAnsi="Verdana"/>
          <w:sz w:val="20"/>
          <w:szCs w:val="20"/>
          <w:lang w:val="es-CR"/>
        </w:rPr>
        <w:t xml:space="preserve"> han sido ya ampliamente debatidos a lo largo del proceso y quedaron claramente fundamentados en la </w:t>
      </w:r>
      <w:r w:rsidR="000246F0">
        <w:rPr>
          <w:rFonts w:ascii="Verdana" w:hAnsi="Verdana"/>
          <w:sz w:val="20"/>
          <w:szCs w:val="20"/>
          <w:lang w:val="es-CR"/>
        </w:rPr>
        <w:t>S</w:t>
      </w:r>
      <w:r w:rsidRPr="00B151DA">
        <w:rPr>
          <w:rFonts w:ascii="Verdana" w:hAnsi="Verdana"/>
          <w:sz w:val="20"/>
          <w:szCs w:val="20"/>
          <w:lang w:val="es-CR"/>
        </w:rPr>
        <w:t xml:space="preserve">entencia. </w:t>
      </w:r>
      <w:r w:rsidR="000246F0">
        <w:rPr>
          <w:rFonts w:ascii="Verdana" w:hAnsi="Verdana"/>
          <w:sz w:val="20"/>
          <w:szCs w:val="20"/>
          <w:lang w:val="es-CR"/>
        </w:rPr>
        <w:t>Consideraron</w:t>
      </w:r>
      <w:r w:rsidR="000246F0" w:rsidRPr="00B151DA">
        <w:rPr>
          <w:rFonts w:ascii="Verdana" w:hAnsi="Verdana"/>
          <w:sz w:val="20"/>
          <w:szCs w:val="20"/>
          <w:lang w:val="es-CR"/>
        </w:rPr>
        <w:t xml:space="preserve"> </w:t>
      </w:r>
      <w:r w:rsidRPr="00B151DA">
        <w:rPr>
          <w:rFonts w:ascii="Verdana" w:hAnsi="Verdana"/>
          <w:sz w:val="20"/>
          <w:szCs w:val="20"/>
          <w:lang w:val="es-CR"/>
        </w:rPr>
        <w:t xml:space="preserve">que la </w:t>
      </w:r>
      <w:r w:rsidR="000246F0">
        <w:rPr>
          <w:rFonts w:ascii="Verdana" w:hAnsi="Verdana"/>
          <w:sz w:val="20"/>
          <w:szCs w:val="20"/>
          <w:lang w:val="es-CR"/>
        </w:rPr>
        <w:t>S</w:t>
      </w:r>
      <w:r w:rsidR="000246F0" w:rsidRPr="00B151DA">
        <w:rPr>
          <w:rFonts w:ascii="Verdana" w:hAnsi="Verdana"/>
          <w:sz w:val="20"/>
          <w:szCs w:val="20"/>
          <w:lang w:val="es-CR"/>
        </w:rPr>
        <w:t xml:space="preserve">entencia </w:t>
      </w:r>
      <w:r w:rsidR="000246F0">
        <w:rPr>
          <w:rFonts w:ascii="Verdana" w:hAnsi="Verdana"/>
          <w:sz w:val="20"/>
          <w:szCs w:val="20"/>
          <w:lang w:val="es-CR"/>
        </w:rPr>
        <w:t xml:space="preserve">es </w:t>
      </w:r>
      <w:r w:rsidRPr="00B151DA">
        <w:rPr>
          <w:rFonts w:ascii="Verdana" w:hAnsi="Verdana"/>
          <w:sz w:val="20"/>
          <w:szCs w:val="20"/>
          <w:lang w:val="es-CR"/>
        </w:rPr>
        <w:t>clara y sin ningún margen de duda, por lo que solicita</w:t>
      </w:r>
      <w:r w:rsidR="000246F0">
        <w:rPr>
          <w:rFonts w:ascii="Verdana" w:hAnsi="Verdana"/>
          <w:sz w:val="20"/>
          <w:szCs w:val="20"/>
          <w:lang w:val="es-CR"/>
        </w:rPr>
        <w:t>ro</w:t>
      </w:r>
      <w:r w:rsidRPr="00B151DA">
        <w:rPr>
          <w:rFonts w:ascii="Verdana" w:hAnsi="Verdana"/>
          <w:sz w:val="20"/>
          <w:szCs w:val="20"/>
          <w:lang w:val="es-CR"/>
        </w:rPr>
        <w:t>n que dicha solicitud sea rechazada</w:t>
      </w:r>
      <w:r w:rsidRPr="006613E0">
        <w:rPr>
          <w:rFonts w:ascii="Verdana" w:hAnsi="Verdana"/>
          <w:sz w:val="20"/>
          <w:szCs w:val="20"/>
          <w:lang w:val="es-CR"/>
        </w:rPr>
        <w:t>.</w:t>
      </w:r>
    </w:p>
    <w:p w:rsidR="0074017B" w:rsidRPr="00B151DA" w:rsidRDefault="0074017B" w:rsidP="00A82FB4">
      <w:pPr>
        <w:pStyle w:val="ListParagraph"/>
        <w:rPr>
          <w:rFonts w:ascii="Verdana" w:hAnsi="Verdana"/>
          <w:sz w:val="20"/>
          <w:szCs w:val="20"/>
          <w:lang w:val="es-PA"/>
        </w:rPr>
      </w:pPr>
    </w:p>
    <w:p w:rsidR="0074017B" w:rsidRPr="009260F9" w:rsidRDefault="0074017B" w:rsidP="00A82FB4">
      <w:pPr>
        <w:pStyle w:val="ListParagraph"/>
        <w:numPr>
          <w:ilvl w:val="0"/>
          <w:numId w:val="2"/>
        </w:numPr>
        <w:tabs>
          <w:tab w:val="clear" w:pos="1247"/>
        </w:tabs>
        <w:spacing w:after="0" w:line="240" w:lineRule="auto"/>
        <w:jc w:val="both"/>
        <w:rPr>
          <w:rFonts w:ascii="Verdana" w:hAnsi="Verdana"/>
          <w:sz w:val="20"/>
          <w:szCs w:val="20"/>
          <w:lang w:val="es-PA"/>
        </w:rPr>
      </w:pPr>
      <w:r>
        <w:rPr>
          <w:rFonts w:ascii="Verdana" w:hAnsi="Verdana"/>
          <w:sz w:val="20"/>
          <w:szCs w:val="20"/>
          <w:lang w:val="es-PA"/>
        </w:rPr>
        <w:t xml:space="preserve">La </w:t>
      </w:r>
      <w:r w:rsidRPr="009260F9">
        <w:rPr>
          <w:rFonts w:ascii="Verdana" w:hAnsi="Verdana"/>
          <w:b/>
          <w:i/>
          <w:sz w:val="20"/>
          <w:szCs w:val="20"/>
          <w:lang w:val="es-PA"/>
        </w:rPr>
        <w:t>Comisión</w:t>
      </w:r>
      <w:r>
        <w:rPr>
          <w:rFonts w:ascii="Verdana" w:hAnsi="Verdana"/>
          <w:sz w:val="20"/>
          <w:szCs w:val="20"/>
          <w:lang w:val="es-PA"/>
        </w:rPr>
        <w:t xml:space="preserve"> afirmó</w:t>
      </w:r>
      <w:r w:rsidRPr="009260F9">
        <w:rPr>
          <w:rFonts w:ascii="Verdana" w:hAnsi="Verdana"/>
          <w:sz w:val="20"/>
          <w:szCs w:val="20"/>
          <w:lang w:val="es-CR"/>
        </w:rPr>
        <w:t xml:space="preserve"> que mediante su solicitud de interpretación, el Estado buscaría insistir en su argumentación sobre un aspecto que ya fue debatido en las etapas procesales oportunas, por lo que no requiere interpretación</w:t>
      </w:r>
      <w:r w:rsidR="004A373D">
        <w:rPr>
          <w:rFonts w:ascii="Verdana" w:hAnsi="Verdana"/>
          <w:sz w:val="20"/>
          <w:szCs w:val="20"/>
          <w:lang w:val="es-CR"/>
        </w:rPr>
        <w:t xml:space="preserve"> en el presente caso</w:t>
      </w:r>
      <w:r>
        <w:rPr>
          <w:rFonts w:ascii="Verdana" w:hAnsi="Verdana"/>
          <w:sz w:val="20"/>
          <w:szCs w:val="20"/>
          <w:lang w:val="es-CR"/>
        </w:rPr>
        <w:t>.</w:t>
      </w:r>
    </w:p>
    <w:p w:rsidR="0074017B" w:rsidRPr="009260F9" w:rsidRDefault="0074017B" w:rsidP="00A82FB4">
      <w:pPr>
        <w:pStyle w:val="ListParagraph"/>
        <w:spacing w:after="0" w:line="240" w:lineRule="auto"/>
        <w:ind w:left="0"/>
        <w:jc w:val="both"/>
        <w:rPr>
          <w:rFonts w:ascii="Verdana" w:hAnsi="Verdana"/>
          <w:sz w:val="20"/>
          <w:szCs w:val="20"/>
          <w:lang w:val="es-PA"/>
        </w:rPr>
      </w:pPr>
    </w:p>
    <w:p w:rsidR="0074017B" w:rsidRPr="0028163D" w:rsidRDefault="0049492F" w:rsidP="00E048DB">
      <w:pPr>
        <w:pStyle w:val="Heading2"/>
        <w:rPr>
          <w:b w:val="0"/>
          <w:lang w:val="es-PA"/>
        </w:rPr>
      </w:pPr>
      <w:r w:rsidRPr="0028163D">
        <w:rPr>
          <w:b w:val="0"/>
          <w:lang w:val="es-PA"/>
        </w:rPr>
        <w:t xml:space="preserve">C.2. </w:t>
      </w:r>
      <w:r w:rsidR="0074017B" w:rsidRPr="0028163D">
        <w:rPr>
          <w:b w:val="0"/>
          <w:lang w:val="es-PA"/>
        </w:rPr>
        <w:t>Consideraciones de la Corte</w:t>
      </w:r>
    </w:p>
    <w:p w:rsidR="0074017B" w:rsidRDefault="0074017B" w:rsidP="00A82FB4">
      <w:pPr>
        <w:pStyle w:val="ListParagraph"/>
        <w:spacing w:after="0" w:line="240" w:lineRule="auto"/>
        <w:ind w:left="0"/>
        <w:jc w:val="both"/>
        <w:rPr>
          <w:rFonts w:ascii="Verdana" w:hAnsi="Verdana"/>
          <w:sz w:val="20"/>
          <w:szCs w:val="20"/>
          <w:lang w:val="es-PA"/>
        </w:rPr>
      </w:pPr>
    </w:p>
    <w:p w:rsidR="005413CE" w:rsidRPr="00BE48AE"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 xml:space="preserve">La </w:t>
      </w:r>
      <w:r w:rsidRPr="00C847A0">
        <w:rPr>
          <w:rFonts w:ascii="Verdana" w:hAnsi="Verdana"/>
          <w:sz w:val="20"/>
          <w:szCs w:val="20"/>
          <w:lang w:val="es-PA"/>
        </w:rPr>
        <w:t>Corte</w:t>
      </w:r>
      <w:r w:rsidRPr="00F86BC7">
        <w:rPr>
          <w:rFonts w:ascii="Verdana" w:hAnsi="Verdana"/>
          <w:sz w:val="20"/>
          <w:szCs w:val="20"/>
          <w:lang w:val="es-PA"/>
        </w:rPr>
        <w:t xml:space="preserve"> </w:t>
      </w:r>
      <w:r>
        <w:rPr>
          <w:rFonts w:ascii="Verdana" w:hAnsi="Verdana"/>
          <w:sz w:val="20"/>
          <w:szCs w:val="20"/>
          <w:lang w:val="es-PA"/>
        </w:rPr>
        <w:t>reitera que considera</w:t>
      </w:r>
      <w:r>
        <w:rPr>
          <w:rFonts w:ascii="Verdana" w:hAnsi="Verdana" w:cs="Verdana"/>
          <w:sz w:val="20"/>
          <w:szCs w:val="20"/>
          <w:lang w:val="es-PA"/>
        </w:rPr>
        <w:t xml:space="preserve"> improcedente </w:t>
      </w:r>
      <w:r w:rsidRPr="00EF2330">
        <w:rPr>
          <w:rFonts w:ascii="Verdana" w:hAnsi="Verdana" w:cs="Verdana"/>
          <w:sz w:val="20"/>
          <w:szCs w:val="20"/>
          <w:lang w:val="es-PA"/>
        </w:rPr>
        <w:t xml:space="preserve">utilizar una solicitud de interpretación para someter cuestiones de hecho y de derecho que ya fueron planteadas en su </w:t>
      </w:r>
      <w:r>
        <w:rPr>
          <w:rFonts w:ascii="Verdana" w:hAnsi="Verdana" w:cs="Verdana"/>
          <w:sz w:val="20"/>
          <w:szCs w:val="20"/>
          <w:lang w:val="es-PA"/>
        </w:rPr>
        <w:t>oportunidad</w:t>
      </w:r>
      <w:r w:rsidRPr="00EF2330">
        <w:rPr>
          <w:rFonts w:ascii="Verdana" w:hAnsi="Verdana" w:cs="Verdana"/>
          <w:sz w:val="20"/>
          <w:szCs w:val="20"/>
          <w:lang w:val="es-PA"/>
        </w:rPr>
        <w:t xml:space="preserve"> procesal y sobre las cuales la Corte ya adoptó una decisión</w:t>
      </w:r>
      <w:r>
        <w:rPr>
          <w:rFonts w:ascii="Verdana" w:hAnsi="Verdana" w:cs="Verdana"/>
          <w:sz w:val="20"/>
          <w:szCs w:val="20"/>
          <w:lang w:val="es-PA"/>
        </w:rPr>
        <w:t>.</w:t>
      </w:r>
    </w:p>
    <w:p w:rsidR="00BE48AE" w:rsidRPr="005413CE" w:rsidRDefault="00BE48AE" w:rsidP="00A82FB4">
      <w:pPr>
        <w:pStyle w:val="ListParagraph"/>
        <w:spacing w:after="0" w:line="240" w:lineRule="auto"/>
        <w:ind w:left="0"/>
        <w:contextualSpacing w:val="0"/>
        <w:jc w:val="both"/>
        <w:rPr>
          <w:rFonts w:ascii="Verdana" w:hAnsi="Verdana"/>
          <w:sz w:val="20"/>
          <w:szCs w:val="20"/>
          <w:lang w:val="es-PA"/>
        </w:rPr>
      </w:pPr>
    </w:p>
    <w:p w:rsidR="00E40783" w:rsidRDefault="0074017B" w:rsidP="00A82FB4">
      <w:pPr>
        <w:pStyle w:val="ListParagraph"/>
        <w:numPr>
          <w:ilvl w:val="0"/>
          <w:numId w:val="2"/>
        </w:numPr>
        <w:tabs>
          <w:tab w:val="clear" w:pos="1247"/>
        </w:tabs>
        <w:spacing w:after="0" w:line="240" w:lineRule="auto"/>
        <w:jc w:val="both"/>
        <w:rPr>
          <w:rFonts w:ascii="Verdana" w:hAnsi="Verdana"/>
          <w:sz w:val="20"/>
          <w:szCs w:val="20"/>
          <w:lang w:val="es-PA"/>
        </w:rPr>
      </w:pPr>
      <w:r w:rsidRPr="0061009B">
        <w:rPr>
          <w:rFonts w:ascii="Verdana" w:hAnsi="Verdana"/>
          <w:sz w:val="20"/>
          <w:szCs w:val="20"/>
          <w:lang w:val="es-PA"/>
        </w:rPr>
        <w:t xml:space="preserve">El Estado interpuso </w:t>
      </w:r>
      <w:r w:rsidR="004A12CF">
        <w:rPr>
          <w:rFonts w:ascii="Verdana" w:hAnsi="Verdana"/>
          <w:sz w:val="20"/>
          <w:szCs w:val="20"/>
          <w:lang w:val="es-PA"/>
        </w:rPr>
        <w:t>un</w:t>
      </w:r>
      <w:r w:rsidR="004A12CF" w:rsidRPr="0061009B">
        <w:rPr>
          <w:rFonts w:ascii="Verdana" w:hAnsi="Verdana"/>
          <w:sz w:val="20"/>
          <w:szCs w:val="20"/>
          <w:lang w:val="es-PA"/>
        </w:rPr>
        <w:t xml:space="preserve">a </w:t>
      </w:r>
      <w:r w:rsidRPr="0061009B">
        <w:rPr>
          <w:rFonts w:ascii="Verdana" w:hAnsi="Verdana"/>
          <w:sz w:val="20"/>
          <w:szCs w:val="20"/>
          <w:lang w:val="es-PA"/>
        </w:rPr>
        <w:t xml:space="preserve">excepción </w:t>
      </w:r>
      <w:r w:rsidRPr="0028163D">
        <w:rPr>
          <w:rFonts w:ascii="Verdana" w:hAnsi="Verdana"/>
          <w:i/>
          <w:sz w:val="20"/>
          <w:szCs w:val="20"/>
          <w:lang w:val="es-PA"/>
        </w:rPr>
        <w:t>ratione materiae</w:t>
      </w:r>
      <w:r w:rsidRPr="0061009B">
        <w:rPr>
          <w:rFonts w:ascii="Verdana" w:hAnsi="Verdana"/>
          <w:sz w:val="20"/>
          <w:szCs w:val="20"/>
          <w:lang w:val="es-PA"/>
        </w:rPr>
        <w:t xml:space="preserve"> en el momento procesal oportuno, la cual fue resuelta por esta Corte en su </w:t>
      </w:r>
      <w:r w:rsidR="00A9111C">
        <w:rPr>
          <w:rFonts w:ascii="Verdana" w:hAnsi="Verdana"/>
          <w:sz w:val="20"/>
          <w:szCs w:val="20"/>
          <w:lang w:val="es-PA"/>
        </w:rPr>
        <w:t>S</w:t>
      </w:r>
      <w:r w:rsidRPr="0061009B">
        <w:rPr>
          <w:rFonts w:ascii="Verdana" w:hAnsi="Verdana"/>
          <w:sz w:val="20"/>
          <w:szCs w:val="20"/>
          <w:lang w:val="es-PA"/>
        </w:rPr>
        <w:t xml:space="preserve">entencia, </w:t>
      </w:r>
      <w:r w:rsidR="005C4559">
        <w:rPr>
          <w:rFonts w:ascii="Verdana" w:hAnsi="Verdana"/>
          <w:sz w:val="20"/>
          <w:szCs w:val="20"/>
          <w:lang w:val="es-PA"/>
        </w:rPr>
        <w:t xml:space="preserve">cuando la Corte </w:t>
      </w:r>
      <w:r w:rsidR="004A12CF">
        <w:rPr>
          <w:rFonts w:ascii="Verdana" w:hAnsi="Verdana"/>
          <w:sz w:val="20"/>
          <w:szCs w:val="20"/>
          <w:lang w:val="es-PA"/>
        </w:rPr>
        <w:t>reiteró</w:t>
      </w:r>
      <w:r w:rsidR="005C4559">
        <w:rPr>
          <w:rFonts w:ascii="Verdana" w:hAnsi="Verdana"/>
          <w:sz w:val="20"/>
          <w:szCs w:val="20"/>
          <w:lang w:val="es-PA"/>
        </w:rPr>
        <w:t xml:space="preserve"> su </w:t>
      </w:r>
      <w:r>
        <w:rPr>
          <w:rFonts w:ascii="Verdana" w:hAnsi="Verdana"/>
          <w:sz w:val="20"/>
          <w:szCs w:val="20"/>
          <w:lang w:val="es-PA"/>
        </w:rPr>
        <w:t>extensa jurisprudencia al respecto</w:t>
      </w:r>
      <w:r w:rsidR="005C4559">
        <w:rPr>
          <w:rFonts w:ascii="Verdana" w:hAnsi="Verdana"/>
          <w:sz w:val="20"/>
          <w:szCs w:val="20"/>
          <w:lang w:val="es-PA"/>
        </w:rPr>
        <w:t>.</w:t>
      </w:r>
      <w:r w:rsidRPr="0061009B">
        <w:rPr>
          <w:rFonts w:ascii="Verdana" w:hAnsi="Verdana"/>
          <w:sz w:val="20"/>
          <w:szCs w:val="20"/>
          <w:lang w:val="es-PA"/>
        </w:rPr>
        <w:t xml:space="preserve"> </w:t>
      </w:r>
    </w:p>
    <w:p w:rsidR="00BE48AE" w:rsidRPr="0028163D" w:rsidRDefault="00BE48AE" w:rsidP="00A82FB4">
      <w:pPr>
        <w:pStyle w:val="ListParagraph"/>
        <w:rPr>
          <w:rFonts w:ascii="Verdana" w:hAnsi="Verdana"/>
          <w:sz w:val="20"/>
          <w:szCs w:val="20"/>
          <w:lang w:val="es-PA"/>
        </w:rPr>
      </w:pPr>
    </w:p>
    <w:p w:rsidR="00BE48AE" w:rsidRPr="00BE48AE" w:rsidRDefault="004A12CF"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cs="Verdana"/>
          <w:sz w:val="20"/>
          <w:szCs w:val="20"/>
          <w:lang w:val="es-PA"/>
        </w:rPr>
        <w:t xml:space="preserve">La Corte considera que la fundamentación dispuesta en los párrafos 64 a 67, sumada a su extensa y constante jurisprudencia, no dejan margen a dudas sobre su competencia para analizar violaciones a la CIPST en relación con Estados que reconocieron la </w:t>
      </w:r>
      <w:r>
        <w:rPr>
          <w:rFonts w:ascii="Verdana" w:hAnsi="Verdana" w:cs="Verdana"/>
          <w:sz w:val="20"/>
          <w:szCs w:val="20"/>
          <w:lang w:val="es-PA"/>
        </w:rPr>
        <w:lastRenderedPageBreak/>
        <w:t>competencia contenciosa del Tribunal. Por tratarse de un asunto reiteradamente decidido por el Tribunal, la Sentencia hace referencia</w:t>
      </w:r>
      <w:r w:rsidR="00720C21">
        <w:rPr>
          <w:rFonts w:ascii="Verdana" w:hAnsi="Verdana" w:cs="Verdana"/>
          <w:sz w:val="20"/>
          <w:szCs w:val="20"/>
          <w:lang w:val="es-PA"/>
        </w:rPr>
        <w:t xml:space="preserve"> a</w:t>
      </w:r>
      <w:r>
        <w:rPr>
          <w:rFonts w:ascii="Verdana" w:hAnsi="Verdana" w:cs="Verdana"/>
          <w:sz w:val="20"/>
          <w:szCs w:val="20"/>
          <w:lang w:val="es-PA"/>
        </w:rPr>
        <w:t xml:space="preserve"> los más de 40 casos contenciosos resueltos con base en dicha Convención. Por lo anterior, </w:t>
      </w:r>
      <w:r w:rsidR="00BE48AE" w:rsidRPr="00E40783">
        <w:rPr>
          <w:rFonts w:ascii="Verdana" w:hAnsi="Verdana" w:cs="Verdana"/>
          <w:sz w:val="20"/>
          <w:szCs w:val="20"/>
          <w:lang w:val="es-PA"/>
        </w:rPr>
        <w:t xml:space="preserve">la Corte </w:t>
      </w:r>
      <w:r>
        <w:rPr>
          <w:rFonts w:ascii="Verdana" w:hAnsi="Verdana" w:cs="Verdana"/>
          <w:sz w:val="20"/>
          <w:szCs w:val="20"/>
          <w:lang w:val="es-PA"/>
        </w:rPr>
        <w:t xml:space="preserve">concluye </w:t>
      </w:r>
      <w:r w:rsidR="00BE48AE" w:rsidRPr="00E40783">
        <w:rPr>
          <w:rFonts w:ascii="Verdana" w:hAnsi="Verdana" w:cs="Verdana"/>
          <w:sz w:val="20"/>
          <w:szCs w:val="20"/>
          <w:lang w:val="es-PA"/>
        </w:rPr>
        <w:t>que la solicitud de interpretación formulad</w:t>
      </w:r>
      <w:r>
        <w:rPr>
          <w:rFonts w:ascii="Verdana" w:hAnsi="Verdana" w:cs="Verdana"/>
          <w:sz w:val="20"/>
          <w:szCs w:val="20"/>
          <w:lang w:val="es-PA"/>
        </w:rPr>
        <w:t>a</w:t>
      </w:r>
      <w:r w:rsidR="00BE48AE" w:rsidRPr="00E40783">
        <w:rPr>
          <w:rFonts w:ascii="Verdana" w:hAnsi="Verdana" w:cs="Verdana"/>
          <w:sz w:val="20"/>
          <w:szCs w:val="20"/>
          <w:lang w:val="es-PA"/>
        </w:rPr>
        <w:t xml:space="preserve"> por </w:t>
      </w:r>
      <w:r w:rsidR="00A9111C">
        <w:rPr>
          <w:rFonts w:ascii="Verdana" w:hAnsi="Verdana" w:cs="Verdana"/>
          <w:sz w:val="20"/>
          <w:szCs w:val="20"/>
          <w:lang w:val="es-PA"/>
        </w:rPr>
        <w:t xml:space="preserve">Brasil </w:t>
      </w:r>
      <w:r w:rsidR="00BE48AE" w:rsidRPr="00E40783">
        <w:rPr>
          <w:rFonts w:ascii="Verdana" w:hAnsi="Verdana" w:cs="Verdana"/>
          <w:sz w:val="20"/>
          <w:szCs w:val="20"/>
          <w:lang w:val="es-PA"/>
        </w:rPr>
        <w:t>no se encuentra dentro de</w:t>
      </w:r>
      <w:r>
        <w:rPr>
          <w:rFonts w:ascii="Verdana" w:hAnsi="Verdana" w:cs="Verdana"/>
          <w:sz w:val="20"/>
          <w:szCs w:val="20"/>
          <w:lang w:val="es-PA"/>
        </w:rPr>
        <w:t xml:space="preserve"> </w:t>
      </w:r>
      <w:r w:rsidR="00BE48AE" w:rsidRPr="00E40783">
        <w:rPr>
          <w:rFonts w:ascii="Verdana" w:hAnsi="Verdana" w:cs="Verdana"/>
          <w:sz w:val="20"/>
          <w:szCs w:val="20"/>
          <w:lang w:val="es-PA"/>
        </w:rPr>
        <w:t>l</w:t>
      </w:r>
      <w:r>
        <w:rPr>
          <w:rFonts w:ascii="Verdana" w:hAnsi="Verdana" w:cs="Verdana"/>
          <w:sz w:val="20"/>
          <w:szCs w:val="20"/>
          <w:lang w:val="es-PA"/>
        </w:rPr>
        <w:t>o</w:t>
      </w:r>
      <w:r w:rsidR="00BE48AE" w:rsidRPr="00E40783">
        <w:rPr>
          <w:rFonts w:ascii="Verdana" w:hAnsi="Verdana" w:cs="Verdana"/>
          <w:sz w:val="20"/>
          <w:szCs w:val="20"/>
          <w:lang w:val="es-PA"/>
        </w:rPr>
        <w:t xml:space="preserve"> </w:t>
      </w:r>
      <w:r w:rsidR="00BE48AE" w:rsidRPr="005413CE">
        <w:rPr>
          <w:rFonts w:ascii="Verdana" w:hAnsi="Verdana" w:cs="Verdana"/>
          <w:sz w:val="20"/>
          <w:szCs w:val="20"/>
          <w:lang w:val="es-PA"/>
        </w:rPr>
        <w:t>establecido</w:t>
      </w:r>
      <w:r w:rsidR="00BE48AE" w:rsidRPr="00AF1165">
        <w:rPr>
          <w:rFonts w:ascii="Verdana" w:hAnsi="Verdana" w:cs="Verdana"/>
          <w:sz w:val="20"/>
          <w:szCs w:val="20"/>
          <w:lang w:val="es-PA"/>
        </w:rPr>
        <w:t xml:space="preserve"> en el artículo 67 de la Convención Americana. El propósito de la interpretación debe ser aclarar algún punto impreciso o ambiguo sobre el sentido o alcance de la Sentencia, </w:t>
      </w:r>
      <w:r>
        <w:rPr>
          <w:rFonts w:ascii="Verdana" w:hAnsi="Verdana" w:cs="Verdana"/>
          <w:sz w:val="20"/>
          <w:szCs w:val="20"/>
          <w:lang w:val="es-PA"/>
        </w:rPr>
        <w:t xml:space="preserve">y </w:t>
      </w:r>
      <w:r w:rsidR="00BE48AE" w:rsidRPr="00AF1165">
        <w:rPr>
          <w:rFonts w:ascii="Verdana" w:hAnsi="Verdana" w:cs="Verdana"/>
          <w:sz w:val="20"/>
          <w:szCs w:val="20"/>
          <w:lang w:val="es-PA"/>
        </w:rPr>
        <w:t xml:space="preserve">no plantear cuestiones </w:t>
      </w:r>
      <w:r w:rsidR="00BE48AE">
        <w:rPr>
          <w:rFonts w:ascii="Verdana" w:hAnsi="Verdana" w:cs="Verdana"/>
          <w:sz w:val="20"/>
          <w:szCs w:val="20"/>
          <w:lang w:val="es-PA"/>
        </w:rPr>
        <w:t xml:space="preserve">ya resueltas en la propia </w:t>
      </w:r>
      <w:r w:rsidR="00A9111C">
        <w:rPr>
          <w:rFonts w:ascii="Verdana" w:hAnsi="Verdana" w:cs="Verdana"/>
          <w:sz w:val="20"/>
          <w:szCs w:val="20"/>
          <w:lang w:val="es-PA"/>
        </w:rPr>
        <w:t>s</w:t>
      </w:r>
      <w:r w:rsidR="00BE48AE">
        <w:rPr>
          <w:rFonts w:ascii="Verdana" w:hAnsi="Verdana" w:cs="Verdana"/>
          <w:sz w:val="20"/>
          <w:szCs w:val="20"/>
          <w:lang w:val="es-PA"/>
        </w:rPr>
        <w:t>entencia</w:t>
      </w:r>
      <w:r w:rsidR="00A9111C">
        <w:rPr>
          <w:rFonts w:ascii="Verdana" w:hAnsi="Verdana" w:cs="Verdana"/>
          <w:sz w:val="20"/>
          <w:szCs w:val="20"/>
          <w:lang w:val="es-PA"/>
        </w:rPr>
        <w:t xml:space="preserve">, razón por la cual </w:t>
      </w:r>
      <w:r w:rsidR="00BE48AE" w:rsidRPr="00AF1165">
        <w:rPr>
          <w:rFonts w:ascii="Verdana" w:hAnsi="Verdana" w:cs="Verdana"/>
          <w:sz w:val="20"/>
          <w:szCs w:val="20"/>
          <w:lang w:val="es-PA"/>
        </w:rPr>
        <w:t xml:space="preserve">La Corte declara improcedente </w:t>
      </w:r>
      <w:r>
        <w:rPr>
          <w:rFonts w:ascii="Verdana" w:hAnsi="Verdana" w:cs="Verdana"/>
          <w:sz w:val="20"/>
          <w:szCs w:val="20"/>
          <w:lang w:val="es-PA"/>
        </w:rPr>
        <w:t xml:space="preserve">esta </w:t>
      </w:r>
      <w:r w:rsidR="00BE48AE" w:rsidRPr="00AF1165">
        <w:rPr>
          <w:rFonts w:ascii="Verdana" w:hAnsi="Verdana" w:cs="Verdana"/>
          <w:sz w:val="20"/>
          <w:szCs w:val="20"/>
          <w:lang w:val="es-PA"/>
        </w:rPr>
        <w:t xml:space="preserve">solicitud </w:t>
      </w:r>
      <w:r w:rsidR="00A9111C">
        <w:rPr>
          <w:rFonts w:ascii="Verdana" w:hAnsi="Verdana" w:cs="Verdana"/>
          <w:sz w:val="20"/>
          <w:szCs w:val="20"/>
          <w:lang w:val="es-PA"/>
        </w:rPr>
        <w:t>de interpretación</w:t>
      </w:r>
      <w:r w:rsidR="00BE48AE" w:rsidRPr="00AF1165">
        <w:rPr>
          <w:rFonts w:ascii="Verdana" w:hAnsi="Verdana" w:cs="Verdana"/>
          <w:sz w:val="20"/>
          <w:szCs w:val="20"/>
          <w:lang w:val="es-PA"/>
        </w:rPr>
        <w:t>.</w:t>
      </w:r>
    </w:p>
    <w:p w:rsidR="0074017B" w:rsidRDefault="0074017B" w:rsidP="00A82FB4">
      <w:pPr>
        <w:pStyle w:val="ListParagraph"/>
        <w:spacing w:after="0" w:line="240" w:lineRule="auto"/>
        <w:ind w:left="0"/>
        <w:jc w:val="both"/>
        <w:rPr>
          <w:rFonts w:ascii="Verdana" w:hAnsi="Verdana"/>
          <w:sz w:val="20"/>
          <w:szCs w:val="20"/>
          <w:lang w:val="es-PA"/>
        </w:rPr>
      </w:pPr>
    </w:p>
    <w:p w:rsidR="0074017B" w:rsidRPr="000D51BC" w:rsidRDefault="004A12CF" w:rsidP="00A82FB4">
      <w:pPr>
        <w:pStyle w:val="ListParagraph"/>
        <w:numPr>
          <w:ilvl w:val="0"/>
          <w:numId w:val="3"/>
        </w:numPr>
        <w:spacing w:after="0" w:line="240" w:lineRule="auto"/>
        <w:jc w:val="both"/>
        <w:rPr>
          <w:rFonts w:ascii="Verdana" w:hAnsi="Verdana"/>
          <w:sz w:val="20"/>
          <w:szCs w:val="20"/>
          <w:lang w:val="es-PA"/>
        </w:rPr>
      </w:pPr>
      <w:r>
        <w:rPr>
          <w:rFonts w:ascii="Verdana" w:hAnsi="Verdana"/>
          <w:b/>
          <w:sz w:val="20"/>
          <w:szCs w:val="20"/>
        </w:rPr>
        <w:t>Modalidad de Cumplimiento de los pagos ordenados</w:t>
      </w:r>
    </w:p>
    <w:p w:rsidR="0074017B"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E048DB" w:rsidRDefault="00456D6E" w:rsidP="00E048DB">
      <w:pPr>
        <w:pStyle w:val="ListParagraph"/>
        <w:spacing w:after="0" w:line="240" w:lineRule="auto"/>
        <w:ind w:left="0"/>
        <w:contextualSpacing w:val="0"/>
        <w:jc w:val="both"/>
        <w:rPr>
          <w:rFonts w:ascii="Verdana" w:hAnsi="Verdana"/>
          <w:i/>
          <w:sz w:val="20"/>
          <w:szCs w:val="20"/>
          <w:lang w:val="es-PA"/>
        </w:rPr>
      </w:pPr>
      <w:r w:rsidRPr="00E048DB">
        <w:rPr>
          <w:rFonts w:ascii="Verdana" w:hAnsi="Verdana"/>
          <w:i/>
          <w:sz w:val="20"/>
          <w:szCs w:val="20"/>
          <w:lang w:val="es-PA"/>
        </w:rPr>
        <w:t>D</w:t>
      </w:r>
      <w:r w:rsidR="0074017B" w:rsidRPr="00E048DB">
        <w:rPr>
          <w:rFonts w:ascii="Verdana" w:hAnsi="Verdana"/>
          <w:i/>
          <w:sz w:val="20"/>
          <w:szCs w:val="20"/>
          <w:lang w:val="es-PA"/>
        </w:rPr>
        <w:t>.1. Sobre el Plazo</w:t>
      </w:r>
    </w:p>
    <w:p w:rsidR="0049492F" w:rsidRDefault="0049492F" w:rsidP="00A82FB4">
      <w:pPr>
        <w:pStyle w:val="ListParagraph"/>
        <w:spacing w:after="0" w:line="240" w:lineRule="auto"/>
        <w:ind w:left="0" w:firstLine="720"/>
        <w:contextualSpacing w:val="0"/>
        <w:jc w:val="both"/>
        <w:rPr>
          <w:rFonts w:ascii="Verdana" w:hAnsi="Verdana"/>
          <w:sz w:val="20"/>
          <w:szCs w:val="20"/>
          <w:lang w:val="es-PA"/>
        </w:rPr>
      </w:pPr>
    </w:p>
    <w:p w:rsidR="0049492F" w:rsidRPr="0028163D" w:rsidRDefault="0049492F" w:rsidP="00A82FB4">
      <w:pPr>
        <w:pStyle w:val="ListParagraph"/>
        <w:spacing w:after="0" w:line="240" w:lineRule="auto"/>
        <w:ind w:left="0" w:firstLine="720"/>
        <w:contextualSpacing w:val="0"/>
        <w:jc w:val="both"/>
        <w:rPr>
          <w:rFonts w:ascii="Verdana" w:hAnsi="Verdana"/>
          <w:i/>
          <w:sz w:val="20"/>
          <w:szCs w:val="20"/>
          <w:lang w:val="es-PA"/>
        </w:rPr>
      </w:pPr>
      <w:r w:rsidRPr="0028163D">
        <w:rPr>
          <w:rFonts w:ascii="Verdana" w:hAnsi="Verdana"/>
          <w:i/>
          <w:sz w:val="20"/>
          <w:szCs w:val="20"/>
          <w:lang w:val="es-PA"/>
        </w:rPr>
        <w:t xml:space="preserve">D.1.1. Argumentos de las partes y de la Comisión </w:t>
      </w:r>
    </w:p>
    <w:p w:rsidR="0074017B" w:rsidRPr="0028163D" w:rsidRDefault="0074017B" w:rsidP="00A82FB4">
      <w:pPr>
        <w:pStyle w:val="ListParagraph"/>
        <w:spacing w:after="0" w:line="240" w:lineRule="auto"/>
        <w:ind w:left="0" w:firstLine="720"/>
        <w:contextualSpacing w:val="0"/>
        <w:jc w:val="both"/>
        <w:rPr>
          <w:rFonts w:ascii="Verdana" w:hAnsi="Verdana"/>
          <w:sz w:val="20"/>
          <w:szCs w:val="20"/>
          <w:lang w:val="es-PA"/>
        </w:rPr>
      </w:pPr>
    </w:p>
    <w:p w:rsidR="0074017B"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En el pár</w:t>
      </w:r>
      <w:r>
        <w:rPr>
          <w:rFonts w:ascii="Verdana" w:hAnsi="Verdana"/>
          <w:sz w:val="20"/>
          <w:szCs w:val="20"/>
          <w:lang w:val="es-PA"/>
        </w:rPr>
        <w:t>rafo 363</w:t>
      </w:r>
      <w:r w:rsidRPr="004F640F">
        <w:rPr>
          <w:rFonts w:ascii="Verdana" w:hAnsi="Verdana"/>
          <w:sz w:val="20"/>
          <w:szCs w:val="20"/>
          <w:lang w:val="es-PA"/>
        </w:rPr>
        <w:t xml:space="preserve"> de la </w:t>
      </w:r>
      <w:r>
        <w:rPr>
          <w:rFonts w:ascii="Verdana" w:hAnsi="Verdana"/>
          <w:sz w:val="20"/>
          <w:szCs w:val="20"/>
          <w:lang w:val="es-PA"/>
        </w:rPr>
        <w:t>S</w:t>
      </w:r>
      <w:r w:rsidRPr="004F640F">
        <w:rPr>
          <w:rFonts w:ascii="Verdana" w:hAnsi="Verdana"/>
          <w:sz w:val="20"/>
          <w:szCs w:val="20"/>
          <w:lang w:val="es-PA"/>
        </w:rPr>
        <w:t xml:space="preserve">entencia, la Corte señaló que el Estado deberá efectuar el pago de las indemnizaciones por concepto de daño inmaterial y por reintegro de costas y gastos establecidos directamente a las personas y organizaciones indicadas, dentro del plazo de un año, contado a partir de la notificación de la </w:t>
      </w:r>
      <w:r>
        <w:rPr>
          <w:rFonts w:ascii="Verdana" w:hAnsi="Verdana"/>
          <w:sz w:val="20"/>
          <w:szCs w:val="20"/>
          <w:lang w:val="es-PA"/>
        </w:rPr>
        <w:t>S</w:t>
      </w:r>
      <w:r w:rsidRPr="004F640F">
        <w:rPr>
          <w:rFonts w:ascii="Verdana" w:hAnsi="Verdana"/>
          <w:sz w:val="20"/>
          <w:szCs w:val="20"/>
          <w:lang w:val="es-PA"/>
        </w:rPr>
        <w:t>entencia</w:t>
      </w:r>
      <w:r w:rsidR="00D70516">
        <w:rPr>
          <w:rFonts w:ascii="Verdana" w:hAnsi="Verdana"/>
          <w:sz w:val="20"/>
          <w:szCs w:val="20"/>
          <w:lang w:val="es-PA"/>
        </w:rPr>
        <w:t>.</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Para el </w:t>
      </w:r>
      <w:r w:rsidRPr="007D1C1F">
        <w:rPr>
          <w:rFonts w:ascii="Verdana" w:hAnsi="Verdana"/>
          <w:b/>
          <w:i/>
          <w:sz w:val="20"/>
          <w:szCs w:val="20"/>
          <w:lang w:val="es-PA"/>
        </w:rPr>
        <w:t>Estado</w:t>
      </w:r>
      <w:r w:rsidRPr="004F640F">
        <w:rPr>
          <w:rFonts w:ascii="Verdana" w:hAnsi="Verdana"/>
          <w:sz w:val="20"/>
          <w:szCs w:val="20"/>
          <w:lang w:val="es-PA"/>
        </w:rPr>
        <w:t xml:space="preserve">, la expresión </w:t>
      </w:r>
      <w:r w:rsidR="00E1024F">
        <w:rPr>
          <w:rFonts w:ascii="Verdana" w:hAnsi="Verdana"/>
          <w:sz w:val="20"/>
          <w:szCs w:val="20"/>
          <w:lang w:val="es-PA"/>
        </w:rPr>
        <w:t xml:space="preserve">“conforme al derecho interno aplicable” </w:t>
      </w:r>
      <w:r w:rsidRPr="004F640F">
        <w:rPr>
          <w:rFonts w:ascii="Verdana" w:hAnsi="Verdana"/>
          <w:sz w:val="20"/>
          <w:szCs w:val="20"/>
          <w:lang w:val="es-PA"/>
        </w:rPr>
        <w:t xml:space="preserve">excluye la aplicación del plazo de un año, </w:t>
      </w:r>
      <w:r>
        <w:rPr>
          <w:rFonts w:ascii="Verdana" w:hAnsi="Verdana"/>
          <w:sz w:val="20"/>
          <w:szCs w:val="20"/>
          <w:lang w:val="es-PA"/>
        </w:rPr>
        <w:t>dado</w:t>
      </w:r>
      <w:r w:rsidRPr="004F640F">
        <w:rPr>
          <w:rFonts w:ascii="Verdana" w:hAnsi="Verdana"/>
          <w:sz w:val="20"/>
          <w:szCs w:val="20"/>
          <w:lang w:val="es-PA"/>
        </w:rPr>
        <w:t xml:space="preserve"> que los procedimientos necesarios para </w:t>
      </w:r>
      <w:r w:rsidR="00D443ED">
        <w:rPr>
          <w:rFonts w:ascii="Verdana" w:hAnsi="Verdana"/>
          <w:sz w:val="20"/>
          <w:szCs w:val="20"/>
          <w:lang w:val="es-PA"/>
        </w:rPr>
        <w:t xml:space="preserve">analizar </w:t>
      </w:r>
      <w:r w:rsidRPr="005E4F3D">
        <w:rPr>
          <w:rFonts w:ascii="Verdana" w:hAnsi="Verdana"/>
          <w:sz w:val="20"/>
          <w:szCs w:val="20"/>
          <w:lang w:val="es-PA"/>
        </w:rPr>
        <w:t>la vocación hereditaria</w:t>
      </w:r>
      <w:r w:rsidRPr="004F640F">
        <w:rPr>
          <w:rFonts w:ascii="Verdana" w:hAnsi="Verdana"/>
          <w:sz w:val="20"/>
          <w:szCs w:val="20"/>
          <w:lang w:val="es-PA"/>
        </w:rPr>
        <w:t xml:space="preserve"> y definición de </w:t>
      </w:r>
      <w:r w:rsidRPr="005E4F3D">
        <w:rPr>
          <w:rFonts w:ascii="Verdana" w:hAnsi="Verdana"/>
          <w:sz w:val="20"/>
          <w:szCs w:val="20"/>
          <w:lang w:val="es-PA"/>
        </w:rPr>
        <w:t>cuota parte</w:t>
      </w:r>
      <w:r w:rsidRPr="004F640F">
        <w:rPr>
          <w:rFonts w:ascii="Verdana" w:hAnsi="Verdana"/>
          <w:sz w:val="20"/>
          <w:szCs w:val="20"/>
          <w:lang w:val="es-PA"/>
        </w:rPr>
        <w:t xml:space="preserve">, conforme el derecho interno, pueden </w:t>
      </w:r>
      <w:r>
        <w:rPr>
          <w:rFonts w:ascii="Verdana" w:hAnsi="Verdana"/>
          <w:sz w:val="20"/>
          <w:szCs w:val="20"/>
          <w:lang w:val="es-PA"/>
        </w:rPr>
        <w:t>tomar</w:t>
      </w:r>
      <w:r w:rsidRPr="004F640F">
        <w:rPr>
          <w:rFonts w:ascii="Verdana" w:hAnsi="Verdana"/>
          <w:sz w:val="20"/>
          <w:szCs w:val="20"/>
          <w:lang w:val="es-PA"/>
        </w:rPr>
        <w:t xml:space="preserve"> tiempo superior al plazo indicado de un año. </w:t>
      </w:r>
      <w:r>
        <w:rPr>
          <w:rFonts w:ascii="Verdana" w:hAnsi="Verdana"/>
          <w:sz w:val="20"/>
          <w:szCs w:val="20"/>
          <w:lang w:val="es-PA"/>
        </w:rPr>
        <w:t>Adicionalmente</w:t>
      </w:r>
      <w:r w:rsidRPr="004F640F">
        <w:rPr>
          <w:rFonts w:ascii="Verdana" w:hAnsi="Verdana"/>
          <w:sz w:val="20"/>
          <w:szCs w:val="20"/>
          <w:lang w:val="es-PA"/>
        </w:rPr>
        <w:t xml:space="preserve">, el Estado </w:t>
      </w:r>
      <w:r>
        <w:rPr>
          <w:rFonts w:ascii="Verdana" w:hAnsi="Verdana"/>
          <w:sz w:val="20"/>
          <w:szCs w:val="20"/>
          <w:lang w:val="es-PA"/>
        </w:rPr>
        <w:t xml:space="preserve">señaló que </w:t>
      </w:r>
      <w:r w:rsidRPr="004F640F">
        <w:rPr>
          <w:rFonts w:ascii="Verdana" w:hAnsi="Verdana"/>
          <w:sz w:val="20"/>
          <w:szCs w:val="20"/>
          <w:lang w:val="es-PA"/>
        </w:rPr>
        <w:t xml:space="preserve">en algunos casos la propia identificación de los posibles derechohabientes y la obtención de sus datos puede </w:t>
      </w:r>
      <w:r>
        <w:rPr>
          <w:rFonts w:ascii="Verdana" w:hAnsi="Verdana"/>
          <w:sz w:val="20"/>
          <w:szCs w:val="20"/>
          <w:lang w:val="es-PA"/>
        </w:rPr>
        <w:t>tomar</w:t>
      </w:r>
      <w:r w:rsidRPr="004F640F">
        <w:rPr>
          <w:rFonts w:ascii="Verdana" w:hAnsi="Verdana"/>
          <w:sz w:val="20"/>
          <w:szCs w:val="20"/>
          <w:lang w:val="es-PA"/>
        </w:rPr>
        <w:t xml:space="preserve"> tiempo que </w:t>
      </w:r>
      <w:r>
        <w:rPr>
          <w:rFonts w:ascii="Verdana" w:hAnsi="Verdana"/>
          <w:sz w:val="20"/>
          <w:szCs w:val="20"/>
          <w:lang w:val="es-PA"/>
        </w:rPr>
        <w:t>haga</w:t>
      </w:r>
      <w:r w:rsidRPr="004F640F">
        <w:rPr>
          <w:rFonts w:ascii="Verdana" w:hAnsi="Verdana"/>
          <w:sz w:val="20"/>
          <w:szCs w:val="20"/>
          <w:lang w:val="es-PA"/>
        </w:rPr>
        <w:t xml:space="preserve"> inviable el cumplimiento de la obligación en el mismo plazo indicado en el </w:t>
      </w:r>
      <w:r w:rsidRPr="008927ED">
        <w:rPr>
          <w:rFonts w:ascii="Verdana" w:hAnsi="Verdana"/>
          <w:sz w:val="20"/>
          <w:szCs w:val="20"/>
          <w:lang w:val="es-PA"/>
        </w:rPr>
        <w:t>párrafo</w:t>
      </w:r>
      <w:r>
        <w:rPr>
          <w:rFonts w:ascii="Verdana" w:hAnsi="Verdana"/>
          <w:sz w:val="20"/>
          <w:szCs w:val="20"/>
          <w:lang w:val="es-PA"/>
        </w:rPr>
        <w:t xml:space="preserve"> 363</w:t>
      </w:r>
      <w:r w:rsidRPr="004F640F">
        <w:rPr>
          <w:rFonts w:ascii="Verdana" w:hAnsi="Verdana"/>
          <w:sz w:val="20"/>
          <w:szCs w:val="20"/>
          <w:lang w:val="es-PA"/>
        </w:rPr>
        <w:t xml:space="preserve">. </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En tal virtud, e</w:t>
      </w:r>
      <w:r w:rsidRPr="004F640F">
        <w:rPr>
          <w:rFonts w:ascii="Verdana" w:hAnsi="Verdana"/>
          <w:sz w:val="20"/>
          <w:szCs w:val="20"/>
          <w:lang w:val="es-PA"/>
        </w:rPr>
        <w:t xml:space="preserve">l Estado solicitó </w:t>
      </w:r>
      <w:r>
        <w:rPr>
          <w:rFonts w:ascii="Verdana" w:hAnsi="Verdana"/>
          <w:sz w:val="20"/>
          <w:szCs w:val="20"/>
          <w:lang w:val="es-PA"/>
        </w:rPr>
        <w:t>aclaración</w:t>
      </w:r>
      <w:r w:rsidRPr="004F640F">
        <w:rPr>
          <w:rFonts w:ascii="Verdana" w:hAnsi="Verdana"/>
          <w:sz w:val="20"/>
          <w:szCs w:val="20"/>
          <w:lang w:val="es-PA"/>
        </w:rPr>
        <w:t xml:space="preserve"> sobre ese punto</w:t>
      </w:r>
      <w:r w:rsidR="00D443ED">
        <w:rPr>
          <w:rFonts w:ascii="Verdana" w:hAnsi="Verdana"/>
          <w:sz w:val="20"/>
          <w:szCs w:val="20"/>
          <w:lang w:val="es-PA"/>
        </w:rPr>
        <w:t xml:space="preserve"> en relación con el punto resolutivo 21 de la Sentencia</w:t>
      </w:r>
      <w:r w:rsidRPr="004F640F">
        <w:rPr>
          <w:rFonts w:ascii="Verdana" w:hAnsi="Verdana"/>
          <w:sz w:val="20"/>
          <w:szCs w:val="20"/>
          <w:lang w:val="es-PA"/>
        </w:rPr>
        <w:t>, considerando las peculiaridades que inciden en caso de que alguno de los beneficiarios haya fallecido o fallezca antes de que le</w:t>
      </w:r>
      <w:r>
        <w:rPr>
          <w:rFonts w:ascii="Verdana" w:hAnsi="Verdana"/>
          <w:sz w:val="20"/>
          <w:szCs w:val="20"/>
          <w:lang w:val="es-PA"/>
        </w:rPr>
        <w:t>s</w:t>
      </w:r>
      <w:r w:rsidRPr="004F640F">
        <w:rPr>
          <w:rFonts w:ascii="Verdana" w:hAnsi="Verdana"/>
          <w:sz w:val="20"/>
          <w:szCs w:val="20"/>
          <w:lang w:val="es-PA"/>
        </w:rPr>
        <w:t xml:space="preserve"> sean </w:t>
      </w:r>
      <w:r>
        <w:rPr>
          <w:rFonts w:ascii="Verdana" w:hAnsi="Verdana"/>
          <w:sz w:val="20"/>
          <w:szCs w:val="20"/>
          <w:lang w:val="es-PA"/>
        </w:rPr>
        <w:t>entregadas</w:t>
      </w:r>
      <w:r w:rsidRPr="004F640F">
        <w:rPr>
          <w:rFonts w:ascii="Verdana" w:hAnsi="Verdana"/>
          <w:sz w:val="20"/>
          <w:szCs w:val="20"/>
          <w:lang w:val="es-PA"/>
        </w:rPr>
        <w:t xml:space="preserve"> las indemnizaciones respectivas. </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4F640F" w:rsidRDefault="008927ED"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 xml:space="preserve"> </w:t>
      </w:r>
      <w:r w:rsidR="0074017B" w:rsidRPr="004F640F">
        <w:rPr>
          <w:rFonts w:ascii="Verdana" w:hAnsi="Verdana"/>
          <w:sz w:val="20"/>
          <w:szCs w:val="20"/>
          <w:lang w:val="es-PA"/>
        </w:rPr>
        <w:t xml:space="preserve">Los </w:t>
      </w:r>
      <w:r w:rsidR="0074017B" w:rsidRPr="004F640F">
        <w:rPr>
          <w:rFonts w:ascii="Verdana" w:hAnsi="Verdana"/>
          <w:b/>
          <w:i/>
          <w:sz w:val="20"/>
          <w:szCs w:val="20"/>
          <w:lang w:val="es-PA"/>
        </w:rPr>
        <w:t>representantes</w:t>
      </w:r>
      <w:r w:rsidR="0074017B" w:rsidRPr="004F640F">
        <w:rPr>
          <w:rFonts w:ascii="Verdana" w:hAnsi="Verdana"/>
          <w:sz w:val="20"/>
          <w:szCs w:val="20"/>
          <w:lang w:val="es-PA"/>
        </w:rPr>
        <w:t xml:space="preserve"> </w:t>
      </w:r>
      <w:r w:rsidR="0074017B" w:rsidRPr="00F20239">
        <w:rPr>
          <w:rFonts w:ascii="Verdana" w:hAnsi="Verdana"/>
          <w:sz w:val="20"/>
          <w:szCs w:val="20"/>
          <w:lang w:val="es-PA"/>
        </w:rPr>
        <w:t>resaltaron</w:t>
      </w:r>
      <w:r w:rsidR="0074017B" w:rsidRPr="004F640F">
        <w:rPr>
          <w:rFonts w:ascii="Verdana" w:hAnsi="Verdana"/>
          <w:sz w:val="20"/>
          <w:szCs w:val="20"/>
          <w:lang w:val="es-PA"/>
        </w:rPr>
        <w:t xml:space="preserve"> que cualquier eventual dificultad del Estado para cumplir con los plazos establecidos por la Corte debe ser solucionada durante el proceso de supervisión de cumplimiento de sentencia. </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880161" w:rsidRDefault="0074017B" w:rsidP="00A82FB4">
      <w:pPr>
        <w:pStyle w:val="ListParagraph"/>
        <w:numPr>
          <w:ilvl w:val="0"/>
          <w:numId w:val="2"/>
        </w:numPr>
        <w:tabs>
          <w:tab w:val="clear" w:pos="1247"/>
        </w:tabs>
        <w:spacing w:after="0" w:line="240" w:lineRule="auto"/>
        <w:contextualSpacing w:val="0"/>
        <w:jc w:val="both"/>
        <w:rPr>
          <w:rFonts w:ascii="Verdana" w:hAnsi="Verdana"/>
          <w:color w:val="FF0000"/>
          <w:sz w:val="20"/>
          <w:szCs w:val="20"/>
          <w:lang w:val="es-PA"/>
        </w:rPr>
      </w:pPr>
      <w:r w:rsidRPr="004F640F">
        <w:rPr>
          <w:rFonts w:ascii="Verdana" w:hAnsi="Verdana"/>
          <w:sz w:val="20"/>
          <w:szCs w:val="20"/>
          <w:lang w:val="es-PA"/>
        </w:rPr>
        <w:t>Sobre el argumento del Estado de que en los casos de beneficiarios ya fallecidos el pago de las indemnizaciones dependería de la conclusión de procedimientos sucesorios, los representantes indicaron que un Estado no puede alegar razones de orden intern</w:t>
      </w:r>
      <w:r>
        <w:rPr>
          <w:rFonts w:ascii="Verdana" w:hAnsi="Verdana"/>
          <w:sz w:val="20"/>
          <w:szCs w:val="20"/>
          <w:lang w:val="es-PA"/>
        </w:rPr>
        <w:t>o</w:t>
      </w:r>
      <w:r w:rsidRPr="004F640F">
        <w:rPr>
          <w:rFonts w:ascii="Verdana" w:hAnsi="Verdana"/>
          <w:sz w:val="20"/>
          <w:szCs w:val="20"/>
          <w:lang w:val="es-PA"/>
        </w:rPr>
        <w:t xml:space="preserve"> para dejar de asumir una responsabilidad internacional establecida por </w:t>
      </w:r>
      <w:r>
        <w:rPr>
          <w:rFonts w:ascii="Verdana" w:hAnsi="Verdana"/>
          <w:sz w:val="20"/>
          <w:szCs w:val="20"/>
          <w:lang w:val="es-PA"/>
        </w:rPr>
        <w:t>la Corte</w:t>
      </w:r>
      <w:r w:rsidRPr="004F640F">
        <w:rPr>
          <w:rFonts w:ascii="Verdana" w:hAnsi="Verdana"/>
          <w:sz w:val="20"/>
          <w:szCs w:val="20"/>
          <w:lang w:val="es-PA"/>
        </w:rPr>
        <w:t xml:space="preserve">. </w:t>
      </w:r>
      <w:r>
        <w:rPr>
          <w:rFonts w:ascii="Verdana" w:hAnsi="Verdana"/>
          <w:sz w:val="20"/>
          <w:szCs w:val="20"/>
          <w:lang w:val="es-PA"/>
        </w:rPr>
        <w:t>Asimismo</w:t>
      </w:r>
      <w:r w:rsidRPr="004F640F">
        <w:rPr>
          <w:rFonts w:ascii="Verdana" w:hAnsi="Verdana"/>
          <w:sz w:val="20"/>
          <w:szCs w:val="20"/>
          <w:lang w:val="es-PA"/>
        </w:rPr>
        <w:t xml:space="preserve">, </w:t>
      </w:r>
      <w:r w:rsidR="00D443ED">
        <w:rPr>
          <w:rFonts w:ascii="Verdana" w:hAnsi="Verdana"/>
          <w:sz w:val="20"/>
          <w:szCs w:val="20"/>
          <w:lang w:val="es-PA"/>
        </w:rPr>
        <w:t>afirmaron</w:t>
      </w:r>
      <w:r w:rsidR="00D443ED" w:rsidRPr="004F640F">
        <w:rPr>
          <w:rFonts w:ascii="Verdana" w:hAnsi="Verdana"/>
          <w:sz w:val="20"/>
          <w:szCs w:val="20"/>
          <w:lang w:val="es-PA"/>
        </w:rPr>
        <w:t xml:space="preserve"> </w:t>
      </w:r>
      <w:r w:rsidRPr="004F640F">
        <w:rPr>
          <w:rFonts w:ascii="Verdana" w:hAnsi="Verdana"/>
          <w:sz w:val="20"/>
          <w:szCs w:val="20"/>
          <w:lang w:val="es-PA"/>
        </w:rPr>
        <w:t xml:space="preserve">que no existe exigencia de que se concluyan los respectivos procesos para la realización del depósito. </w:t>
      </w:r>
      <w:r>
        <w:rPr>
          <w:rFonts w:ascii="Verdana" w:hAnsi="Verdana"/>
          <w:sz w:val="20"/>
          <w:szCs w:val="20"/>
          <w:lang w:val="es-PA"/>
        </w:rPr>
        <w:t>Señalaron</w:t>
      </w:r>
      <w:r w:rsidRPr="004F640F">
        <w:rPr>
          <w:rFonts w:ascii="Verdana" w:hAnsi="Verdana"/>
          <w:sz w:val="20"/>
          <w:szCs w:val="20"/>
          <w:lang w:val="es-PA"/>
        </w:rPr>
        <w:t xml:space="preserve"> que es importante que, en el caso </w:t>
      </w:r>
      <w:r>
        <w:rPr>
          <w:rFonts w:ascii="Verdana" w:hAnsi="Verdana"/>
          <w:sz w:val="20"/>
          <w:szCs w:val="20"/>
          <w:lang w:val="es-PA"/>
        </w:rPr>
        <w:t>de</w:t>
      </w:r>
      <w:r w:rsidRPr="004F640F">
        <w:rPr>
          <w:rFonts w:ascii="Verdana" w:hAnsi="Verdana"/>
          <w:sz w:val="20"/>
          <w:szCs w:val="20"/>
          <w:lang w:val="es-PA"/>
        </w:rPr>
        <w:t xml:space="preserve"> que las indemnizaciones sean depositadas judicialmente, la actualización del valor e </w:t>
      </w:r>
      <w:r w:rsidRPr="00B01440">
        <w:rPr>
          <w:rFonts w:ascii="Verdana" w:hAnsi="Verdana"/>
          <w:sz w:val="20"/>
          <w:szCs w:val="20"/>
          <w:lang w:val="es-PA"/>
        </w:rPr>
        <w:t>interés moratorio</w:t>
      </w:r>
      <w:r w:rsidRPr="004F640F">
        <w:rPr>
          <w:rFonts w:ascii="Verdana" w:hAnsi="Verdana"/>
          <w:sz w:val="20"/>
          <w:szCs w:val="20"/>
          <w:lang w:val="es-PA"/>
        </w:rPr>
        <w:t xml:space="preserve"> deberán incidir hasta </w:t>
      </w:r>
      <w:r>
        <w:rPr>
          <w:rFonts w:ascii="Verdana" w:hAnsi="Verdana"/>
          <w:sz w:val="20"/>
          <w:szCs w:val="20"/>
          <w:lang w:val="es-PA"/>
        </w:rPr>
        <w:t>la</w:t>
      </w:r>
      <w:r w:rsidRPr="004F640F">
        <w:rPr>
          <w:rFonts w:ascii="Verdana" w:hAnsi="Verdana"/>
          <w:sz w:val="20"/>
          <w:szCs w:val="20"/>
          <w:lang w:val="es-PA"/>
        </w:rPr>
        <w:t xml:space="preserve"> efectiv</w:t>
      </w:r>
      <w:r>
        <w:rPr>
          <w:rFonts w:ascii="Verdana" w:hAnsi="Verdana"/>
          <w:sz w:val="20"/>
          <w:szCs w:val="20"/>
          <w:lang w:val="es-PA"/>
        </w:rPr>
        <w:t>a recepción</w:t>
      </w:r>
      <w:r w:rsidRPr="004F640F">
        <w:rPr>
          <w:rFonts w:ascii="Verdana" w:hAnsi="Verdana"/>
          <w:sz w:val="20"/>
          <w:szCs w:val="20"/>
          <w:lang w:val="es-PA"/>
        </w:rPr>
        <w:t xml:space="preserve">, </w:t>
      </w:r>
      <w:r>
        <w:rPr>
          <w:rFonts w:ascii="Verdana" w:hAnsi="Verdana"/>
          <w:sz w:val="20"/>
          <w:szCs w:val="20"/>
          <w:lang w:val="es-PA"/>
        </w:rPr>
        <w:t>dado</w:t>
      </w:r>
      <w:r w:rsidRPr="004F640F">
        <w:rPr>
          <w:rFonts w:ascii="Verdana" w:hAnsi="Verdana"/>
          <w:sz w:val="20"/>
          <w:szCs w:val="20"/>
          <w:lang w:val="es-PA"/>
        </w:rPr>
        <w:t xml:space="preserve"> que el valor depositado </w:t>
      </w:r>
      <w:r>
        <w:rPr>
          <w:rFonts w:ascii="Verdana" w:hAnsi="Verdana"/>
          <w:sz w:val="20"/>
          <w:szCs w:val="20"/>
          <w:lang w:val="es-PA"/>
        </w:rPr>
        <w:t xml:space="preserve">aún </w:t>
      </w:r>
      <w:r w:rsidRPr="004F640F">
        <w:rPr>
          <w:rFonts w:ascii="Verdana" w:hAnsi="Verdana"/>
          <w:sz w:val="20"/>
          <w:szCs w:val="20"/>
          <w:lang w:val="es-PA"/>
        </w:rPr>
        <w:t xml:space="preserve">no estaría disponible </w:t>
      </w:r>
      <w:r>
        <w:rPr>
          <w:rFonts w:ascii="Verdana" w:hAnsi="Verdana"/>
          <w:sz w:val="20"/>
          <w:szCs w:val="20"/>
          <w:lang w:val="es-PA"/>
        </w:rPr>
        <w:t>para</w:t>
      </w:r>
      <w:r w:rsidRPr="004F640F">
        <w:rPr>
          <w:rFonts w:ascii="Verdana" w:hAnsi="Verdana"/>
          <w:sz w:val="20"/>
          <w:szCs w:val="20"/>
          <w:lang w:val="es-PA"/>
        </w:rPr>
        <w:t xml:space="preserve"> las víc</w:t>
      </w:r>
      <w:r>
        <w:rPr>
          <w:rFonts w:ascii="Verdana" w:hAnsi="Verdana"/>
          <w:sz w:val="20"/>
          <w:szCs w:val="20"/>
          <w:lang w:val="es-PA"/>
        </w:rPr>
        <w:t>timas.</w:t>
      </w:r>
    </w:p>
    <w:p w:rsidR="0074017B" w:rsidRPr="004F640F" w:rsidRDefault="0074017B" w:rsidP="00A82FB4">
      <w:pPr>
        <w:pStyle w:val="ListParagraph"/>
        <w:rPr>
          <w:rFonts w:ascii="Verdana" w:hAnsi="Verdana"/>
          <w:sz w:val="20"/>
          <w:szCs w:val="20"/>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La </w:t>
      </w:r>
      <w:r w:rsidRPr="006749F5">
        <w:rPr>
          <w:rFonts w:ascii="Verdana" w:hAnsi="Verdana"/>
          <w:b/>
          <w:i/>
          <w:sz w:val="20"/>
          <w:szCs w:val="20"/>
          <w:lang w:val="es-PA"/>
        </w:rPr>
        <w:t>Comisión</w:t>
      </w:r>
      <w:r w:rsidRPr="004F640F">
        <w:rPr>
          <w:rFonts w:ascii="Verdana" w:hAnsi="Verdana"/>
          <w:sz w:val="20"/>
          <w:szCs w:val="20"/>
          <w:lang w:val="es-PA"/>
        </w:rPr>
        <w:t xml:space="preserve"> afirmó </w:t>
      </w:r>
      <w:r w:rsidRPr="007D1C1F">
        <w:rPr>
          <w:rFonts w:ascii="Verdana" w:hAnsi="Verdana"/>
          <w:sz w:val="20"/>
          <w:szCs w:val="20"/>
          <w:lang w:val="es-CR"/>
        </w:rPr>
        <w:t xml:space="preserve">que estos puntos específicos ya fueron resueltos por la Corte en su Sentencia de interpretación en el caso Trabajadores de la Hacienda Brasil Verde, por lo que considera que si la Corte lo estima pertinente podría reiterar sus </w:t>
      </w:r>
      <w:r w:rsidRPr="006C355A">
        <w:rPr>
          <w:rFonts w:ascii="Verdana" w:hAnsi="Verdana"/>
          <w:sz w:val="20"/>
          <w:szCs w:val="20"/>
          <w:lang w:val="es-CR"/>
        </w:rPr>
        <w:t>consideraciones.</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28163D" w:rsidRDefault="00FC2D19" w:rsidP="00A82FB4">
      <w:pPr>
        <w:spacing w:after="0" w:line="240" w:lineRule="auto"/>
        <w:ind w:firstLine="708"/>
        <w:jc w:val="both"/>
        <w:rPr>
          <w:rFonts w:ascii="Verdana" w:hAnsi="Verdana"/>
          <w:i/>
          <w:sz w:val="20"/>
          <w:szCs w:val="20"/>
          <w:lang w:val="es-PA"/>
        </w:rPr>
      </w:pPr>
      <w:r w:rsidRPr="0028163D">
        <w:rPr>
          <w:rFonts w:ascii="Verdana" w:hAnsi="Verdana"/>
          <w:i/>
          <w:sz w:val="20"/>
          <w:szCs w:val="20"/>
          <w:lang w:val="es-PA"/>
        </w:rPr>
        <w:t xml:space="preserve">D.1.2. </w:t>
      </w:r>
      <w:r w:rsidR="0074017B" w:rsidRPr="0028163D">
        <w:rPr>
          <w:rFonts w:ascii="Verdana" w:hAnsi="Verdana"/>
          <w:i/>
          <w:sz w:val="20"/>
          <w:szCs w:val="20"/>
          <w:lang w:val="es-PA"/>
        </w:rPr>
        <w:t>Consideraciones de la Corte</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lastRenderedPageBreak/>
        <w:t xml:space="preserve">En su Sentencia la Corte estableció que: </w:t>
      </w:r>
    </w:p>
    <w:p w:rsidR="0074017B" w:rsidRPr="004F640F" w:rsidRDefault="0074017B" w:rsidP="00A82FB4">
      <w:pPr>
        <w:pStyle w:val="ListParagraph"/>
        <w:spacing w:after="0" w:line="240" w:lineRule="auto"/>
        <w:ind w:left="576"/>
        <w:contextualSpacing w:val="0"/>
        <w:jc w:val="both"/>
        <w:rPr>
          <w:rFonts w:ascii="Verdana" w:hAnsi="Verdana"/>
          <w:sz w:val="18"/>
          <w:szCs w:val="18"/>
          <w:lang w:val="es-PA"/>
        </w:rPr>
      </w:pPr>
    </w:p>
    <w:p w:rsidR="0074017B" w:rsidRPr="004F640F" w:rsidRDefault="0074017B" w:rsidP="00E048DB">
      <w:pPr>
        <w:pStyle w:val="ListParagraph"/>
        <w:tabs>
          <w:tab w:val="left" w:pos="9356"/>
        </w:tabs>
        <w:spacing w:after="0" w:line="240" w:lineRule="auto"/>
        <w:ind w:right="1138"/>
        <w:contextualSpacing w:val="0"/>
        <w:jc w:val="both"/>
        <w:rPr>
          <w:rFonts w:ascii="Verdana" w:hAnsi="Verdana"/>
          <w:sz w:val="18"/>
          <w:szCs w:val="18"/>
          <w:lang w:val="es-PA"/>
        </w:rPr>
      </w:pPr>
      <w:r>
        <w:rPr>
          <w:rFonts w:ascii="Verdana" w:hAnsi="Verdana"/>
          <w:sz w:val="18"/>
          <w:szCs w:val="18"/>
          <w:lang w:val="es-PA"/>
        </w:rPr>
        <w:t>363</w:t>
      </w:r>
      <w:r w:rsidRPr="004F640F">
        <w:rPr>
          <w:rFonts w:ascii="Verdana" w:hAnsi="Verdana"/>
          <w:sz w:val="18"/>
          <w:szCs w:val="18"/>
          <w:lang w:val="es-PA"/>
        </w:rPr>
        <w:t xml:space="preserve">.  El Estado deberá efectuar el pago de las indemnizaciones por concepto de daño inmaterial, así como el reintegro de las costas y gastos establecidos en la presente Sentencia directamente a las personas </w:t>
      </w:r>
      <w:r>
        <w:rPr>
          <w:rFonts w:ascii="Verdana" w:hAnsi="Verdana"/>
          <w:sz w:val="18"/>
          <w:szCs w:val="18"/>
          <w:lang w:val="es-PA"/>
        </w:rPr>
        <w:t>y</w:t>
      </w:r>
      <w:r w:rsidRPr="004F640F">
        <w:rPr>
          <w:rFonts w:ascii="Verdana" w:hAnsi="Verdana"/>
          <w:sz w:val="18"/>
          <w:szCs w:val="18"/>
          <w:lang w:val="es-PA"/>
        </w:rPr>
        <w:t xml:space="preserve"> organizaciones indicadas en la misma, dentro del plazo de un año contado a partir de la notificación del presente Fallo, en los términos de los siguientes párrafos.</w:t>
      </w:r>
    </w:p>
    <w:p w:rsidR="0074017B" w:rsidRPr="004F640F" w:rsidRDefault="0074017B" w:rsidP="00E048DB">
      <w:pPr>
        <w:pStyle w:val="ListParagraph"/>
        <w:tabs>
          <w:tab w:val="left" w:pos="9356"/>
        </w:tabs>
        <w:spacing w:after="0" w:line="240" w:lineRule="auto"/>
        <w:ind w:right="1138"/>
        <w:contextualSpacing w:val="0"/>
        <w:jc w:val="both"/>
        <w:rPr>
          <w:rFonts w:ascii="Verdana" w:hAnsi="Verdana"/>
          <w:sz w:val="18"/>
          <w:szCs w:val="18"/>
          <w:lang w:val="es-PA"/>
        </w:rPr>
      </w:pPr>
    </w:p>
    <w:p w:rsidR="0074017B" w:rsidRPr="004F640F" w:rsidRDefault="0074017B" w:rsidP="00E048DB">
      <w:pPr>
        <w:pStyle w:val="ListParagraph"/>
        <w:tabs>
          <w:tab w:val="left" w:pos="9356"/>
        </w:tabs>
        <w:spacing w:after="0" w:line="240" w:lineRule="auto"/>
        <w:ind w:right="1138"/>
        <w:contextualSpacing w:val="0"/>
        <w:jc w:val="both"/>
        <w:rPr>
          <w:rFonts w:ascii="Verdana" w:hAnsi="Verdana"/>
          <w:sz w:val="18"/>
          <w:szCs w:val="18"/>
          <w:lang w:val="es-PA"/>
        </w:rPr>
      </w:pPr>
      <w:r>
        <w:rPr>
          <w:rFonts w:ascii="Verdana" w:hAnsi="Verdana"/>
          <w:sz w:val="18"/>
          <w:szCs w:val="18"/>
          <w:lang w:val="es-PA"/>
        </w:rPr>
        <w:t>364</w:t>
      </w:r>
      <w:r w:rsidRPr="004F640F">
        <w:rPr>
          <w:rFonts w:ascii="Verdana" w:hAnsi="Verdana"/>
          <w:sz w:val="18"/>
          <w:szCs w:val="18"/>
          <w:lang w:val="es-PA"/>
        </w:rPr>
        <w:t xml:space="preserve">. </w:t>
      </w:r>
      <w:r>
        <w:rPr>
          <w:rFonts w:ascii="Verdana" w:hAnsi="Verdana"/>
          <w:sz w:val="18"/>
          <w:szCs w:val="18"/>
          <w:lang w:val="es-PA"/>
        </w:rPr>
        <w:t>En c</w:t>
      </w:r>
      <w:r w:rsidRPr="004F640F">
        <w:rPr>
          <w:rFonts w:ascii="Verdana" w:hAnsi="Verdana"/>
          <w:sz w:val="18"/>
          <w:szCs w:val="18"/>
          <w:lang w:val="es-PA"/>
        </w:rPr>
        <w:t xml:space="preserve">aso de que alguno de los beneficiarios haya fallecido o fallezca antes de que les sean entregadas las indemnizaciones respectivas, éstas se efectuarán directamente a sus derechos habientes, conforme al derecho interno aplicable. </w:t>
      </w:r>
    </w:p>
    <w:p w:rsidR="0074017B" w:rsidRPr="004F640F" w:rsidRDefault="0074017B" w:rsidP="00E048DB">
      <w:pPr>
        <w:pStyle w:val="ListParagraph"/>
        <w:tabs>
          <w:tab w:val="left" w:pos="9356"/>
        </w:tabs>
        <w:spacing w:after="0" w:line="240" w:lineRule="auto"/>
        <w:ind w:right="1138"/>
        <w:contextualSpacing w:val="0"/>
        <w:jc w:val="both"/>
        <w:rPr>
          <w:rFonts w:ascii="Verdana" w:hAnsi="Verdana"/>
          <w:sz w:val="18"/>
          <w:szCs w:val="18"/>
          <w:lang w:val="es-PA"/>
        </w:rPr>
      </w:pPr>
    </w:p>
    <w:p w:rsidR="0074017B" w:rsidRPr="004F640F" w:rsidRDefault="0074017B" w:rsidP="00E048DB">
      <w:pPr>
        <w:pStyle w:val="Default"/>
        <w:tabs>
          <w:tab w:val="left" w:pos="9356"/>
        </w:tabs>
        <w:ind w:left="709" w:right="1138"/>
        <w:jc w:val="both"/>
        <w:rPr>
          <w:rFonts w:eastAsia="Calibri" w:cs="Times New Roman"/>
          <w:color w:val="auto"/>
          <w:sz w:val="18"/>
          <w:szCs w:val="18"/>
          <w:lang w:val="es-DO"/>
        </w:rPr>
      </w:pPr>
      <w:r>
        <w:rPr>
          <w:rFonts w:eastAsia="Calibri" w:cs="Times New Roman"/>
          <w:color w:val="auto"/>
          <w:sz w:val="18"/>
          <w:szCs w:val="18"/>
          <w:lang w:val="es-DO"/>
        </w:rPr>
        <w:t>365</w:t>
      </w:r>
      <w:r w:rsidRPr="004F640F">
        <w:rPr>
          <w:rFonts w:eastAsia="Calibri" w:cs="Times New Roman"/>
          <w:color w:val="auto"/>
          <w:sz w:val="18"/>
          <w:szCs w:val="18"/>
          <w:lang w:val="es-DO"/>
        </w:rPr>
        <w:t xml:space="preserve">. El Estado debe cumplir sus obligaciones monetarias mediante el pago en dólares de los Estados Unidos de América, o su equivalente en moneda brasileña, utilizando para el cálculo respectivo el tipo de cambio que se encuentre vigente en la bolsa de Nueva York, Estados Unidos de América, el día anterior al pago. </w:t>
      </w:r>
    </w:p>
    <w:p w:rsidR="0074017B" w:rsidRPr="004F640F" w:rsidRDefault="0074017B" w:rsidP="00A82FB4">
      <w:pPr>
        <w:spacing w:after="0" w:line="240" w:lineRule="auto"/>
        <w:jc w:val="both"/>
        <w:rPr>
          <w:rFonts w:ascii="Verdana" w:hAnsi="Verdana"/>
          <w:sz w:val="18"/>
          <w:szCs w:val="18"/>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720C21">
        <w:rPr>
          <w:rFonts w:ascii="Verdana" w:hAnsi="Verdana"/>
          <w:sz w:val="20"/>
          <w:szCs w:val="20"/>
          <w:lang w:val="es-PA"/>
        </w:rPr>
        <w:t>La</w:t>
      </w:r>
      <w:r w:rsidRPr="00F86BC7">
        <w:rPr>
          <w:rFonts w:ascii="Verdana" w:hAnsi="Verdana"/>
          <w:i/>
          <w:sz w:val="20"/>
          <w:szCs w:val="20"/>
          <w:lang w:val="es-PA"/>
        </w:rPr>
        <w:t xml:space="preserve"> Corte</w:t>
      </w:r>
      <w:r w:rsidRPr="004F640F">
        <w:rPr>
          <w:rFonts w:ascii="Verdana" w:hAnsi="Verdana"/>
          <w:sz w:val="20"/>
          <w:szCs w:val="20"/>
          <w:lang w:val="es-PA"/>
        </w:rPr>
        <w:t xml:space="preserve"> considera que los </w:t>
      </w:r>
      <w:r>
        <w:rPr>
          <w:rFonts w:ascii="Verdana" w:hAnsi="Verdana"/>
          <w:sz w:val="20"/>
          <w:szCs w:val="20"/>
          <w:lang w:val="es-PA"/>
        </w:rPr>
        <w:t>párrafos 363, 364 y 365</w:t>
      </w:r>
      <w:r w:rsidRPr="004F640F">
        <w:rPr>
          <w:rFonts w:ascii="Verdana" w:hAnsi="Verdana"/>
          <w:sz w:val="20"/>
          <w:szCs w:val="20"/>
          <w:lang w:val="es-PA"/>
        </w:rPr>
        <w:t xml:space="preserve"> de la Sentencia dejan claras las modalidades en que el Estado debe efectuar el pago de las inde</w:t>
      </w:r>
      <w:r>
        <w:rPr>
          <w:rFonts w:ascii="Verdana" w:hAnsi="Verdana"/>
          <w:sz w:val="20"/>
          <w:szCs w:val="20"/>
          <w:lang w:val="es-PA"/>
        </w:rPr>
        <w:t>mnizaciones, incluso</w:t>
      </w:r>
      <w:r w:rsidRPr="004F640F">
        <w:rPr>
          <w:rFonts w:ascii="Verdana" w:hAnsi="Verdana"/>
          <w:sz w:val="20"/>
          <w:szCs w:val="20"/>
          <w:lang w:val="es-PA"/>
        </w:rPr>
        <w:t xml:space="preserve"> abordando </w:t>
      </w:r>
      <w:r>
        <w:rPr>
          <w:rFonts w:ascii="Verdana" w:hAnsi="Verdana"/>
          <w:sz w:val="20"/>
          <w:szCs w:val="20"/>
          <w:lang w:val="es-PA"/>
        </w:rPr>
        <w:t xml:space="preserve">lo relativo a la modalidad temporal </w:t>
      </w:r>
      <w:r w:rsidRPr="004F640F">
        <w:rPr>
          <w:rFonts w:ascii="Verdana" w:hAnsi="Verdana"/>
          <w:sz w:val="20"/>
          <w:szCs w:val="20"/>
          <w:lang w:val="es-PA"/>
        </w:rPr>
        <w:t>que debe</w:t>
      </w:r>
      <w:r>
        <w:rPr>
          <w:rFonts w:ascii="Verdana" w:hAnsi="Verdana"/>
          <w:sz w:val="20"/>
          <w:szCs w:val="20"/>
          <w:lang w:val="es-PA"/>
        </w:rPr>
        <w:t xml:space="preserve"> ser</w:t>
      </w:r>
      <w:r w:rsidRPr="004F640F">
        <w:rPr>
          <w:rFonts w:ascii="Verdana" w:hAnsi="Verdana"/>
          <w:sz w:val="20"/>
          <w:szCs w:val="20"/>
          <w:lang w:val="es-PA"/>
        </w:rPr>
        <w:t xml:space="preserve"> observa</w:t>
      </w:r>
      <w:r>
        <w:rPr>
          <w:rFonts w:ascii="Verdana" w:hAnsi="Verdana"/>
          <w:sz w:val="20"/>
          <w:szCs w:val="20"/>
          <w:lang w:val="es-PA"/>
        </w:rPr>
        <w:t>da</w:t>
      </w:r>
      <w:r w:rsidRPr="004F640F">
        <w:rPr>
          <w:rFonts w:ascii="Verdana" w:hAnsi="Verdana"/>
          <w:sz w:val="20"/>
          <w:szCs w:val="20"/>
          <w:lang w:val="es-PA"/>
        </w:rPr>
        <w:t xml:space="preserve">. </w:t>
      </w:r>
      <w:r>
        <w:rPr>
          <w:rFonts w:ascii="Verdana" w:hAnsi="Verdana"/>
          <w:sz w:val="20"/>
          <w:szCs w:val="20"/>
          <w:lang w:val="es-PA"/>
        </w:rPr>
        <w:t>Es decir</w:t>
      </w:r>
      <w:r w:rsidRPr="004F640F">
        <w:rPr>
          <w:rFonts w:ascii="Verdana" w:hAnsi="Verdana"/>
          <w:sz w:val="20"/>
          <w:szCs w:val="20"/>
          <w:lang w:val="es-PA"/>
        </w:rPr>
        <w:t xml:space="preserve">, el plazo </w:t>
      </w:r>
      <w:r>
        <w:rPr>
          <w:rFonts w:ascii="Verdana" w:hAnsi="Verdana"/>
          <w:sz w:val="20"/>
          <w:szCs w:val="20"/>
          <w:lang w:val="es-PA"/>
        </w:rPr>
        <w:t xml:space="preserve">previsto </w:t>
      </w:r>
      <w:r w:rsidRPr="004F640F">
        <w:rPr>
          <w:rFonts w:ascii="Verdana" w:hAnsi="Verdana"/>
          <w:sz w:val="20"/>
          <w:szCs w:val="20"/>
          <w:lang w:val="es-PA"/>
        </w:rPr>
        <w:t xml:space="preserve">para los debidos pagos, </w:t>
      </w:r>
      <w:r w:rsidRPr="00E1585F">
        <w:rPr>
          <w:rFonts w:ascii="Verdana" w:hAnsi="Verdana"/>
          <w:sz w:val="20"/>
          <w:szCs w:val="20"/>
          <w:lang w:val="es-PA"/>
        </w:rPr>
        <w:t>como se desprende</w:t>
      </w:r>
      <w:r w:rsidRPr="004F640F">
        <w:rPr>
          <w:rFonts w:ascii="Verdana" w:hAnsi="Verdana"/>
          <w:sz w:val="20"/>
          <w:szCs w:val="20"/>
          <w:lang w:val="es-PA"/>
        </w:rPr>
        <w:t xml:space="preserve"> del párrafo </w:t>
      </w:r>
      <w:r w:rsidR="004A18EF">
        <w:rPr>
          <w:rFonts w:ascii="Verdana" w:hAnsi="Verdana"/>
          <w:sz w:val="20"/>
          <w:szCs w:val="20"/>
          <w:lang w:val="es-PA"/>
        </w:rPr>
        <w:t>363</w:t>
      </w:r>
      <w:r>
        <w:rPr>
          <w:rFonts w:ascii="Verdana" w:hAnsi="Verdana"/>
          <w:sz w:val="20"/>
          <w:szCs w:val="20"/>
          <w:lang w:val="es-PA"/>
        </w:rPr>
        <w:t xml:space="preserve">, </w:t>
      </w:r>
      <w:r w:rsidRPr="004F640F">
        <w:rPr>
          <w:rFonts w:ascii="Verdana" w:hAnsi="Verdana"/>
          <w:sz w:val="20"/>
          <w:szCs w:val="20"/>
          <w:lang w:val="es-PA"/>
        </w:rPr>
        <w:t>es de un añ</w:t>
      </w:r>
      <w:r>
        <w:rPr>
          <w:rFonts w:ascii="Verdana" w:hAnsi="Verdana"/>
          <w:sz w:val="20"/>
          <w:szCs w:val="20"/>
          <w:lang w:val="es-PA"/>
        </w:rPr>
        <w:t>o</w:t>
      </w:r>
      <w:r w:rsidRPr="004F640F">
        <w:rPr>
          <w:rFonts w:ascii="Verdana" w:hAnsi="Verdana"/>
          <w:sz w:val="20"/>
          <w:szCs w:val="20"/>
          <w:lang w:val="es-PA"/>
        </w:rPr>
        <w:t xml:space="preserve"> contado a partir de la notificación </w:t>
      </w:r>
      <w:r>
        <w:rPr>
          <w:rFonts w:ascii="Verdana" w:hAnsi="Verdana"/>
          <w:sz w:val="20"/>
          <w:szCs w:val="20"/>
          <w:lang w:val="es-PA"/>
        </w:rPr>
        <w:t>de la Sentencia</w:t>
      </w:r>
      <w:r w:rsidRPr="004F640F">
        <w:rPr>
          <w:rFonts w:ascii="Verdana" w:hAnsi="Verdana"/>
          <w:sz w:val="20"/>
          <w:szCs w:val="20"/>
          <w:lang w:val="es-PA"/>
        </w:rPr>
        <w:t>.</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Sin embargo, e</w:t>
      </w:r>
      <w:r w:rsidRPr="004F640F">
        <w:rPr>
          <w:rFonts w:ascii="Verdana" w:hAnsi="Verdana"/>
          <w:sz w:val="20"/>
          <w:szCs w:val="20"/>
          <w:lang w:val="es-PA"/>
        </w:rPr>
        <w:t>n el</w:t>
      </w:r>
      <w:r>
        <w:rPr>
          <w:rFonts w:ascii="Verdana" w:hAnsi="Verdana"/>
          <w:sz w:val="20"/>
          <w:szCs w:val="20"/>
          <w:lang w:val="es-PA"/>
        </w:rPr>
        <w:t xml:space="preserve"> presente caso</w:t>
      </w:r>
      <w:r w:rsidRPr="004F640F">
        <w:rPr>
          <w:rFonts w:ascii="Verdana" w:hAnsi="Verdana"/>
          <w:sz w:val="20"/>
          <w:szCs w:val="20"/>
          <w:lang w:val="es-PA"/>
        </w:rPr>
        <w:t xml:space="preserve"> se ent</w:t>
      </w:r>
      <w:r>
        <w:rPr>
          <w:rFonts w:ascii="Verdana" w:hAnsi="Verdana"/>
          <w:sz w:val="20"/>
          <w:szCs w:val="20"/>
          <w:lang w:val="es-PA"/>
        </w:rPr>
        <w:t>iende</w:t>
      </w:r>
      <w:r w:rsidRPr="004F640F">
        <w:rPr>
          <w:rFonts w:ascii="Verdana" w:hAnsi="Verdana"/>
          <w:sz w:val="20"/>
          <w:szCs w:val="20"/>
          <w:lang w:val="es-PA"/>
        </w:rPr>
        <w:t xml:space="preserve"> que en la situación </w:t>
      </w:r>
      <w:r>
        <w:rPr>
          <w:rFonts w:ascii="Verdana" w:hAnsi="Verdana"/>
          <w:sz w:val="20"/>
          <w:szCs w:val="20"/>
          <w:lang w:val="es-PA"/>
        </w:rPr>
        <w:t>planteada</w:t>
      </w:r>
      <w:r w:rsidRPr="004F640F">
        <w:rPr>
          <w:rFonts w:ascii="Verdana" w:hAnsi="Verdana"/>
          <w:sz w:val="20"/>
          <w:szCs w:val="20"/>
          <w:lang w:val="es-PA"/>
        </w:rPr>
        <w:t xml:space="preserve"> por el </w:t>
      </w:r>
      <w:r>
        <w:rPr>
          <w:rFonts w:ascii="Verdana" w:hAnsi="Verdana"/>
          <w:sz w:val="20"/>
          <w:szCs w:val="20"/>
          <w:lang w:val="es-PA"/>
        </w:rPr>
        <w:t>párrafo 364</w:t>
      </w:r>
      <w:r w:rsidRPr="004F640F">
        <w:rPr>
          <w:rFonts w:ascii="Verdana" w:hAnsi="Verdana"/>
          <w:sz w:val="20"/>
          <w:szCs w:val="20"/>
          <w:lang w:val="es-PA"/>
        </w:rPr>
        <w:t xml:space="preserve"> (en el cual alguno de los beneficiarios haya fallecido o fallezca antes de que</w:t>
      </w:r>
      <w:r>
        <w:rPr>
          <w:rFonts w:ascii="Verdana" w:hAnsi="Verdana"/>
          <w:sz w:val="20"/>
          <w:szCs w:val="20"/>
          <w:lang w:val="es-PA"/>
        </w:rPr>
        <w:t xml:space="preserve"> les</w:t>
      </w:r>
      <w:r w:rsidRPr="004F640F">
        <w:rPr>
          <w:rFonts w:ascii="Verdana" w:hAnsi="Verdana"/>
          <w:sz w:val="20"/>
          <w:szCs w:val="20"/>
          <w:lang w:val="es-PA"/>
        </w:rPr>
        <w:t xml:space="preserve"> sean </w:t>
      </w:r>
      <w:r>
        <w:rPr>
          <w:rFonts w:ascii="Verdana" w:hAnsi="Verdana"/>
          <w:sz w:val="20"/>
          <w:szCs w:val="20"/>
          <w:lang w:val="es-PA"/>
        </w:rPr>
        <w:t>entregadas</w:t>
      </w:r>
      <w:r w:rsidRPr="004F640F">
        <w:rPr>
          <w:rFonts w:ascii="Verdana" w:hAnsi="Verdana"/>
          <w:sz w:val="20"/>
          <w:szCs w:val="20"/>
          <w:lang w:val="es-PA"/>
        </w:rPr>
        <w:t xml:space="preserve"> las debidas indemnizaciones), debe</w:t>
      </w:r>
      <w:r>
        <w:rPr>
          <w:rFonts w:ascii="Verdana" w:hAnsi="Verdana"/>
          <w:sz w:val="20"/>
          <w:szCs w:val="20"/>
          <w:lang w:val="es-PA"/>
        </w:rPr>
        <w:t xml:space="preserve">n llevarse a cabo </w:t>
      </w:r>
      <w:r w:rsidRPr="004F640F">
        <w:rPr>
          <w:rFonts w:ascii="Verdana" w:hAnsi="Verdana"/>
          <w:sz w:val="20"/>
          <w:szCs w:val="20"/>
          <w:lang w:val="es-PA"/>
        </w:rPr>
        <w:t xml:space="preserve">las diligencias </w:t>
      </w:r>
      <w:r>
        <w:rPr>
          <w:rFonts w:ascii="Verdana" w:hAnsi="Verdana"/>
          <w:sz w:val="20"/>
          <w:szCs w:val="20"/>
          <w:lang w:val="es-PA"/>
        </w:rPr>
        <w:t xml:space="preserve">previstas en el derecho interno </w:t>
      </w:r>
      <w:r w:rsidRPr="004F640F">
        <w:rPr>
          <w:rFonts w:ascii="Verdana" w:hAnsi="Verdana"/>
          <w:sz w:val="20"/>
          <w:szCs w:val="20"/>
          <w:lang w:val="es-PA"/>
        </w:rPr>
        <w:t xml:space="preserve">para que sea garantizada una efectiva identificación de los </w:t>
      </w:r>
      <w:r>
        <w:rPr>
          <w:rFonts w:ascii="Verdana" w:hAnsi="Verdana"/>
          <w:sz w:val="20"/>
          <w:szCs w:val="20"/>
          <w:lang w:val="es-PA"/>
        </w:rPr>
        <w:t>derechohabientes</w:t>
      </w:r>
      <w:r w:rsidRPr="004F640F">
        <w:rPr>
          <w:rFonts w:ascii="Verdana" w:hAnsi="Verdana"/>
          <w:sz w:val="20"/>
          <w:szCs w:val="20"/>
          <w:lang w:val="es-PA"/>
        </w:rPr>
        <w:t xml:space="preserve"> </w:t>
      </w:r>
      <w:r>
        <w:rPr>
          <w:rFonts w:ascii="Verdana" w:hAnsi="Verdana"/>
          <w:sz w:val="20"/>
          <w:szCs w:val="20"/>
          <w:lang w:val="es-PA"/>
        </w:rPr>
        <w:t>a quienes correspondería</w:t>
      </w:r>
      <w:r w:rsidRPr="00E64F01">
        <w:rPr>
          <w:rFonts w:ascii="Verdana" w:hAnsi="Verdana"/>
          <w:sz w:val="20"/>
          <w:szCs w:val="20"/>
          <w:lang w:val="es-PA"/>
        </w:rPr>
        <w:t xml:space="preserve"> recibir la indemnización</w:t>
      </w:r>
      <w:r w:rsidRPr="004F640F">
        <w:rPr>
          <w:rFonts w:ascii="Verdana" w:hAnsi="Verdana"/>
          <w:sz w:val="20"/>
          <w:szCs w:val="20"/>
          <w:lang w:val="es-PA"/>
        </w:rPr>
        <w:t xml:space="preserve">. </w:t>
      </w:r>
    </w:p>
    <w:p w:rsidR="0074017B" w:rsidRPr="005C7D26"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 xml:space="preserve">Por lo tanto, </w:t>
      </w:r>
      <w:r w:rsidRPr="00E64F01">
        <w:rPr>
          <w:rFonts w:ascii="Verdana" w:hAnsi="Verdana"/>
          <w:sz w:val="20"/>
          <w:szCs w:val="20"/>
          <w:lang w:val="es-PA"/>
        </w:rPr>
        <w:t>se desprende</w:t>
      </w:r>
      <w:r>
        <w:rPr>
          <w:rFonts w:ascii="Verdana" w:hAnsi="Verdana"/>
          <w:sz w:val="20"/>
          <w:szCs w:val="20"/>
          <w:lang w:val="es-PA"/>
        </w:rPr>
        <w:t xml:space="preserve"> </w:t>
      </w:r>
      <w:r w:rsidRPr="004F640F">
        <w:rPr>
          <w:rFonts w:ascii="Verdana" w:hAnsi="Verdana"/>
          <w:sz w:val="20"/>
          <w:szCs w:val="20"/>
          <w:lang w:val="es-PA"/>
        </w:rPr>
        <w:t xml:space="preserve">que los </w:t>
      </w:r>
      <w:r>
        <w:rPr>
          <w:rFonts w:ascii="Verdana" w:hAnsi="Verdana"/>
          <w:sz w:val="20"/>
          <w:szCs w:val="20"/>
          <w:lang w:val="es-PA"/>
        </w:rPr>
        <w:t>derechohabientes</w:t>
      </w:r>
      <w:r w:rsidRPr="004F640F">
        <w:rPr>
          <w:rFonts w:ascii="Verdana" w:hAnsi="Verdana"/>
          <w:sz w:val="20"/>
          <w:szCs w:val="20"/>
          <w:lang w:val="es-PA"/>
        </w:rPr>
        <w:t xml:space="preserve"> de los beneficiarios deben ser </w:t>
      </w:r>
      <w:r>
        <w:rPr>
          <w:rFonts w:ascii="Verdana" w:hAnsi="Verdana"/>
          <w:sz w:val="20"/>
          <w:szCs w:val="20"/>
          <w:lang w:val="es-PA"/>
        </w:rPr>
        <w:t>previamente</w:t>
      </w:r>
      <w:r w:rsidRPr="004F640F">
        <w:rPr>
          <w:rFonts w:ascii="Verdana" w:hAnsi="Verdana"/>
          <w:sz w:val="20"/>
          <w:szCs w:val="20"/>
          <w:lang w:val="es-PA"/>
        </w:rPr>
        <w:t xml:space="preserve"> identificados </w:t>
      </w:r>
      <w:r>
        <w:rPr>
          <w:rFonts w:ascii="Verdana" w:hAnsi="Verdana"/>
          <w:sz w:val="20"/>
          <w:szCs w:val="20"/>
          <w:lang w:val="es-PA"/>
        </w:rPr>
        <w:t>conforme al</w:t>
      </w:r>
      <w:r w:rsidRPr="004F640F">
        <w:rPr>
          <w:rFonts w:ascii="Verdana" w:hAnsi="Verdana"/>
          <w:sz w:val="20"/>
          <w:szCs w:val="20"/>
          <w:lang w:val="es-PA"/>
        </w:rPr>
        <w:t xml:space="preserve"> derecho interno para que puedan recibir la indemnización. </w:t>
      </w:r>
      <w:r>
        <w:rPr>
          <w:rFonts w:ascii="Verdana" w:hAnsi="Verdana"/>
          <w:sz w:val="20"/>
          <w:szCs w:val="20"/>
          <w:lang w:val="es-PA"/>
        </w:rPr>
        <w:t>E</w:t>
      </w:r>
      <w:r w:rsidRPr="004F640F">
        <w:rPr>
          <w:rFonts w:ascii="Verdana" w:hAnsi="Verdana"/>
          <w:sz w:val="20"/>
          <w:szCs w:val="20"/>
          <w:lang w:val="es-PA"/>
        </w:rPr>
        <w:t xml:space="preserve">n ese </w:t>
      </w:r>
      <w:r w:rsidRPr="00E64F01">
        <w:rPr>
          <w:rFonts w:ascii="Verdana" w:hAnsi="Verdana"/>
          <w:sz w:val="20"/>
          <w:szCs w:val="20"/>
          <w:lang w:val="es-PA"/>
        </w:rPr>
        <w:t>sentido</w:t>
      </w:r>
      <w:r>
        <w:rPr>
          <w:rFonts w:ascii="Verdana" w:hAnsi="Verdana"/>
          <w:sz w:val="20"/>
          <w:szCs w:val="20"/>
          <w:lang w:val="es-PA"/>
        </w:rPr>
        <w:t>, si en el plazo de un año indicado en el párrafo 363 no ha tenido lugar tal determinación de acuerdo con el derecho interno, el valor de la indemnización deberá ser consignado judicialmente de conformidad a la legislación brasileña aplicable. Una vez que el procedimiento interno para la determinación de los derechohabientes concluya, el Estado garantizará que les sean entregados los montos consignados, más los intereses generados</w:t>
      </w:r>
      <w:r w:rsidR="005F38B7" w:rsidRPr="00E048DB">
        <w:rPr>
          <w:rStyle w:val="FootnoteReference"/>
          <w:sz w:val="20"/>
          <w:szCs w:val="20"/>
          <w:lang w:val="es-PA"/>
        </w:rPr>
        <w:footnoteReference w:id="12"/>
      </w:r>
      <w:r w:rsidR="001A6E65">
        <w:rPr>
          <w:rFonts w:ascii="Verdana" w:hAnsi="Verdana"/>
          <w:sz w:val="20"/>
          <w:szCs w:val="20"/>
          <w:lang w:val="es-PA"/>
        </w:rPr>
        <w:t>.</w:t>
      </w:r>
      <w:r w:rsidRPr="00E048DB">
        <w:rPr>
          <w:rFonts w:ascii="Verdana" w:hAnsi="Verdana"/>
          <w:sz w:val="20"/>
          <w:szCs w:val="20"/>
          <w:lang w:val="es-PA"/>
        </w:rPr>
        <w:t xml:space="preserve"> </w:t>
      </w:r>
    </w:p>
    <w:p w:rsidR="0074017B" w:rsidRPr="006F7476" w:rsidRDefault="0074017B" w:rsidP="00A82FB4">
      <w:pPr>
        <w:pStyle w:val="ListParagraph"/>
        <w:rPr>
          <w:rFonts w:ascii="Verdana" w:hAnsi="Verdana"/>
          <w:sz w:val="20"/>
          <w:szCs w:val="20"/>
        </w:rPr>
      </w:pPr>
    </w:p>
    <w:p w:rsidR="0074017B" w:rsidRPr="001A6E65" w:rsidRDefault="00456D6E" w:rsidP="00E048DB">
      <w:pPr>
        <w:pStyle w:val="ListParagraph"/>
        <w:widowControl w:val="0"/>
        <w:spacing w:after="0" w:line="240" w:lineRule="auto"/>
        <w:ind w:left="0"/>
        <w:contextualSpacing w:val="0"/>
        <w:jc w:val="both"/>
        <w:rPr>
          <w:rFonts w:ascii="Verdana" w:hAnsi="Verdana"/>
          <w:i/>
          <w:sz w:val="20"/>
          <w:szCs w:val="20"/>
          <w:lang w:val="es-PA"/>
        </w:rPr>
      </w:pPr>
      <w:r w:rsidRPr="001A6E65">
        <w:rPr>
          <w:rFonts w:ascii="Verdana" w:hAnsi="Verdana"/>
          <w:i/>
          <w:sz w:val="20"/>
          <w:szCs w:val="20"/>
          <w:lang w:val="es-PA"/>
        </w:rPr>
        <w:t>D</w:t>
      </w:r>
      <w:r w:rsidR="0074017B" w:rsidRPr="001A6E65">
        <w:rPr>
          <w:rFonts w:ascii="Verdana" w:hAnsi="Verdana"/>
          <w:i/>
          <w:sz w:val="20"/>
          <w:szCs w:val="20"/>
          <w:lang w:val="es-PA"/>
        </w:rPr>
        <w:t>.2. Cumplimiento del pago</w:t>
      </w:r>
    </w:p>
    <w:p w:rsidR="0074017B" w:rsidRDefault="0074017B" w:rsidP="00A82FB4">
      <w:pPr>
        <w:widowControl w:val="0"/>
        <w:spacing w:after="0" w:line="240" w:lineRule="auto"/>
        <w:jc w:val="both"/>
        <w:rPr>
          <w:rFonts w:ascii="Verdana" w:hAnsi="Verdana"/>
          <w:b/>
          <w:sz w:val="20"/>
          <w:szCs w:val="20"/>
          <w:lang w:val="es-PA"/>
        </w:rPr>
      </w:pPr>
    </w:p>
    <w:p w:rsidR="00FC2D19" w:rsidRDefault="00FC2D19" w:rsidP="00A82FB4">
      <w:pPr>
        <w:pStyle w:val="ListParagraph"/>
        <w:spacing w:after="0" w:line="240" w:lineRule="auto"/>
        <w:ind w:left="0" w:firstLine="720"/>
        <w:contextualSpacing w:val="0"/>
        <w:jc w:val="both"/>
        <w:rPr>
          <w:rFonts w:ascii="Verdana" w:hAnsi="Verdana"/>
          <w:i/>
          <w:sz w:val="20"/>
          <w:szCs w:val="20"/>
          <w:lang w:val="es-PA"/>
        </w:rPr>
      </w:pPr>
      <w:r w:rsidRPr="00AF1165">
        <w:rPr>
          <w:rFonts w:ascii="Verdana" w:hAnsi="Verdana"/>
          <w:i/>
          <w:sz w:val="20"/>
          <w:szCs w:val="20"/>
          <w:lang w:val="es-PA"/>
        </w:rPr>
        <w:t>D.</w:t>
      </w:r>
      <w:r>
        <w:rPr>
          <w:rFonts w:ascii="Verdana" w:hAnsi="Verdana"/>
          <w:i/>
          <w:sz w:val="20"/>
          <w:szCs w:val="20"/>
          <w:lang w:val="es-PA"/>
        </w:rPr>
        <w:t>2</w:t>
      </w:r>
      <w:r w:rsidRPr="00AF1165">
        <w:rPr>
          <w:rFonts w:ascii="Verdana" w:hAnsi="Verdana"/>
          <w:i/>
          <w:sz w:val="20"/>
          <w:szCs w:val="20"/>
          <w:lang w:val="es-PA"/>
        </w:rPr>
        <w:t xml:space="preserve">.1. Argumentos de las partes y de la Comisión </w:t>
      </w:r>
    </w:p>
    <w:p w:rsidR="005F38B7" w:rsidRPr="00AF1165" w:rsidRDefault="005F38B7" w:rsidP="00A82FB4">
      <w:pPr>
        <w:pStyle w:val="ListParagraph"/>
        <w:spacing w:after="0" w:line="240" w:lineRule="auto"/>
        <w:ind w:left="0" w:firstLine="720"/>
        <w:contextualSpacing w:val="0"/>
        <w:jc w:val="both"/>
        <w:rPr>
          <w:rFonts w:ascii="Verdana" w:hAnsi="Verdana"/>
          <w:i/>
          <w:sz w:val="20"/>
          <w:szCs w:val="20"/>
          <w:lang w:val="es-PA"/>
        </w:rPr>
      </w:pPr>
    </w:p>
    <w:p w:rsidR="0074017B" w:rsidRPr="0043498F" w:rsidRDefault="004A18EF"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 xml:space="preserve">El párrafo </w:t>
      </w:r>
      <w:r w:rsidR="0074017B">
        <w:rPr>
          <w:rFonts w:ascii="Verdana" w:hAnsi="Verdana"/>
          <w:sz w:val="20"/>
          <w:szCs w:val="20"/>
          <w:lang w:val="es-PA"/>
        </w:rPr>
        <w:t>366</w:t>
      </w:r>
      <w:r>
        <w:rPr>
          <w:rFonts w:ascii="Verdana" w:hAnsi="Verdana"/>
          <w:sz w:val="20"/>
          <w:szCs w:val="20"/>
          <w:lang w:val="es-PA"/>
        </w:rPr>
        <w:t xml:space="preserve"> de la Sentencia dispone que s</w:t>
      </w:r>
      <w:r w:rsidRPr="004A18EF">
        <w:rPr>
          <w:rFonts w:ascii="Verdana" w:hAnsi="Verdana"/>
          <w:iCs/>
          <w:sz w:val="20"/>
          <w:szCs w:val="20"/>
          <w:lang w:val="es-ES_tradnl"/>
        </w:rPr>
        <w:t>i por causas atribuibles a alguno de los beneficiarios de las indemnizaciones o a sus derecho habientes no fuese posible el pago de todo o parte de las cantidades determinadas dentro del plazo indicado, el Estado consignará dichos montos a su favor en una cuenta o certificado de depósito en una institución financiera brasileña solvente, en dólares de los Estados Unidos de América, y en las condiciones financieras más favorables que permitan la legislación y la práctica bancaria del Estado</w:t>
      </w:r>
      <w:r w:rsidR="0074017B" w:rsidRPr="0043498F">
        <w:rPr>
          <w:rFonts w:ascii="Verdana" w:hAnsi="Verdana"/>
          <w:sz w:val="20"/>
          <w:szCs w:val="20"/>
          <w:lang w:val="es-PA"/>
        </w:rPr>
        <w:t xml:space="preserve">. </w:t>
      </w:r>
    </w:p>
    <w:p w:rsidR="0074017B"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El </w:t>
      </w:r>
      <w:r w:rsidRPr="004F640F">
        <w:rPr>
          <w:rFonts w:ascii="Verdana" w:hAnsi="Verdana"/>
          <w:b/>
          <w:i/>
          <w:sz w:val="20"/>
          <w:szCs w:val="20"/>
          <w:lang w:val="es-PA"/>
        </w:rPr>
        <w:t>Estado</w:t>
      </w:r>
      <w:r w:rsidRPr="004F640F">
        <w:rPr>
          <w:rFonts w:ascii="Verdana" w:hAnsi="Verdana"/>
          <w:sz w:val="20"/>
          <w:szCs w:val="20"/>
          <w:lang w:val="es-PA"/>
        </w:rPr>
        <w:t xml:space="preserve"> argumentó que, en Brasil, la moneda nacional tiene </w:t>
      </w:r>
      <w:r w:rsidRPr="00B52C81">
        <w:rPr>
          <w:rFonts w:ascii="Verdana" w:hAnsi="Verdana"/>
          <w:sz w:val="20"/>
          <w:szCs w:val="20"/>
          <w:lang w:val="es-PA"/>
        </w:rPr>
        <w:t>curso forzoso</w:t>
      </w:r>
      <w:r w:rsidRPr="004F640F">
        <w:rPr>
          <w:rFonts w:ascii="Verdana" w:hAnsi="Verdana"/>
          <w:sz w:val="20"/>
          <w:szCs w:val="20"/>
          <w:lang w:val="es-PA"/>
        </w:rPr>
        <w:t xml:space="preserve"> y no </w:t>
      </w:r>
      <w:r>
        <w:rPr>
          <w:rFonts w:ascii="Verdana" w:hAnsi="Verdana"/>
          <w:sz w:val="20"/>
          <w:szCs w:val="20"/>
          <w:lang w:val="es-PA"/>
        </w:rPr>
        <w:t>existe</w:t>
      </w:r>
      <w:r w:rsidRPr="004F640F">
        <w:rPr>
          <w:rFonts w:ascii="Verdana" w:hAnsi="Verdana"/>
          <w:sz w:val="20"/>
          <w:szCs w:val="20"/>
          <w:lang w:val="es-PA"/>
        </w:rPr>
        <w:t xml:space="preserve"> libre conver</w:t>
      </w:r>
      <w:r>
        <w:rPr>
          <w:rFonts w:ascii="Verdana" w:hAnsi="Verdana"/>
          <w:sz w:val="20"/>
          <w:szCs w:val="20"/>
          <w:lang w:val="es-PA"/>
        </w:rPr>
        <w:t>t</w:t>
      </w:r>
      <w:r w:rsidRPr="004F640F">
        <w:rPr>
          <w:rFonts w:ascii="Verdana" w:hAnsi="Verdana"/>
          <w:sz w:val="20"/>
          <w:szCs w:val="20"/>
          <w:lang w:val="es-PA"/>
        </w:rPr>
        <w:t xml:space="preserve">ibilidad. </w:t>
      </w:r>
      <w:r>
        <w:rPr>
          <w:rFonts w:ascii="Verdana" w:hAnsi="Verdana"/>
          <w:sz w:val="20"/>
          <w:szCs w:val="20"/>
          <w:lang w:val="es-PA"/>
        </w:rPr>
        <w:t>Por lo que</w:t>
      </w:r>
      <w:r w:rsidRPr="004F640F">
        <w:rPr>
          <w:rFonts w:ascii="Verdana" w:hAnsi="Verdana"/>
          <w:sz w:val="20"/>
          <w:szCs w:val="20"/>
          <w:lang w:val="es-PA"/>
        </w:rPr>
        <w:t xml:space="preserve">, las operaciones con moneda extranjera están </w:t>
      </w:r>
      <w:r w:rsidRPr="004F640F">
        <w:rPr>
          <w:rFonts w:ascii="Verdana" w:hAnsi="Verdana"/>
          <w:sz w:val="20"/>
          <w:szCs w:val="20"/>
          <w:lang w:val="es-PA"/>
        </w:rPr>
        <w:lastRenderedPageBreak/>
        <w:t>restri</w:t>
      </w:r>
      <w:r>
        <w:rPr>
          <w:rFonts w:ascii="Verdana" w:hAnsi="Verdana"/>
          <w:sz w:val="20"/>
          <w:szCs w:val="20"/>
          <w:lang w:val="es-PA"/>
        </w:rPr>
        <w:t>ngidas</w:t>
      </w:r>
      <w:r w:rsidRPr="004F640F">
        <w:rPr>
          <w:rFonts w:ascii="Verdana" w:hAnsi="Verdana"/>
          <w:sz w:val="20"/>
          <w:szCs w:val="20"/>
          <w:lang w:val="es-PA"/>
        </w:rPr>
        <w:t xml:space="preserve"> a casos específicos, </w:t>
      </w:r>
      <w:r>
        <w:rPr>
          <w:rFonts w:ascii="Verdana" w:hAnsi="Verdana"/>
          <w:sz w:val="20"/>
          <w:szCs w:val="20"/>
          <w:lang w:val="es-PA"/>
        </w:rPr>
        <w:t>por</w:t>
      </w:r>
      <w:r w:rsidRPr="004F640F">
        <w:rPr>
          <w:rFonts w:ascii="Verdana" w:hAnsi="Verdana"/>
          <w:sz w:val="20"/>
          <w:szCs w:val="20"/>
          <w:lang w:val="es-PA"/>
        </w:rPr>
        <w:t xml:space="preserve"> regla relacionados a alguna operación con el exterior. El Estado solicitó </w:t>
      </w:r>
      <w:r>
        <w:rPr>
          <w:rFonts w:ascii="Verdana" w:hAnsi="Verdana"/>
          <w:sz w:val="20"/>
          <w:szCs w:val="20"/>
          <w:lang w:val="es-PA"/>
        </w:rPr>
        <w:t>aclaración</w:t>
      </w:r>
      <w:r w:rsidRPr="004F640F">
        <w:rPr>
          <w:rFonts w:ascii="Verdana" w:hAnsi="Verdana"/>
          <w:sz w:val="20"/>
          <w:szCs w:val="20"/>
          <w:lang w:val="es-PA"/>
        </w:rPr>
        <w:t xml:space="preserve"> a la Corte en el sentido de que </w:t>
      </w:r>
      <w:r w:rsidR="00DD758D">
        <w:rPr>
          <w:rFonts w:ascii="Verdana" w:hAnsi="Verdana"/>
          <w:sz w:val="20"/>
          <w:szCs w:val="20"/>
          <w:lang w:val="es-PA"/>
        </w:rPr>
        <w:t xml:space="preserve">si </w:t>
      </w:r>
      <w:r w:rsidRPr="004F640F">
        <w:rPr>
          <w:rFonts w:ascii="Verdana" w:hAnsi="Verdana"/>
          <w:sz w:val="20"/>
          <w:szCs w:val="20"/>
          <w:lang w:val="es-PA"/>
        </w:rPr>
        <w:t xml:space="preserve">el depósito en institución financiera brasileña solvente puede ser </w:t>
      </w:r>
      <w:r>
        <w:rPr>
          <w:rFonts w:ascii="Verdana" w:hAnsi="Verdana"/>
          <w:sz w:val="20"/>
          <w:szCs w:val="20"/>
          <w:lang w:val="es-PA"/>
        </w:rPr>
        <w:t>realizado</w:t>
      </w:r>
      <w:r w:rsidRPr="004F640F">
        <w:rPr>
          <w:rFonts w:ascii="Verdana" w:hAnsi="Verdana"/>
          <w:sz w:val="20"/>
          <w:szCs w:val="20"/>
          <w:lang w:val="es-PA"/>
        </w:rPr>
        <w:t xml:space="preserve"> en reales, utilizándose el </w:t>
      </w:r>
      <w:r>
        <w:rPr>
          <w:rFonts w:ascii="Verdana" w:hAnsi="Verdana"/>
          <w:sz w:val="20"/>
          <w:szCs w:val="20"/>
          <w:lang w:val="es-PA"/>
        </w:rPr>
        <w:t xml:space="preserve">tipo de </w:t>
      </w:r>
      <w:r w:rsidRPr="004F640F">
        <w:rPr>
          <w:rFonts w:ascii="Verdana" w:hAnsi="Verdana"/>
          <w:sz w:val="20"/>
          <w:szCs w:val="20"/>
          <w:lang w:val="es-PA"/>
        </w:rPr>
        <w:t xml:space="preserve">cambio del día anterior al </w:t>
      </w:r>
      <w:r>
        <w:rPr>
          <w:rFonts w:ascii="Verdana" w:hAnsi="Verdana"/>
          <w:sz w:val="20"/>
          <w:szCs w:val="20"/>
          <w:lang w:val="es-PA"/>
        </w:rPr>
        <w:t>depósito.</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Los </w:t>
      </w:r>
      <w:r w:rsidRPr="004F640F">
        <w:rPr>
          <w:rFonts w:ascii="Verdana" w:hAnsi="Verdana"/>
          <w:b/>
          <w:i/>
          <w:sz w:val="20"/>
          <w:szCs w:val="20"/>
          <w:lang w:val="es-PA"/>
        </w:rPr>
        <w:t>representantes</w:t>
      </w:r>
      <w:r w:rsidRPr="004F640F">
        <w:rPr>
          <w:rFonts w:ascii="Verdana" w:hAnsi="Verdana"/>
          <w:sz w:val="20"/>
          <w:szCs w:val="20"/>
          <w:lang w:val="es-PA"/>
        </w:rPr>
        <w:t xml:space="preserve"> consideraron que este tema no necesita de </w:t>
      </w:r>
      <w:r>
        <w:rPr>
          <w:rFonts w:ascii="Verdana" w:hAnsi="Verdana"/>
          <w:sz w:val="20"/>
          <w:szCs w:val="20"/>
          <w:lang w:val="es-PA"/>
        </w:rPr>
        <w:t xml:space="preserve">una </w:t>
      </w:r>
      <w:r w:rsidRPr="004F640F">
        <w:rPr>
          <w:rFonts w:ascii="Verdana" w:hAnsi="Verdana"/>
          <w:sz w:val="20"/>
          <w:szCs w:val="20"/>
          <w:lang w:val="es-PA"/>
        </w:rPr>
        <w:t xml:space="preserve">nueva manifestación </w:t>
      </w:r>
      <w:r>
        <w:rPr>
          <w:rFonts w:ascii="Verdana" w:hAnsi="Verdana"/>
          <w:sz w:val="20"/>
          <w:szCs w:val="20"/>
          <w:lang w:val="es-PA"/>
        </w:rPr>
        <w:t xml:space="preserve">por parte </w:t>
      </w:r>
      <w:r w:rsidRPr="004F640F">
        <w:rPr>
          <w:rFonts w:ascii="Verdana" w:hAnsi="Verdana"/>
          <w:sz w:val="20"/>
          <w:szCs w:val="20"/>
          <w:lang w:val="es-PA"/>
        </w:rPr>
        <w:t xml:space="preserve">de la Corte, </w:t>
      </w:r>
      <w:r>
        <w:rPr>
          <w:rFonts w:ascii="Verdana" w:hAnsi="Verdana"/>
          <w:sz w:val="20"/>
          <w:szCs w:val="20"/>
          <w:lang w:val="es-PA"/>
        </w:rPr>
        <w:t>dado</w:t>
      </w:r>
      <w:r w:rsidRPr="004F640F">
        <w:rPr>
          <w:rFonts w:ascii="Verdana" w:hAnsi="Verdana"/>
          <w:sz w:val="20"/>
          <w:szCs w:val="20"/>
          <w:lang w:val="es-PA"/>
        </w:rPr>
        <w:t xml:space="preserve"> que la sentencia </w:t>
      </w:r>
      <w:r w:rsidR="004A18EF">
        <w:rPr>
          <w:rFonts w:ascii="Verdana" w:hAnsi="Verdana"/>
          <w:sz w:val="20"/>
          <w:szCs w:val="20"/>
          <w:lang w:val="es-PA"/>
        </w:rPr>
        <w:t>es</w:t>
      </w:r>
      <w:r w:rsidR="004A18EF" w:rsidRPr="004F640F">
        <w:rPr>
          <w:rFonts w:ascii="Verdana" w:hAnsi="Verdana"/>
          <w:sz w:val="20"/>
          <w:szCs w:val="20"/>
          <w:lang w:val="es-PA"/>
        </w:rPr>
        <w:t xml:space="preserve"> </w:t>
      </w:r>
      <w:r w:rsidRPr="004F640F">
        <w:rPr>
          <w:rFonts w:ascii="Verdana" w:hAnsi="Verdana"/>
          <w:sz w:val="20"/>
          <w:szCs w:val="20"/>
          <w:lang w:val="es-PA"/>
        </w:rPr>
        <w:t xml:space="preserve">clara </w:t>
      </w:r>
      <w:r>
        <w:rPr>
          <w:rFonts w:ascii="Verdana" w:hAnsi="Verdana"/>
          <w:sz w:val="20"/>
          <w:szCs w:val="20"/>
          <w:lang w:val="es-PA"/>
        </w:rPr>
        <w:t>a este respecto</w:t>
      </w:r>
      <w:r w:rsidR="008E53D8" w:rsidRPr="004A373D">
        <w:rPr>
          <w:rFonts w:ascii="Verdana" w:hAnsi="Verdana"/>
          <w:sz w:val="20"/>
          <w:szCs w:val="20"/>
          <w:lang w:val="es-PA"/>
        </w:rPr>
        <w:t>.</w:t>
      </w:r>
    </w:p>
    <w:p w:rsidR="0074017B" w:rsidRPr="004F640F" w:rsidRDefault="0074017B" w:rsidP="00A82FB4">
      <w:pPr>
        <w:pStyle w:val="ListParagraph"/>
        <w:rPr>
          <w:rFonts w:ascii="Verdana" w:hAnsi="Verdana"/>
          <w:sz w:val="20"/>
          <w:szCs w:val="20"/>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La </w:t>
      </w:r>
      <w:r w:rsidRPr="004F640F">
        <w:rPr>
          <w:rFonts w:ascii="Verdana" w:hAnsi="Verdana"/>
          <w:b/>
          <w:i/>
          <w:sz w:val="20"/>
          <w:szCs w:val="20"/>
          <w:lang w:val="es-PA"/>
        </w:rPr>
        <w:t>Comisión</w:t>
      </w:r>
      <w:r>
        <w:rPr>
          <w:rFonts w:ascii="Verdana" w:hAnsi="Verdana"/>
          <w:sz w:val="20"/>
          <w:szCs w:val="20"/>
        </w:rPr>
        <w:t xml:space="preserve"> afirmó, una vez más,</w:t>
      </w:r>
      <w:r w:rsidRPr="00C34EF7">
        <w:rPr>
          <w:rFonts w:ascii="Verdana" w:hAnsi="Verdana"/>
          <w:sz w:val="20"/>
          <w:szCs w:val="20"/>
        </w:rPr>
        <w:t xml:space="preserve"> que </w:t>
      </w:r>
      <w:r w:rsidR="004A18EF">
        <w:rPr>
          <w:rFonts w:ascii="Verdana" w:hAnsi="Verdana"/>
          <w:sz w:val="20"/>
          <w:szCs w:val="20"/>
        </w:rPr>
        <w:t xml:space="preserve">este asunto </w:t>
      </w:r>
      <w:r w:rsidRPr="00C34EF7">
        <w:rPr>
          <w:rFonts w:ascii="Verdana" w:hAnsi="Verdana"/>
          <w:sz w:val="20"/>
          <w:szCs w:val="20"/>
        </w:rPr>
        <w:t>ya fue resuelto por la Corte en su Sentencia de interpretación en el caso Trabajadores de la Hacienda Brasil Verde</w:t>
      </w:r>
      <w:r w:rsidR="00C47F5C" w:rsidRPr="007A23E3">
        <w:rPr>
          <w:rFonts w:ascii="Verdana" w:hAnsi="Verdana"/>
          <w:sz w:val="20"/>
          <w:szCs w:val="20"/>
          <w:lang w:val="es-PA"/>
        </w:rPr>
        <w:t>.</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28163D" w:rsidRDefault="00FC2D19" w:rsidP="00A82FB4">
      <w:pPr>
        <w:pStyle w:val="ListParagraph"/>
        <w:spacing w:after="0" w:line="240" w:lineRule="auto"/>
        <w:ind w:left="0" w:firstLine="708"/>
        <w:contextualSpacing w:val="0"/>
        <w:jc w:val="both"/>
        <w:rPr>
          <w:rFonts w:ascii="Verdana" w:hAnsi="Verdana"/>
          <w:i/>
          <w:sz w:val="20"/>
          <w:szCs w:val="20"/>
          <w:lang w:val="es-PA"/>
        </w:rPr>
      </w:pPr>
      <w:r w:rsidRPr="0028163D">
        <w:rPr>
          <w:rFonts w:ascii="Verdana" w:hAnsi="Verdana"/>
          <w:i/>
          <w:sz w:val="20"/>
          <w:szCs w:val="20"/>
          <w:lang w:val="es-PA"/>
        </w:rPr>
        <w:t xml:space="preserve">D.2.2. </w:t>
      </w:r>
      <w:r w:rsidR="0074017B" w:rsidRPr="0028163D">
        <w:rPr>
          <w:rFonts w:ascii="Verdana" w:hAnsi="Verdana"/>
          <w:i/>
          <w:sz w:val="20"/>
          <w:szCs w:val="20"/>
          <w:lang w:val="es-PA"/>
        </w:rPr>
        <w:t>Consideraciones de la Corte</w:t>
      </w:r>
    </w:p>
    <w:p w:rsidR="0074017B" w:rsidRPr="004F640F" w:rsidRDefault="0074017B" w:rsidP="00A82FB4">
      <w:pPr>
        <w:pStyle w:val="ListParagraph"/>
        <w:spacing w:after="0" w:line="240" w:lineRule="auto"/>
        <w:ind w:left="0"/>
        <w:contextualSpacing w:val="0"/>
        <w:jc w:val="both"/>
        <w:rPr>
          <w:rFonts w:ascii="Verdana" w:hAnsi="Verdana"/>
          <w:i/>
          <w:sz w:val="20"/>
          <w:szCs w:val="20"/>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La </w:t>
      </w:r>
      <w:r>
        <w:rPr>
          <w:rFonts w:ascii="Verdana" w:hAnsi="Verdana"/>
          <w:sz w:val="20"/>
          <w:szCs w:val="20"/>
          <w:lang w:val="es-PA"/>
        </w:rPr>
        <w:t>S</w:t>
      </w:r>
      <w:r w:rsidRPr="004F640F">
        <w:rPr>
          <w:rFonts w:ascii="Verdana" w:hAnsi="Verdana"/>
          <w:sz w:val="20"/>
          <w:szCs w:val="20"/>
          <w:lang w:val="es-PA"/>
        </w:rPr>
        <w:t xml:space="preserve">entencia de la </w:t>
      </w:r>
      <w:r w:rsidRPr="00F86BC7">
        <w:rPr>
          <w:rFonts w:ascii="Verdana" w:hAnsi="Verdana"/>
          <w:sz w:val="20"/>
          <w:szCs w:val="20"/>
          <w:lang w:val="es-PA"/>
        </w:rPr>
        <w:t>Corte</w:t>
      </w:r>
      <w:r w:rsidRPr="004F640F">
        <w:rPr>
          <w:rFonts w:ascii="Verdana" w:hAnsi="Verdana"/>
          <w:sz w:val="20"/>
          <w:szCs w:val="20"/>
          <w:lang w:val="es-PA"/>
        </w:rPr>
        <w:t xml:space="preserve"> estableció las condiciones en que el pago de las indemnizaciones compensatorias debe ser </w:t>
      </w:r>
      <w:r w:rsidR="00C26035">
        <w:rPr>
          <w:rFonts w:ascii="Verdana" w:hAnsi="Verdana"/>
          <w:sz w:val="20"/>
          <w:szCs w:val="20"/>
          <w:lang w:val="es-PA"/>
        </w:rPr>
        <w:t xml:space="preserve">realizado </w:t>
      </w:r>
      <w:r w:rsidRPr="004F640F">
        <w:rPr>
          <w:rFonts w:ascii="Verdana" w:hAnsi="Verdana"/>
          <w:sz w:val="20"/>
          <w:szCs w:val="20"/>
          <w:lang w:val="es-PA"/>
        </w:rPr>
        <w:t>en los párrafos</w:t>
      </w:r>
      <w:r>
        <w:rPr>
          <w:rFonts w:ascii="Verdana" w:hAnsi="Verdana"/>
          <w:sz w:val="20"/>
          <w:szCs w:val="20"/>
          <w:lang w:val="es-PA"/>
        </w:rPr>
        <w:t xml:space="preserve"> 363</w:t>
      </w:r>
      <w:r w:rsidRPr="004F640F">
        <w:rPr>
          <w:rFonts w:ascii="Verdana" w:hAnsi="Verdana"/>
          <w:sz w:val="20"/>
          <w:szCs w:val="20"/>
          <w:lang w:val="es-PA"/>
        </w:rPr>
        <w:t xml:space="preserve"> a </w:t>
      </w:r>
      <w:r>
        <w:rPr>
          <w:rFonts w:ascii="Verdana" w:hAnsi="Verdana"/>
          <w:sz w:val="20"/>
          <w:szCs w:val="20"/>
          <w:lang w:val="es-PA"/>
        </w:rPr>
        <w:t>366.</w:t>
      </w:r>
    </w:p>
    <w:p w:rsidR="0074017B" w:rsidRPr="004F640F" w:rsidRDefault="0074017B" w:rsidP="00A82FB4">
      <w:pPr>
        <w:pStyle w:val="ListParagraph"/>
        <w:spacing w:after="0" w:line="240" w:lineRule="auto"/>
        <w:ind w:left="576"/>
        <w:contextualSpacing w:val="0"/>
        <w:jc w:val="both"/>
        <w:rPr>
          <w:rFonts w:ascii="Verdana" w:hAnsi="Verdana"/>
          <w:sz w:val="18"/>
          <w:szCs w:val="18"/>
          <w:lang w:val="es-PA"/>
        </w:rPr>
      </w:pPr>
    </w:p>
    <w:p w:rsidR="0074017B" w:rsidRPr="004F640F"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La Corte considera que el punto </w:t>
      </w:r>
      <w:r>
        <w:rPr>
          <w:rFonts w:ascii="Verdana" w:hAnsi="Verdana"/>
          <w:sz w:val="20"/>
          <w:szCs w:val="20"/>
          <w:lang w:val="es-PA"/>
        </w:rPr>
        <w:t>planteado</w:t>
      </w:r>
      <w:r w:rsidRPr="004F640F">
        <w:rPr>
          <w:rFonts w:ascii="Verdana" w:hAnsi="Verdana"/>
          <w:sz w:val="20"/>
          <w:szCs w:val="20"/>
          <w:lang w:val="es-PA"/>
        </w:rPr>
        <w:t xml:space="preserve"> por el Estado es claro en la Sentencia, </w:t>
      </w:r>
      <w:r>
        <w:rPr>
          <w:rFonts w:ascii="Verdana" w:hAnsi="Verdana"/>
          <w:sz w:val="20"/>
          <w:szCs w:val="20"/>
          <w:lang w:val="es-PA"/>
        </w:rPr>
        <w:t>dado</w:t>
      </w:r>
      <w:r w:rsidRPr="004F640F">
        <w:rPr>
          <w:rFonts w:ascii="Verdana" w:hAnsi="Verdana"/>
          <w:sz w:val="20"/>
          <w:szCs w:val="20"/>
          <w:lang w:val="es-PA"/>
        </w:rPr>
        <w:t xml:space="preserve"> que de la lectura del párrafo</w:t>
      </w:r>
      <w:r>
        <w:rPr>
          <w:rFonts w:ascii="Verdana" w:hAnsi="Verdana"/>
          <w:sz w:val="20"/>
          <w:szCs w:val="20"/>
          <w:lang w:val="es-PA"/>
        </w:rPr>
        <w:t xml:space="preserve"> 365</w:t>
      </w:r>
      <w:r w:rsidRPr="004F640F">
        <w:rPr>
          <w:rFonts w:ascii="Verdana" w:hAnsi="Verdana"/>
          <w:sz w:val="20"/>
          <w:szCs w:val="20"/>
          <w:lang w:val="es-PA"/>
        </w:rPr>
        <w:t xml:space="preserve"> </w:t>
      </w:r>
      <w:r w:rsidRPr="00C23D3A">
        <w:rPr>
          <w:rFonts w:ascii="Verdana" w:hAnsi="Verdana"/>
          <w:sz w:val="20"/>
          <w:szCs w:val="20"/>
          <w:lang w:val="es-PA"/>
        </w:rPr>
        <w:t>se desprende</w:t>
      </w:r>
      <w:r w:rsidRPr="004F640F">
        <w:rPr>
          <w:rFonts w:ascii="Verdana" w:hAnsi="Verdana"/>
          <w:sz w:val="20"/>
          <w:szCs w:val="20"/>
          <w:lang w:val="es-PA"/>
        </w:rPr>
        <w:t xml:space="preserve"> que los valores determinados en dólares estadunidenses pueden ser pagados en moneda brasileña. Por lo tanto, se debe utilizar para el cálculo el tipo de cambio </w:t>
      </w:r>
      <w:r>
        <w:rPr>
          <w:rFonts w:ascii="Verdana" w:hAnsi="Verdana"/>
          <w:sz w:val="20"/>
          <w:szCs w:val="20"/>
          <w:lang w:val="es-PA"/>
        </w:rPr>
        <w:t xml:space="preserve">que se encuentre </w:t>
      </w:r>
      <w:r w:rsidRPr="004F640F">
        <w:rPr>
          <w:rFonts w:ascii="Verdana" w:hAnsi="Verdana"/>
          <w:sz w:val="20"/>
          <w:szCs w:val="20"/>
          <w:lang w:val="es-PA"/>
        </w:rPr>
        <w:t>vigente en la bolsa de Nueva York, Estados Unidos de América, en el día anterior al pago.</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4F640F" w:rsidRDefault="005F38B7"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Por lo tanto</w:t>
      </w:r>
      <w:r w:rsidR="0074017B" w:rsidRPr="004F640F">
        <w:rPr>
          <w:rFonts w:ascii="Verdana" w:hAnsi="Verdana"/>
          <w:sz w:val="20"/>
          <w:szCs w:val="20"/>
          <w:lang w:val="es-PA"/>
        </w:rPr>
        <w:t>, la Corte aclara que el párrafo</w:t>
      </w:r>
      <w:r w:rsidR="0074017B">
        <w:rPr>
          <w:rFonts w:ascii="Verdana" w:hAnsi="Verdana"/>
          <w:sz w:val="20"/>
          <w:szCs w:val="20"/>
          <w:lang w:val="es-PA"/>
        </w:rPr>
        <w:t xml:space="preserve"> 366</w:t>
      </w:r>
      <w:r w:rsidR="0074017B" w:rsidRPr="004F640F">
        <w:rPr>
          <w:rFonts w:ascii="Verdana" w:hAnsi="Verdana"/>
          <w:sz w:val="20"/>
          <w:szCs w:val="20"/>
          <w:lang w:val="es-PA"/>
        </w:rPr>
        <w:t xml:space="preserve"> debe ser interpretado </w:t>
      </w:r>
      <w:r w:rsidR="0074017B">
        <w:rPr>
          <w:rFonts w:ascii="Verdana" w:hAnsi="Verdana"/>
          <w:sz w:val="20"/>
          <w:szCs w:val="20"/>
          <w:lang w:val="es-PA"/>
        </w:rPr>
        <w:t>en consonancia</w:t>
      </w:r>
      <w:r w:rsidR="0074017B" w:rsidRPr="004F640F">
        <w:rPr>
          <w:rFonts w:ascii="Verdana" w:hAnsi="Verdana"/>
          <w:sz w:val="20"/>
          <w:szCs w:val="20"/>
          <w:lang w:val="es-PA"/>
        </w:rPr>
        <w:t xml:space="preserve"> con </w:t>
      </w:r>
      <w:r w:rsidR="0074017B">
        <w:rPr>
          <w:rFonts w:ascii="Verdana" w:hAnsi="Verdana"/>
          <w:sz w:val="20"/>
          <w:szCs w:val="20"/>
          <w:lang w:val="es-PA"/>
        </w:rPr>
        <w:t>el</w:t>
      </w:r>
      <w:r w:rsidR="0074017B" w:rsidRPr="004F640F">
        <w:rPr>
          <w:rFonts w:ascii="Verdana" w:hAnsi="Verdana"/>
          <w:sz w:val="20"/>
          <w:szCs w:val="20"/>
          <w:lang w:val="es-PA"/>
        </w:rPr>
        <w:t xml:space="preserve"> párrafo</w:t>
      </w:r>
      <w:r w:rsidR="0074017B">
        <w:rPr>
          <w:rFonts w:ascii="Verdana" w:hAnsi="Verdana"/>
          <w:sz w:val="20"/>
          <w:szCs w:val="20"/>
          <w:lang w:val="es-PA"/>
        </w:rPr>
        <w:t xml:space="preserve"> anterior, 365</w:t>
      </w:r>
      <w:r w:rsidR="0074017B" w:rsidRPr="004F640F">
        <w:rPr>
          <w:rFonts w:ascii="Verdana" w:hAnsi="Verdana"/>
          <w:sz w:val="20"/>
          <w:szCs w:val="20"/>
          <w:lang w:val="es-PA"/>
        </w:rPr>
        <w:t>, en el sentido de que</w:t>
      </w:r>
      <w:r w:rsidR="0074017B">
        <w:rPr>
          <w:rFonts w:ascii="Verdana" w:hAnsi="Verdana"/>
          <w:sz w:val="20"/>
          <w:szCs w:val="20"/>
          <w:lang w:val="es-PA"/>
        </w:rPr>
        <w:t xml:space="preserve"> en</w:t>
      </w:r>
      <w:r w:rsidR="0074017B" w:rsidRPr="004F640F">
        <w:rPr>
          <w:rFonts w:ascii="Verdana" w:hAnsi="Verdana"/>
          <w:sz w:val="20"/>
          <w:szCs w:val="20"/>
          <w:lang w:val="es-PA"/>
        </w:rPr>
        <w:t xml:space="preserve"> caso</w:t>
      </w:r>
      <w:r w:rsidR="0074017B">
        <w:rPr>
          <w:rFonts w:ascii="Verdana" w:hAnsi="Verdana"/>
          <w:sz w:val="20"/>
          <w:szCs w:val="20"/>
          <w:lang w:val="es-PA"/>
        </w:rPr>
        <w:t xml:space="preserve"> de que</w:t>
      </w:r>
      <w:r w:rsidR="0074017B" w:rsidRPr="004F640F">
        <w:rPr>
          <w:rFonts w:ascii="Verdana" w:hAnsi="Verdana"/>
          <w:sz w:val="20"/>
          <w:szCs w:val="20"/>
          <w:lang w:val="es-PA"/>
        </w:rPr>
        <w:t xml:space="preserve"> el pago de los valores indicados en dólares de los Estados Unidos de América no pueda ser </w:t>
      </w:r>
      <w:r w:rsidR="0074017B">
        <w:rPr>
          <w:rFonts w:ascii="Verdana" w:hAnsi="Verdana"/>
          <w:sz w:val="20"/>
          <w:szCs w:val="20"/>
          <w:lang w:val="es-PA"/>
        </w:rPr>
        <w:t>realizado</w:t>
      </w:r>
      <w:r w:rsidR="0074017B" w:rsidRPr="004F640F">
        <w:rPr>
          <w:rFonts w:ascii="Verdana" w:hAnsi="Verdana"/>
          <w:sz w:val="20"/>
          <w:szCs w:val="20"/>
          <w:lang w:val="es-PA"/>
        </w:rPr>
        <w:t xml:space="preserve"> en esa moneda, deberá </w:t>
      </w:r>
      <w:r w:rsidR="0074017B">
        <w:rPr>
          <w:rFonts w:ascii="Verdana" w:hAnsi="Verdana"/>
          <w:sz w:val="20"/>
          <w:szCs w:val="20"/>
          <w:lang w:val="es-PA"/>
        </w:rPr>
        <w:t xml:space="preserve">ser realizado </w:t>
      </w:r>
      <w:r w:rsidR="0074017B" w:rsidRPr="004F640F">
        <w:rPr>
          <w:rFonts w:ascii="Verdana" w:hAnsi="Verdana"/>
          <w:sz w:val="20"/>
          <w:szCs w:val="20"/>
          <w:lang w:val="es-PA"/>
        </w:rPr>
        <w:t xml:space="preserve">en moneda brasileña, utilizando para su conversión el tipo de cambio vigente en la bolsa de Nueva York, Estados Unidos de América, en el día anterior al </w:t>
      </w:r>
      <w:r w:rsidR="0074017B">
        <w:rPr>
          <w:rFonts w:ascii="Verdana" w:hAnsi="Verdana"/>
          <w:sz w:val="20"/>
          <w:szCs w:val="20"/>
          <w:lang w:val="es-PA"/>
        </w:rPr>
        <w:t>pago</w:t>
      </w:r>
      <w:r w:rsidRPr="001A6E65">
        <w:rPr>
          <w:rStyle w:val="FootnoteReference"/>
          <w:sz w:val="20"/>
          <w:szCs w:val="20"/>
          <w:lang w:val="es-PA"/>
        </w:rPr>
        <w:footnoteReference w:id="13"/>
      </w:r>
      <w:r w:rsidR="00E048DB" w:rsidRPr="001A6E65">
        <w:rPr>
          <w:rFonts w:ascii="Verdana" w:hAnsi="Verdana"/>
          <w:sz w:val="20"/>
          <w:szCs w:val="20"/>
          <w:lang w:val="es-PA"/>
        </w:rPr>
        <w:t>.</w:t>
      </w:r>
      <w:r w:rsidR="0074017B" w:rsidRPr="001A6E65">
        <w:rPr>
          <w:rFonts w:ascii="Verdana" w:hAnsi="Verdana"/>
          <w:sz w:val="20"/>
          <w:szCs w:val="20"/>
          <w:lang w:val="es-PA"/>
        </w:rPr>
        <w:t xml:space="preserve"> </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1A6E65" w:rsidRDefault="00456D6E" w:rsidP="00E048DB">
      <w:pPr>
        <w:pStyle w:val="ListParagraph"/>
        <w:widowControl w:val="0"/>
        <w:spacing w:after="0" w:line="240" w:lineRule="auto"/>
        <w:ind w:left="0"/>
        <w:contextualSpacing w:val="0"/>
        <w:jc w:val="both"/>
        <w:rPr>
          <w:rFonts w:ascii="Verdana" w:hAnsi="Verdana"/>
          <w:i/>
          <w:sz w:val="20"/>
          <w:szCs w:val="20"/>
          <w:lang w:val="es-PA"/>
        </w:rPr>
      </w:pPr>
      <w:r w:rsidRPr="001A6E65">
        <w:rPr>
          <w:rFonts w:ascii="Verdana" w:hAnsi="Verdana"/>
          <w:i/>
          <w:sz w:val="20"/>
          <w:szCs w:val="20"/>
          <w:lang w:val="es-PA"/>
        </w:rPr>
        <w:t>D</w:t>
      </w:r>
      <w:r w:rsidR="0074017B" w:rsidRPr="001A6E65">
        <w:rPr>
          <w:rFonts w:ascii="Verdana" w:hAnsi="Verdana"/>
          <w:i/>
          <w:sz w:val="20"/>
          <w:szCs w:val="20"/>
          <w:lang w:val="es-PA"/>
        </w:rPr>
        <w:t>.3. Interés</w:t>
      </w:r>
    </w:p>
    <w:p w:rsidR="0074017B" w:rsidRDefault="00FC2D19" w:rsidP="00A82FB4">
      <w:pPr>
        <w:pStyle w:val="ListParagraph"/>
        <w:spacing w:after="0" w:line="240" w:lineRule="auto"/>
        <w:ind w:left="0"/>
        <w:contextualSpacing w:val="0"/>
        <w:jc w:val="both"/>
        <w:rPr>
          <w:rFonts w:ascii="Verdana" w:hAnsi="Verdana"/>
          <w:sz w:val="20"/>
          <w:szCs w:val="20"/>
          <w:lang w:val="es-PA"/>
        </w:rPr>
      </w:pPr>
      <w:r>
        <w:rPr>
          <w:rFonts w:ascii="Verdana" w:hAnsi="Verdana"/>
          <w:sz w:val="20"/>
          <w:szCs w:val="20"/>
          <w:lang w:val="es-PA"/>
        </w:rPr>
        <w:tab/>
      </w:r>
    </w:p>
    <w:p w:rsidR="00FC2D19" w:rsidRDefault="00FC2D19" w:rsidP="00A82FB4">
      <w:pPr>
        <w:pStyle w:val="ListParagraph"/>
        <w:spacing w:after="0" w:line="240" w:lineRule="auto"/>
        <w:ind w:left="0"/>
        <w:contextualSpacing w:val="0"/>
        <w:jc w:val="both"/>
        <w:rPr>
          <w:rFonts w:ascii="Verdana" w:hAnsi="Verdana"/>
          <w:i/>
          <w:sz w:val="20"/>
          <w:szCs w:val="20"/>
          <w:lang w:val="es-PA"/>
        </w:rPr>
      </w:pPr>
      <w:r>
        <w:rPr>
          <w:rFonts w:ascii="Verdana" w:hAnsi="Verdana"/>
          <w:sz w:val="20"/>
          <w:szCs w:val="20"/>
          <w:lang w:val="es-PA"/>
        </w:rPr>
        <w:tab/>
      </w:r>
      <w:r w:rsidRPr="0028163D">
        <w:rPr>
          <w:rFonts w:ascii="Verdana" w:hAnsi="Verdana"/>
          <w:i/>
          <w:sz w:val="20"/>
          <w:szCs w:val="20"/>
          <w:lang w:val="es-PA"/>
        </w:rPr>
        <w:t>D.3.1</w:t>
      </w:r>
      <w:r>
        <w:rPr>
          <w:rFonts w:ascii="Verdana" w:hAnsi="Verdana"/>
          <w:sz w:val="20"/>
          <w:szCs w:val="20"/>
          <w:lang w:val="es-PA"/>
        </w:rPr>
        <w:t xml:space="preserve">. </w:t>
      </w:r>
      <w:r w:rsidR="00FC4115" w:rsidRPr="00AF1165">
        <w:rPr>
          <w:rFonts w:ascii="Verdana" w:hAnsi="Verdana"/>
          <w:i/>
          <w:sz w:val="20"/>
          <w:szCs w:val="20"/>
          <w:lang w:val="es-PA"/>
        </w:rPr>
        <w:t>Argumentos de las partes y de la Comisión</w:t>
      </w:r>
    </w:p>
    <w:p w:rsidR="00FC4115" w:rsidRPr="004F640F" w:rsidRDefault="00FC4115" w:rsidP="00A82FB4">
      <w:pPr>
        <w:pStyle w:val="ListParagraph"/>
        <w:spacing w:after="0" w:line="240" w:lineRule="auto"/>
        <w:ind w:left="0"/>
        <w:contextualSpacing w:val="0"/>
        <w:jc w:val="both"/>
        <w:rPr>
          <w:rFonts w:ascii="Verdana" w:hAnsi="Verdana"/>
          <w:sz w:val="20"/>
          <w:szCs w:val="20"/>
          <w:lang w:val="es-PA"/>
        </w:rPr>
      </w:pPr>
    </w:p>
    <w:p w:rsidR="00446CF9"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E</w:t>
      </w:r>
      <w:r w:rsidRPr="004F640F">
        <w:rPr>
          <w:rFonts w:ascii="Verdana" w:hAnsi="Verdana"/>
          <w:sz w:val="20"/>
          <w:szCs w:val="20"/>
          <w:lang w:val="es-PA"/>
        </w:rPr>
        <w:t>n el párrafo</w:t>
      </w:r>
      <w:r>
        <w:rPr>
          <w:rFonts w:ascii="Verdana" w:hAnsi="Verdana"/>
          <w:sz w:val="20"/>
          <w:szCs w:val="20"/>
          <w:lang w:val="es-PA"/>
        </w:rPr>
        <w:t xml:space="preserve"> 368, l</w:t>
      </w:r>
      <w:r w:rsidRPr="004F640F">
        <w:rPr>
          <w:rFonts w:ascii="Verdana" w:hAnsi="Verdana"/>
          <w:sz w:val="20"/>
          <w:szCs w:val="20"/>
          <w:lang w:val="es-PA"/>
        </w:rPr>
        <w:t xml:space="preserve">a </w:t>
      </w:r>
      <w:r>
        <w:rPr>
          <w:rFonts w:ascii="Verdana" w:hAnsi="Verdana"/>
          <w:sz w:val="20"/>
          <w:szCs w:val="20"/>
          <w:lang w:val="es-PA"/>
        </w:rPr>
        <w:t>S</w:t>
      </w:r>
      <w:r w:rsidRPr="004F640F">
        <w:rPr>
          <w:rFonts w:ascii="Verdana" w:hAnsi="Verdana"/>
          <w:sz w:val="20"/>
          <w:szCs w:val="20"/>
          <w:lang w:val="es-PA"/>
        </w:rPr>
        <w:t xml:space="preserve">entencia </w:t>
      </w:r>
      <w:r>
        <w:rPr>
          <w:rFonts w:ascii="Verdana" w:hAnsi="Verdana"/>
          <w:sz w:val="20"/>
          <w:szCs w:val="20"/>
          <w:lang w:val="es-PA"/>
        </w:rPr>
        <w:t>estableció</w:t>
      </w:r>
      <w:r w:rsidRPr="004F640F">
        <w:rPr>
          <w:rFonts w:ascii="Verdana" w:hAnsi="Verdana"/>
          <w:sz w:val="20"/>
          <w:szCs w:val="20"/>
          <w:lang w:val="es-PA"/>
        </w:rPr>
        <w:t xml:space="preserve"> que si </w:t>
      </w:r>
      <w:r w:rsidRPr="00C06052">
        <w:rPr>
          <w:rFonts w:ascii="Verdana" w:hAnsi="Verdana"/>
          <w:sz w:val="20"/>
          <w:szCs w:val="20"/>
        </w:rPr>
        <w:t>el Estado incurriera en mora, deberá pagar un interés sobre la cantidad adeudada, correspondiente al interés bancario moratorio en la República Federativa de Brasil</w:t>
      </w:r>
      <w:r w:rsidRPr="004F640F">
        <w:rPr>
          <w:rFonts w:ascii="Verdana" w:hAnsi="Verdana"/>
          <w:sz w:val="20"/>
          <w:szCs w:val="20"/>
          <w:lang w:val="es-PA"/>
        </w:rPr>
        <w:t xml:space="preserve">. </w:t>
      </w:r>
    </w:p>
    <w:p w:rsidR="00446CF9" w:rsidRDefault="00446CF9" w:rsidP="00A82FB4">
      <w:pPr>
        <w:pStyle w:val="ListParagraph"/>
        <w:spacing w:after="0" w:line="240" w:lineRule="auto"/>
        <w:ind w:left="0"/>
        <w:contextualSpacing w:val="0"/>
        <w:jc w:val="both"/>
        <w:rPr>
          <w:rFonts w:ascii="Verdana" w:hAnsi="Verdana"/>
          <w:sz w:val="20"/>
          <w:szCs w:val="20"/>
          <w:lang w:val="es-PA"/>
        </w:rPr>
      </w:pPr>
    </w:p>
    <w:p w:rsidR="0074017B" w:rsidRPr="00E66658"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E66658">
        <w:rPr>
          <w:rFonts w:ascii="Verdana" w:hAnsi="Verdana"/>
          <w:sz w:val="20"/>
          <w:szCs w:val="20"/>
          <w:lang w:val="es-PA"/>
        </w:rPr>
        <w:t xml:space="preserve">El </w:t>
      </w:r>
      <w:r w:rsidRPr="00E66658">
        <w:rPr>
          <w:rFonts w:ascii="Verdana" w:hAnsi="Verdana"/>
          <w:b/>
          <w:i/>
          <w:sz w:val="20"/>
          <w:szCs w:val="20"/>
          <w:lang w:val="es-PA"/>
        </w:rPr>
        <w:t>Estado</w:t>
      </w:r>
      <w:r w:rsidRPr="00E66658">
        <w:rPr>
          <w:rFonts w:ascii="Verdana" w:hAnsi="Verdana"/>
          <w:sz w:val="20"/>
          <w:szCs w:val="20"/>
          <w:lang w:val="es-PA"/>
        </w:rPr>
        <w:t xml:space="preserve"> solicitó aclaración sobre si el pago del interés</w:t>
      </w:r>
      <w:r w:rsidRPr="007573A6">
        <w:rPr>
          <w:rFonts w:ascii="Verdana" w:hAnsi="Verdana"/>
          <w:sz w:val="20"/>
          <w:szCs w:val="20"/>
          <w:lang w:val="es-PA"/>
        </w:rPr>
        <w:t xml:space="preserve"> moratorio debe incidir sobre el valor de la indemnización</w:t>
      </w:r>
      <w:r w:rsidRPr="00B02AFF">
        <w:rPr>
          <w:rFonts w:ascii="Verdana" w:hAnsi="Verdana"/>
          <w:sz w:val="20"/>
          <w:szCs w:val="20"/>
          <w:lang w:val="es-PA"/>
        </w:rPr>
        <w:t xml:space="preserve"> ya convertido a reales, en la fecha en que se inicie la eventual mora</w:t>
      </w:r>
      <w:r w:rsidR="00E66658" w:rsidRPr="00B02AFF">
        <w:rPr>
          <w:rFonts w:ascii="Verdana" w:hAnsi="Verdana"/>
          <w:sz w:val="20"/>
          <w:szCs w:val="20"/>
          <w:lang w:val="es-PA"/>
        </w:rPr>
        <w:t>. Aclaró que se trata de una precaución con el objetivo de evitar una interpretación que resulte en la aplicación de intereses previstos para</w:t>
      </w:r>
      <w:r w:rsidR="00E66658" w:rsidRPr="00E66658">
        <w:rPr>
          <w:rFonts w:ascii="Verdana" w:hAnsi="Verdana"/>
          <w:sz w:val="20"/>
          <w:szCs w:val="20"/>
          <w:lang w:val="es-PA"/>
        </w:rPr>
        <w:t xml:space="preserve"> la moneda nacional al dólar de los Estados Unidos de América.</w:t>
      </w:r>
      <w:r w:rsidR="00446CF9" w:rsidRPr="00E66658">
        <w:rPr>
          <w:rFonts w:ascii="Verdana" w:hAnsi="Verdana"/>
          <w:sz w:val="20"/>
          <w:szCs w:val="20"/>
          <w:lang w:val="es-PA"/>
        </w:rPr>
        <w:t xml:space="preserve"> </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74017B" w:rsidRPr="009C5449"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También sobre </w:t>
      </w:r>
      <w:r>
        <w:rPr>
          <w:rFonts w:ascii="Verdana" w:hAnsi="Verdana"/>
          <w:sz w:val="20"/>
          <w:szCs w:val="20"/>
          <w:lang w:val="es-PA"/>
        </w:rPr>
        <w:t>el interés</w:t>
      </w:r>
      <w:r w:rsidRPr="009C5449">
        <w:rPr>
          <w:rFonts w:ascii="Verdana" w:hAnsi="Verdana"/>
          <w:sz w:val="20"/>
          <w:szCs w:val="20"/>
          <w:lang w:val="es-PA"/>
        </w:rPr>
        <w:t>, el Estado observó que el artículo 68.2 de la Convención Americana dispone que la parte del fallo que disponga indemnización compensatoria se podrá ejecutar en el respectivo país por el procedimiento interno vigente para la ejecución de sentencias contra el Estado y que, en ese proceso interno, el ente público (Hacienda Pública) fija el interés moratorio según la remuneración de la cuenta de ahorro, de conformidad con el artículo 1-F de la Ley 9.494/1997. En vista de lo anterior, el Estado también solicitó que se aclare que la expresión “inter</w:t>
      </w:r>
      <w:r w:rsidR="008B0095">
        <w:rPr>
          <w:rFonts w:ascii="Verdana" w:hAnsi="Verdana"/>
          <w:sz w:val="20"/>
          <w:szCs w:val="20"/>
          <w:lang w:val="es-PA"/>
        </w:rPr>
        <w:t>eses</w:t>
      </w:r>
      <w:r w:rsidRPr="009C5449">
        <w:rPr>
          <w:rFonts w:ascii="Verdana" w:hAnsi="Verdana"/>
          <w:sz w:val="20"/>
          <w:szCs w:val="20"/>
          <w:lang w:val="es-PA"/>
        </w:rPr>
        <w:t xml:space="preserve"> </w:t>
      </w:r>
      <w:r w:rsidR="008B0095">
        <w:rPr>
          <w:rFonts w:ascii="Verdana" w:hAnsi="Verdana"/>
          <w:sz w:val="20"/>
          <w:szCs w:val="20"/>
          <w:lang w:val="es-PA"/>
        </w:rPr>
        <w:t xml:space="preserve">de mora </w:t>
      </w:r>
      <w:r w:rsidRPr="009C5449">
        <w:rPr>
          <w:rFonts w:ascii="Verdana" w:hAnsi="Verdana"/>
          <w:sz w:val="20"/>
          <w:szCs w:val="20"/>
          <w:lang w:val="es-PA"/>
        </w:rPr>
        <w:t xml:space="preserve">bancario”, citada en el </w:t>
      </w:r>
      <w:r w:rsidRPr="009C5449">
        <w:rPr>
          <w:rFonts w:ascii="Verdana" w:hAnsi="Verdana"/>
          <w:sz w:val="20"/>
          <w:szCs w:val="20"/>
          <w:lang w:val="es-PA"/>
        </w:rPr>
        <w:lastRenderedPageBreak/>
        <w:t xml:space="preserve">mismo párrafo </w:t>
      </w:r>
      <w:r w:rsidR="008B0095">
        <w:rPr>
          <w:rFonts w:ascii="Verdana" w:hAnsi="Verdana"/>
          <w:sz w:val="20"/>
          <w:szCs w:val="20"/>
          <w:lang w:val="es-PA"/>
        </w:rPr>
        <w:t>368</w:t>
      </w:r>
      <w:r w:rsidR="008B0095" w:rsidRPr="009C5449">
        <w:rPr>
          <w:rFonts w:ascii="Verdana" w:hAnsi="Verdana"/>
          <w:sz w:val="20"/>
          <w:szCs w:val="20"/>
          <w:lang w:val="es-PA"/>
        </w:rPr>
        <w:t xml:space="preserve"> </w:t>
      </w:r>
      <w:r w:rsidRPr="009C5449">
        <w:rPr>
          <w:rFonts w:ascii="Verdana" w:hAnsi="Verdana"/>
          <w:sz w:val="20"/>
          <w:szCs w:val="20"/>
          <w:lang w:val="es-PA"/>
        </w:rPr>
        <w:t xml:space="preserve">de la </w:t>
      </w:r>
      <w:r>
        <w:rPr>
          <w:rFonts w:ascii="Verdana" w:hAnsi="Verdana"/>
          <w:sz w:val="20"/>
          <w:szCs w:val="20"/>
          <w:lang w:val="es-PA"/>
        </w:rPr>
        <w:t>S</w:t>
      </w:r>
      <w:r w:rsidRPr="009C5449">
        <w:rPr>
          <w:rFonts w:ascii="Verdana" w:hAnsi="Verdana"/>
          <w:sz w:val="20"/>
          <w:szCs w:val="20"/>
          <w:lang w:val="es-PA"/>
        </w:rPr>
        <w:t>entencia, deba ser interpretada en consonancia con la legislación interna aplicable a las entidades públicas.</w:t>
      </w:r>
    </w:p>
    <w:p w:rsidR="0074017B" w:rsidRPr="0028163D" w:rsidRDefault="0074017B" w:rsidP="00A82FB4">
      <w:pPr>
        <w:pStyle w:val="ListParagraph"/>
        <w:rPr>
          <w:rFonts w:ascii="Verdana" w:hAnsi="Verdana"/>
          <w:sz w:val="20"/>
          <w:szCs w:val="20"/>
          <w:lang w:val="es-AR"/>
        </w:rPr>
      </w:pPr>
      <w:r w:rsidRPr="0028163D">
        <w:rPr>
          <w:rFonts w:ascii="Verdana" w:hAnsi="Verdana"/>
          <w:sz w:val="20"/>
          <w:szCs w:val="20"/>
          <w:lang w:val="es-AR"/>
        </w:rPr>
        <w:tab/>
      </w:r>
    </w:p>
    <w:p w:rsidR="008B0095" w:rsidRPr="00E048DB"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AR"/>
        </w:rPr>
      </w:pPr>
      <w:r w:rsidRPr="0028163D">
        <w:rPr>
          <w:rFonts w:ascii="Verdana" w:hAnsi="Verdana"/>
          <w:sz w:val="20"/>
          <w:szCs w:val="20"/>
          <w:lang w:val="es-AR"/>
        </w:rPr>
        <w:t xml:space="preserve">Los </w:t>
      </w:r>
      <w:r w:rsidRPr="0028163D">
        <w:rPr>
          <w:rFonts w:ascii="Verdana" w:hAnsi="Verdana"/>
          <w:b/>
          <w:i/>
          <w:sz w:val="20"/>
          <w:szCs w:val="20"/>
          <w:lang w:val="es-AR"/>
        </w:rPr>
        <w:t>representantes</w:t>
      </w:r>
      <w:r w:rsidRPr="0028163D">
        <w:rPr>
          <w:rFonts w:ascii="Verdana" w:hAnsi="Verdana"/>
          <w:sz w:val="20"/>
          <w:szCs w:val="20"/>
          <w:lang w:val="es-AR"/>
        </w:rPr>
        <w:t xml:space="preserve"> y la </w:t>
      </w:r>
      <w:r w:rsidRPr="0028163D">
        <w:rPr>
          <w:rFonts w:ascii="Verdana" w:hAnsi="Verdana"/>
          <w:b/>
          <w:i/>
          <w:sz w:val="20"/>
          <w:szCs w:val="20"/>
          <w:lang w:val="es-AR"/>
        </w:rPr>
        <w:t>Comisión</w:t>
      </w:r>
      <w:r w:rsidRPr="0028163D">
        <w:rPr>
          <w:rFonts w:ascii="Verdana" w:hAnsi="Verdana"/>
          <w:sz w:val="20"/>
          <w:szCs w:val="20"/>
          <w:lang w:val="es-AR"/>
        </w:rPr>
        <w:t xml:space="preserve"> </w:t>
      </w:r>
      <w:r w:rsidR="008B0095" w:rsidRPr="0028163D">
        <w:rPr>
          <w:rFonts w:ascii="Verdana" w:hAnsi="Verdana"/>
          <w:sz w:val="20"/>
          <w:szCs w:val="20"/>
          <w:lang w:val="es-AR"/>
        </w:rPr>
        <w:t xml:space="preserve"> reiteraron </w:t>
      </w:r>
      <w:r w:rsidR="008B0095" w:rsidRPr="005E5AAB">
        <w:rPr>
          <w:rFonts w:ascii="Verdana" w:hAnsi="Verdana"/>
          <w:sz w:val="20"/>
          <w:szCs w:val="20"/>
          <w:lang w:val="es-AR"/>
        </w:rPr>
        <w:t xml:space="preserve">que </w:t>
      </w:r>
      <w:r w:rsidR="00C26035">
        <w:rPr>
          <w:rFonts w:ascii="Verdana" w:hAnsi="Verdana"/>
          <w:sz w:val="20"/>
          <w:szCs w:val="20"/>
          <w:lang w:val="es-AR"/>
        </w:rPr>
        <w:t xml:space="preserve">la </w:t>
      </w:r>
      <w:r w:rsidR="008B0095" w:rsidRPr="0028163D">
        <w:rPr>
          <w:rFonts w:ascii="Verdana" w:hAnsi="Verdana"/>
          <w:sz w:val="20"/>
          <w:szCs w:val="20"/>
          <w:lang w:val="es-AR"/>
        </w:rPr>
        <w:t xml:space="preserve">Corte </w:t>
      </w:r>
      <w:r w:rsidR="00C26035">
        <w:rPr>
          <w:rFonts w:ascii="Verdana" w:hAnsi="Verdana"/>
          <w:sz w:val="20"/>
          <w:szCs w:val="20"/>
          <w:lang w:val="es-AR"/>
        </w:rPr>
        <w:t xml:space="preserve">resolvió el mismo planteamiento del Estado en </w:t>
      </w:r>
      <w:r w:rsidR="005E5AAB" w:rsidRPr="0028163D">
        <w:rPr>
          <w:rFonts w:ascii="Verdana" w:hAnsi="Verdana"/>
          <w:sz w:val="20"/>
          <w:szCs w:val="20"/>
          <w:lang w:val="es-AR"/>
        </w:rPr>
        <w:t>la Sentencia de Interpretaci</w:t>
      </w:r>
      <w:r w:rsidR="00C26035">
        <w:rPr>
          <w:rFonts w:ascii="Verdana" w:hAnsi="Verdana"/>
          <w:sz w:val="20"/>
          <w:szCs w:val="20"/>
          <w:lang w:val="es-AR"/>
        </w:rPr>
        <w:t>ó</w:t>
      </w:r>
      <w:r w:rsidR="005E5AAB" w:rsidRPr="0028163D">
        <w:rPr>
          <w:rFonts w:ascii="Verdana" w:hAnsi="Verdana"/>
          <w:sz w:val="20"/>
          <w:szCs w:val="20"/>
          <w:lang w:val="es-AR"/>
        </w:rPr>
        <w:t>n de</w:t>
      </w:r>
      <w:r w:rsidR="00C26035">
        <w:rPr>
          <w:rFonts w:ascii="Verdana" w:hAnsi="Verdana"/>
          <w:sz w:val="20"/>
          <w:szCs w:val="20"/>
          <w:lang w:val="es-AR"/>
        </w:rPr>
        <w:t xml:space="preserve">l Caso </w:t>
      </w:r>
      <w:r w:rsidR="005E5AAB" w:rsidRPr="0028163D">
        <w:rPr>
          <w:rFonts w:ascii="Verdana" w:hAnsi="Verdana"/>
          <w:sz w:val="20"/>
          <w:szCs w:val="20"/>
          <w:lang w:val="es-AR"/>
        </w:rPr>
        <w:t>Trabajadores de la Hacienda Brasil Verde</w:t>
      </w:r>
      <w:r w:rsidR="00C26035">
        <w:rPr>
          <w:rFonts w:ascii="Verdana" w:hAnsi="Verdana"/>
          <w:sz w:val="20"/>
          <w:szCs w:val="20"/>
          <w:lang w:val="es-AR"/>
        </w:rPr>
        <w:t>, de manera que la Corte podría reiterar sus consideraciones al respecto.</w:t>
      </w:r>
    </w:p>
    <w:p w:rsidR="0074017B" w:rsidRPr="0028163D" w:rsidRDefault="0074017B" w:rsidP="00A82FB4">
      <w:pPr>
        <w:pStyle w:val="ListParagraph"/>
        <w:spacing w:after="0" w:line="240" w:lineRule="auto"/>
        <w:ind w:left="0"/>
        <w:contextualSpacing w:val="0"/>
        <w:jc w:val="both"/>
        <w:rPr>
          <w:rFonts w:ascii="Verdana" w:hAnsi="Verdana"/>
          <w:i/>
          <w:color w:val="FF0000"/>
          <w:sz w:val="20"/>
          <w:szCs w:val="20"/>
          <w:lang w:val="es-PA"/>
        </w:rPr>
      </w:pPr>
    </w:p>
    <w:p w:rsidR="0074017B" w:rsidRPr="0028163D" w:rsidRDefault="00FC2D19" w:rsidP="00A82FB4">
      <w:pPr>
        <w:pStyle w:val="ListParagraph"/>
        <w:spacing w:after="0" w:line="240" w:lineRule="auto"/>
        <w:ind w:left="0" w:firstLine="708"/>
        <w:contextualSpacing w:val="0"/>
        <w:jc w:val="both"/>
        <w:rPr>
          <w:rFonts w:ascii="Verdana" w:hAnsi="Verdana"/>
          <w:i/>
          <w:sz w:val="20"/>
          <w:szCs w:val="20"/>
          <w:lang w:val="es-PA"/>
        </w:rPr>
      </w:pPr>
      <w:r w:rsidRPr="0028163D">
        <w:rPr>
          <w:rFonts w:ascii="Verdana" w:hAnsi="Verdana"/>
          <w:i/>
          <w:sz w:val="20"/>
          <w:szCs w:val="20"/>
          <w:lang w:val="es-PA"/>
        </w:rPr>
        <w:t xml:space="preserve">D.3.2. </w:t>
      </w:r>
      <w:r w:rsidR="0074017B" w:rsidRPr="0028163D">
        <w:rPr>
          <w:rFonts w:ascii="Verdana" w:hAnsi="Verdana"/>
          <w:i/>
          <w:sz w:val="20"/>
          <w:szCs w:val="20"/>
          <w:lang w:val="es-PA"/>
        </w:rPr>
        <w:t>Consideraciones de la Corte</w:t>
      </w:r>
    </w:p>
    <w:p w:rsidR="0074017B" w:rsidRPr="004F640F" w:rsidRDefault="0074017B" w:rsidP="00A82FB4">
      <w:pPr>
        <w:pStyle w:val="ListParagraph"/>
        <w:spacing w:after="0" w:line="240" w:lineRule="auto"/>
        <w:ind w:left="0"/>
        <w:contextualSpacing w:val="0"/>
        <w:jc w:val="both"/>
        <w:rPr>
          <w:rFonts w:ascii="Verdana" w:hAnsi="Verdana"/>
          <w:sz w:val="20"/>
          <w:szCs w:val="20"/>
          <w:lang w:val="es-PA"/>
        </w:rPr>
      </w:pPr>
    </w:p>
    <w:p w:rsidR="00DD19A2" w:rsidRPr="00DD19A2" w:rsidRDefault="0074017B" w:rsidP="00A82FB4">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De acuerdo con el párrafo</w:t>
      </w:r>
      <w:r>
        <w:rPr>
          <w:rFonts w:ascii="Verdana" w:hAnsi="Verdana"/>
          <w:sz w:val="20"/>
          <w:szCs w:val="20"/>
          <w:lang w:val="es-PA"/>
        </w:rPr>
        <w:t xml:space="preserve"> 368</w:t>
      </w:r>
      <w:r w:rsidRPr="004F640F">
        <w:rPr>
          <w:rFonts w:ascii="Verdana" w:hAnsi="Verdana"/>
          <w:sz w:val="20"/>
          <w:szCs w:val="20"/>
          <w:lang w:val="es-PA"/>
        </w:rPr>
        <w:t xml:space="preserve"> de la Sentencia de la Corte:</w:t>
      </w:r>
    </w:p>
    <w:p w:rsidR="0074017B" w:rsidRPr="004F640F" w:rsidRDefault="0074017B" w:rsidP="00A82FB4">
      <w:pPr>
        <w:pStyle w:val="ListParagraph"/>
        <w:autoSpaceDE w:val="0"/>
        <w:autoSpaceDN w:val="0"/>
        <w:adjustRightInd w:val="0"/>
        <w:spacing w:after="0" w:line="240" w:lineRule="auto"/>
        <w:ind w:left="0"/>
        <w:contextualSpacing w:val="0"/>
        <w:jc w:val="both"/>
        <w:rPr>
          <w:rFonts w:ascii="Verdana" w:eastAsiaTheme="minorHAnsi" w:hAnsi="Verdana" w:cs="Verdana"/>
          <w:sz w:val="18"/>
          <w:szCs w:val="18"/>
          <w:lang w:val="es-PA"/>
        </w:rPr>
      </w:pPr>
    </w:p>
    <w:p w:rsidR="00E66658" w:rsidRDefault="0074017B" w:rsidP="00A82FB4">
      <w:pPr>
        <w:pStyle w:val="ListParagraph"/>
        <w:spacing w:after="0" w:line="240" w:lineRule="auto"/>
        <w:jc w:val="both"/>
        <w:rPr>
          <w:rFonts w:ascii="Verdana" w:hAnsi="Verdana"/>
          <w:b/>
          <w:sz w:val="20"/>
          <w:szCs w:val="20"/>
          <w:lang w:val="es-DO"/>
        </w:rPr>
      </w:pPr>
      <w:r w:rsidRPr="0028163D">
        <w:rPr>
          <w:rFonts w:ascii="Verdana" w:hAnsi="Verdana"/>
          <w:sz w:val="20"/>
          <w:szCs w:val="20"/>
          <w:lang w:val="es-DO"/>
        </w:rPr>
        <w:t xml:space="preserve">En caso de que el Estado incurriera en mora, deberá pagar un interés sobre la cantidad adeudada, correspondiente al interés bancario moratorio en la República Federativa de Brasil. </w:t>
      </w:r>
    </w:p>
    <w:p w:rsidR="00E66658" w:rsidRDefault="00E66658" w:rsidP="00A82FB4">
      <w:pPr>
        <w:pStyle w:val="ListParagraph"/>
        <w:spacing w:after="0" w:line="240" w:lineRule="auto"/>
        <w:jc w:val="both"/>
        <w:rPr>
          <w:rFonts w:ascii="Verdana" w:hAnsi="Verdana"/>
          <w:b/>
          <w:sz w:val="20"/>
          <w:szCs w:val="20"/>
          <w:lang w:val="es-DO"/>
        </w:rPr>
      </w:pPr>
    </w:p>
    <w:p w:rsidR="00E66658" w:rsidRPr="00E66658" w:rsidRDefault="00DD19A2" w:rsidP="00A82FB4">
      <w:pPr>
        <w:pStyle w:val="ListParagraph"/>
        <w:numPr>
          <w:ilvl w:val="0"/>
          <w:numId w:val="2"/>
        </w:numPr>
        <w:tabs>
          <w:tab w:val="clear" w:pos="1247"/>
        </w:tabs>
        <w:spacing w:after="0" w:line="240" w:lineRule="auto"/>
        <w:jc w:val="both"/>
        <w:rPr>
          <w:rFonts w:ascii="Verdana" w:hAnsi="Verdana"/>
          <w:sz w:val="20"/>
          <w:szCs w:val="20"/>
          <w:lang w:val="es-PA"/>
        </w:rPr>
      </w:pPr>
      <w:r w:rsidRPr="0028163D">
        <w:rPr>
          <w:rFonts w:ascii="Verdana" w:hAnsi="Verdana"/>
          <w:sz w:val="20"/>
          <w:szCs w:val="20"/>
          <w:lang w:val="es-DO"/>
        </w:rPr>
        <w:t xml:space="preserve">En </w:t>
      </w:r>
      <w:r w:rsidR="0074017B" w:rsidRPr="0028163D">
        <w:rPr>
          <w:rFonts w:ascii="Verdana" w:eastAsiaTheme="minorHAnsi" w:hAnsi="Verdana" w:cs="Verdana"/>
          <w:color w:val="000000"/>
          <w:sz w:val="20"/>
          <w:szCs w:val="20"/>
          <w:lang w:val="es-PA"/>
        </w:rPr>
        <w:t>lo que se refiere a la primera parte de la consulta del Estado, la Corte aclara que el párrafo 368 debe ser interpretado en consonancia con el párrafo 365, el cual determina cómo será efectuado el pago de la indemnización en</w:t>
      </w:r>
      <w:r w:rsidR="007D110F" w:rsidRPr="0028163D">
        <w:rPr>
          <w:rFonts w:ascii="Verdana" w:eastAsiaTheme="minorHAnsi" w:hAnsi="Verdana" w:cs="Verdana"/>
          <w:color w:val="000000"/>
          <w:sz w:val="20"/>
          <w:szCs w:val="20"/>
          <w:lang w:val="es-PA"/>
        </w:rPr>
        <w:t xml:space="preserve"> </w:t>
      </w:r>
      <w:r w:rsidR="0074017B" w:rsidRPr="0028163D">
        <w:rPr>
          <w:rFonts w:ascii="Verdana" w:eastAsiaTheme="minorHAnsi" w:hAnsi="Verdana" w:cs="Verdana"/>
          <w:color w:val="000000"/>
          <w:sz w:val="20"/>
          <w:szCs w:val="20"/>
          <w:lang w:val="es-PA"/>
        </w:rPr>
        <w:t>moneda brasileña. De esta forma, el pago del interés moratorio debe ser calculado sobre</w:t>
      </w:r>
      <w:r w:rsidR="002D3285" w:rsidRPr="0028163D">
        <w:rPr>
          <w:rFonts w:ascii="Verdana" w:eastAsiaTheme="minorHAnsi" w:hAnsi="Verdana" w:cs="Verdana"/>
          <w:color w:val="000000"/>
          <w:sz w:val="20"/>
          <w:szCs w:val="20"/>
          <w:lang w:val="es-PA"/>
        </w:rPr>
        <w:t xml:space="preserve"> </w:t>
      </w:r>
      <w:r w:rsidR="0074017B" w:rsidRPr="0028163D">
        <w:rPr>
          <w:rFonts w:ascii="Verdana" w:eastAsiaTheme="minorHAnsi" w:hAnsi="Verdana" w:cs="Verdana"/>
          <w:color w:val="000000"/>
          <w:sz w:val="20"/>
          <w:szCs w:val="20"/>
          <w:lang w:val="es-PA"/>
        </w:rPr>
        <w:t xml:space="preserve">el valor en reales, una vez que los valores determinados en la Sentencia hayan sido convertidos de dólar estadunidense a real brasileño. </w:t>
      </w:r>
    </w:p>
    <w:p w:rsidR="00E66658" w:rsidRPr="00E66658" w:rsidRDefault="00E66658" w:rsidP="00A82FB4">
      <w:pPr>
        <w:pStyle w:val="ListParagraph"/>
        <w:spacing w:after="0" w:line="240" w:lineRule="auto"/>
        <w:ind w:left="0"/>
        <w:jc w:val="both"/>
        <w:rPr>
          <w:rFonts w:ascii="Verdana" w:hAnsi="Verdana"/>
          <w:sz w:val="20"/>
          <w:szCs w:val="20"/>
          <w:lang w:val="es-PA"/>
        </w:rPr>
      </w:pPr>
    </w:p>
    <w:p w:rsidR="00456D6E" w:rsidRPr="0028163D" w:rsidRDefault="0074017B" w:rsidP="00A82FB4">
      <w:pPr>
        <w:pStyle w:val="ListParagraph"/>
        <w:numPr>
          <w:ilvl w:val="0"/>
          <w:numId w:val="2"/>
        </w:numPr>
        <w:tabs>
          <w:tab w:val="clear" w:pos="1247"/>
        </w:tabs>
        <w:spacing w:after="0" w:line="240" w:lineRule="auto"/>
        <w:jc w:val="both"/>
        <w:rPr>
          <w:rFonts w:ascii="Verdana" w:hAnsi="Verdana"/>
          <w:sz w:val="20"/>
          <w:szCs w:val="20"/>
          <w:lang w:val="es-PA"/>
        </w:rPr>
      </w:pPr>
      <w:r w:rsidRPr="002F12D8">
        <w:rPr>
          <w:rFonts w:ascii="Verdana" w:hAnsi="Verdana"/>
          <w:sz w:val="20"/>
          <w:szCs w:val="20"/>
          <w:lang w:val="es-PA"/>
        </w:rPr>
        <w:t xml:space="preserve">Sin perjuicio de lo anterior, la Corte considera que la segunda parte </w:t>
      </w:r>
      <w:r>
        <w:rPr>
          <w:rFonts w:ascii="Verdana" w:hAnsi="Verdana"/>
          <w:sz w:val="20"/>
          <w:szCs w:val="20"/>
          <w:lang w:val="es-PA"/>
        </w:rPr>
        <w:t>de la solicitud</w:t>
      </w:r>
      <w:r w:rsidRPr="002F12D8">
        <w:rPr>
          <w:rFonts w:ascii="Verdana" w:hAnsi="Verdana"/>
          <w:sz w:val="20"/>
          <w:szCs w:val="20"/>
          <w:lang w:val="es-PA"/>
        </w:rPr>
        <w:t xml:space="preserve"> del Estado, en relación</w:t>
      </w:r>
      <w:r>
        <w:rPr>
          <w:rFonts w:ascii="Verdana" w:hAnsi="Verdana"/>
          <w:sz w:val="20"/>
          <w:szCs w:val="20"/>
          <w:lang w:val="es-PA"/>
        </w:rPr>
        <w:t xml:space="preserve"> al tipo de interés</w:t>
      </w:r>
      <w:r w:rsidRPr="002F12D8">
        <w:rPr>
          <w:rFonts w:ascii="Verdana" w:hAnsi="Verdana"/>
          <w:sz w:val="20"/>
          <w:szCs w:val="20"/>
          <w:lang w:val="es-PA"/>
        </w:rPr>
        <w:t xml:space="preserve"> bancario</w:t>
      </w:r>
      <w:r>
        <w:rPr>
          <w:rFonts w:ascii="Verdana" w:hAnsi="Verdana"/>
          <w:sz w:val="20"/>
          <w:szCs w:val="20"/>
          <w:lang w:val="es-PA"/>
        </w:rPr>
        <w:t xml:space="preserve"> aplicable</w:t>
      </w:r>
      <w:r w:rsidRPr="002F12D8">
        <w:rPr>
          <w:rFonts w:ascii="Verdana" w:hAnsi="Verdana"/>
          <w:sz w:val="20"/>
          <w:szCs w:val="20"/>
          <w:lang w:val="es-PA"/>
        </w:rPr>
        <w:t xml:space="preserve"> sobre el valor en mora es un aspecto referente</w:t>
      </w:r>
      <w:r w:rsidRPr="004F640F">
        <w:rPr>
          <w:rFonts w:ascii="Verdana" w:hAnsi="Verdana"/>
          <w:sz w:val="20"/>
          <w:szCs w:val="20"/>
          <w:lang w:val="es-PA"/>
        </w:rPr>
        <w:t xml:space="preserve"> a la supervisión del cumplimiento de la Sentencia y no debe ser objeto de una interpretación en abstracto por parte de la Corte Interamericana en esta Sentencia</w:t>
      </w:r>
      <w:r w:rsidR="00E66658" w:rsidRPr="00E048DB">
        <w:rPr>
          <w:rStyle w:val="FootnoteReference"/>
          <w:sz w:val="20"/>
          <w:szCs w:val="20"/>
          <w:lang w:val="es-PA"/>
        </w:rPr>
        <w:footnoteReference w:id="14"/>
      </w:r>
      <w:r w:rsidRPr="004F640F">
        <w:rPr>
          <w:rFonts w:ascii="Verdana" w:hAnsi="Verdana"/>
          <w:sz w:val="20"/>
          <w:szCs w:val="20"/>
          <w:lang w:val="es-PA"/>
        </w:rPr>
        <w:t xml:space="preserve">. </w:t>
      </w:r>
    </w:p>
    <w:p w:rsidR="00AE01F8" w:rsidRDefault="00AE01F8" w:rsidP="00A82FB4">
      <w:pPr>
        <w:autoSpaceDE w:val="0"/>
        <w:autoSpaceDN w:val="0"/>
        <w:adjustRightInd w:val="0"/>
        <w:spacing w:after="0" w:line="240" w:lineRule="auto"/>
        <w:jc w:val="both"/>
        <w:rPr>
          <w:rFonts w:ascii="Verdana" w:hAnsi="Verdana" w:cs="Verdana"/>
          <w:sz w:val="20"/>
          <w:szCs w:val="20"/>
          <w:lang w:val="es-PA"/>
        </w:rPr>
      </w:pPr>
    </w:p>
    <w:p w:rsidR="00AE01F8" w:rsidRPr="0028163D" w:rsidRDefault="00AE01F8" w:rsidP="00A82FB4">
      <w:pPr>
        <w:autoSpaceDE w:val="0"/>
        <w:autoSpaceDN w:val="0"/>
        <w:adjustRightInd w:val="0"/>
        <w:spacing w:after="0" w:line="240" w:lineRule="auto"/>
        <w:jc w:val="center"/>
        <w:rPr>
          <w:rFonts w:ascii="Verdana" w:hAnsi="Verdana" w:cs="Verdana"/>
          <w:b/>
          <w:sz w:val="20"/>
          <w:szCs w:val="20"/>
          <w:lang w:val="es-PA"/>
        </w:rPr>
      </w:pPr>
      <w:r w:rsidRPr="0028163D">
        <w:rPr>
          <w:rFonts w:ascii="Verdana" w:hAnsi="Verdana" w:cs="Verdana"/>
          <w:b/>
          <w:sz w:val="20"/>
          <w:szCs w:val="20"/>
          <w:lang w:val="es-PA"/>
        </w:rPr>
        <w:t>V</w:t>
      </w:r>
    </w:p>
    <w:p w:rsidR="00AE01F8" w:rsidRPr="0028163D" w:rsidRDefault="00AE01F8" w:rsidP="00A82FB4">
      <w:pPr>
        <w:autoSpaceDE w:val="0"/>
        <w:autoSpaceDN w:val="0"/>
        <w:adjustRightInd w:val="0"/>
        <w:spacing w:after="0" w:line="240" w:lineRule="auto"/>
        <w:jc w:val="center"/>
        <w:rPr>
          <w:rFonts w:ascii="Verdana" w:hAnsi="Verdana" w:cs="Verdana"/>
          <w:b/>
          <w:sz w:val="20"/>
          <w:szCs w:val="20"/>
          <w:lang w:val="es-PA"/>
        </w:rPr>
      </w:pPr>
      <w:r w:rsidRPr="0028163D">
        <w:rPr>
          <w:rFonts w:ascii="Verdana" w:hAnsi="Verdana" w:cs="Verdana"/>
          <w:b/>
          <w:sz w:val="20"/>
          <w:szCs w:val="20"/>
          <w:lang w:val="es-PA"/>
        </w:rPr>
        <w:t xml:space="preserve">PUNTOS RESOLUTIVOS </w:t>
      </w:r>
    </w:p>
    <w:p w:rsidR="00417352" w:rsidRPr="0028163D" w:rsidRDefault="00417352" w:rsidP="00CC395C">
      <w:pPr>
        <w:spacing w:after="0" w:line="240" w:lineRule="auto"/>
        <w:rPr>
          <w:rFonts w:ascii="Verdana" w:hAnsi="Verdana"/>
          <w:sz w:val="20"/>
          <w:szCs w:val="20"/>
        </w:rPr>
      </w:pPr>
    </w:p>
    <w:p w:rsidR="00417352" w:rsidRPr="00CC395C" w:rsidRDefault="00417352" w:rsidP="00CC395C">
      <w:pPr>
        <w:pStyle w:val="CommentText"/>
        <w:numPr>
          <w:ilvl w:val="0"/>
          <w:numId w:val="2"/>
        </w:numPr>
        <w:tabs>
          <w:tab w:val="clear" w:pos="1247"/>
          <w:tab w:val="num" w:pos="0"/>
        </w:tabs>
        <w:spacing w:after="0"/>
        <w:rPr>
          <w:rFonts w:ascii="Verdana" w:hAnsi="Verdana"/>
        </w:rPr>
      </w:pPr>
      <w:r w:rsidRPr="00CC395C">
        <w:rPr>
          <w:rFonts w:ascii="Verdana" w:hAnsi="Verdana"/>
        </w:rPr>
        <w:t xml:space="preserve">Por tanto, </w:t>
      </w:r>
    </w:p>
    <w:p w:rsidR="00CC395C" w:rsidRPr="0028163D" w:rsidRDefault="00CC395C" w:rsidP="00CC395C">
      <w:pPr>
        <w:spacing w:after="0" w:line="240" w:lineRule="auto"/>
        <w:rPr>
          <w:rFonts w:ascii="Verdana" w:hAnsi="Verdana"/>
          <w:sz w:val="20"/>
          <w:szCs w:val="20"/>
        </w:rPr>
      </w:pPr>
    </w:p>
    <w:p w:rsidR="00417352" w:rsidRDefault="00417352" w:rsidP="00CC395C">
      <w:pPr>
        <w:spacing w:after="0" w:line="240" w:lineRule="auto"/>
        <w:rPr>
          <w:rFonts w:ascii="Verdana" w:hAnsi="Verdana"/>
          <w:b/>
          <w:sz w:val="20"/>
          <w:szCs w:val="20"/>
        </w:rPr>
      </w:pPr>
      <w:r w:rsidRPr="0028163D">
        <w:rPr>
          <w:rFonts w:ascii="Verdana" w:hAnsi="Verdana"/>
          <w:b/>
          <w:sz w:val="20"/>
          <w:szCs w:val="20"/>
        </w:rPr>
        <w:t>LA CORTE,</w:t>
      </w:r>
    </w:p>
    <w:p w:rsidR="00CC395C" w:rsidRDefault="00CC395C" w:rsidP="00CC395C">
      <w:pPr>
        <w:spacing w:after="0" w:line="240" w:lineRule="auto"/>
        <w:rPr>
          <w:rFonts w:ascii="Verdana" w:hAnsi="Verdana"/>
          <w:sz w:val="20"/>
          <w:szCs w:val="20"/>
        </w:rPr>
      </w:pPr>
    </w:p>
    <w:p w:rsidR="00417352" w:rsidRDefault="00417352" w:rsidP="00CC395C">
      <w:pPr>
        <w:spacing w:after="0" w:line="240" w:lineRule="auto"/>
        <w:rPr>
          <w:rFonts w:ascii="Verdana" w:hAnsi="Verdana"/>
          <w:sz w:val="20"/>
          <w:szCs w:val="20"/>
        </w:rPr>
      </w:pPr>
      <w:r w:rsidRPr="0028163D">
        <w:rPr>
          <w:rFonts w:ascii="Verdana" w:hAnsi="Verdana"/>
          <w:sz w:val="20"/>
          <w:szCs w:val="20"/>
        </w:rPr>
        <w:t>de conformidad con el artículo 67 de la Convención Americana sobre Derechos Humanos y los artículos 31.3 y 68 del Reglamento,</w:t>
      </w:r>
    </w:p>
    <w:p w:rsidR="00CC395C" w:rsidRPr="0028163D" w:rsidRDefault="00CC395C" w:rsidP="00CC395C">
      <w:pPr>
        <w:spacing w:after="0" w:line="240" w:lineRule="auto"/>
        <w:rPr>
          <w:rFonts w:ascii="Verdana" w:hAnsi="Verdana"/>
          <w:sz w:val="20"/>
          <w:szCs w:val="20"/>
        </w:rPr>
      </w:pPr>
    </w:p>
    <w:p w:rsidR="00456D6E" w:rsidRPr="0028163D" w:rsidRDefault="00417352" w:rsidP="00CC395C">
      <w:pPr>
        <w:spacing w:after="0" w:line="240" w:lineRule="auto"/>
        <w:jc w:val="both"/>
        <w:rPr>
          <w:rFonts w:ascii="Verdana" w:hAnsi="Verdana"/>
          <w:b/>
          <w:sz w:val="20"/>
          <w:szCs w:val="20"/>
        </w:rPr>
      </w:pPr>
      <w:r w:rsidRPr="0028163D">
        <w:rPr>
          <w:rFonts w:ascii="Verdana" w:hAnsi="Verdana"/>
          <w:b/>
          <w:sz w:val="20"/>
          <w:szCs w:val="20"/>
        </w:rPr>
        <w:t>DECIDE:</w:t>
      </w:r>
    </w:p>
    <w:p w:rsidR="00CC395C" w:rsidRDefault="00CC395C" w:rsidP="00CC395C">
      <w:pPr>
        <w:spacing w:after="0" w:line="240" w:lineRule="auto"/>
        <w:jc w:val="both"/>
        <w:rPr>
          <w:rFonts w:ascii="Verdana" w:hAnsi="Verdana"/>
          <w:sz w:val="20"/>
          <w:szCs w:val="20"/>
        </w:rPr>
      </w:pPr>
    </w:p>
    <w:p w:rsidR="00F86BC7" w:rsidRDefault="00F86BC7" w:rsidP="00CC395C">
      <w:pPr>
        <w:spacing w:after="0" w:line="240" w:lineRule="auto"/>
        <w:jc w:val="both"/>
        <w:rPr>
          <w:rFonts w:ascii="Verdana" w:hAnsi="Verdana"/>
          <w:sz w:val="20"/>
          <w:szCs w:val="20"/>
        </w:rPr>
      </w:pPr>
      <w:r>
        <w:rPr>
          <w:rFonts w:ascii="Verdana" w:hAnsi="Verdana"/>
          <w:sz w:val="20"/>
          <w:szCs w:val="20"/>
        </w:rPr>
        <w:t>Por unanimidad,</w:t>
      </w:r>
    </w:p>
    <w:p w:rsidR="00F86BC7" w:rsidRDefault="00F86BC7" w:rsidP="00CC395C">
      <w:pPr>
        <w:spacing w:after="0" w:line="240" w:lineRule="auto"/>
        <w:jc w:val="both"/>
        <w:rPr>
          <w:rFonts w:ascii="Verdana" w:hAnsi="Verdana"/>
          <w:sz w:val="20"/>
          <w:szCs w:val="20"/>
        </w:rPr>
      </w:pPr>
    </w:p>
    <w:p w:rsidR="00F24042" w:rsidRPr="00CC395C" w:rsidRDefault="00F24042" w:rsidP="00CC395C">
      <w:pPr>
        <w:pStyle w:val="ListParagraph"/>
        <w:numPr>
          <w:ilvl w:val="0"/>
          <w:numId w:val="18"/>
        </w:numPr>
        <w:spacing w:after="0" w:line="240" w:lineRule="auto"/>
        <w:ind w:left="0" w:firstLine="0"/>
        <w:jc w:val="both"/>
        <w:rPr>
          <w:rFonts w:ascii="Verdana" w:hAnsi="Verdana"/>
          <w:sz w:val="20"/>
          <w:szCs w:val="20"/>
        </w:rPr>
      </w:pPr>
      <w:r w:rsidRPr="00CC395C">
        <w:rPr>
          <w:rFonts w:ascii="Verdana" w:hAnsi="Verdana"/>
          <w:sz w:val="20"/>
          <w:szCs w:val="20"/>
        </w:rPr>
        <w:t>Declarar admisible las solicitudes de interpretación de la Sentencia de Excepciones Preliminares, Fondo, Reparaciones y Costas en el presente caso, interpuesta</w:t>
      </w:r>
      <w:r w:rsidR="00DD19A2" w:rsidRPr="00CC395C">
        <w:rPr>
          <w:rFonts w:ascii="Verdana" w:hAnsi="Verdana"/>
          <w:sz w:val="20"/>
          <w:szCs w:val="20"/>
        </w:rPr>
        <w:t>s</w:t>
      </w:r>
      <w:r w:rsidRPr="00CC395C">
        <w:rPr>
          <w:rFonts w:ascii="Verdana" w:hAnsi="Verdana"/>
          <w:sz w:val="20"/>
          <w:szCs w:val="20"/>
        </w:rPr>
        <w:t xml:space="preserve"> por el Estado brasileño y por los representantes.  </w:t>
      </w:r>
    </w:p>
    <w:p w:rsidR="00CC395C" w:rsidRDefault="00CC395C" w:rsidP="00CC395C">
      <w:pPr>
        <w:spacing w:after="0" w:line="240" w:lineRule="auto"/>
        <w:jc w:val="both"/>
        <w:rPr>
          <w:rFonts w:ascii="Verdana" w:hAnsi="Verdana"/>
          <w:sz w:val="20"/>
          <w:szCs w:val="20"/>
        </w:rPr>
      </w:pPr>
    </w:p>
    <w:p w:rsidR="00CC395C" w:rsidRPr="00CC395C" w:rsidRDefault="007D110F" w:rsidP="00CC395C">
      <w:pPr>
        <w:pStyle w:val="ListParagraph"/>
        <w:numPr>
          <w:ilvl w:val="0"/>
          <w:numId w:val="18"/>
        </w:numPr>
        <w:spacing w:after="0" w:line="240" w:lineRule="auto"/>
        <w:ind w:left="0" w:firstLine="0"/>
        <w:jc w:val="both"/>
        <w:rPr>
          <w:rFonts w:ascii="Verdana" w:hAnsi="Verdana"/>
          <w:b/>
          <w:sz w:val="20"/>
          <w:szCs w:val="20"/>
          <w:lang w:val="es-PA"/>
        </w:rPr>
      </w:pPr>
      <w:r w:rsidRPr="00CC395C">
        <w:rPr>
          <w:rFonts w:ascii="Verdana" w:hAnsi="Verdana"/>
          <w:sz w:val="20"/>
          <w:szCs w:val="20"/>
        </w:rPr>
        <w:t>Determinar improcedente</w:t>
      </w:r>
      <w:r w:rsidR="00C847A0">
        <w:rPr>
          <w:rFonts w:ascii="Verdana" w:hAnsi="Verdana"/>
          <w:sz w:val="20"/>
          <w:szCs w:val="20"/>
        </w:rPr>
        <w:t>s</w:t>
      </w:r>
      <w:r w:rsidRPr="00CC395C">
        <w:rPr>
          <w:rFonts w:ascii="Verdana" w:hAnsi="Verdana"/>
          <w:sz w:val="20"/>
          <w:szCs w:val="20"/>
        </w:rPr>
        <w:t xml:space="preserve"> la</w:t>
      </w:r>
      <w:r w:rsidR="00DD19A2" w:rsidRPr="00CC395C">
        <w:rPr>
          <w:rFonts w:ascii="Verdana" w:hAnsi="Verdana"/>
          <w:sz w:val="20"/>
          <w:szCs w:val="20"/>
        </w:rPr>
        <w:t>s</w:t>
      </w:r>
      <w:r w:rsidRPr="00CC395C">
        <w:rPr>
          <w:rFonts w:ascii="Verdana" w:hAnsi="Verdana"/>
          <w:sz w:val="20"/>
          <w:szCs w:val="20"/>
        </w:rPr>
        <w:t xml:space="preserve"> solicitud</w:t>
      </w:r>
      <w:r w:rsidR="00DD19A2" w:rsidRPr="00CC395C">
        <w:rPr>
          <w:rFonts w:ascii="Verdana" w:hAnsi="Verdana"/>
          <w:sz w:val="20"/>
          <w:szCs w:val="20"/>
        </w:rPr>
        <w:t>es</w:t>
      </w:r>
      <w:r w:rsidRPr="00CC395C">
        <w:rPr>
          <w:rFonts w:ascii="Verdana" w:hAnsi="Verdana"/>
          <w:sz w:val="20"/>
          <w:szCs w:val="20"/>
        </w:rPr>
        <w:t xml:space="preserve"> de interpretación de la Sentencia de Excepciones Preliminares, Fondo, Reparaciones y Costas del Estado brasileño en lo que se refiere </w:t>
      </w:r>
      <w:r w:rsidR="00164617" w:rsidRPr="00CC395C">
        <w:rPr>
          <w:rFonts w:ascii="Verdana" w:hAnsi="Verdana"/>
          <w:sz w:val="20"/>
          <w:szCs w:val="20"/>
        </w:rPr>
        <w:t xml:space="preserve">i) </w:t>
      </w:r>
      <w:r w:rsidRPr="00CC395C">
        <w:rPr>
          <w:rFonts w:ascii="Verdana" w:hAnsi="Verdana"/>
          <w:sz w:val="20"/>
          <w:szCs w:val="20"/>
        </w:rPr>
        <w:t xml:space="preserve">a la adecuada representación de las víctimas, en los términos del párrafo </w:t>
      </w:r>
      <w:r w:rsidR="00ED7628" w:rsidRPr="00424953">
        <w:rPr>
          <w:rFonts w:ascii="Verdana" w:hAnsi="Verdana"/>
          <w:sz w:val="20"/>
          <w:szCs w:val="20"/>
        </w:rPr>
        <w:t>34</w:t>
      </w:r>
      <w:r w:rsidRPr="00424953">
        <w:rPr>
          <w:rFonts w:ascii="Verdana" w:hAnsi="Verdana"/>
          <w:sz w:val="20"/>
          <w:szCs w:val="20"/>
        </w:rPr>
        <w:t>,</w:t>
      </w:r>
      <w:r w:rsidRPr="00CC395C">
        <w:rPr>
          <w:rFonts w:ascii="Verdana" w:hAnsi="Verdana"/>
          <w:sz w:val="20"/>
          <w:szCs w:val="20"/>
        </w:rPr>
        <w:t xml:space="preserve"> </w:t>
      </w:r>
      <w:r w:rsidR="00164617" w:rsidRPr="00CC395C">
        <w:rPr>
          <w:rFonts w:ascii="Verdana" w:hAnsi="Verdana"/>
          <w:sz w:val="20"/>
          <w:szCs w:val="20"/>
        </w:rPr>
        <w:t xml:space="preserve">ii) </w:t>
      </w:r>
      <w:r w:rsidR="00CE295D" w:rsidRPr="00CC395C">
        <w:rPr>
          <w:rFonts w:ascii="Verdana" w:hAnsi="Verdana"/>
          <w:sz w:val="20"/>
          <w:szCs w:val="20"/>
        </w:rPr>
        <w:t xml:space="preserve">a </w:t>
      </w:r>
      <w:r w:rsidRPr="00CC395C">
        <w:rPr>
          <w:rFonts w:ascii="Verdana" w:hAnsi="Verdana"/>
          <w:sz w:val="20"/>
          <w:szCs w:val="20"/>
        </w:rPr>
        <w:t xml:space="preserve">la competencia </w:t>
      </w:r>
      <w:r w:rsidRPr="00CC395C">
        <w:rPr>
          <w:rFonts w:ascii="Verdana" w:hAnsi="Verdana"/>
          <w:i/>
          <w:sz w:val="20"/>
          <w:szCs w:val="20"/>
        </w:rPr>
        <w:t xml:space="preserve">ratione materiae, </w:t>
      </w:r>
      <w:r w:rsidRPr="00CC395C">
        <w:rPr>
          <w:rFonts w:ascii="Verdana" w:hAnsi="Verdana"/>
          <w:sz w:val="20"/>
          <w:szCs w:val="20"/>
        </w:rPr>
        <w:t xml:space="preserve">en los términos de los párrafos </w:t>
      </w:r>
      <w:r w:rsidR="00ED7628" w:rsidRPr="00424953">
        <w:rPr>
          <w:rFonts w:ascii="Verdana" w:hAnsi="Verdana"/>
          <w:sz w:val="20"/>
          <w:szCs w:val="20"/>
        </w:rPr>
        <w:t>40 a 42</w:t>
      </w:r>
      <w:r w:rsidRPr="00CC395C">
        <w:rPr>
          <w:rFonts w:ascii="Verdana" w:hAnsi="Verdana"/>
          <w:b/>
          <w:sz w:val="20"/>
          <w:szCs w:val="20"/>
        </w:rPr>
        <w:t xml:space="preserve"> </w:t>
      </w:r>
      <w:r w:rsidRPr="00CC395C">
        <w:rPr>
          <w:rFonts w:ascii="Verdana" w:hAnsi="Verdana"/>
          <w:sz w:val="20"/>
          <w:szCs w:val="20"/>
        </w:rPr>
        <w:t xml:space="preserve">y </w:t>
      </w:r>
      <w:r w:rsidR="00164617" w:rsidRPr="00CC395C">
        <w:rPr>
          <w:rFonts w:ascii="Verdana" w:hAnsi="Verdana"/>
          <w:sz w:val="20"/>
          <w:szCs w:val="20"/>
        </w:rPr>
        <w:t>iii)</w:t>
      </w:r>
      <w:r w:rsidR="00CE295D" w:rsidRPr="00CC395C">
        <w:rPr>
          <w:rFonts w:ascii="Verdana" w:hAnsi="Verdana"/>
          <w:sz w:val="20"/>
          <w:szCs w:val="20"/>
        </w:rPr>
        <w:t xml:space="preserve"> al</w:t>
      </w:r>
      <w:r w:rsidRPr="00CC395C">
        <w:rPr>
          <w:rFonts w:ascii="Verdana" w:hAnsi="Verdana"/>
          <w:sz w:val="20"/>
          <w:szCs w:val="20"/>
        </w:rPr>
        <w:t xml:space="preserve"> </w:t>
      </w:r>
      <w:r w:rsidRPr="00CC395C">
        <w:rPr>
          <w:rFonts w:ascii="Verdana" w:hAnsi="Verdana"/>
          <w:sz w:val="20"/>
          <w:szCs w:val="20"/>
          <w:lang w:val="es-PA"/>
        </w:rPr>
        <w:t>tipo de interés bancario aplicable sobre el valor en mora</w:t>
      </w:r>
      <w:r w:rsidR="00035A77" w:rsidRPr="00CC395C">
        <w:rPr>
          <w:rFonts w:ascii="Verdana" w:hAnsi="Verdana"/>
          <w:sz w:val="20"/>
          <w:szCs w:val="20"/>
          <w:lang w:val="es-PA"/>
        </w:rPr>
        <w:t>, en los términos del párrafo</w:t>
      </w:r>
      <w:r w:rsidRPr="00CC395C">
        <w:rPr>
          <w:rFonts w:ascii="Verdana" w:hAnsi="Verdana"/>
          <w:sz w:val="20"/>
          <w:szCs w:val="20"/>
          <w:lang w:val="es-PA"/>
        </w:rPr>
        <w:t xml:space="preserve"> </w:t>
      </w:r>
      <w:r w:rsidR="00ED7628" w:rsidRPr="00424953">
        <w:rPr>
          <w:rFonts w:ascii="Verdana" w:hAnsi="Verdana"/>
          <w:sz w:val="20"/>
          <w:szCs w:val="20"/>
          <w:lang w:val="es-PA"/>
        </w:rPr>
        <w:t>66</w:t>
      </w:r>
      <w:r w:rsidR="00035A77" w:rsidRPr="00424953">
        <w:rPr>
          <w:rFonts w:ascii="Verdana" w:hAnsi="Verdana"/>
          <w:sz w:val="20"/>
          <w:szCs w:val="20"/>
          <w:lang w:val="es-PA"/>
        </w:rPr>
        <w:t>.</w:t>
      </w:r>
    </w:p>
    <w:p w:rsidR="00CC395C" w:rsidRPr="00ED7628" w:rsidRDefault="00CC395C" w:rsidP="00CC395C">
      <w:pPr>
        <w:spacing w:after="0" w:line="240" w:lineRule="auto"/>
        <w:jc w:val="both"/>
        <w:rPr>
          <w:rFonts w:ascii="Verdana" w:hAnsi="Verdana"/>
          <w:sz w:val="20"/>
          <w:szCs w:val="20"/>
          <w:lang w:val="es-PA"/>
        </w:rPr>
      </w:pPr>
    </w:p>
    <w:p w:rsidR="00F24042" w:rsidRPr="00CC395C" w:rsidRDefault="00AD44C8" w:rsidP="00CC395C">
      <w:pPr>
        <w:pStyle w:val="ListParagraph"/>
        <w:numPr>
          <w:ilvl w:val="0"/>
          <w:numId w:val="18"/>
        </w:numPr>
        <w:spacing w:after="0" w:line="240" w:lineRule="auto"/>
        <w:ind w:left="0" w:firstLine="0"/>
        <w:jc w:val="both"/>
        <w:rPr>
          <w:rFonts w:ascii="Verdana" w:hAnsi="Verdana"/>
          <w:sz w:val="20"/>
          <w:szCs w:val="20"/>
        </w:rPr>
      </w:pPr>
      <w:r w:rsidRPr="00703EEA">
        <w:rPr>
          <w:rFonts w:ascii="Verdana" w:eastAsia="Times New Roman" w:hAnsi="Verdana"/>
          <w:sz w:val="20"/>
          <w:szCs w:val="20"/>
          <w:lang w:val="es-CR" w:eastAsia="es-ES"/>
        </w:rPr>
        <w:t>Aclarar por medio de interpretación</w:t>
      </w:r>
      <w:r w:rsidRPr="00CC395C">
        <w:rPr>
          <w:rFonts w:ascii="Verdana" w:hAnsi="Verdana"/>
          <w:sz w:val="20"/>
          <w:szCs w:val="20"/>
        </w:rPr>
        <w:t xml:space="preserve"> </w:t>
      </w:r>
      <w:r w:rsidR="00F24042" w:rsidRPr="00CC395C">
        <w:rPr>
          <w:rFonts w:ascii="Verdana" w:hAnsi="Verdana"/>
          <w:sz w:val="20"/>
          <w:szCs w:val="20"/>
        </w:rPr>
        <w:t>la Sentencia de Excepciones Preliminares, Fondo, Reparaciones y Costas, en los términos de los párrafos</w:t>
      </w:r>
      <w:r w:rsidR="00823505" w:rsidRPr="00CC395C">
        <w:rPr>
          <w:rFonts w:ascii="Verdana" w:hAnsi="Verdana"/>
          <w:sz w:val="20"/>
          <w:szCs w:val="20"/>
        </w:rPr>
        <w:t xml:space="preserve"> </w:t>
      </w:r>
      <w:r w:rsidR="00ED7628" w:rsidRPr="00424953">
        <w:rPr>
          <w:rFonts w:ascii="Verdana" w:hAnsi="Verdana"/>
          <w:sz w:val="20"/>
          <w:szCs w:val="20"/>
        </w:rPr>
        <w:t>21 a 29, 49 a 52, 57 a 59, y 64 a 65</w:t>
      </w:r>
      <w:r w:rsidR="00823505" w:rsidRPr="00CC395C">
        <w:rPr>
          <w:rFonts w:ascii="Verdana" w:hAnsi="Verdana"/>
          <w:sz w:val="20"/>
          <w:szCs w:val="20"/>
        </w:rPr>
        <w:t xml:space="preserve"> </w:t>
      </w:r>
      <w:r w:rsidR="00F24042" w:rsidRPr="00CC395C">
        <w:rPr>
          <w:rFonts w:ascii="Verdana" w:hAnsi="Verdana"/>
          <w:sz w:val="20"/>
          <w:szCs w:val="20"/>
        </w:rPr>
        <w:t xml:space="preserve">de la presente Sentencia de Interpretación. </w:t>
      </w:r>
    </w:p>
    <w:p w:rsidR="00CC395C" w:rsidRDefault="00CC395C" w:rsidP="00CC395C">
      <w:pPr>
        <w:pStyle w:val="ListParagraph"/>
        <w:spacing w:after="0" w:line="240" w:lineRule="auto"/>
        <w:ind w:left="0"/>
        <w:jc w:val="both"/>
        <w:rPr>
          <w:rFonts w:ascii="Verdana" w:hAnsi="Verdana"/>
          <w:sz w:val="20"/>
          <w:szCs w:val="20"/>
        </w:rPr>
      </w:pPr>
    </w:p>
    <w:p w:rsidR="00177910" w:rsidRDefault="00F24042" w:rsidP="00177910">
      <w:pPr>
        <w:pStyle w:val="ListParagraph"/>
        <w:numPr>
          <w:ilvl w:val="0"/>
          <w:numId w:val="18"/>
        </w:numPr>
        <w:spacing w:after="0" w:line="240" w:lineRule="auto"/>
        <w:ind w:left="0" w:firstLine="0"/>
        <w:jc w:val="both"/>
        <w:rPr>
          <w:rFonts w:ascii="Verdana" w:hAnsi="Verdana"/>
          <w:sz w:val="20"/>
          <w:szCs w:val="20"/>
        </w:rPr>
      </w:pPr>
      <w:r w:rsidRPr="00CC395C">
        <w:rPr>
          <w:rFonts w:ascii="Verdana" w:hAnsi="Verdana"/>
          <w:sz w:val="20"/>
          <w:szCs w:val="20"/>
        </w:rPr>
        <w:t xml:space="preserve">Requerir a la Secretaría de la Corte Interamericana de Derechos Humanos que notifique la presente Sentencia de Interpretación al Estado, a los representantes de las víctimas y a la Comisión Interamericana. </w:t>
      </w: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Default="00177910" w:rsidP="00177910">
      <w:pPr>
        <w:pStyle w:val="ListParagraph"/>
        <w:spacing w:after="0" w:line="240" w:lineRule="auto"/>
        <w:ind w:left="0"/>
        <w:jc w:val="both"/>
        <w:rPr>
          <w:rFonts w:ascii="Verdana" w:hAnsi="Verdana"/>
          <w:sz w:val="20"/>
          <w:szCs w:val="20"/>
        </w:rPr>
      </w:pPr>
    </w:p>
    <w:p w:rsidR="00177910" w:rsidRPr="00177910" w:rsidRDefault="00177910" w:rsidP="00177910">
      <w:pPr>
        <w:pStyle w:val="ListParagraph"/>
        <w:spacing w:after="0" w:line="240" w:lineRule="auto"/>
        <w:ind w:left="0"/>
        <w:jc w:val="both"/>
        <w:rPr>
          <w:rFonts w:ascii="Verdana" w:hAnsi="Verdana"/>
          <w:sz w:val="20"/>
          <w:szCs w:val="20"/>
        </w:rPr>
      </w:pPr>
    </w:p>
    <w:p w:rsidR="00177910" w:rsidRPr="00177910" w:rsidRDefault="00177910" w:rsidP="00177910">
      <w:pPr>
        <w:pStyle w:val="ListParagraph"/>
        <w:spacing w:after="0" w:line="240" w:lineRule="auto"/>
        <w:ind w:left="0"/>
        <w:jc w:val="both"/>
        <w:rPr>
          <w:rFonts w:ascii="Verdana" w:hAnsi="Verdana"/>
          <w:sz w:val="20"/>
          <w:szCs w:val="20"/>
        </w:rPr>
      </w:pPr>
      <w:r w:rsidRPr="00177910">
        <w:rPr>
          <w:rFonts w:ascii="Verdana" w:hAnsi="Verdana"/>
          <w:sz w:val="20"/>
        </w:rPr>
        <w:lastRenderedPageBreak/>
        <w:t xml:space="preserve">Corte IDH. Caso </w:t>
      </w:r>
      <w:r w:rsidRPr="00177910">
        <w:rPr>
          <w:rFonts w:ascii="Verdana" w:hAnsi="Verdana"/>
          <w:i/>
          <w:sz w:val="20"/>
          <w:lang w:val="pt-BR"/>
        </w:rPr>
        <w:t>Favela Nova Brasilia Vs. Brasil</w:t>
      </w:r>
      <w:r w:rsidRPr="00177910">
        <w:rPr>
          <w:rFonts w:ascii="Verdana" w:hAnsi="Verdana"/>
          <w:sz w:val="20"/>
          <w:lang w:val="pt-BR"/>
        </w:rPr>
        <w:t>. Interpretación de la Sentencia de Excepciones Preliminares, Fondo, Reparaciones y Costas. Sentencia de 5 de febrero de 2018.</w:t>
      </w:r>
    </w:p>
    <w:p w:rsidR="00177910" w:rsidRPr="00177910" w:rsidRDefault="00177910" w:rsidP="00177910">
      <w:pPr>
        <w:spacing w:after="0"/>
        <w:rPr>
          <w:rFonts w:ascii="Verdana" w:hAnsi="Verdana"/>
          <w:sz w:val="20"/>
          <w:lang w:val="pt-BR"/>
        </w:rPr>
      </w:pPr>
    </w:p>
    <w:p w:rsidR="00177910" w:rsidRPr="00177910" w:rsidRDefault="00177910" w:rsidP="00177910">
      <w:pPr>
        <w:spacing w:after="0"/>
        <w:rPr>
          <w:rFonts w:ascii="Verdana" w:hAnsi="Verdana"/>
          <w:sz w:val="20"/>
          <w:lang w:val="pt-BR"/>
        </w:rPr>
      </w:pPr>
    </w:p>
    <w:p w:rsidR="00177910" w:rsidRPr="00177910" w:rsidRDefault="00177910" w:rsidP="00177910">
      <w:pPr>
        <w:spacing w:after="0"/>
        <w:rPr>
          <w:rFonts w:ascii="Verdana" w:hAnsi="Verdana"/>
          <w:sz w:val="20"/>
          <w:lang w:val="pt-BR"/>
        </w:rPr>
      </w:pPr>
    </w:p>
    <w:p w:rsidR="00177910" w:rsidRPr="00177910" w:rsidRDefault="00177910" w:rsidP="00177910">
      <w:pPr>
        <w:spacing w:after="0"/>
        <w:jc w:val="center"/>
        <w:rPr>
          <w:rFonts w:ascii="Verdana" w:hAnsi="Verdana"/>
          <w:sz w:val="20"/>
          <w:lang w:val="pt-BR"/>
        </w:rPr>
      </w:pPr>
      <w:r w:rsidRPr="00177910">
        <w:rPr>
          <w:rFonts w:ascii="Verdana" w:hAnsi="Verdana"/>
          <w:sz w:val="20"/>
          <w:lang w:val="pt-BR"/>
        </w:rPr>
        <w:t>Eduardo Ferrer Mac-Gregor Poisot</w:t>
      </w:r>
    </w:p>
    <w:p w:rsidR="00177910" w:rsidRPr="00177910" w:rsidRDefault="00177910" w:rsidP="00177910">
      <w:pPr>
        <w:spacing w:after="0"/>
        <w:jc w:val="center"/>
        <w:rPr>
          <w:rFonts w:ascii="Verdana" w:hAnsi="Verdana"/>
          <w:sz w:val="20"/>
          <w:lang w:val="es-CR"/>
        </w:rPr>
      </w:pPr>
      <w:r w:rsidRPr="00177910">
        <w:rPr>
          <w:rFonts w:ascii="Verdana" w:hAnsi="Verdana"/>
          <w:sz w:val="20"/>
        </w:rPr>
        <w:t xml:space="preserve">Presidente </w:t>
      </w:r>
    </w:p>
    <w:p w:rsidR="00177910" w:rsidRPr="00177910" w:rsidRDefault="00177910" w:rsidP="00177910">
      <w:pPr>
        <w:spacing w:after="0"/>
        <w:rPr>
          <w:rFonts w:ascii="Verdana" w:hAnsi="Verdana"/>
          <w:sz w:val="20"/>
          <w:lang w:val="es-CR"/>
        </w:rPr>
      </w:pPr>
    </w:p>
    <w:p w:rsidR="00177910" w:rsidRPr="00177910" w:rsidRDefault="00177910" w:rsidP="00177910">
      <w:pPr>
        <w:spacing w:after="0"/>
        <w:rPr>
          <w:rFonts w:ascii="Verdana" w:hAnsi="Verdana"/>
          <w:sz w:val="20"/>
          <w:lang w:val="es-CR"/>
        </w:rPr>
      </w:pPr>
    </w:p>
    <w:p w:rsidR="00177910" w:rsidRPr="00177910" w:rsidRDefault="00177910" w:rsidP="00177910">
      <w:pPr>
        <w:spacing w:after="0"/>
        <w:rPr>
          <w:rFonts w:ascii="Verdana" w:hAnsi="Verdana"/>
          <w:sz w:val="20"/>
          <w:lang w:val="es-CR"/>
        </w:rPr>
      </w:pPr>
    </w:p>
    <w:p w:rsidR="00177910" w:rsidRPr="00177910" w:rsidRDefault="00177910" w:rsidP="00177910">
      <w:pPr>
        <w:spacing w:after="0"/>
        <w:rPr>
          <w:rFonts w:ascii="Verdana" w:hAnsi="Verdana"/>
          <w:sz w:val="20"/>
          <w:lang w:val="es-CR"/>
        </w:rPr>
      </w:pPr>
    </w:p>
    <w:p w:rsidR="00177910" w:rsidRDefault="00177910" w:rsidP="00177910">
      <w:pPr>
        <w:spacing w:after="0"/>
        <w:rPr>
          <w:rFonts w:ascii="Verdana" w:hAnsi="Verdana"/>
          <w:sz w:val="20"/>
        </w:rPr>
      </w:pPr>
      <w:r w:rsidRPr="00177910">
        <w:rPr>
          <w:rFonts w:ascii="Verdana" w:hAnsi="Verdana"/>
          <w:sz w:val="20"/>
          <w:lang w:val="es-CR"/>
        </w:rPr>
        <w:t>Eduardo Vio Grossi</w:t>
      </w:r>
      <w:r w:rsidRPr="00177910">
        <w:rPr>
          <w:rFonts w:ascii="Verdana" w:hAnsi="Verdana"/>
          <w:sz w:val="20"/>
          <w:lang w:val="es-CR"/>
        </w:rPr>
        <w:tab/>
      </w:r>
      <w:r w:rsidRPr="00177910">
        <w:rPr>
          <w:rFonts w:ascii="Verdana" w:hAnsi="Verdana"/>
          <w:sz w:val="20"/>
          <w:lang w:val="es-CR"/>
        </w:rPr>
        <w:tab/>
      </w:r>
      <w:r w:rsidRPr="00177910">
        <w:rPr>
          <w:rFonts w:ascii="Verdana" w:hAnsi="Verdana"/>
          <w:sz w:val="20"/>
          <w:lang w:val="es-CR"/>
        </w:rPr>
        <w:tab/>
      </w:r>
      <w:r w:rsidRPr="00177910">
        <w:rPr>
          <w:rFonts w:ascii="Verdana" w:hAnsi="Verdana"/>
          <w:sz w:val="20"/>
          <w:lang w:val="es-CR"/>
        </w:rPr>
        <w:tab/>
      </w:r>
      <w:r w:rsidRPr="00177910">
        <w:rPr>
          <w:rFonts w:ascii="Verdana" w:hAnsi="Verdana"/>
          <w:sz w:val="20"/>
          <w:lang w:val="es-CR"/>
        </w:rPr>
        <w:tab/>
      </w:r>
      <w:r w:rsidRPr="00177910">
        <w:rPr>
          <w:rFonts w:ascii="Verdana" w:hAnsi="Verdana"/>
          <w:sz w:val="20"/>
          <w:lang w:val="es-CR"/>
        </w:rPr>
        <w:tab/>
      </w:r>
      <w:r w:rsidRPr="00177910">
        <w:rPr>
          <w:rFonts w:ascii="Verdana" w:hAnsi="Verdana"/>
          <w:sz w:val="20"/>
          <w:lang w:val="es-CR"/>
        </w:rPr>
        <w:tab/>
        <w:t xml:space="preserve">   </w:t>
      </w:r>
      <w:r w:rsidRPr="00177910">
        <w:rPr>
          <w:rFonts w:ascii="Verdana" w:hAnsi="Verdana"/>
          <w:sz w:val="20"/>
        </w:rPr>
        <w:t xml:space="preserve">Humberto </w:t>
      </w:r>
      <w:r w:rsidRPr="00177910">
        <w:rPr>
          <w:rFonts w:ascii="Verdana" w:hAnsi="Verdana"/>
          <w:caps/>
          <w:sz w:val="20"/>
        </w:rPr>
        <w:t xml:space="preserve">A. </w:t>
      </w:r>
      <w:r>
        <w:rPr>
          <w:rFonts w:ascii="Verdana" w:hAnsi="Verdana"/>
          <w:sz w:val="20"/>
        </w:rPr>
        <w:t>Sierra Porto</w:t>
      </w:r>
      <w:r>
        <w:rPr>
          <w:rFonts w:ascii="Verdana" w:hAnsi="Verdana"/>
          <w:sz w:val="20"/>
        </w:rPr>
        <w:tab/>
      </w: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rPr>
      </w:pPr>
      <w:r w:rsidRPr="00177910">
        <w:rPr>
          <w:rFonts w:ascii="Verdana" w:hAnsi="Verdana"/>
          <w:sz w:val="20"/>
        </w:rPr>
        <w:t>Eli</w:t>
      </w:r>
      <w:r>
        <w:rPr>
          <w:rFonts w:ascii="Verdana" w:hAnsi="Verdana"/>
          <w:sz w:val="20"/>
        </w:rPr>
        <w:t>zabeth Odio Benito</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177910">
        <w:rPr>
          <w:rFonts w:ascii="Verdana" w:hAnsi="Verdana"/>
          <w:sz w:val="20"/>
        </w:rPr>
        <w:t>Eugenio Raúl Zaffaroni</w:t>
      </w: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rPr>
      </w:pPr>
    </w:p>
    <w:p w:rsidR="00177910" w:rsidRPr="00177910" w:rsidRDefault="00177910" w:rsidP="00177910">
      <w:pPr>
        <w:spacing w:after="0"/>
        <w:jc w:val="center"/>
        <w:rPr>
          <w:rFonts w:ascii="Verdana" w:hAnsi="Verdana"/>
          <w:sz w:val="20"/>
        </w:rPr>
      </w:pPr>
      <w:r w:rsidRPr="00177910">
        <w:rPr>
          <w:rFonts w:ascii="Verdana" w:hAnsi="Verdana"/>
          <w:sz w:val="20"/>
        </w:rPr>
        <w:t>L. Patricio Pazmiño Freire</w:t>
      </w: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lang w:val="es-CR"/>
        </w:rPr>
      </w:pPr>
    </w:p>
    <w:p w:rsidR="00177910" w:rsidRPr="00177910" w:rsidRDefault="00177910" w:rsidP="00177910">
      <w:pPr>
        <w:spacing w:after="0"/>
        <w:jc w:val="both"/>
        <w:rPr>
          <w:rFonts w:ascii="Verdana" w:hAnsi="Verdana"/>
          <w:sz w:val="20"/>
          <w:lang w:val="es-CR"/>
        </w:rPr>
      </w:pPr>
    </w:p>
    <w:p w:rsidR="00177910" w:rsidRPr="00177910" w:rsidRDefault="00177910" w:rsidP="00177910">
      <w:pPr>
        <w:spacing w:after="0"/>
        <w:jc w:val="both"/>
        <w:rPr>
          <w:rFonts w:ascii="Verdana" w:hAnsi="Verdana"/>
          <w:sz w:val="20"/>
          <w:lang w:val="es-CR"/>
        </w:rPr>
      </w:pPr>
    </w:p>
    <w:p w:rsidR="00177910" w:rsidRPr="00177910" w:rsidRDefault="00177910" w:rsidP="00177910">
      <w:pPr>
        <w:spacing w:after="0"/>
        <w:jc w:val="center"/>
        <w:rPr>
          <w:rFonts w:ascii="Verdana" w:hAnsi="Verdana"/>
          <w:sz w:val="20"/>
        </w:rPr>
      </w:pPr>
      <w:r w:rsidRPr="00177910">
        <w:rPr>
          <w:rFonts w:ascii="Verdana" w:hAnsi="Verdana"/>
          <w:sz w:val="20"/>
        </w:rPr>
        <w:t>Pablo Saavedra Alessandri</w:t>
      </w:r>
    </w:p>
    <w:p w:rsidR="00177910" w:rsidRPr="00177910" w:rsidRDefault="00177910" w:rsidP="00177910">
      <w:pPr>
        <w:spacing w:after="0"/>
        <w:jc w:val="center"/>
        <w:rPr>
          <w:rFonts w:ascii="Verdana" w:hAnsi="Verdana"/>
          <w:sz w:val="20"/>
        </w:rPr>
      </w:pPr>
      <w:r w:rsidRPr="00177910">
        <w:rPr>
          <w:rFonts w:ascii="Verdana" w:hAnsi="Verdana"/>
          <w:sz w:val="20"/>
        </w:rPr>
        <w:t>Secretario</w:t>
      </w:r>
    </w:p>
    <w:p w:rsidR="00177910" w:rsidRPr="0019261A" w:rsidRDefault="00177910" w:rsidP="00177910">
      <w:pPr>
        <w:pStyle w:val="FootnoteText"/>
      </w:pPr>
    </w:p>
    <w:p w:rsidR="00177910" w:rsidRPr="0019261A" w:rsidRDefault="00177910" w:rsidP="00177910">
      <w:pPr>
        <w:pStyle w:val="FootnoteText"/>
      </w:pPr>
    </w:p>
    <w:p w:rsidR="00177910" w:rsidRPr="00177910" w:rsidRDefault="00177910" w:rsidP="00177910">
      <w:pPr>
        <w:spacing w:after="0"/>
        <w:jc w:val="both"/>
        <w:rPr>
          <w:rFonts w:ascii="Verdana" w:hAnsi="Verdana"/>
          <w:sz w:val="20"/>
        </w:rPr>
      </w:pPr>
      <w:r w:rsidRPr="00177910">
        <w:rPr>
          <w:rFonts w:ascii="Verdana" w:hAnsi="Verdana"/>
          <w:sz w:val="20"/>
        </w:rPr>
        <w:t>Comuníquese y ejecútese,</w:t>
      </w:r>
    </w:p>
    <w:p w:rsidR="00177910" w:rsidRPr="00177910" w:rsidRDefault="00177910" w:rsidP="00177910">
      <w:pPr>
        <w:spacing w:after="0"/>
        <w:rPr>
          <w:rFonts w:ascii="Verdana" w:hAnsi="Verdana"/>
          <w:sz w:val="20"/>
        </w:rPr>
      </w:pPr>
    </w:p>
    <w:p w:rsidR="00177910" w:rsidRPr="00177910" w:rsidRDefault="00177910" w:rsidP="00177910">
      <w:pPr>
        <w:spacing w:after="0"/>
        <w:rPr>
          <w:rFonts w:ascii="Verdana" w:hAnsi="Verdana"/>
          <w:sz w:val="20"/>
        </w:rPr>
      </w:pPr>
    </w:p>
    <w:p w:rsidR="00177910" w:rsidRPr="00177910" w:rsidRDefault="00177910" w:rsidP="00177910">
      <w:pPr>
        <w:spacing w:after="0"/>
        <w:jc w:val="right"/>
        <w:rPr>
          <w:rFonts w:ascii="Verdana" w:hAnsi="Verdana"/>
          <w:sz w:val="20"/>
        </w:rPr>
      </w:pPr>
    </w:p>
    <w:p w:rsidR="00177910" w:rsidRPr="00177910" w:rsidRDefault="00177910" w:rsidP="00177910">
      <w:pPr>
        <w:spacing w:after="0"/>
        <w:jc w:val="right"/>
        <w:rPr>
          <w:rFonts w:ascii="Verdana" w:hAnsi="Verdana"/>
          <w:sz w:val="20"/>
        </w:rPr>
      </w:pPr>
    </w:p>
    <w:p w:rsidR="00177910" w:rsidRPr="00177910" w:rsidRDefault="00177910" w:rsidP="00177910">
      <w:pPr>
        <w:spacing w:after="0"/>
        <w:jc w:val="center"/>
        <w:rPr>
          <w:rFonts w:ascii="Verdana" w:hAnsi="Verdana"/>
          <w:sz w:val="20"/>
        </w:rPr>
      </w:pPr>
      <w:r w:rsidRPr="00177910">
        <w:rPr>
          <w:rFonts w:ascii="Verdana" w:hAnsi="Verdana"/>
          <w:sz w:val="20"/>
        </w:rPr>
        <w:t xml:space="preserve">                                                                                   Eduardo Ferrer Mac-Gregor Poisot</w:t>
      </w:r>
    </w:p>
    <w:p w:rsidR="00177910" w:rsidRPr="00177910" w:rsidRDefault="00177910" w:rsidP="00177910">
      <w:pPr>
        <w:spacing w:after="0"/>
        <w:rPr>
          <w:rFonts w:ascii="Verdana" w:hAnsi="Verdana"/>
          <w:sz w:val="20"/>
          <w:lang w:val="es-CR"/>
        </w:rPr>
      </w:pPr>
      <w:r w:rsidRPr="00177910">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177910">
        <w:rPr>
          <w:rFonts w:ascii="Verdana" w:hAnsi="Verdana"/>
          <w:sz w:val="20"/>
        </w:rPr>
        <w:t xml:space="preserve">Presidente </w:t>
      </w:r>
    </w:p>
    <w:p w:rsidR="00177910" w:rsidRPr="00177910" w:rsidRDefault="00177910" w:rsidP="00177910">
      <w:pPr>
        <w:spacing w:after="0"/>
        <w:jc w:val="center"/>
        <w:rPr>
          <w:rFonts w:ascii="Verdana" w:hAnsi="Verdana"/>
          <w:sz w:val="20"/>
        </w:rPr>
      </w:pPr>
    </w:p>
    <w:p w:rsidR="00177910" w:rsidRPr="00177910" w:rsidRDefault="00177910" w:rsidP="00177910">
      <w:pPr>
        <w:spacing w:after="0"/>
        <w:jc w:val="both"/>
        <w:rPr>
          <w:rFonts w:ascii="Verdana" w:hAnsi="Verdana"/>
          <w:sz w:val="20"/>
        </w:rPr>
      </w:pPr>
    </w:p>
    <w:p w:rsidR="00177910" w:rsidRDefault="00177910" w:rsidP="00177910">
      <w:pPr>
        <w:spacing w:after="0"/>
        <w:jc w:val="both"/>
        <w:rPr>
          <w:rFonts w:ascii="Verdana" w:hAnsi="Verdana"/>
          <w:sz w:val="20"/>
        </w:rPr>
      </w:pPr>
    </w:p>
    <w:p w:rsidR="00177910" w:rsidRPr="00177910" w:rsidRDefault="00177910" w:rsidP="00177910">
      <w:pPr>
        <w:spacing w:after="0"/>
        <w:jc w:val="both"/>
        <w:rPr>
          <w:rFonts w:ascii="Verdana" w:hAnsi="Verdana"/>
          <w:sz w:val="20"/>
        </w:rPr>
      </w:pPr>
    </w:p>
    <w:p w:rsidR="00177910" w:rsidRPr="00177910" w:rsidRDefault="00177910" w:rsidP="00177910">
      <w:pPr>
        <w:spacing w:after="0"/>
        <w:jc w:val="both"/>
        <w:rPr>
          <w:rFonts w:ascii="Verdana" w:hAnsi="Verdana"/>
          <w:sz w:val="20"/>
        </w:rPr>
      </w:pPr>
      <w:r w:rsidRPr="00177910">
        <w:rPr>
          <w:rFonts w:ascii="Verdana" w:hAnsi="Verdana"/>
          <w:sz w:val="20"/>
        </w:rPr>
        <w:t>Pablo Saavedra Alessandri</w:t>
      </w:r>
    </w:p>
    <w:p w:rsidR="00177910" w:rsidRPr="00177910" w:rsidRDefault="00177910" w:rsidP="00177910">
      <w:pPr>
        <w:spacing w:after="0"/>
        <w:rPr>
          <w:rFonts w:ascii="Verdana" w:hAnsi="Verdana"/>
          <w:sz w:val="20"/>
          <w:lang w:val="pt-BR"/>
        </w:rPr>
      </w:pPr>
      <w:r w:rsidRPr="00177910">
        <w:rPr>
          <w:rFonts w:ascii="Verdana" w:hAnsi="Verdana"/>
          <w:sz w:val="20"/>
        </w:rPr>
        <w:tab/>
      </w:r>
      <w:r w:rsidRPr="00177910">
        <w:rPr>
          <w:rFonts w:ascii="Verdana" w:hAnsi="Verdana"/>
          <w:sz w:val="20"/>
          <w:lang w:val="pt-BR"/>
        </w:rPr>
        <w:t>Secretario</w:t>
      </w:r>
    </w:p>
    <w:sectPr w:rsidR="00177910" w:rsidRPr="00177910" w:rsidSect="003046E3">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66" w:rsidRDefault="00ED5166" w:rsidP="0074017B">
      <w:pPr>
        <w:spacing w:after="0" w:line="240" w:lineRule="auto"/>
      </w:pPr>
      <w:r>
        <w:separator/>
      </w:r>
    </w:p>
  </w:endnote>
  <w:endnote w:type="continuationSeparator" w:id="0">
    <w:p w:rsidR="00ED5166" w:rsidRDefault="00ED5166" w:rsidP="007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89355"/>
      <w:docPartObj>
        <w:docPartGallery w:val="Page Numbers (Bottom of Page)"/>
        <w:docPartUnique/>
      </w:docPartObj>
    </w:sdtPr>
    <w:sdtEndPr>
      <w:rPr>
        <w:rFonts w:ascii="Verdana" w:hAnsi="Verdana"/>
        <w:noProof/>
        <w:sz w:val="20"/>
        <w:szCs w:val="20"/>
      </w:rPr>
    </w:sdtEndPr>
    <w:sdtContent>
      <w:p w:rsidR="00CE2142" w:rsidRPr="008A2A90" w:rsidRDefault="00CE2142">
        <w:pPr>
          <w:pStyle w:val="Footer"/>
          <w:jc w:val="center"/>
          <w:rPr>
            <w:rFonts w:ascii="Verdana" w:hAnsi="Verdana"/>
            <w:sz w:val="20"/>
            <w:szCs w:val="20"/>
          </w:rPr>
        </w:pPr>
        <w:r w:rsidRPr="008A2A90">
          <w:rPr>
            <w:rFonts w:ascii="Verdana" w:hAnsi="Verdana"/>
            <w:sz w:val="20"/>
            <w:szCs w:val="20"/>
          </w:rPr>
          <w:fldChar w:fldCharType="begin"/>
        </w:r>
        <w:r w:rsidRPr="008A2A90">
          <w:rPr>
            <w:rFonts w:ascii="Verdana" w:hAnsi="Verdana"/>
            <w:sz w:val="20"/>
            <w:szCs w:val="20"/>
          </w:rPr>
          <w:instrText xml:space="preserve"> PAGE   \* MERGEFORMAT </w:instrText>
        </w:r>
        <w:r w:rsidRPr="008A2A90">
          <w:rPr>
            <w:rFonts w:ascii="Verdana" w:hAnsi="Verdana"/>
            <w:sz w:val="20"/>
            <w:szCs w:val="20"/>
          </w:rPr>
          <w:fldChar w:fldCharType="separate"/>
        </w:r>
        <w:r w:rsidR="00764F00">
          <w:rPr>
            <w:rFonts w:ascii="Verdana" w:hAnsi="Verdana"/>
            <w:noProof/>
            <w:sz w:val="20"/>
            <w:szCs w:val="20"/>
          </w:rPr>
          <w:t>1</w:t>
        </w:r>
        <w:r w:rsidRPr="008A2A90">
          <w:rPr>
            <w:rFonts w:ascii="Verdana" w:hAnsi="Verdana"/>
            <w:noProof/>
            <w:sz w:val="20"/>
            <w:szCs w:val="20"/>
          </w:rPr>
          <w:fldChar w:fldCharType="end"/>
        </w:r>
      </w:p>
    </w:sdtContent>
  </w:sdt>
  <w:p w:rsidR="00CE2142" w:rsidRDefault="00CE2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66" w:rsidRDefault="00ED5166" w:rsidP="0074017B">
      <w:pPr>
        <w:spacing w:after="0" w:line="240" w:lineRule="auto"/>
      </w:pPr>
      <w:r>
        <w:separator/>
      </w:r>
    </w:p>
  </w:footnote>
  <w:footnote w:type="continuationSeparator" w:id="0">
    <w:p w:rsidR="00ED5166" w:rsidRDefault="00ED5166" w:rsidP="0074017B">
      <w:pPr>
        <w:spacing w:after="0" w:line="240" w:lineRule="auto"/>
      </w:pPr>
      <w:r>
        <w:continuationSeparator/>
      </w:r>
    </w:p>
  </w:footnote>
  <w:footnote w:id="1">
    <w:p w:rsidR="00CE2142" w:rsidRPr="00325647" w:rsidRDefault="00CE2142" w:rsidP="0074017B">
      <w:pPr>
        <w:pStyle w:val="FootnoteText"/>
        <w:rPr>
          <w:szCs w:val="16"/>
          <w:lang w:val="es-DO"/>
        </w:rPr>
      </w:pPr>
      <w:r w:rsidRPr="003F1D25">
        <w:rPr>
          <w:rStyle w:val="FootnoteReference"/>
          <w:szCs w:val="16"/>
          <w:lang w:val="es-DO"/>
        </w:rPr>
        <w:footnoteRef/>
      </w:r>
      <w:r w:rsidRPr="003F1D25">
        <w:rPr>
          <w:szCs w:val="16"/>
          <w:lang w:val="es-DO"/>
        </w:rPr>
        <w:t xml:space="preserve"> El Juez Roberto F. Caldas, de nacionalidad brasileña, no participó en la deliberación de la presente Sentencia, de conformidad con lo dispuesto en los artículos 19.2 del Estatuto y 19.1 del Reglamento de la Corte. </w:t>
      </w:r>
    </w:p>
  </w:footnote>
  <w:footnote w:id="2">
    <w:p w:rsidR="009E59CB" w:rsidRPr="00703EEA" w:rsidRDefault="009E59CB" w:rsidP="00703EEA">
      <w:pPr>
        <w:spacing w:after="0" w:line="240" w:lineRule="auto"/>
        <w:jc w:val="both"/>
        <w:rPr>
          <w:rFonts w:ascii="Verdana" w:hAnsi="Verdana"/>
          <w:sz w:val="16"/>
          <w:szCs w:val="16"/>
          <w:lang w:val="es-CR"/>
        </w:rPr>
      </w:pPr>
      <w:r w:rsidRPr="00703EEA">
        <w:rPr>
          <w:rStyle w:val="FootnoteReference"/>
        </w:rPr>
        <w:footnoteRef/>
      </w:r>
      <w:r w:rsidRPr="00703EEA">
        <w:rPr>
          <w:rFonts w:ascii="Verdana" w:hAnsi="Verdana"/>
          <w:sz w:val="16"/>
          <w:szCs w:val="16"/>
        </w:rPr>
        <w:t xml:space="preserve"> </w:t>
      </w:r>
      <w:r w:rsidRPr="00703EEA">
        <w:rPr>
          <w:rFonts w:ascii="Verdana" w:hAnsi="Verdana"/>
          <w:sz w:val="16"/>
          <w:szCs w:val="16"/>
          <w:lang w:val="es-CR"/>
        </w:rPr>
        <w:t>Dicho artículo dispone, en lo pertinente: “1. 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 […] 4. La solicitud de interpretación no suspenderá la ejecución de la sentencia. 5. La Corte determinará el procedimiento que se seguirá y resolverá mediante una sentencia”.</w:t>
      </w:r>
    </w:p>
  </w:footnote>
  <w:footnote w:id="3">
    <w:p w:rsidR="00CE2142" w:rsidRPr="00557FD7" w:rsidRDefault="00CE2142" w:rsidP="0074017B">
      <w:pPr>
        <w:pStyle w:val="FootnoteText"/>
        <w:rPr>
          <w:rStyle w:val="FootnoteReference"/>
          <w:lang w:val="es-DO"/>
        </w:rPr>
      </w:pPr>
      <w:r w:rsidRPr="00325647">
        <w:rPr>
          <w:rStyle w:val="FootnoteReference"/>
          <w:lang w:val="es-DO"/>
        </w:rPr>
        <w:footnoteRef/>
      </w:r>
      <w:r w:rsidRPr="00325647">
        <w:rPr>
          <w:rStyle w:val="FootnoteReference"/>
          <w:lang w:val="es-DO"/>
        </w:rPr>
        <w:t xml:space="preserve"> </w:t>
      </w:r>
      <w:r w:rsidRPr="00325647">
        <w:rPr>
          <w:i/>
          <w:lang w:val="es-DO"/>
        </w:rPr>
        <w:t>Cfr. Caso Loayza Tamayo Vs. Perú</w:t>
      </w:r>
      <w:r w:rsidRPr="00325647">
        <w:rPr>
          <w:lang w:val="es-DO"/>
        </w:rPr>
        <w:t xml:space="preserve">. </w:t>
      </w:r>
      <w:r w:rsidRPr="00A9152C">
        <w:rPr>
          <w:i/>
          <w:lang w:val="es-DO"/>
        </w:rPr>
        <w:t xml:space="preserve">Interpretación de </w:t>
      </w:r>
      <w:r w:rsidR="00A9152C" w:rsidRPr="00A9152C">
        <w:rPr>
          <w:i/>
          <w:lang w:val="es-DO"/>
        </w:rPr>
        <w:t xml:space="preserve">la </w:t>
      </w:r>
      <w:r w:rsidRPr="00A9152C">
        <w:rPr>
          <w:i/>
          <w:lang w:val="es-DO"/>
        </w:rPr>
        <w:t>Sentencia</w:t>
      </w:r>
      <w:r w:rsidR="00A9152C" w:rsidRPr="00A9152C">
        <w:rPr>
          <w:i/>
          <w:lang w:val="es-DO"/>
        </w:rPr>
        <w:t xml:space="preserve"> de Fondo</w:t>
      </w:r>
      <w:r w:rsidRPr="00325647">
        <w:rPr>
          <w:lang w:val="es-DO"/>
        </w:rPr>
        <w:t xml:space="preserve">. </w:t>
      </w:r>
      <w:r w:rsidR="00A9152C">
        <w:rPr>
          <w:lang w:val="es-DO"/>
        </w:rPr>
        <w:t xml:space="preserve">Sentencia </w:t>
      </w:r>
      <w:r w:rsidRPr="00325647">
        <w:rPr>
          <w:lang w:val="es-DO"/>
        </w:rPr>
        <w:t>d</w:t>
      </w:r>
      <w:r>
        <w:rPr>
          <w:lang w:val="es-DO"/>
        </w:rPr>
        <w:t>e 8 de marz</w:t>
      </w:r>
      <w:r w:rsidRPr="00325647">
        <w:rPr>
          <w:lang w:val="es-DO"/>
        </w:rPr>
        <w:t>o de 1998. Serie C No. 47, pár</w:t>
      </w:r>
      <w:r>
        <w:rPr>
          <w:lang w:val="es-DO"/>
        </w:rPr>
        <w:t>r. 16, y</w:t>
      </w:r>
      <w:r w:rsidR="00591F77" w:rsidRPr="00591F77">
        <w:t xml:space="preserve"> </w:t>
      </w:r>
      <w:r w:rsidR="00591F77" w:rsidRPr="00591F77">
        <w:rPr>
          <w:i/>
          <w:lang w:val="es-DO"/>
        </w:rPr>
        <w:t xml:space="preserve">Caso Yarce y otras Vs. Colombia. Interpretación de la Sentencia de Excepción Preliminar, Fondo, Reparaciones y Costas. </w:t>
      </w:r>
      <w:r w:rsidR="00591F77" w:rsidRPr="00557FD7">
        <w:rPr>
          <w:lang w:val="es-DO"/>
        </w:rPr>
        <w:t>Sentencia de 21 de noviembre 2017, Serie C No. 343, párr. 12.</w:t>
      </w:r>
    </w:p>
  </w:footnote>
  <w:footnote w:id="4">
    <w:p w:rsidR="00CE2142" w:rsidRPr="00935EFD" w:rsidRDefault="00CE2142" w:rsidP="0074017B">
      <w:pPr>
        <w:pStyle w:val="FootnoteText"/>
        <w:rPr>
          <w:lang w:val="es-DO"/>
        </w:rPr>
      </w:pPr>
      <w:r w:rsidRPr="00325647">
        <w:rPr>
          <w:rStyle w:val="FootnoteReference"/>
          <w:lang w:val="es-DO"/>
        </w:rPr>
        <w:footnoteRef/>
      </w:r>
      <w:r w:rsidRPr="00325647">
        <w:rPr>
          <w:lang w:val="es-DO"/>
        </w:rPr>
        <w:t xml:space="preserve"> </w:t>
      </w:r>
      <w:r w:rsidRPr="00325647">
        <w:rPr>
          <w:i/>
          <w:lang w:val="es-DO"/>
        </w:rPr>
        <w:t>Cfr. Caso Loayza Tamayo Vs. Perú</w:t>
      </w:r>
      <w:r w:rsidRPr="00325647">
        <w:rPr>
          <w:lang w:val="es-DO"/>
        </w:rPr>
        <w:t xml:space="preserve">. </w:t>
      </w:r>
      <w:r w:rsidRPr="00935EFD">
        <w:rPr>
          <w:i/>
          <w:lang w:val="es-DO"/>
        </w:rPr>
        <w:t>Interpretación de la Sentencia de Fondo</w:t>
      </w:r>
      <w:r w:rsidRPr="00325647">
        <w:rPr>
          <w:lang w:val="es-DO"/>
        </w:rPr>
        <w:t xml:space="preserve">, </w:t>
      </w:r>
      <w:r>
        <w:rPr>
          <w:lang w:val="es-DO"/>
        </w:rPr>
        <w:t>párr. 16, y</w:t>
      </w:r>
      <w:r w:rsidRPr="00325647">
        <w:rPr>
          <w:lang w:val="es-DO"/>
        </w:rPr>
        <w:t xml:space="preserve"> </w:t>
      </w:r>
      <w:r w:rsidR="00591F77" w:rsidRPr="00591F77">
        <w:rPr>
          <w:i/>
          <w:lang w:val="es-DO"/>
        </w:rPr>
        <w:t xml:space="preserve">Caso Yarce y otras Vs. Colombia. Interpretación de la Sentencia de Excepción Preliminar, Fondo, Reparaciones y Costas. </w:t>
      </w:r>
      <w:r w:rsidR="00591F77" w:rsidRPr="00557FD7">
        <w:rPr>
          <w:lang w:val="es-DO"/>
        </w:rPr>
        <w:t>Sentencia de 21 de noviembre 2017, párr. 12.</w:t>
      </w:r>
    </w:p>
  </w:footnote>
  <w:footnote w:id="5">
    <w:p w:rsidR="00CE2142" w:rsidRPr="00325647" w:rsidRDefault="00CE2142" w:rsidP="0074017B">
      <w:pPr>
        <w:pStyle w:val="FootnoteText"/>
        <w:rPr>
          <w:lang w:val="es-DO"/>
        </w:rPr>
      </w:pPr>
      <w:r w:rsidRPr="00325647">
        <w:rPr>
          <w:rStyle w:val="FootnoteReference"/>
          <w:lang w:val="es-DO"/>
        </w:rPr>
        <w:footnoteRef/>
      </w:r>
      <w:r w:rsidRPr="00325647">
        <w:rPr>
          <w:lang w:val="es-DO"/>
        </w:rPr>
        <w:t xml:space="preserve"> </w:t>
      </w:r>
      <w:r w:rsidRPr="00325647">
        <w:rPr>
          <w:i/>
          <w:lang w:val="es-DO"/>
        </w:rPr>
        <w:t xml:space="preserve">Cfr. </w:t>
      </w:r>
      <w:r w:rsidR="002253B5" w:rsidRPr="002253B5">
        <w:rPr>
          <w:i/>
        </w:rPr>
        <w:t xml:space="preserve">Caso Loayza Tamayo Vs. Perú. Interpretación de la Sentencia de Reparaciones y Costas. </w:t>
      </w:r>
      <w:r w:rsidR="002253B5" w:rsidRPr="002253B5">
        <w:t>Sentencia de 3 de junio de 1999. Serie C No. 53</w:t>
      </w:r>
      <w:r w:rsidRPr="00245984">
        <w:rPr>
          <w:lang w:val="es-DO"/>
        </w:rPr>
        <w:t>,</w:t>
      </w:r>
      <w:r w:rsidRPr="00325647">
        <w:rPr>
          <w:lang w:val="es-DO"/>
        </w:rPr>
        <w:t xml:space="preserve"> </w:t>
      </w:r>
      <w:r>
        <w:rPr>
          <w:lang w:val="es-DO"/>
        </w:rPr>
        <w:t>párr.</w:t>
      </w:r>
      <w:r w:rsidRPr="00325647">
        <w:rPr>
          <w:lang w:val="es-DO"/>
        </w:rPr>
        <w:t xml:space="preserve"> 15</w:t>
      </w:r>
      <w:r>
        <w:rPr>
          <w:lang w:val="es-DO"/>
        </w:rPr>
        <w:t>, y</w:t>
      </w:r>
      <w:r w:rsidRPr="00325647">
        <w:rPr>
          <w:lang w:val="es-DO"/>
        </w:rPr>
        <w:t xml:space="preserve"> </w:t>
      </w:r>
      <w:r w:rsidRPr="00935EFD">
        <w:rPr>
          <w:i/>
          <w:lang w:val="es-DO"/>
        </w:rPr>
        <w:t>Caso I.V. Vs. Bolivia. Interpretación de la Sentencia de Excepciones Preliminares, Fondo, Reparaciones y Costas</w:t>
      </w:r>
      <w:r w:rsidRPr="00134D59">
        <w:rPr>
          <w:lang w:val="es-DO"/>
        </w:rPr>
        <w:t>, párr.</w:t>
      </w:r>
      <w:r>
        <w:rPr>
          <w:lang w:val="es-DO"/>
        </w:rPr>
        <w:t xml:space="preserve"> </w:t>
      </w:r>
      <w:r w:rsidRPr="00134D59">
        <w:rPr>
          <w:lang w:val="es-DO"/>
        </w:rPr>
        <w:t>1</w:t>
      </w:r>
      <w:r>
        <w:rPr>
          <w:lang w:val="es-DO"/>
        </w:rPr>
        <w:t>2</w:t>
      </w:r>
      <w:r w:rsidRPr="00134D59">
        <w:rPr>
          <w:lang w:val="es-DO"/>
        </w:rPr>
        <w:t>.</w:t>
      </w:r>
    </w:p>
  </w:footnote>
  <w:footnote w:id="6">
    <w:p w:rsidR="00CE2142" w:rsidRPr="00325647" w:rsidRDefault="00CE2142" w:rsidP="0074017B">
      <w:pPr>
        <w:pStyle w:val="FootnoteText"/>
        <w:rPr>
          <w:lang w:val="es-DO"/>
        </w:rPr>
      </w:pPr>
      <w:r w:rsidRPr="00325647">
        <w:rPr>
          <w:rStyle w:val="FootnoteReference"/>
          <w:lang w:val="es-DO"/>
        </w:rPr>
        <w:footnoteRef/>
      </w:r>
      <w:r w:rsidRPr="00325647">
        <w:rPr>
          <w:lang w:val="es-DO"/>
        </w:rPr>
        <w:t xml:space="preserve"> </w:t>
      </w:r>
      <w:r w:rsidRPr="00325647">
        <w:rPr>
          <w:i/>
          <w:lang w:val="es-DO"/>
        </w:rPr>
        <w:t>Cfr. Caso Salvador Chiriboga Vs. Ecuador</w:t>
      </w:r>
      <w:r w:rsidRPr="00325647">
        <w:rPr>
          <w:lang w:val="es-DO"/>
        </w:rPr>
        <w:t xml:space="preserve">. </w:t>
      </w:r>
      <w:r w:rsidRPr="00935EFD">
        <w:rPr>
          <w:i/>
          <w:lang w:val="es-DO"/>
        </w:rPr>
        <w:t>Interpretación de la Sentencia de Reparaciones y Costas</w:t>
      </w:r>
      <w:r w:rsidRPr="00325647">
        <w:rPr>
          <w:lang w:val="es-DO"/>
        </w:rPr>
        <w:t xml:space="preserve">. </w:t>
      </w:r>
      <w:r>
        <w:rPr>
          <w:lang w:val="es-DO"/>
        </w:rPr>
        <w:t>Sentencia</w:t>
      </w:r>
      <w:r w:rsidRPr="00325647">
        <w:rPr>
          <w:lang w:val="es-DO"/>
        </w:rPr>
        <w:t xml:space="preserve"> de 29 de agosto de 2011. Serie C No. 230, </w:t>
      </w:r>
      <w:r>
        <w:rPr>
          <w:lang w:val="es-DO"/>
        </w:rPr>
        <w:t xml:space="preserve">párr. 30, y </w:t>
      </w:r>
      <w:r w:rsidRPr="00935EFD">
        <w:rPr>
          <w:i/>
          <w:lang w:val="es-DO"/>
        </w:rPr>
        <w:t>Caso I.V. Vs. Bolivia. Interpretación de la Sentencia de Excepciones Preliminares, Fondo, Reparaciones y Costas</w:t>
      </w:r>
      <w:r w:rsidRPr="00134D59">
        <w:rPr>
          <w:lang w:val="es-DO"/>
        </w:rPr>
        <w:t>, párr.</w:t>
      </w:r>
      <w:r>
        <w:rPr>
          <w:lang w:val="es-DO"/>
        </w:rPr>
        <w:t xml:space="preserve"> </w:t>
      </w:r>
      <w:r w:rsidRPr="00134D59">
        <w:rPr>
          <w:lang w:val="es-DO"/>
        </w:rPr>
        <w:t>1</w:t>
      </w:r>
      <w:r w:rsidR="002253B5">
        <w:rPr>
          <w:lang w:val="es-DO"/>
        </w:rPr>
        <w:t>2</w:t>
      </w:r>
      <w:r w:rsidRPr="00134D59">
        <w:rPr>
          <w:lang w:val="es-DO"/>
        </w:rPr>
        <w:t>.</w:t>
      </w:r>
    </w:p>
  </w:footnote>
  <w:footnote w:id="7">
    <w:p w:rsidR="00CE2142" w:rsidRPr="00325647" w:rsidRDefault="00CE2142" w:rsidP="0074017B">
      <w:pPr>
        <w:pStyle w:val="FootnoteText"/>
        <w:rPr>
          <w:color w:val="FF0000"/>
          <w:lang w:val="es-DO"/>
        </w:rPr>
      </w:pPr>
      <w:r w:rsidRPr="00325647">
        <w:rPr>
          <w:rStyle w:val="FootnoteReference"/>
          <w:lang w:val="es-DO"/>
        </w:rPr>
        <w:footnoteRef/>
      </w:r>
      <w:r w:rsidRPr="00325647">
        <w:rPr>
          <w:lang w:val="es-DO"/>
        </w:rPr>
        <w:t xml:space="preserve"> </w:t>
      </w:r>
      <w:r>
        <w:rPr>
          <w:i/>
          <w:lang w:val="es-DO"/>
        </w:rPr>
        <w:t>Cfr. Caso Escher y o</w:t>
      </w:r>
      <w:r w:rsidRPr="00325647">
        <w:rPr>
          <w:i/>
          <w:lang w:val="es-DO"/>
        </w:rPr>
        <w:t>tros Vs. Brasil</w:t>
      </w:r>
      <w:r w:rsidRPr="00325647">
        <w:rPr>
          <w:lang w:val="es-DO"/>
        </w:rPr>
        <w:t xml:space="preserve">. </w:t>
      </w:r>
      <w:r w:rsidRPr="00935EFD">
        <w:rPr>
          <w:i/>
          <w:lang w:val="es-DO"/>
        </w:rPr>
        <w:t>Interpretación de la Sentencia de Excepciones Preliminares, Fondo, Reparaciones y Costas</w:t>
      </w:r>
      <w:r w:rsidRPr="00325647">
        <w:rPr>
          <w:lang w:val="es-DO"/>
        </w:rPr>
        <w:t xml:space="preserve">. </w:t>
      </w:r>
      <w:r>
        <w:rPr>
          <w:lang w:val="es-DO"/>
        </w:rPr>
        <w:t>Sentencia</w:t>
      </w:r>
      <w:r w:rsidRPr="00325647">
        <w:rPr>
          <w:lang w:val="es-DO"/>
        </w:rPr>
        <w:t xml:space="preserve"> de 20 de nov</w:t>
      </w:r>
      <w:r>
        <w:rPr>
          <w:lang w:val="es-DO"/>
        </w:rPr>
        <w:t>iembre</w:t>
      </w:r>
      <w:r w:rsidRPr="00325647">
        <w:rPr>
          <w:lang w:val="es-DO"/>
        </w:rPr>
        <w:t xml:space="preserve"> de 2009. Serie C No. 208, </w:t>
      </w:r>
      <w:r>
        <w:rPr>
          <w:lang w:val="es-DO"/>
        </w:rPr>
        <w:t>párr. 11, y</w:t>
      </w:r>
      <w:r>
        <w:rPr>
          <w:i/>
          <w:lang w:val="es-DO"/>
        </w:rPr>
        <w:t xml:space="preserve"> </w:t>
      </w:r>
      <w:r w:rsidRPr="00935EFD">
        <w:rPr>
          <w:i/>
          <w:lang w:val="es-DO"/>
        </w:rPr>
        <w:t>Caso I.V. Vs. Bolivia. Interpretación de la Sentencia de Excepciones Preliminares, Fondo, Reparaciones y Costas</w:t>
      </w:r>
      <w:r w:rsidRPr="006B1B7E">
        <w:rPr>
          <w:lang w:val="es-DO"/>
        </w:rPr>
        <w:t>, párr.</w:t>
      </w:r>
      <w:r>
        <w:rPr>
          <w:lang w:val="es-DO"/>
        </w:rPr>
        <w:t xml:space="preserve"> </w:t>
      </w:r>
      <w:r w:rsidRPr="006B1B7E">
        <w:rPr>
          <w:lang w:val="es-DO"/>
        </w:rPr>
        <w:t>1</w:t>
      </w:r>
      <w:r w:rsidR="002253B5">
        <w:rPr>
          <w:lang w:val="es-DO"/>
        </w:rPr>
        <w:t>2</w:t>
      </w:r>
      <w:r w:rsidRPr="006B1B7E">
        <w:rPr>
          <w:lang w:val="es-DO"/>
        </w:rPr>
        <w:t>.</w:t>
      </w:r>
    </w:p>
  </w:footnote>
  <w:footnote w:id="8">
    <w:p w:rsidR="00F87049" w:rsidRDefault="00F87049">
      <w:pPr>
        <w:pStyle w:val="FootnoteText"/>
      </w:pPr>
      <w:r>
        <w:rPr>
          <w:rStyle w:val="FootnoteReference"/>
        </w:rPr>
        <w:footnoteRef/>
      </w:r>
      <w:r>
        <w:t xml:space="preserve"> </w:t>
      </w:r>
      <w:r w:rsidR="00E10F1D">
        <w:t xml:space="preserve">Entre otros, ver </w:t>
      </w:r>
      <w:r w:rsidR="00F4077C" w:rsidRPr="00F4077C">
        <w:rPr>
          <w:i/>
        </w:rPr>
        <w:t xml:space="preserve">Caso Barrios Altos Vs. Perú. Reparaciones y Costas. </w:t>
      </w:r>
      <w:r w:rsidR="00F4077C" w:rsidRPr="00E10F1D">
        <w:t>Sentencia de 30 de noviembre de 2001. Serie C No. 87,</w:t>
      </w:r>
      <w:r w:rsidR="00F4077C">
        <w:t xml:space="preserve"> y </w:t>
      </w:r>
      <w:r w:rsidR="00F4077C" w:rsidRPr="00F4077C">
        <w:rPr>
          <w:i/>
        </w:rPr>
        <w:t xml:space="preserve">Caso Masacres de El Mozote y lugares aledaños Vs. El Salvador. Fondo, Reparaciones y Costas. </w:t>
      </w:r>
      <w:r w:rsidR="00F4077C" w:rsidRPr="00E10F1D">
        <w:t>Sentencia de 25 de octubre de 2012. Serie C No. 252</w:t>
      </w:r>
      <w:r w:rsidR="00E10F1D">
        <w:t>.</w:t>
      </w:r>
    </w:p>
  </w:footnote>
  <w:footnote w:id="9">
    <w:p w:rsidR="00D121D6" w:rsidRPr="00E8168B" w:rsidRDefault="00D121D6" w:rsidP="00D121D6">
      <w:pPr>
        <w:pStyle w:val="FootnoteText"/>
        <w:rPr>
          <w:lang w:val="es-AR"/>
        </w:rPr>
      </w:pPr>
      <w:r>
        <w:rPr>
          <w:rStyle w:val="FootnoteReference"/>
        </w:rPr>
        <w:footnoteRef/>
      </w:r>
      <w:r>
        <w:t xml:space="preserve"> </w:t>
      </w:r>
      <w:r w:rsidR="00245984" w:rsidRPr="00245984">
        <w:rPr>
          <w:i/>
          <w:lang w:val="es-AR"/>
        </w:rPr>
        <w:t>Caso Bueno Alves Vs. Argentina</w:t>
      </w:r>
      <w:r w:rsidR="00245984">
        <w:rPr>
          <w:lang w:val="es-AR"/>
        </w:rPr>
        <w:t xml:space="preserve">. </w:t>
      </w:r>
      <w:r>
        <w:rPr>
          <w:lang w:val="es-AR"/>
        </w:rPr>
        <w:t xml:space="preserve">Resolución de </w:t>
      </w:r>
      <w:r w:rsidR="00245984" w:rsidRPr="00E8168B">
        <w:rPr>
          <w:lang w:val="es-AR"/>
        </w:rPr>
        <w:t xml:space="preserve">Supervisión </w:t>
      </w:r>
      <w:r w:rsidR="00245984">
        <w:rPr>
          <w:lang w:val="es-AR"/>
        </w:rPr>
        <w:t>d</w:t>
      </w:r>
      <w:r w:rsidR="00245984" w:rsidRPr="00E8168B">
        <w:rPr>
          <w:lang w:val="es-AR"/>
        </w:rPr>
        <w:t xml:space="preserve">e Cumplimiento </w:t>
      </w:r>
      <w:r w:rsidR="00245984">
        <w:rPr>
          <w:lang w:val="es-AR"/>
        </w:rPr>
        <w:t>d</w:t>
      </w:r>
      <w:r w:rsidR="00245984" w:rsidRPr="00E8168B">
        <w:rPr>
          <w:lang w:val="es-AR"/>
        </w:rPr>
        <w:t>e Sentencia</w:t>
      </w:r>
      <w:r w:rsidR="00245984">
        <w:rPr>
          <w:lang w:val="es-AR"/>
        </w:rPr>
        <w:t xml:space="preserve"> de </w:t>
      </w:r>
      <w:r>
        <w:rPr>
          <w:lang w:val="es-AR"/>
        </w:rPr>
        <w:t>l</w:t>
      </w:r>
      <w:r w:rsidRPr="00E8168B">
        <w:rPr>
          <w:lang w:val="es-AR"/>
        </w:rPr>
        <w:t>a</w:t>
      </w:r>
      <w:r>
        <w:rPr>
          <w:lang w:val="es-AR"/>
        </w:rPr>
        <w:t xml:space="preserve"> </w:t>
      </w:r>
      <w:r w:rsidRPr="00E8168B">
        <w:rPr>
          <w:lang w:val="es-AR"/>
        </w:rPr>
        <w:t>Corte Int</w:t>
      </w:r>
      <w:r>
        <w:rPr>
          <w:lang w:val="es-AR"/>
        </w:rPr>
        <w:t>eramericana de Derechos Humanos d</w:t>
      </w:r>
      <w:r w:rsidRPr="00E8168B">
        <w:rPr>
          <w:lang w:val="es-AR"/>
        </w:rPr>
        <w:t xml:space="preserve">e 5 </w:t>
      </w:r>
      <w:r>
        <w:rPr>
          <w:lang w:val="es-AR"/>
        </w:rPr>
        <w:t>d</w:t>
      </w:r>
      <w:r w:rsidRPr="00E8168B">
        <w:rPr>
          <w:lang w:val="es-AR"/>
        </w:rPr>
        <w:t xml:space="preserve">e </w:t>
      </w:r>
      <w:r w:rsidR="00245984">
        <w:rPr>
          <w:lang w:val="es-AR"/>
        </w:rPr>
        <w:t>j</w:t>
      </w:r>
      <w:r w:rsidRPr="00E8168B">
        <w:rPr>
          <w:lang w:val="es-AR"/>
        </w:rPr>
        <w:t xml:space="preserve">ulio </w:t>
      </w:r>
      <w:r>
        <w:rPr>
          <w:lang w:val="es-AR"/>
        </w:rPr>
        <w:t>d</w:t>
      </w:r>
      <w:r w:rsidRPr="00E8168B">
        <w:rPr>
          <w:lang w:val="es-AR"/>
        </w:rPr>
        <w:t>e 2011</w:t>
      </w:r>
      <w:r>
        <w:rPr>
          <w:lang w:val="es-AR"/>
        </w:rPr>
        <w:t>, párr. 40.</w:t>
      </w:r>
    </w:p>
  </w:footnote>
  <w:footnote w:id="10">
    <w:p w:rsidR="00CE2142" w:rsidRPr="00E8168B" w:rsidRDefault="00CE2142" w:rsidP="00E8168B">
      <w:pPr>
        <w:pStyle w:val="FootnoteText"/>
        <w:rPr>
          <w:lang w:val="es-AR"/>
        </w:rPr>
      </w:pPr>
      <w:r>
        <w:rPr>
          <w:rStyle w:val="FootnoteReference"/>
        </w:rPr>
        <w:footnoteRef/>
      </w:r>
      <w:r>
        <w:t xml:space="preserve"> </w:t>
      </w:r>
      <w:r w:rsidR="00C847A0" w:rsidRPr="00C847A0">
        <w:rPr>
          <w:i/>
        </w:rPr>
        <w:t>Cfr.</w:t>
      </w:r>
      <w:r w:rsidR="00C847A0">
        <w:t xml:space="preserve"> </w:t>
      </w:r>
      <w:r w:rsidR="00245984" w:rsidRPr="00245984">
        <w:rPr>
          <w:i/>
          <w:lang w:val="es-AR"/>
        </w:rPr>
        <w:t>Caso Bueno Alves Vs. Argentina</w:t>
      </w:r>
      <w:r w:rsidR="00245984">
        <w:rPr>
          <w:lang w:val="es-AR"/>
        </w:rPr>
        <w:t xml:space="preserve">. Resolución de </w:t>
      </w:r>
      <w:r w:rsidR="00245984" w:rsidRPr="00E8168B">
        <w:rPr>
          <w:lang w:val="es-AR"/>
        </w:rPr>
        <w:t xml:space="preserve">Supervisión </w:t>
      </w:r>
      <w:r w:rsidR="00245984">
        <w:rPr>
          <w:lang w:val="es-AR"/>
        </w:rPr>
        <w:t>d</w:t>
      </w:r>
      <w:r w:rsidR="00245984" w:rsidRPr="00E8168B">
        <w:rPr>
          <w:lang w:val="es-AR"/>
        </w:rPr>
        <w:t xml:space="preserve">e Cumplimiento </w:t>
      </w:r>
      <w:r w:rsidR="00245984">
        <w:rPr>
          <w:lang w:val="es-AR"/>
        </w:rPr>
        <w:t>d</w:t>
      </w:r>
      <w:r w:rsidR="00245984" w:rsidRPr="00E8168B">
        <w:rPr>
          <w:lang w:val="es-AR"/>
        </w:rPr>
        <w:t>e Sentencia</w:t>
      </w:r>
      <w:r>
        <w:rPr>
          <w:lang w:val="es-AR"/>
        </w:rPr>
        <w:t xml:space="preserve">, párr. </w:t>
      </w:r>
      <w:r w:rsidR="00FE2C8B">
        <w:rPr>
          <w:lang w:val="es-AR"/>
        </w:rPr>
        <w:t>35</w:t>
      </w:r>
      <w:r>
        <w:rPr>
          <w:lang w:val="es-AR"/>
        </w:rPr>
        <w:t>.</w:t>
      </w:r>
    </w:p>
  </w:footnote>
  <w:footnote w:id="11">
    <w:p w:rsidR="00245984" w:rsidRPr="00245984" w:rsidRDefault="00245984">
      <w:pPr>
        <w:pStyle w:val="FootnoteText"/>
      </w:pPr>
      <w:r>
        <w:rPr>
          <w:rStyle w:val="FootnoteReference"/>
        </w:rPr>
        <w:footnoteRef/>
      </w:r>
      <w:r>
        <w:t xml:space="preserve"> Ver, entre otros, </w:t>
      </w:r>
      <w:r w:rsidRPr="00245984">
        <w:rPr>
          <w:i/>
          <w:lang w:val="es-CR"/>
        </w:rPr>
        <w:t>Caso de la Comunidad Moiwana Vs. Suriname. Excepciones Preliminares, Fondo, Reparaciones y Costas</w:t>
      </w:r>
      <w:r w:rsidRPr="00C633C6">
        <w:rPr>
          <w:lang w:val="es-CR"/>
        </w:rPr>
        <w:t xml:space="preserve">. Sentencia 15 de junio de 2005. </w:t>
      </w:r>
      <w:r w:rsidRPr="00C633C6">
        <w:t>Serie C No. 124, párr. 167</w:t>
      </w:r>
      <w:r>
        <w:t>;</w:t>
      </w:r>
      <w:r w:rsidRPr="00C633C6">
        <w:t xml:space="preserve">  </w:t>
      </w:r>
      <w:r w:rsidR="004C73FD" w:rsidRPr="004C73FD">
        <w:rPr>
          <w:i/>
          <w:iCs/>
          <w:lang w:val="es-AR"/>
        </w:rPr>
        <w:t xml:space="preserve">Caso de los Hermanos Gómez Paquiyauri Vs. Perú. Fondo, Reparaciones y Costas. </w:t>
      </w:r>
      <w:r w:rsidR="004C73FD" w:rsidRPr="00FE2C8B">
        <w:rPr>
          <w:iCs/>
          <w:lang w:val="es-AR"/>
        </w:rPr>
        <w:t>Sentencia de 8 de julio de 2004.</w:t>
      </w:r>
      <w:r w:rsidR="004C73FD" w:rsidRPr="004C73FD">
        <w:rPr>
          <w:i/>
          <w:iCs/>
          <w:lang w:val="es-AR"/>
        </w:rPr>
        <w:t xml:space="preserve"> </w:t>
      </w:r>
      <w:r w:rsidR="004C73FD" w:rsidRPr="00FE2C8B">
        <w:rPr>
          <w:iCs/>
          <w:lang w:val="es-AR"/>
        </w:rPr>
        <w:t>Serie C No. 110,</w:t>
      </w:r>
      <w:r w:rsidR="004C73FD">
        <w:rPr>
          <w:i/>
          <w:iCs/>
          <w:lang w:val="es-AR"/>
        </w:rPr>
        <w:t xml:space="preserve"> </w:t>
      </w:r>
      <w:r w:rsidRPr="00C633C6">
        <w:rPr>
          <w:lang w:val="es-AR"/>
        </w:rPr>
        <w:t xml:space="preserve">párr. 152; </w:t>
      </w:r>
      <w:r w:rsidR="004C73FD" w:rsidRPr="004C73FD">
        <w:rPr>
          <w:i/>
          <w:iCs/>
          <w:lang w:val="es-AR"/>
        </w:rPr>
        <w:t xml:space="preserve">Caso Bulacio Vs. Argentina. Fondo, Reparaciones y Costas. </w:t>
      </w:r>
      <w:r w:rsidR="004C73FD" w:rsidRPr="00FE2C8B">
        <w:rPr>
          <w:iCs/>
          <w:lang w:val="es-AR"/>
        </w:rPr>
        <w:t>Sentencia de 18 de septiembre de 2003. Serie C No. 100</w:t>
      </w:r>
      <w:r w:rsidRPr="00C633C6">
        <w:rPr>
          <w:lang w:val="es-AR"/>
        </w:rPr>
        <w:t>, párr. 118</w:t>
      </w:r>
      <w:r>
        <w:rPr>
          <w:lang w:val="es-AR"/>
        </w:rPr>
        <w:t xml:space="preserve">; </w:t>
      </w:r>
      <w:r w:rsidRPr="00FE2C8B">
        <w:rPr>
          <w:i/>
          <w:lang w:val="es-CR"/>
        </w:rPr>
        <w:t>Caso de la "Masacre de Mapiripán" Vs. Colombia</w:t>
      </w:r>
      <w:r w:rsidRPr="00703EEA">
        <w:rPr>
          <w:lang w:val="es-CR"/>
        </w:rPr>
        <w:t xml:space="preserve">. Sentencia de 15 de septiembre de 2005. </w:t>
      </w:r>
      <w:r w:rsidRPr="00703EEA">
        <w:t>Serie C No. 134, párr. 304.</w:t>
      </w:r>
    </w:p>
  </w:footnote>
  <w:footnote w:id="12">
    <w:p w:rsidR="005F38B7" w:rsidRPr="005F38B7" w:rsidRDefault="005F38B7">
      <w:pPr>
        <w:pStyle w:val="FootnoteText"/>
      </w:pPr>
      <w:r>
        <w:rPr>
          <w:rStyle w:val="FootnoteReference"/>
        </w:rPr>
        <w:footnoteRef/>
      </w:r>
      <w:r>
        <w:rPr>
          <w:i/>
        </w:rPr>
        <w:t xml:space="preserve"> </w:t>
      </w:r>
      <w:r w:rsidR="004C73FD" w:rsidRPr="004C73FD">
        <w:rPr>
          <w:i/>
        </w:rPr>
        <w:t xml:space="preserve">Caso Trabajadores de la Hacienda Brasil Verde Vs. Brasil. Interpretación de la Sentencia de Excepciones Preliminares, Fondo, Reparaciones y Costas. </w:t>
      </w:r>
      <w:r w:rsidR="004C73FD" w:rsidRPr="00720C21">
        <w:t>Sentencia de 22 de agosto de 2017. Serie C No. 337</w:t>
      </w:r>
      <w:r w:rsidR="004C73FD">
        <w:rPr>
          <w:i/>
        </w:rPr>
        <w:t xml:space="preserve">, </w:t>
      </w:r>
      <w:r w:rsidRPr="00245984">
        <w:t>párr</w:t>
      </w:r>
      <w:r w:rsidR="00720C21">
        <w:t>s</w:t>
      </w:r>
      <w:r w:rsidRPr="00245984">
        <w:t>. 31</w:t>
      </w:r>
      <w:r w:rsidR="00720C21">
        <w:t xml:space="preserve"> a </w:t>
      </w:r>
      <w:r w:rsidRPr="00245984">
        <w:t xml:space="preserve">33. </w:t>
      </w:r>
      <w:r>
        <w:rPr>
          <w:i/>
        </w:rPr>
        <w:t xml:space="preserve"> </w:t>
      </w:r>
    </w:p>
  </w:footnote>
  <w:footnote w:id="13">
    <w:p w:rsidR="005F38B7" w:rsidRPr="005F38B7" w:rsidRDefault="005F38B7">
      <w:pPr>
        <w:pStyle w:val="FootnoteText"/>
      </w:pPr>
      <w:r>
        <w:rPr>
          <w:rStyle w:val="FootnoteReference"/>
        </w:rPr>
        <w:footnoteRef/>
      </w:r>
      <w:r>
        <w:t xml:space="preserve"> </w:t>
      </w:r>
      <w:r>
        <w:rPr>
          <w:i/>
        </w:rPr>
        <w:t xml:space="preserve">Cfr. Caso Trabajadores de la Hacienda Brasil Verde Vs. </w:t>
      </w:r>
      <w:r w:rsidRPr="00C6047D">
        <w:rPr>
          <w:i/>
        </w:rPr>
        <w:t xml:space="preserve">Brasil. </w:t>
      </w:r>
      <w:r>
        <w:rPr>
          <w:i/>
        </w:rPr>
        <w:t xml:space="preserve">Interpretación, </w:t>
      </w:r>
      <w:r w:rsidRPr="00245984">
        <w:t>párr</w:t>
      </w:r>
      <w:r w:rsidR="00DD758D">
        <w:t>s</w:t>
      </w:r>
      <w:r w:rsidRPr="00245984">
        <w:t>. 37</w:t>
      </w:r>
      <w:r w:rsidR="00DD758D">
        <w:t xml:space="preserve"> a </w:t>
      </w:r>
      <w:r w:rsidRPr="00245984">
        <w:t>39.</w:t>
      </w:r>
    </w:p>
  </w:footnote>
  <w:footnote w:id="14">
    <w:p w:rsidR="00E66658" w:rsidRPr="007573A6" w:rsidRDefault="00E66658">
      <w:pPr>
        <w:pStyle w:val="FootnoteText"/>
        <w:rPr>
          <w:lang w:val="es-AR"/>
        </w:rPr>
      </w:pPr>
      <w:r>
        <w:rPr>
          <w:rStyle w:val="FootnoteReference"/>
        </w:rPr>
        <w:footnoteRef/>
      </w:r>
      <w:r>
        <w:t xml:space="preserve"> </w:t>
      </w:r>
      <w:r>
        <w:rPr>
          <w:i/>
        </w:rPr>
        <w:t xml:space="preserve">Cfr. Caso Trabajadores de la Hacienda Brasil Verde Vs. </w:t>
      </w:r>
      <w:r w:rsidRPr="00BD48D6">
        <w:rPr>
          <w:i/>
          <w:lang w:val="pt-BR"/>
        </w:rPr>
        <w:t xml:space="preserve">Brasil. </w:t>
      </w:r>
      <w:r>
        <w:rPr>
          <w:i/>
        </w:rPr>
        <w:t xml:space="preserve">Interpretación, </w:t>
      </w:r>
      <w:r w:rsidRPr="00245984">
        <w:t>párr</w:t>
      </w:r>
      <w:r w:rsidR="00DD758D">
        <w:t>s</w:t>
      </w:r>
      <w:r w:rsidRPr="00245984">
        <w:t xml:space="preserve">. 44 y 45.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BB4"/>
    <w:multiLevelType w:val="hybridMultilevel"/>
    <w:tmpl w:val="370ACD1C"/>
    <w:lvl w:ilvl="0" w:tplc="24BC9F12">
      <w:start w:val="1"/>
      <w:numFmt w:val="upperLetter"/>
      <w:lvlText w:val="%1."/>
      <w:lvlJc w:val="left"/>
      <w:pPr>
        <w:ind w:left="360"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
    <w:nsid w:val="0C4D0F26"/>
    <w:multiLevelType w:val="hybridMultilevel"/>
    <w:tmpl w:val="92729212"/>
    <w:lvl w:ilvl="0" w:tplc="B6E64A74">
      <w:start w:val="291"/>
      <w:numFmt w:val="decimal"/>
      <w:lvlText w:val="%1."/>
      <w:lvlJc w:val="left"/>
      <w:pPr>
        <w:ind w:left="1128" w:hanging="4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F090BC3"/>
    <w:multiLevelType w:val="hybridMultilevel"/>
    <w:tmpl w:val="25242C40"/>
    <w:lvl w:ilvl="0" w:tplc="941A3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96018"/>
    <w:multiLevelType w:val="hybridMultilevel"/>
    <w:tmpl w:val="CECE448A"/>
    <w:lvl w:ilvl="0" w:tplc="8A6CB10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F360E70"/>
    <w:multiLevelType w:val="hybridMultilevel"/>
    <w:tmpl w:val="05F49FEE"/>
    <w:lvl w:ilvl="0" w:tplc="56DCAC92">
      <w:start w:val="1"/>
      <w:numFmt w:val="lowerLetter"/>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12252"/>
    <w:multiLevelType w:val="hybridMultilevel"/>
    <w:tmpl w:val="B1CE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07E57"/>
    <w:multiLevelType w:val="hybridMultilevel"/>
    <w:tmpl w:val="462210C0"/>
    <w:lvl w:ilvl="0" w:tplc="EDBCDD16">
      <w:start w:val="1"/>
      <w:numFmt w:val="decimal"/>
      <w:lvlText w:val="%1."/>
      <w:lvlJc w:val="left"/>
      <w:pPr>
        <w:ind w:left="720" w:hanging="360"/>
      </w:pPr>
      <w:rPr>
        <w:rFonts w:ascii="Verdana" w:eastAsia="Times" w:hAnsi="Verdana" w:cs="Times New Roman"/>
        <w:b w:val="0"/>
        <w:i w:val="0"/>
        <w:strike w:val="0"/>
        <w:color w:val="auto"/>
        <w:sz w:val="20"/>
        <w:lang w:val="es-P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40BC0"/>
    <w:multiLevelType w:val="hybridMultilevel"/>
    <w:tmpl w:val="4B9AB2D6"/>
    <w:lvl w:ilvl="0" w:tplc="55C49332">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37225"/>
    <w:multiLevelType w:val="hybridMultilevel"/>
    <w:tmpl w:val="0A1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36E73"/>
    <w:multiLevelType w:val="hybridMultilevel"/>
    <w:tmpl w:val="3AC4C382"/>
    <w:lvl w:ilvl="0" w:tplc="21FE6BE2">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8382D"/>
    <w:multiLevelType w:val="hybridMultilevel"/>
    <w:tmpl w:val="3DF6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14278"/>
    <w:multiLevelType w:val="hybridMultilevel"/>
    <w:tmpl w:val="6256F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ED5F89"/>
    <w:multiLevelType w:val="hybridMultilevel"/>
    <w:tmpl w:val="527A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53A80"/>
    <w:multiLevelType w:val="hybridMultilevel"/>
    <w:tmpl w:val="BC78FF58"/>
    <w:lvl w:ilvl="0" w:tplc="726880C0">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
      </w:rPr>
    </w:lvl>
    <w:lvl w:ilvl="1" w:tplc="2C0A0019">
      <w:start w:val="1"/>
      <w:numFmt w:val="lowerLetter"/>
      <w:lvlText w:val="%2."/>
      <w:lvlJc w:val="left"/>
      <w:pPr>
        <w:ind w:left="1353" w:hanging="360"/>
      </w:pPr>
      <w:rPr>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4">
    <w:nsid w:val="7CE64D32"/>
    <w:multiLevelType w:val="hybridMultilevel"/>
    <w:tmpl w:val="D3C861DA"/>
    <w:lvl w:ilvl="0" w:tplc="EDBCDD16">
      <w:start w:val="1"/>
      <w:numFmt w:val="decimal"/>
      <w:lvlText w:val="%1."/>
      <w:lvlJc w:val="left"/>
      <w:pPr>
        <w:tabs>
          <w:tab w:val="num" w:pos="1247"/>
        </w:tabs>
        <w:ind w:left="0" w:firstLine="0"/>
      </w:pPr>
      <w:rPr>
        <w:rFonts w:ascii="Verdana" w:eastAsia="Times" w:hAnsi="Verdana" w:cs="Times New Roman"/>
        <w:b w:val="0"/>
        <w:i w:val="0"/>
        <w:strike w:val="0"/>
        <w:color w:val="auto"/>
        <w:sz w:val="20"/>
        <w:lang w:val="es-PA"/>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D1F6286"/>
    <w:multiLevelType w:val="hybridMultilevel"/>
    <w:tmpl w:val="46860292"/>
    <w:lvl w:ilvl="0" w:tplc="025E5168">
      <w:start w:val="1"/>
      <w:numFmt w:val="upperLetter"/>
      <w:pStyle w:val="Heading5"/>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A5974"/>
    <w:multiLevelType w:val="hybridMultilevel"/>
    <w:tmpl w:val="3830DC68"/>
    <w:lvl w:ilvl="0" w:tplc="2D347A4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E607722"/>
    <w:multiLevelType w:val="hybridMultilevel"/>
    <w:tmpl w:val="52DA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8"/>
  </w:num>
  <w:num w:numId="8">
    <w:abstractNumId w:val="12"/>
  </w:num>
  <w:num w:numId="9">
    <w:abstractNumId w:val="9"/>
  </w:num>
  <w:num w:numId="10">
    <w:abstractNumId w:val="3"/>
  </w:num>
  <w:num w:numId="11">
    <w:abstractNumId w:val="5"/>
  </w:num>
  <w:num w:numId="12">
    <w:abstractNumId w:val="17"/>
  </w:num>
  <w:num w:numId="13">
    <w:abstractNumId w:val="11"/>
  </w:num>
  <w:num w:numId="14">
    <w:abstractNumId w:val="6"/>
  </w:num>
  <w:num w:numId="15">
    <w:abstractNumId w:val="13"/>
  </w:num>
  <w:num w:numId="16">
    <w:abstractNumId w:val="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7B"/>
    <w:rsid w:val="00007AA4"/>
    <w:rsid w:val="000246F0"/>
    <w:rsid w:val="00027332"/>
    <w:rsid w:val="0003025F"/>
    <w:rsid w:val="00035A77"/>
    <w:rsid w:val="00044AA0"/>
    <w:rsid w:val="00055067"/>
    <w:rsid w:val="00081F9C"/>
    <w:rsid w:val="000840A6"/>
    <w:rsid w:val="00084E24"/>
    <w:rsid w:val="00094605"/>
    <w:rsid w:val="00096F69"/>
    <w:rsid w:val="000A56FF"/>
    <w:rsid w:val="000B0140"/>
    <w:rsid w:val="000B2670"/>
    <w:rsid w:val="000C0E5B"/>
    <w:rsid w:val="000C2BED"/>
    <w:rsid w:val="000C4875"/>
    <w:rsid w:val="000E15D5"/>
    <w:rsid w:val="001010F6"/>
    <w:rsid w:val="00113ECA"/>
    <w:rsid w:val="001251D7"/>
    <w:rsid w:val="001364F4"/>
    <w:rsid w:val="001428B1"/>
    <w:rsid w:val="00144239"/>
    <w:rsid w:val="00163C37"/>
    <w:rsid w:val="00164617"/>
    <w:rsid w:val="00177910"/>
    <w:rsid w:val="00180A5B"/>
    <w:rsid w:val="00180BA1"/>
    <w:rsid w:val="00186DA5"/>
    <w:rsid w:val="001917CF"/>
    <w:rsid w:val="001943E5"/>
    <w:rsid w:val="001A16FA"/>
    <w:rsid w:val="001A4D7D"/>
    <w:rsid w:val="001A528A"/>
    <w:rsid w:val="001A6E65"/>
    <w:rsid w:val="001B476D"/>
    <w:rsid w:val="001B5A90"/>
    <w:rsid w:val="001C0BCF"/>
    <w:rsid w:val="001D5CB5"/>
    <w:rsid w:val="001F08E6"/>
    <w:rsid w:val="001F30D1"/>
    <w:rsid w:val="0020641F"/>
    <w:rsid w:val="00213720"/>
    <w:rsid w:val="0021582A"/>
    <w:rsid w:val="00221CC9"/>
    <w:rsid w:val="002240EA"/>
    <w:rsid w:val="002253B5"/>
    <w:rsid w:val="0022574E"/>
    <w:rsid w:val="00225E4E"/>
    <w:rsid w:val="002260D5"/>
    <w:rsid w:val="00234A47"/>
    <w:rsid w:val="00245984"/>
    <w:rsid w:val="00261962"/>
    <w:rsid w:val="002735B4"/>
    <w:rsid w:val="00274B71"/>
    <w:rsid w:val="0028163D"/>
    <w:rsid w:val="0028496F"/>
    <w:rsid w:val="00284FC9"/>
    <w:rsid w:val="00296A89"/>
    <w:rsid w:val="002A65AD"/>
    <w:rsid w:val="002C4288"/>
    <w:rsid w:val="002D3285"/>
    <w:rsid w:val="002E6EDD"/>
    <w:rsid w:val="002E7A4D"/>
    <w:rsid w:val="002F1998"/>
    <w:rsid w:val="002F62C4"/>
    <w:rsid w:val="002F7A19"/>
    <w:rsid w:val="003046E3"/>
    <w:rsid w:val="003201B1"/>
    <w:rsid w:val="00331226"/>
    <w:rsid w:val="00336C0B"/>
    <w:rsid w:val="003414DF"/>
    <w:rsid w:val="00351415"/>
    <w:rsid w:val="0036129B"/>
    <w:rsid w:val="0038765A"/>
    <w:rsid w:val="00390412"/>
    <w:rsid w:val="003A6010"/>
    <w:rsid w:val="003C3260"/>
    <w:rsid w:val="003C478A"/>
    <w:rsid w:val="003D4381"/>
    <w:rsid w:val="003F1D25"/>
    <w:rsid w:val="003F217C"/>
    <w:rsid w:val="003F7314"/>
    <w:rsid w:val="004047C2"/>
    <w:rsid w:val="00407CB3"/>
    <w:rsid w:val="00417352"/>
    <w:rsid w:val="00422634"/>
    <w:rsid w:val="00424953"/>
    <w:rsid w:val="0043498F"/>
    <w:rsid w:val="00446CF9"/>
    <w:rsid w:val="00450964"/>
    <w:rsid w:val="004560CE"/>
    <w:rsid w:val="00456D6E"/>
    <w:rsid w:val="00462F27"/>
    <w:rsid w:val="00475C1A"/>
    <w:rsid w:val="0048465D"/>
    <w:rsid w:val="00486FED"/>
    <w:rsid w:val="0049492F"/>
    <w:rsid w:val="004A12CF"/>
    <w:rsid w:val="004A18EF"/>
    <w:rsid w:val="004A373D"/>
    <w:rsid w:val="004A5ABC"/>
    <w:rsid w:val="004B0A78"/>
    <w:rsid w:val="004C73FD"/>
    <w:rsid w:val="004E2202"/>
    <w:rsid w:val="004E27D0"/>
    <w:rsid w:val="004E387A"/>
    <w:rsid w:val="0050356C"/>
    <w:rsid w:val="00506304"/>
    <w:rsid w:val="005177B3"/>
    <w:rsid w:val="00520086"/>
    <w:rsid w:val="00523317"/>
    <w:rsid w:val="00533AD4"/>
    <w:rsid w:val="005361B1"/>
    <w:rsid w:val="005413CE"/>
    <w:rsid w:val="00557FD7"/>
    <w:rsid w:val="00560664"/>
    <w:rsid w:val="00571782"/>
    <w:rsid w:val="005808E2"/>
    <w:rsid w:val="00591F77"/>
    <w:rsid w:val="005A04AA"/>
    <w:rsid w:val="005A5126"/>
    <w:rsid w:val="005A672D"/>
    <w:rsid w:val="005B64B7"/>
    <w:rsid w:val="005C03BE"/>
    <w:rsid w:val="005C274D"/>
    <w:rsid w:val="005C2CC1"/>
    <w:rsid w:val="005C4559"/>
    <w:rsid w:val="005C7FDE"/>
    <w:rsid w:val="005D6982"/>
    <w:rsid w:val="005E14D7"/>
    <w:rsid w:val="005E5AAB"/>
    <w:rsid w:val="005F38B7"/>
    <w:rsid w:val="00610009"/>
    <w:rsid w:val="006209CF"/>
    <w:rsid w:val="0064118D"/>
    <w:rsid w:val="0064132A"/>
    <w:rsid w:val="006574B1"/>
    <w:rsid w:val="006613E0"/>
    <w:rsid w:val="00674196"/>
    <w:rsid w:val="00684D1F"/>
    <w:rsid w:val="006900B1"/>
    <w:rsid w:val="00694F07"/>
    <w:rsid w:val="00695E39"/>
    <w:rsid w:val="00697A10"/>
    <w:rsid w:val="006A4FF3"/>
    <w:rsid w:val="006C355A"/>
    <w:rsid w:val="006C4BFE"/>
    <w:rsid w:val="006D0375"/>
    <w:rsid w:val="006D1CD4"/>
    <w:rsid w:val="006E1792"/>
    <w:rsid w:val="006E3A35"/>
    <w:rsid w:val="006F7476"/>
    <w:rsid w:val="00703EEA"/>
    <w:rsid w:val="00704813"/>
    <w:rsid w:val="00720C21"/>
    <w:rsid w:val="00727F43"/>
    <w:rsid w:val="00730798"/>
    <w:rsid w:val="0074017B"/>
    <w:rsid w:val="00741188"/>
    <w:rsid w:val="00753AB6"/>
    <w:rsid w:val="007573A6"/>
    <w:rsid w:val="00762CC4"/>
    <w:rsid w:val="00764F00"/>
    <w:rsid w:val="007708C9"/>
    <w:rsid w:val="00772E87"/>
    <w:rsid w:val="00774676"/>
    <w:rsid w:val="00783D57"/>
    <w:rsid w:val="007965C5"/>
    <w:rsid w:val="0079694E"/>
    <w:rsid w:val="007A0710"/>
    <w:rsid w:val="007B58A9"/>
    <w:rsid w:val="007B6965"/>
    <w:rsid w:val="007C0595"/>
    <w:rsid w:val="007D110F"/>
    <w:rsid w:val="007E503D"/>
    <w:rsid w:val="0080214E"/>
    <w:rsid w:val="008022A6"/>
    <w:rsid w:val="008104F8"/>
    <w:rsid w:val="0081254C"/>
    <w:rsid w:val="00823505"/>
    <w:rsid w:val="008275D2"/>
    <w:rsid w:val="0085449E"/>
    <w:rsid w:val="0086611B"/>
    <w:rsid w:val="00873503"/>
    <w:rsid w:val="00874E8D"/>
    <w:rsid w:val="00880161"/>
    <w:rsid w:val="00880A95"/>
    <w:rsid w:val="00880E01"/>
    <w:rsid w:val="008919B8"/>
    <w:rsid w:val="008927ED"/>
    <w:rsid w:val="008A2A90"/>
    <w:rsid w:val="008A37E0"/>
    <w:rsid w:val="008B0095"/>
    <w:rsid w:val="008D78F5"/>
    <w:rsid w:val="008E53D8"/>
    <w:rsid w:val="008F0D75"/>
    <w:rsid w:val="008F19C9"/>
    <w:rsid w:val="00911BF2"/>
    <w:rsid w:val="00912CB1"/>
    <w:rsid w:val="00912F31"/>
    <w:rsid w:val="00937A5D"/>
    <w:rsid w:val="009419AC"/>
    <w:rsid w:val="00944587"/>
    <w:rsid w:val="009620A2"/>
    <w:rsid w:val="00995B9E"/>
    <w:rsid w:val="00996D52"/>
    <w:rsid w:val="009D38EF"/>
    <w:rsid w:val="009D5C1C"/>
    <w:rsid w:val="009E1747"/>
    <w:rsid w:val="009E24B5"/>
    <w:rsid w:val="009E59CB"/>
    <w:rsid w:val="009E60A2"/>
    <w:rsid w:val="009F2089"/>
    <w:rsid w:val="00A1526E"/>
    <w:rsid w:val="00A27367"/>
    <w:rsid w:val="00A318F7"/>
    <w:rsid w:val="00A33994"/>
    <w:rsid w:val="00A504D2"/>
    <w:rsid w:val="00A51A01"/>
    <w:rsid w:val="00A53DAD"/>
    <w:rsid w:val="00A63560"/>
    <w:rsid w:val="00A6445A"/>
    <w:rsid w:val="00A6456A"/>
    <w:rsid w:val="00A743B3"/>
    <w:rsid w:val="00A779B0"/>
    <w:rsid w:val="00A811BB"/>
    <w:rsid w:val="00A82FB4"/>
    <w:rsid w:val="00A9068F"/>
    <w:rsid w:val="00A9111C"/>
    <w:rsid w:val="00A9152C"/>
    <w:rsid w:val="00A92F80"/>
    <w:rsid w:val="00AC0F8D"/>
    <w:rsid w:val="00AD44C8"/>
    <w:rsid w:val="00AE01F8"/>
    <w:rsid w:val="00AE31E3"/>
    <w:rsid w:val="00AE49CE"/>
    <w:rsid w:val="00AF6BDD"/>
    <w:rsid w:val="00B02AFF"/>
    <w:rsid w:val="00B04130"/>
    <w:rsid w:val="00B0769B"/>
    <w:rsid w:val="00B14B48"/>
    <w:rsid w:val="00B150D1"/>
    <w:rsid w:val="00B15E27"/>
    <w:rsid w:val="00B20E1C"/>
    <w:rsid w:val="00B44952"/>
    <w:rsid w:val="00B4582D"/>
    <w:rsid w:val="00B55796"/>
    <w:rsid w:val="00B65C55"/>
    <w:rsid w:val="00B72CF1"/>
    <w:rsid w:val="00B7437E"/>
    <w:rsid w:val="00B9016B"/>
    <w:rsid w:val="00B94334"/>
    <w:rsid w:val="00BD1256"/>
    <w:rsid w:val="00BD1CBD"/>
    <w:rsid w:val="00BE48AE"/>
    <w:rsid w:val="00BF616B"/>
    <w:rsid w:val="00C0501E"/>
    <w:rsid w:val="00C0777A"/>
    <w:rsid w:val="00C1365D"/>
    <w:rsid w:val="00C26035"/>
    <w:rsid w:val="00C274CE"/>
    <w:rsid w:val="00C41D71"/>
    <w:rsid w:val="00C44982"/>
    <w:rsid w:val="00C47F5C"/>
    <w:rsid w:val="00C6047D"/>
    <w:rsid w:val="00C633C6"/>
    <w:rsid w:val="00C70AA2"/>
    <w:rsid w:val="00C77C19"/>
    <w:rsid w:val="00C80F4D"/>
    <w:rsid w:val="00C81D57"/>
    <w:rsid w:val="00C847A0"/>
    <w:rsid w:val="00CA07DC"/>
    <w:rsid w:val="00CB49DA"/>
    <w:rsid w:val="00CC19D5"/>
    <w:rsid w:val="00CC32D3"/>
    <w:rsid w:val="00CC395C"/>
    <w:rsid w:val="00CC70AA"/>
    <w:rsid w:val="00CC7300"/>
    <w:rsid w:val="00CD5AE2"/>
    <w:rsid w:val="00CE2142"/>
    <w:rsid w:val="00CE295D"/>
    <w:rsid w:val="00CE2C0E"/>
    <w:rsid w:val="00CF03AF"/>
    <w:rsid w:val="00CF363F"/>
    <w:rsid w:val="00D121D6"/>
    <w:rsid w:val="00D13C7A"/>
    <w:rsid w:val="00D159DD"/>
    <w:rsid w:val="00D443ED"/>
    <w:rsid w:val="00D5218C"/>
    <w:rsid w:val="00D65848"/>
    <w:rsid w:val="00D70516"/>
    <w:rsid w:val="00D715B0"/>
    <w:rsid w:val="00D8012C"/>
    <w:rsid w:val="00D82140"/>
    <w:rsid w:val="00D83D7C"/>
    <w:rsid w:val="00D90616"/>
    <w:rsid w:val="00DA3530"/>
    <w:rsid w:val="00DC7584"/>
    <w:rsid w:val="00DD19A2"/>
    <w:rsid w:val="00DD758D"/>
    <w:rsid w:val="00DE4D3F"/>
    <w:rsid w:val="00E048DB"/>
    <w:rsid w:val="00E06E90"/>
    <w:rsid w:val="00E10134"/>
    <w:rsid w:val="00E1024F"/>
    <w:rsid w:val="00E10F1D"/>
    <w:rsid w:val="00E1366A"/>
    <w:rsid w:val="00E22A2D"/>
    <w:rsid w:val="00E40783"/>
    <w:rsid w:val="00E4230E"/>
    <w:rsid w:val="00E465AF"/>
    <w:rsid w:val="00E50131"/>
    <w:rsid w:val="00E563B1"/>
    <w:rsid w:val="00E66658"/>
    <w:rsid w:val="00E76384"/>
    <w:rsid w:val="00E7672A"/>
    <w:rsid w:val="00E8168B"/>
    <w:rsid w:val="00E841FD"/>
    <w:rsid w:val="00EA3E49"/>
    <w:rsid w:val="00EC2AB0"/>
    <w:rsid w:val="00ED1170"/>
    <w:rsid w:val="00ED5166"/>
    <w:rsid w:val="00ED7628"/>
    <w:rsid w:val="00EE6A06"/>
    <w:rsid w:val="00EF3A30"/>
    <w:rsid w:val="00F00FA5"/>
    <w:rsid w:val="00F11AB0"/>
    <w:rsid w:val="00F138F2"/>
    <w:rsid w:val="00F16805"/>
    <w:rsid w:val="00F24042"/>
    <w:rsid w:val="00F34680"/>
    <w:rsid w:val="00F4077C"/>
    <w:rsid w:val="00F40859"/>
    <w:rsid w:val="00F53503"/>
    <w:rsid w:val="00F6454B"/>
    <w:rsid w:val="00F807E2"/>
    <w:rsid w:val="00F80CA4"/>
    <w:rsid w:val="00F8660B"/>
    <w:rsid w:val="00F86BC7"/>
    <w:rsid w:val="00F87049"/>
    <w:rsid w:val="00F911DB"/>
    <w:rsid w:val="00FC2D19"/>
    <w:rsid w:val="00FC4115"/>
    <w:rsid w:val="00FC43EB"/>
    <w:rsid w:val="00FC5914"/>
    <w:rsid w:val="00FD0992"/>
    <w:rsid w:val="00FE04E9"/>
    <w:rsid w:val="00FE2C8B"/>
    <w:rsid w:val="00FE4FDA"/>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7B"/>
    <w:rPr>
      <w:rFonts w:ascii="Calibri" w:eastAsia="Calibri" w:hAnsi="Calibri" w:cs="Times New Roman"/>
      <w:lang w:val="es-ES"/>
    </w:rPr>
  </w:style>
  <w:style w:type="paragraph" w:styleId="Heading1">
    <w:name w:val="heading 1"/>
    <w:basedOn w:val="Normal"/>
    <w:next w:val="Normal"/>
    <w:link w:val="Heading1Char"/>
    <w:uiPriority w:val="9"/>
    <w:qFormat/>
    <w:rsid w:val="0074017B"/>
    <w:pPr>
      <w:keepNext/>
      <w:tabs>
        <w:tab w:val="left" w:pos="567"/>
      </w:tabs>
      <w:autoSpaceDE w:val="0"/>
      <w:autoSpaceDN w:val="0"/>
      <w:adjustRightInd w:val="0"/>
      <w:spacing w:after="0" w:line="240" w:lineRule="auto"/>
      <w:jc w:val="center"/>
      <w:outlineLvl w:val="0"/>
    </w:pPr>
    <w:rPr>
      <w:rFonts w:ascii="Verdana" w:eastAsia="Times New Roman" w:hAnsi="Verdana" w:cs="Verdana"/>
      <w:b/>
      <w:bCs/>
      <w:iCs/>
      <w:caps/>
      <w:snapToGrid w:val="0"/>
      <w:sz w:val="20"/>
      <w:szCs w:val="20"/>
      <w:lang w:val="pt-BR" w:eastAsia="es-ES"/>
    </w:rPr>
  </w:style>
  <w:style w:type="paragraph" w:styleId="Heading2">
    <w:name w:val="heading 2"/>
    <w:basedOn w:val="Normal"/>
    <w:next w:val="Normal"/>
    <w:link w:val="Heading2Char"/>
    <w:uiPriority w:val="9"/>
    <w:unhideWhenUsed/>
    <w:qFormat/>
    <w:rsid w:val="0074017B"/>
    <w:pPr>
      <w:keepNext/>
      <w:spacing w:after="0" w:line="240" w:lineRule="auto"/>
      <w:jc w:val="both"/>
      <w:outlineLvl w:val="1"/>
    </w:pPr>
    <w:rPr>
      <w:rFonts w:ascii="Verdana" w:hAnsi="Verdana"/>
      <w:b/>
      <w:i/>
      <w:sz w:val="20"/>
      <w:szCs w:val="20"/>
      <w:lang w:val="pt-BR"/>
    </w:rPr>
  </w:style>
  <w:style w:type="paragraph" w:styleId="Heading3">
    <w:name w:val="heading 3"/>
    <w:basedOn w:val="Normal"/>
    <w:next w:val="Normal"/>
    <w:link w:val="Heading3Char"/>
    <w:uiPriority w:val="9"/>
    <w:unhideWhenUsed/>
    <w:qFormat/>
    <w:rsid w:val="0074017B"/>
    <w:pPr>
      <w:keepNext/>
      <w:spacing w:after="0" w:line="240" w:lineRule="auto"/>
      <w:jc w:val="both"/>
      <w:outlineLvl w:val="2"/>
    </w:pPr>
    <w:rPr>
      <w:rFonts w:ascii="Verdana" w:hAnsi="Verdana"/>
      <w:b/>
      <w:sz w:val="20"/>
      <w:szCs w:val="20"/>
      <w:lang w:val="pt-BR"/>
    </w:rPr>
  </w:style>
  <w:style w:type="paragraph" w:styleId="Heading4">
    <w:name w:val="heading 4"/>
    <w:basedOn w:val="Normal"/>
    <w:next w:val="Normal"/>
    <w:link w:val="Heading4Char"/>
    <w:uiPriority w:val="9"/>
    <w:unhideWhenUsed/>
    <w:qFormat/>
    <w:rsid w:val="00C80F4D"/>
    <w:pPr>
      <w:keepNext/>
      <w:tabs>
        <w:tab w:val="num" w:pos="0"/>
      </w:tabs>
      <w:autoSpaceDE w:val="0"/>
      <w:autoSpaceDN w:val="0"/>
      <w:adjustRightInd w:val="0"/>
      <w:spacing w:after="0" w:line="240" w:lineRule="auto"/>
      <w:jc w:val="both"/>
      <w:outlineLvl w:val="3"/>
    </w:pPr>
    <w:rPr>
      <w:rFonts w:ascii="Verdana" w:hAnsi="Verdana" w:cs="Verdana"/>
      <w:i/>
      <w:sz w:val="20"/>
      <w:szCs w:val="20"/>
      <w:lang w:val="es-PA"/>
    </w:rPr>
  </w:style>
  <w:style w:type="paragraph" w:styleId="Heading5">
    <w:name w:val="heading 5"/>
    <w:basedOn w:val="Normal"/>
    <w:next w:val="Normal"/>
    <w:link w:val="Heading5Char"/>
    <w:uiPriority w:val="9"/>
    <w:unhideWhenUsed/>
    <w:qFormat/>
    <w:rsid w:val="001A6E65"/>
    <w:pPr>
      <w:keepNext/>
      <w:widowControl w:val="0"/>
      <w:numPr>
        <w:numId w:val="3"/>
      </w:numPr>
      <w:spacing w:after="0" w:line="240" w:lineRule="auto"/>
      <w:jc w:val="both"/>
      <w:outlineLvl w:val="4"/>
    </w:pPr>
    <w:rPr>
      <w:rFonts w:ascii="Verdana" w:hAnsi="Verdana"/>
      <w:i/>
      <w:sz w:val="20"/>
      <w:szCs w:val="20"/>
      <w:lang w:val="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7B"/>
    <w:rPr>
      <w:rFonts w:ascii="Verdana" w:eastAsia="Times New Roman" w:hAnsi="Verdana" w:cs="Verdana"/>
      <w:b/>
      <w:bCs/>
      <w:iCs/>
      <w:caps/>
      <w:snapToGrid w:val="0"/>
      <w:sz w:val="20"/>
      <w:szCs w:val="20"/>
      <w:lang w:val="pt-BR" w:eastAsia="es-ES"/>
    </w:rPr>
  </w:style>
  <w:style w:type="character" w:customStyle="1" w:styleId="Heading2Char">
    <w:name w:val="Heading 2 Char"/>
    <w:basedOn w:val="DefaultParagraphFont"/>
    <w:link w:val="Heading2"/>
    <w:uiPriority w:val="9"/>
    <w:rsid w:val="0074017B"/>
    <w:rPr>
      <w:rFonts w:ascii="Verdana" w:eastAsia="Calibri" w:hAnsi="Verdana" w:cs="Times New Roman"/>
      <w:b/>
      <w:i/>
      <w:sz w:val="20"/>
      <w:szCs w:val="20"/>
      <w:lang w:val="pt-BR"/>
    </w:rPr>
  </w:style>
  <w:style w:type="character" w:customStyle="1" w:styleId="Heading3Char">
    <w:name w:val="Heading 3 Char"/>
    <w:basedOn w:val="DefaultParagraphFont"/>
    <w:link w:val="Heading3"/>
    <w:uiPriority w:val="9"/>
    <w:rsid w:val="0074017B"/>
    <w:rPr>
      <w:rFonts w:ascii="Verdana" w:eastAsia="Calibri" w:hAnsi="Verdana" w:cs="Times New Roman"/>
      <w:b/>
      <w:sz w:val="20"/>
      <w:szCs w:val="20"/>
      <w:lang w:val="pt-BR"/>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nhideWhenUsed/>
    <w:qFormat/>
    <w:rsid w:val="0074017B"/>
    <w:pPr>
      <w:spacing w:after="0" w:line="240" w:lineRule="auto"/>
      <w:jc w:val="both"/>
    </w:pPr>
    <w:rPr>
      <w:rFonts w:ascii="Verdana" w:hAnsi="Verdana"/>
      <w:sz w:val="16"/>
      <w:szCs w:val="20"/>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74017B"/>
    <w:rPr>
      <w:rFonts w:ascii="Verdana" w:eastAsia="Calibri" w:hAnsi="Verdana" w:cs="Times New Roman"/>
      <w:sz w:val="16"/>
      <w:szCs w:val="20"/>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74017B"/>
    <w:rPr>
      <w:rFonts w:ascii="Verdana" w:hAnsi="Verdana"/>
      <w:sz w:val="16"/>
      <w:vertAlign w:val="superscript"/>
    </w:rPr>
  </w:style>
  <w:style w:type="paragraph" w:styleId="ListParagraph">
    <w:name w:val="List Paragraph"/>
    <w:basedOn w:val="Normal"/>
    <w:uiPriority w:val="34"/>
    <w:qFormat/>
    <w:rsid w:val="0074017B"/>
    <w:pPr>
      <w:ind w:left="720"/>
      <w:contextualSpacing/>
    </w:pPr>
  </w:style>
  <w:style w:type="character" w:styleId="CommentReference">
    <w:name w:val="annotation reference"/>
    <w:basedOn w:val="DefaultParagraphFont"/>
    <w:uiPriority w:val="99"/>
    <w:semiHidden/>
    <w:unhideWhenUsed/>
    <w:rsid w:val="0074017B"/>
    <w:rPr>
      <w:sz w:val="16"/>
      <w:szCs w:val="16"/>
    </w:rPr>
  </w:style>
  <w:style w:type="paragraph" w:styleId="CommentText">
    <w:name w:val="annotation text"/>
    <w:basedOn w:val="Normal"/>
    <w:link w:val="CommentTextChar"/>
    <w:uiPriority w:val="99"/>
    <w:unhideWhenUsed/>
    <w:rsid w:val="0074017B"/>
    <w:pPr>
      <w:spacing w:line="240" w:lineRule="auto"/>
    </w:pPr>
    <w:rPr>
      <w:sz w:val="20"/>
      <w:szCs w:val="20"/>
    </w:rPr>
  </w:style>
  <w:style w:type="character" w:customStyle="1" w:styleId="CommentTextChar">
    <w:name w:val="Comment Text Char"/>
    <w:basedOn w:val="DefaultParagraphFont"/>
    <w:link w:val="CommentText"/>
    <w:uiPriority w:val="99"/>
    <w:rsid w:val="0074017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74017B"/>
    <w:rPr>
      <w:b/>
      <w:bCs/>
    </w:rPr>
  </w:style>
  <w:style w:type="character" w:customStyle="1" w:styleId="CommentSubjectChar">
    <w:name w:val="Comment Subject Char"/>
    <w:basedOn w:val="CommentTextChar"/>
    <w:link w:val="CommentSubject"/>
    <w:uiPriority w:val="99"/>
    <w:semiHidden/>
    <w:rsid w:val="0074017B"/>
    <w:rPr>
      <w:rFonts w:ascii="Calibri" w:eastAsia="Calibri" w:hAnsi="Calibri" w:cs="Times New Roman"/>
      <w:b/>
      <w:bCs/>
      <w:sz w:val="20"/>
      <w:szCs w:val="20"/>
      <w:lang w:val="es-ES"/>
    </w:rPr>
  </w:style>
  <w:style w:type="paragraph" w:styleId="BalloonText">
    <w:name w:val="Balloon Text"/>
    <w:basedOn w:val="Normal"/>
    <w:link w:val="BalloonTextChar"/>
    <w:uiPriority w:val="99"/>
    <w:semiHidden/>
    <w:unhideWhenUsed/>
    <w:rsid w:val="0074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7B"/>
    <w:rPr>
      <w:rFonts w:ascii="Tahoma" w:eastAsia="Calibri" w:hAnsi="Tahoma" w:cs="Tahoma"/>
      <w:sz w:val="16"/>
      <w:szCs w:val="16"/>
      <w:lang w:val="es-ES"/>
    </w:rPr>
  </w:style>
  <w:style w:type="paragraph" w:styleId="Header">
    <w:name w:val="header"/>
    <w:basedOn w:val="Normal"/>
    <w:link w:val="HeaderChar"/>
    <w:uiPriority w:val="99"/>
    <w:unhideWhenUsed/>
    <w:rsid w:val="00740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17B"/>
    <w:rPr>
      <w:rFonts w:ascii="Calibri" w:eastAsia="Calibri" w:hAnsi="Calibri" w:cs="Times New Roman"/>
      <w:lang w:val="es-ES"/>
    </w:rPr>
  </w:style>
  <w:style w:type="paragraph" w:styleId="Footer">
    <w:name w:val="footer"/>
    <w:basedOn w:val="Normal"/>
    <w:link w:val="FooterChar"/>
    <w:uiPriority w:val="99"/>
    <w:unhideWhenUsed/>
    <w:rsid w:val="00740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17B"/>
    <w:rPr>
      <w:rFonts w:ascii="Calibri" w:eastAsia="Calibri" w:hAnsi="Calibri" w:cs="Times New Roman"/>
      <w:lang w:val="es-ES"/>
    </w:rPr>
  </w:style>
  <w:style w:type="paragraph" w:styleId="BlockText">
    <w:name w:val="Block Text"/>
    <w:basedOn w:val="Normal"/>
    <w:uiPriority w:val="99"/>
    <w:unhideWhenUsed/>
    <w:rsid w:val="0074017B"/>
    <w:pPr>
      <w:autoSpaceDE w:val="0"/>
      <w:autoSpaceDN w:val="0"/>
      <w:adjustRightInd w:val="0"/>
      <w:spacing w:after="0" w:line="240" w:lineRule="auto"/>
      <w:ind w:left="720" w:right="576"/>
      <w:jc w:val="both"/>
    </w:pPr>
    <w:rPr>
      <w:rFonts w:ascii="Verdana" w:hAnsi="Verdana" w:cs="Verdana"/>
      <w:sz w:val="18"/>
      <w:szCs w:val="18"/>
      <w:lang w:val="pt-BR"/>
    </w:rPr>
  </w:style>
  <w:style w:type="paragraph" w:customStyle="1" w:styleId="Default">
    <w:name w:val="Default"/>
    <w:rsid w:val="0074017B"/>
    <w:pPr>
      <w:autoSpaceDE w:val="0"/>
      <w:autoSpaceDN w:val="0"/>
      <w:adjustRightInd w:val="0"/>
      <w:spacing w:after="0" w:line="240" w:lineRule="auto"/>
    </w:pPr>
    <w:rPr>
      <w:rFonts w:ascii="Verdana" w:hAnsi="Verdana" w:cs="Verdana"/>
      <w:color w:val="000000"/>
      <w:sz w:val="24"/>
      <w:szCs w:val="24"/>
      <w:lang w:val="pt-BR"/>
    </w:rPr>
  </w:style>
  <w:style w:type="paragraph" w:styleId="Revision">
    <w:name w:val="Revision"/>
    <w:hidden/>
    <w:uiPriority w:val="99"/>
    <w:semiHidden/>
    <w:rsid w:val="0074017B"/>
    <w:pPr>
      <w:spacing w:after="0" w:line="240" w:lineRule="auto"/>
    </w:pPr>
    <w:rPr>
      <w:rFonts w:ascii="Calibri" w:eastAsia="Calibri" w:hAnsi="Calibri" w:cs="Times New Roman"/>
      <w:lang w:val="es-ES"/>
    </w:rPr>
  </w:style>
  <w:style w:type="character" w:styleId="Strong">
    <w:name w:val="Strong"/>
    <w:basedOn w:val="DefaultParagraphFont"/>
    <w:uiPriority w:val="22"/>
    <w:qFormat/>
    <w:rsid w:val="003201B1"/>
    <w:rPr>
      <w:b/>
      <w:bCs/>
    </w:rPr>
  </w:style>
  <w:style w:type="character" w:customStyle="1" w:styleId="Heading4Char">
    <w:name w:val="Heading 4 Char"/>
    <w:basedOn w:val="DefaultParagraphFont"/>
    <w:link w:val="Heading4"/>
    <w:uiPriority w:val="9"/>
    <w:rsid w:val="00C80F4D"/>
    <w:rPr>
      <w:rFonts w:ascii="Verdana" w:eastAsia="Calibri" w:hAnsi="Verdana" w:cs="Verdana"/>
      <w:i/>
      <w:sz w:val="20"/>
      <w:szCs w:val="20"/>
      <w:lang w:val="es-PA"/>
    </w:rPr>
  </w:style>
  <w:style w:type="character" w:customStyle="1" w:styleId="Heading5Char">
    <w:name w:val="Heading 5 Char"/>
    <w:basedOn w:val="DefaultParagraphFont"/>
    <w:link w:val="Heading5"/>
    <w:uiPriority w:val="9"/>
    <w:rsid w:val="001A6E65"/>
    <w:rPr>
      <w:rFonts w:ascii="Verdana" w:eastAsia="Calibri" w:hAnsi="Verdana" w:cs="Times New Roman"/>
      <w:i/>
      <w:sz w:val="20"/>
      <w:szCs w:val="20"/>
      <w:lang w:val="es-P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633C6"/>
    <w:pPr>
      <w:spacing w:after="0" w:line="240" w:lineRule="auto"/>
      <w:jc w:val="both"/>
    </w:pPr>
    <w:rPr>
      <w:rFonts w:ascii="Verdana" w:eastAsiaTheme="minorHAnsi" w:hAnsi="Verdana" w:cstheme="minorBidi"/>
      <w:sz w:val="16"/>
      <w:vertAlign w:val="superscript"/>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7B"/>
    <w:rPr>
      <w:rFonts w:ascii="Calibri" w:eastAsia="Calibri" w:hAnsi="Calibri" w:cs="Times New Roman"/>
      <w:lang w:val="es-ES"/>
    </w:rPr>
  </w:style>
  <w:style w:type="paragraph" w:styleId="Heading1">
    <w:name w:val="heading 1"/>
    <w:basedOn w:val="Normal"/>
    <w:next w:val="Normal"/>
    <w:link w:val="Heading1Char"/>
    <w:uiPriority w:val="9"/>
    <w:qFormat/>
    <w:rsid w:val="0074017B"/>
    <w:pPr>
      <w:keepNext/>
      <w:tabs>
        <w:tab w:val="left" w:pos="567"/>
      </w:tabs>
      <w:autoSpaceDE w:val="0"/>
      <w:autoSpaceDN w:val="0"/>
      <w:adjustRightInd w:val="0"/>
      <w:spacing w:after="0" w:line="240" w:lineRule="auto"/>
      <w:jc w:val="center"/>
      <w:outlineLvl w:val="0"/>
    </w:pPr>
    <w:rPr>
      <w:rFonts w:ascii="Verdana" w:eastAsia="Times New Roman" w:hAnsi="Verdana" w:cs="Verdana"/>
      <w:b/>
      <w:bCs/>
      <w:iCs/>
      <w:caps/>
      <w:snapToGrid w:val="0"/>
      <w:sz w:val="20"/>
      <w:szCs w:val="20"/>
      <w:lang w:val="pt-BR" w:eastAsia="es-ES"/>
    </w:rPr>
  </w:style>
  <w:style w:type="paragraph" w:styleId="Heading2">
    <w:name w:val="heading 2"/>
    <w:basedOn w:val="Normal"/>
    <w:next w:val="Normal"/>
    <w:link w:val="Heading2Char"/>
    <w:uiPriority w:val="9"/>
    <w:unhideWhenUsed/>
    <w:qFormat/>
    <w:rsid w:val="0074017B"/>
    <w:pPr>
      <w:keepNext/>
      <w:spacing w:after="0" w:line="240" w:lineRule="auto"/>
      <w:jc w:val="both"/>
      <w:outlineLvl w:val="1"/>
    </w:pPr>
    <w:rPr>
      <w:rFonts w:ascii="Verdana" w:hAnsi="Verdana"/>
      <w:b/>
      <w:i/>
      <w:sz w:val="20"/>
      <w:szCs w:val="20"/>
      <w:lang w:val="pt-BR"/>
    </w:rPr>
  </w:style>
  <w:style w:type="paragraph" w:styleId="Heading3">
    <w:name w:val="heading 3"/>
    <w:basedOn w:val="Normal"/>
    <w:next w:val="Normal"/>
    <w:link w:val="Heading3Char"/>
    <w:uiPriority w:val="9"/>
    <w:unhideWhenUsed/>
    <w:qFormat/>
    <w:rsid w:val="0074017B"/>
    <w:pPr>
      <w:keepNext/>
      <w:spacing w:after="0" w:line="240" w:lineRule="auto"/>
      <w:jc w:val="both"/>
      <w:outlineLvl w:val="2"/>
    </w:pPr>
    <w:rPr>
      <w:rFonts w:ascii="Verdana" w:hAnsi="Verdana"/>
      <w:b/>
      <w:sz w:val="20"/>
      <w:szCs w:val="20"/>
      <w:lang w:val="pt-BR"/>
    </w:rPr>
  </w:style>
  <w:style w:type="paragraph" w:styleId="Heading4">
    <w:name w:val="heading 4"/>
    <w:basedOn w:val="Normal"/>
    <w:next w:val="Normal"/>
    <w:link w:val="Heading4Char"/>
    <w:uiPriority w:val="9"/>
    <w:unhideWhenUsed/>
    <w:qFormat/>
    <w:rsid w:val="00C80F4D"/>
    <w:pPr>
      <w:keepNext/>
      <w:tabs>
        <w:tab w:val="num" w:pos="0"/>
      </w:tabs>
      <w:autoSpaceDE w:val="0"/>
      <w:autoSpaceDN w:val="0"/>
      <w:adjustRightInd w:val="0"/>
      <w:spacing w:after="0" w:line="240" w:lineRule="auto"/>
      <w:jc w:val="both"/>
      <w:outlineLvl w:val="3"/>
    </w:pPr>
    <w:rPr>
      <w:rFonts w:ascii="Verdana" w:hAnsi="Verdana" w:cs="Verdana"/>
      <w:i/>
      <w:sz w:val="20"/>
      <w:szCs w:val="20"/>
      <w:lang w:val="es-PA"/>
    </w:rPr>
  </w:style>
  <w:style w:type="paragraph" w:styleId="Heading5">
    <w:name w:val="heading 5"/>
    <w:basedOn w:val="Normal"/>
    <w:next w:val="Normal"/>
    <w:link w:val="Heading5Char"/>
    <w:uiPriority w:val="9"/>
    <w:unhideWhenUsed/>
    <w:qFormat/>
    <w:rsid w:val="001A6E65"/>
    <w:pPr>
      <w:keepNext/>
      <w:widowControl w:val="0"/>
      <w:numPr>
        <w:numId w:val="3"/>
      </w:numPr>
      <w:spacing w:after="0" w:line="240" w:lineRule="auto"/>
      <w:jc w:val="both"/>
      <w:outlineLvl w:val="4"/>
    </w:pPr>
    <w:rPr>
      <w:rFonts w:ascii="Verdana" w:hAnsi="Verdana"/>
      <w:i/>
      <w:sz w:val="20"/>
      <w:szCs w:val="20"/>
      <w:lang w:val="es-P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7B"/>
    <w:rPr>
      <w:rFonts w:ascii="Verdana" w:eastAsia="Times New Roman" w:hAnsi="Verdana" w:cs="Verdana"/>
      <w:b/>
      <w:bCs/>
      <w:iCs/>
      <w:caps/>
      <w:snapToGrid w:val="0"/>
      <w:sz w:val="20"/>
      <w:szCs w:val="20"/>
      <w:lang w:val="pt-BR" w:eastAsia="es-ES"/>
    </w:rPr>
  </w:style>
  <w:style w:type="character" w:customStyle="1" w:styleId="Heading2Char">
    <w:name w:val="Heading 2 Char"/>
    <w:basedOn w:val="DefaultParagraphFont"/>
    <w:link w:val="Heading2"/>
    <w:uiPriority w:val="9"/>
    <w:rsid w:val="0074017B"/>
    <w:rPr>
      <w:rFonts w:ascii="Verdana" w:eastAsia="Calibri" w:hAnsi="Verdana" w:cs="Times New Roman"/>
      <w:b/>
      <w:i/>
      <w:sz w:val="20"/>
      <w:szCs w:val="20"/>
      <w:lang w:val="pt-BR"/>
    </w:rPr>
  </w:style>
  <w:style w:type="character" w:customStyle="1" w:styleId="Heading3Char">
    <w:name w:val="Heading 3 Char"/>
    <w:basedOn w:val="DefaultParagraphFont"/>
    <w:link w:val="Heading3"/>
    <w:uiPriority w:val="9"/>
    <w:rsid w:val="0074017B"/>
    <w:rPr>
      <w:rFonts w:ascii="Verdana" w:eastAsia="Calibri" w:hAnsi="Verdana" w:cs="Times New Roman"/>
      <w:b/>
      <w:sz w:val="20"/>
      <w:szCs w:val="20"/>
      <w:lang w:val="pt-BR"/>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unhideWhenUsed/>
    <w:qFormat/>
    <w:rsid w:val="0074017B"/>
    <w:pPr>
      <w:spacing w:after="0" w:line="240" w:lineRule="auto"/>
      <w:jc w:val="both"/>
    </w:pPr>
    <w:rPr>
      <w:rFonts w:ascii="Verdana" w:hAnsi="Verdana"/>
      <w:sz w:val="16"/>
      <w:szCs w:val="20"/>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rsid w:val="0074017B"/>
    <w:rPr>
      <w:rFonts w:ascii="Verdana" w:eastAsia="Calibri" w:hAnsi="Verdana" w:cs="Times New Roman"/>
      <w:sz w:val="16"/>
      <w:szCs w:val="20"/>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74017B"/>
    <w:rPr>
      <w:rFonts w:ascii="Verdana" w:hAnsi="Verdana"/>
      <w:sz w:val="16"/>
      <w:vertAlign w:val="superscript"/>
    </w:rPr>
  </w:style>
  <w:style w:type="paragraph" w:styleId="ListParagraph">
    <w:name w:val="List Paragraph"/>
    <w:basedOn w:val="Normal"/>
    <w:uiPriority w:val="34"/>
    <w:qFormat/>
    <w:rsid w:val="0074017B"/>
    <w:pPr>
      <w:ind w:left="720"/>
      <w:contextualSpacing/>
    </w:pPr>
  </w:style>
  <w:style w:type="character" w:styleId="CommentReference">
    <w:name w:val="annotation reference"/>
    <w:basedOn w:val="DefaultParagraphFont"/>
    <w:uiPriority w:val="99"/>
    <w:semiHidden/>
    <w:unhideWhenUsed/>
    <w:rsid w:val="0074017B"/>
    <w:rPr>
      <w:sz w:val="16"/>
      <w:szCs w:val="16"/>
    </w:rPr>
  </w:style>
  <w:style w:type="paragraph" w:styleId="CommentText">
    <w:name w:val="annotation text"/>
    <w:basedOn w:val="Normal"/>
    <w:link w:val="CommentTextChar"/>
    <w:uiPriority w:val="99"/>
    <w:unhideWhenUsed/>
    <w:rsid w:val="0074017B"/>
    <w:pPr>
      <w:spacing w:line="240" w:lineRule="auto"/>
    </w:pPr>
    <w:rPr>
      <w:sz w:val="20"/>
      <w:szCs w:val="20"/>
    </w:rPr>
  </w:style>
  <w:style w:type="character" w:customStyle="1" w:styleId="CommentTextChar">
    <w:name w:val="Comment Text Char"/>
    <w:basedOn w:val="DefaultParagraphFont"/>
    <w:link w:val="CommentText"/>
    <w:uiPriority w:val="99"/>
    <w:rsid w:val="0074017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74017B"/>
    <w:rPr>
      <w:b/>
      <w:bCs/>
    </w:rPr>
  </w:style>
  <w:style w:type="character" w:customStyle="1" w:styleId="CommentSubjectChar">
    <w:name w:val="Comment Subject Char"/>
    <w:basedOn w:val="CommentTextChar"/>
    <w:link w:val="CommentSubject"/>
    <w:uiPriority w:val="99"/>
    <w:semiHidden/>
    <w:rsid w:val="0074017B"/>
    <w:rPr>
      <w:rFonts w:ascii="Calibri" w:eastAsia="Calibri" w:hAnsi="Calibri" w:cs="Times New Roman"/>
      <w:b/>
      <w:bCs/>
      <w:sz w:val="20"/>
      <w:szCs w:val="20"/>
      <w:lang w:val="es-ES"/>
    </w:rPr>
  </w:style>
  <w:style w:type="paragraph" w:styleId="BalloonText">
    <w:name w:val="Balloon Text"/>
    <w:basedOn w:val="Normal"/>
    <w:link w:val="BalloonTextChar"/>
    <w:uiPriority w:val="99"/>
    <w:semiHidden/>
    <w:unhideWhenUsed/>
    <w:rsid w:val="0074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7B"/>
    <w:rPr>
      <w:rFonts w:ascii="Tahoma" w:eastAsia="Calibri" w:hAnsi="Tahoma" w:cs="Tahoma"/>
      <w:sz w:val="16"/>
      <w:szCs w:val="16"/>
      <w:lang w:val="es-ES"/>
    </w:rPr>
  </w:style>
  <w:style w:type="paragraph" w:styleId="Header">
    <w:name w:val="header"/>
    <w:basedOn w:val="Normal"/>
    <w:link w:val="HeaderChar"/>
    <w:uiPriority w:val="99"/>
    <w:unhideWhenUsed/>
    <w:rsid w:val="00740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17B"/>
    <w:rPr>
      <w:rFonts w:ascii="Calibri" w:eastAsia="Calibri" w:hAnsi="Calibri" w:cs="Times New Roman"/>
      <w:lang w:val="es-ES"/>
    </w:rPr>
  </w:style>
  <w:style w:type="paragraph" w:styleId="Footer">
    <w:name w:val="footer"/>
    <w:basedOn w:val="Normal"/>
    <w:link w:val="FooterChar"/>
    <w:uiPriority w:val="99"/>
    <w:unhideWhenUsed/>
    <w:rsid w:val="00740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17B"/>
    <w:rPr>
      <w:rFonts w:ascii="Calibri" w:eastAsia="Calibri" w:hAnsi="Calibri" w:cs="Times New Roman"/>
      <w:lang w:val="es-ES"/>
    </w:rPr>
  </w:style>
  <w:style w:type="paragraph" w:styleId="BlockText">
    <w:name w:val="Block Text"/>
    <w:basedOn w:val="Normal"/>
    <w:uiPriority w:val="99"/>
    <w:unhideWhenUsed/>
    <w:rsid w:val="0074017B"/>
    <w:pPr>
      <w:autoSpaceDE w:val="0"/>
      <w:autoSpaceDN w:val="0"/>
      <w:adjustRightInd w:val="0"/>
      <w:spacing w:after="0" w:line="240" w:lineRule="auto"/>
      <w:ind w:left="720" w:right="576"/>
      <w:jc w:val="both"/>
    </w:pPr>
    <w:rPr>
      <w:rFonts w:ascii="Verdana" w:hAnsi="Verdana" w:cs="Verdana"/>
      <w:sz w:val="18"/>
      <w:szCs w:val="18"/>
      <w:lang w:val="pt-BR"/>
    </w:rPr>
  </w:style>
  <w:style w:type="paragraph" w:customStyle="1" w:styleId="Default">
    <w:name w:val="Default"/>
    <w:rsid w:val="0074017B"/>
    <w:pPr>
      <w:autoSpaceDE w:val="0"/>
      <w:autoSpaceDN w:val="0"/>
      <w:adjustRightInd w:val="0"/>
      <w:spacing w:after="0" w:line="240" w:lineRule="auto"/>
    </w:pPr>
    <w:rPr>
      <w:rFonts w:ascii="Verdana" w:hAnsi="Verdana" w:cs="Verdana"/>
      <w:color w:val="000000"/>
      <w:sz w:val="24"/>
      <w:szCs w:val="24"/>
      <w:lang w:val="pt-BR"/>
    </w:rPr>
  </w:style>
  <w:style w:type="paragraph" w:styleId="Revision">
    <w:name w:val="Revision"/>
    <w:hidden/>
    <w:uiPriority w:val="99"/>
    <w:semiHidden/>
    <w:rsid w:val="0074017B"/>
    <w:pPr>
      <w:spacing w:after="0" w:line="240" w:lineRule="auto"/>
    </w:pPr>
    <w:rPr>
      <w:rFonts w:ascii="Calibri" w:eastAsia="Calibri" w:hAnsi="Calibri" w:cs="Times New Roman"/>
      <w:lang w:val="es-ES"/>
    </w:rPr>
  </w:style>
  <w:style w:type="character" w:styleId="Strong">
    <w:name w:val="Strong"/>
    <w:basedOn w:val="DefaultParagraphFont"/>
    <w:uiPriority w:val="22"/>
    <w:qFormat/>
    <w:rsid w:val="003201B1"/>
    <w:rPr>
      <w:b/>
      <w:bCs/>
    </w:rPr>
  </w:style>
  <w:style w:type="character" w:customStyle="1" w:styleId="Heading4Char">
    <w:name w:val="Heading 4 Char"/>
    <w:basedOn w:val="DefaultParagraphFont"/>
    <w:link w:val="Heading4"/>
    <w:uiPriority w:val="9"/>
    <w:rsid w:val="00C80F4D"/>
    <w:rPr>
      <w:rFonts w:ascii="Verdana" w:eastAsia="Calibri" w:hAnsi="Verdana" w:cs="Verdana"/>
      <w:i/>
      <w:sz w:val="20"/>
      <w:szCs w:val="20"/>
      <w:lang w:val="es-PA"/>
    </w:rPr>
  </w:style>
  <w:style w:type="character" w:customStyle="1" w:styleId="Heading5Char">
    <w:name w:val="Heading 5 Char"/>
    <w:basedOn w:val="DefaultParagraphFont"/>
    <w:link w:val="Heading5"/>
    <w:uiPriority w:val="9"/>
    <w:rsid w:val="001A6E65"/>
    <w:rPr>
      <w:rFonts w:ascii="Verdana" w:eastAsia="Calibri" w:hAnsi="Verdana" w:cs="Times New Roman"/>
      <w:i/>
      <w:sz w:val="20"/>
      <w:szCs w:val="20"/>
      <w:lang w:val="es-PA"/>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C633C6"/>
    <w:pPr>
      <w:spacing w:after="0" w:line="240" w:lineRule="auto"/>
      <w:jc w:val="both"/>
    </w:pPr>
    <w:rPr>
      <w:rFonts w:ascii="Verdana" w:eastAsiaTheme="minorHAnsi" w:hAnsi="Verdana" w:cstheme="minorBidi"/>
      <w:sz w:val="16"/>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9893">
      <w:bodyDiv w:val="1"/>
      <w:marLeft w:val="0"/>
      <w:marRight w:val="0"/>
      <w:marTop w:val="0"/>
      <w:marBottom w:val="0"/>
      <w:divBdr>
        <w:top w:val="none" w:sz="0" w:space="0" w:color="auto"/>
        <w:left w:val="none" w:sz="0" w:space="0" w:color="auto"/>
        <w:bottom w:val="none" w:sz="0" w:space="0" w:color="auto"/>
        <w:right w:val="none" w:sz="0" w:space="0" w:color="auto"/>
      </w:divBdr>
    </w:div>
    <w:div w:id="8043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385B-3681-4B4E-A8E5-D3FCD968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6010</Words>
  <Characters>34258</Characters>
  <Application>Microsoft Office Word</Application>
  <DocSecurity>4</DocSecurity>
  <Lines>285</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2018-02-08T18:29:00Z</cp:lastPrinted>
  <dcterms:created xsi:type="dcterms:W3CDTF">2018-03-23T18:01:00Z</dcterms:created>
  <dcterms:modified xsi:type="dcterms:W3CDTF">2018-03-23T18:01:00Z</dcterms:modified>
</cp:coreProperties>
</file>